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BD9" w:rsidRDefault="00927AC3">
      <w:pPr>
        <w:widowControl/>
        <w:spacing w:line="360" w:lineRule="atLeas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2018</w:t>
      </w:r>
      <w:r>
        <w:rPr>
          <w:rFonts w:ascii="方正小标宋简体" w:eastAsia="方正小标宋简体" w:hAnsi="方正小标宋简体" w:cs="方正小标宋简体" w:hint="eastAsia"/>
          <w:kern w:val="0"/>
          <w:sz w:val="44"/>
          <w:szCs w:val="44"/>
        </w:rPr>
        <w:t>年枣庄市环境保护局部门预算</w:t>
      </w:r>
    </w:p>
    <w:p w:rsidR="000C1FA9" w:rsidRDefault="000C1FA9">
      <w:pPr>
        <w:widowControl/>
        <w:spacing w:line="360" w:lineRule="atLeast"/>
        <w:jc w:val="center"/>
        <w:rPr>
          <w:rFonts w:ascii="方正小标宋简体" w:eastAsia="方正小标宋简体" w:hAnsi="方正小标宋简体" w:cs="方正小标宋简体"/>
          <w:kern w:val="0"/>
          <w:sz w:val="44"/>
          <w:szCs w:val="44"/>
        </w:rPr>
      </w:pPr>
    </w:p>
    <w:p w:rsidR="000F2BD9" w:rsidRPr="00914EC0" w:rsidRDefault="00927AC3">
      <w:pPr>
        <w:widowControl/>
        <w:tabs>
          <w:tab w:val="center" w:pos="4213"/>
          <w:tab w:val="left" w:pos="6798"/>
        </w:tabs>
        <w:spacing w:line="360" w:lineRule="atLeast"/>
        <w:jc w:val="center"/>
        <w:rPr>
          <w:rFonts w:asciiTheme="majorEastAsia" w:eastAsiaTheme="majorEastAsia" w:hAnsiTheme="majorEastAsia" w:cs="宋体" w:hint="eastAsia"/>
          <w:b/>
          <w:kern w:val="0"/>
          <w:sz w:val="36"/>
          <w:szCs w:val="36"/>
        </w:rPr>
      </w:pPr>
      <w:r w:rsidRPr="00914EC0">
        <w:rPr>
          <w:rFonts w:asciiTheme="majorEastAsia" w:eastAsiaTheme="majorEastAsia" w:hAnsiTheme="majorEastAsia" w:cs="宋体" w:hint="eastAsia"/>
          <w:b/>
          <w:kern w:val="0"/>
          <w:sz w:val="36"/>
          <w:szCs w:val="36"/>
        </w:rPr>
        <w:t>第一部分</w:t>
      </w:r>
      <w:r w:rsidRPr="00914EC0">
        <w:rPr>
          <w:rFonts w:asciiTheme="majorEastAsia" w:eastAsiaTheme="majorEastAsia" w:hAnsiTheme="majorEastAsia" w:cs="宋体" w:hint="eastAsia"/>
          <w:b/>
          <w:kern w:val="0"/>
          <w:sz w:val="36"/>
          <w:szCs w:val="36"/>
        </w:rPr>
        <w:t xml:space="preserve">   </w:t>
      </w:r>
      <w:r w:rsidRPr="00914EC0">
        <w:rPr>
          <w:rFonts w:asciiTheme="majorEastAsia" w:eastAsiaTheme="majorEastAsia" w:hAnsiTheme="majorEastAsia" w:cs="宋体" w:hint="eastAsia"/>
          <w:b/>
          <w:kern w:val="0"/>
          <w:sz w:val="36"/>
          <w:szCs w:val="36"/>
        </w:rPr>
        <w:t>概况</w:t>
      </w:r>
    </w:p>
    <w:p w:rsidR="000C1FA9" w:rsidRPr="000C1FA9" w:rsidRDefault="000C1FA9">
      <w:pPr>
        <w:widowControl/>
        <w:tabs>
          <w:tab w:val="center" w:pos="4213"/>
          <w:tab w:val="left" w:pos="6798"/>
        </w:tabs>
        <w:spacing w:line="360" w:lineRule="atLeast"/>
        <w:jc w:val="center"/>
        <w:rPr>
          <w:rFonts w:ascii="黑体" w:eastAsia="黑体" w:hAnsi="宋体" w:cs="宋体" w:hint="eastAsia"/>
          <w:sz w:val="44"/>
          <w:szCs w:val="44"/>
        </w:rPr>
      </w:pPr>
    </w:p>
    <w:p w:rsidR="000F2BD9" w:rsidRDefault="00927AC3">
      <w:pPr>
        <w:widowControl/>
        <w:spacing w:line="360" w:lineRule="atLeast"/>
        <w:jc w:val="left"/>
        <w:rPr>
          <w:rFonts w:ascii="仿宋_GB2312" w:eastAsia="仿宋_GB2312" w:hAnsi="仿宋_GB2312" w:cs="仿宋_GB2312"/>
          <w:sz w:val="32"/>
          <w:szCs w:val="32"/>
        </w:rPr>
      </w:pPr>
      <w:r>
        <w:rPr>
          <w:rStyle w:val="a6"/>
          <w:rFonts w:ascii="黑体" w:eastAsia="黑体" w:hAnsi="宋体" w:cs="宋体" w:hint="eastAsia"/>
          <w:kern w:val="0"/>
          <w:sz w:val="32"/>
          <w:szCs w:val="32"/>
        </w:rPr>
        <w:t>一、主要职能及机构设置</w:t>
      </w:r>
      <w:r>
        <w:rPr>
          <w:rFonts w:ascii="黑体" w:eastAsia="黑体" w:hAnsi="宋体" w:cs="宋体" w:hint="eastAsia"/>
          <w:kern w:val="0"/>
          <w:sz w:val="32"/>
          <w:szCs w:val="32"/>
        </w:rPr>
        <w:t>：</w:t>
      </w:r>
      <w:r>
        <w:rPr>
          <w:rFonts w:ascii="黑体" w:eastAsia="黑体" w:hAnsi="宋体" w:cs="宋体" w:hint="eastAsia"/>
          <w:kern w:val="0"/>
          <w:sz w:val="32"/>
          <w:szCs w:val="32"/>
        </w:rPr>
        <w:br/>
      </w:r>
      <w:r>
        <w:rPr>
          <w:rFonts w:ascii="宋体" w:eastAsia="宋体" w:hAnsi="宋体" w:cs="宋体"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枣庄市环境保护局是枣庄市人民政府的组成部门，是市政府主管全市环境保护工作的职能部门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代表市政府对本辖区行使环境监督管理权，也是市环境保护委员会的办事机构，业务上受省环保厅的指导。主要职责是：</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一）负责建立健全环境保护基本制度。起草我市环境保护工作的规范性文件；拟订全市环境保护规划、政策并组织实施；组织编制全市环境功能区划；组织拟订并监督实施全市重点区域、流域污染防治规划和饮用水水源地环境保护规划。</w:t>
      </w:r>
      <w:r>
        <w:rPr>
          <w:rFonts w:ascii="仿宋_GB2312" w:eastAsia="仿宋_GB2312" w:hAnsi="仿宋_GB2312" w:cs="仿宋_GB2312" w:hint="eastAsia"/>
          <w:kern w:val="0"/>
          <w:sz w:val="32"/>
          <w:szCs w:val="32"/>
        </w:rPr>
        <w:br/>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二）负责重大环境问题的统筹协调和监督管理。牵头协调重特大环境污染事故和生态破坏事件的调查处理；指导协调各区（市）重特大突发环境事件的应急、预警工作；协调解决有关跨区域环境污染纠纷；组织开展全市环境保护执法检查活动。</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（三）承担落实减排目标的责任。组织实施主要污染物排放总量控制和排污许可证制度；会同有关部门提出实施总</w:t>
      </w:r>
      <w:r>
        <w:rPr>
          <w:rFonts w:ascii="仿宋_GB2312" w:eastAsia="仿宋_GB2312" w:hAnsi="仿宋_GB2312" w:cs="仿宋_GB2312" w:hint="eastAsia"/>
          <w:kern w:val="0"/>
          <w:sz w:val="32"/>
          <w:szCs w:val="32"/>
        </w:rPr>
        <w:lastRenderedPageBreak/>
        <w:t>量控制的污染物名称和控制指标；按规定负责污染物排放许可；督查、督办、核查各区（市）污染物减排任务完成情况；实施环境保护目标责任制、总量减排考核并公布考核结果。</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（四）负责提出环</w:t>
      </w:r>
      <w:r>
        <w:rPr>
          <w:rFonts w:ascii="仿宋_GB2312" w:eastAsia="仿宋_GB2312" w:hAnsi="仿宋_GB2312" w:cs="仿宋_GB2312" w:hint="eastAsia"/>
          <w:kern w:val="0"/>
          <w:sz w:val="32"/>
          <w:szCs w:val="32"/>
        </w:rPr>
        <w:t>境保护领域固定资产投资规模、方向和市级资金安排的意见；按市政府规定权限，审批、核准全市规划内和年度计划规模内固定资产投资项目，并配合有关部门做好组织实施和监督工作；管理全市排污费的征收工作；参与指导和推动循环经济和环保产业发展；参与应对气候变化工作。</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五）承担从源头上预防、控制环境污染和环境破坏的责任。受市政府委托对重大经济和技术政策、发展规划以及重大经济开发计划进行环境影响评价；对涉及环境保护的地方性法规、规章草案提出有关环境影响方面的意见；按规定审批开发建设区域、项目环境影响评价文件。</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六）负责环境污染防治的监督管理。拟定水体、大气、土壤、噪声、光、恶臭、固体废物、化学品、机动车等的污染防治措施和办法并组织实施；会同有关部门监督管理饮用水水源地环境保护工作；组织指导城镇和农村的环境综合整治工作。</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（七）拟订生态保护规划，组织评估生态环境质量状况，监督对生态环境有影响的自然资源开发利用活动、重要生态环境建设和生态破坏恢复工作；监督各种类型的自然保护</w:t>
      </w:r>
      <w:r>
        <w:rPr>
          <w:rFonts w:ascii="仿宋_GB2312" w:eastAsia="仿宋_GB2312" w:hAnsi="仿宋_GB2312" w:cs="仿宋_GB2312" w:hint="eastAsia"/>
          <w:kern w:val="0"/>
          <w:sz w:val="32"/>
          <w:szCs w:val="32"/>
        </w:rPr>
        <w:lastRenderedPageBreak/>
        <w:t>区、风景名胜区、森林公园的环境保护工作，协调、监督野生动植物保护、湿地环境保护、荒漠化防治工作；向市政府提出建设各类国家级、省级、市级自然保</w:t>
      </w:r>
      <w:r>
        <w:rPr>
          <w:rFonts w:ascii="仿宋_GB2312" w:eastAsia="仿宋_GB2312" w:hAnsi="仿宋_GB2312" w:cs="仿宋_GB2312" w:hint="eastAsia"/>
          <w:kern w:val="0"/>
          <w:sz w:val="32"/>
          <w:szCs w:val="32"/>
        </w:rPr>
        <w:t>护区申报、审批建议，监督管理市级自然保护区；协调指导农村生态环境保护</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监督生物技术环境安全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牵头生物物种</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含遗传资源</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工作，组织协调生物多样性保护。</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八）负责核安全和辐射安全的监督管理。拟订地方核安全和辐射安全政策、规划；参与核事故应急处理；负责辐射环境事故应急处理工作；监督管理核设施安全、放射源安全；监督管理核设施、核技术应用、电磁辐射、伴有放射性矿产资源开发利用中的污染防治；负责放射性废物管理工作。</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（九）负责环境监测、统计和信息发布。制定并组织实施环境监测制度和规范；组织实施环境质量监测</w:t>
      </w:r>
      <w:r>
        <w:rPr>
          <w:rFonts w:ascii="仿宋_GB2312" w:eastAsia="仿宋_GB2312" w:hAnsi="仿宋_GB2312" w:cs="仿宋_GB2312" w:hint="eastAsia"/>
          <w:kern w:val="0"/>
          <w:sz w:val="32"/>
          <w:szCs w:val="32"/>
        </w:rPr>
        <w:t>和污染源监督性监测；组织对环境质量状况进行调查评估、预测预警；组织建设和管理全省环境监测网和环境信息网，建立环境质量公告制度，统一发布全市环境综合性报告和重大环境信息。</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（十）组织环境保护重大科学研究和技术工程示范，推动环境技术管理体系建设；组织实施环境保护资质许可制度；负责对清洁生产实施监督。</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（十一）提出国际环境合作中有关问题的建议；组织协</w:t>
      </w:r>
      <w:r>
        <w:rPr>
          <w:rFonts w:ascii="仿宋_GB2312" w:eastAsia="仿宋_GB2312" w:hAnsi="仿宋_GB2312" w:cs="仿宋_GB2312" w:hint="eastAsia"/>
          <w:kern w:val="0"/>
          <w:sz w:val="32"/>
          <w:szCs w:val="32"/>
        </w:rPr>
        <w:lastRenderedPageBreak/>
        <w:t>调全市环境保护国际条约履约活动，统一对外联系；管理全市环保系统对外经济合作，协调与履约有关的利用外资项目；受市政府和省环境保护厅委托，处理涉外环境保护事务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（十二）组织、协调环境保护宣传教育工作；制定并组织实施环境保护宣传教育纲要，开展生态文明建设和环境友好型社会建设的有关宣传教育工作，推动社会公众和社会组织参与环境保护。</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（十三）按照中央、省和市有关规定协助管理区（市）环境保护部门负责人。</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kern w:val="0"/>
          <w:sz w:val="32"/>
          <w:szCs w:val="32"/>
        </w:rPr>
        <w:t>（十四）承办市委、市政府交办的其他事项。</w:t>
      </w:r>
      <w:r>
        <w:rPr>
          <w:rFonts w:ascii="仿宋_GB2312" w:eastAsia="仿宋_GB2312" w:hAnsi="仿宋_GB2312" w:cs="仿宋_GB2312" w:hint="eastAsia"/>
          <w:kern w:val="0"/>
          <w:sz w:val="32"/>
          <w:szCs w:val="32"/>
        </w:rPr>
        <w:br/>
      </w:r>
      <w:r>
        <w:rPr>
          <w:rFonts w:ascii="仿宋_GB2312" w:eastAsia="仿宋_GB2312" w:hAnsi="仿宋_GB2312" w:cs="仿宋_GB2312" w:hint="eastAsia"/>
          <w:kern w:val="0"/>
          <w:sz w:val="32"/>
          <w:szCs w:val="32"/>
        </w:rPr>
        <w:t>机构设置情况：局机关设立办公室、规划财务科、生态科技科（挂国际合作科牌子）、污染物排放总量控制办公室、环境影响评价科、污染防治科、法规宣教科、大气科八个科室。下设三个事业单位：枣庄市环境监察支队、枣庄市机动车</w:t>
      </w:r>
      <w:r>
        <w:rPr>
          <w:rFonts w:ascii="仿宋_GB2312" w:eastAsia="仿宋_GB2312" w:hAnsi="仿宋_GB2312" w:cs="仿宋_GB2312" w:hint="eastAsia"/>
          <w:kern w:val="0"/>
          <w:sz w:val="32"/>
          <w:szCs w:val="32"/>
        </w:rPr>
        <w:t>污染防治中心、枣庄市环境监测站。</w:t>
      </w:r>
      <w:r>
        <w:rPr>
          <w:rFonts w:ascii="仿宋_GB2312" w:eastAsia="仿宋_GB2312" w:hAnsi="仿宋_GB2312" w:cs="仿宋_GB2312" w:hint="eastAsia"/>
          <w:kern w:val="0"/>
          <w:sz w:val="32"/>
          <w:szCs w:val="32"/>
        </w:rPr>
        <w:br/>
      </w:r>
      <w:r>
        <w:rPr>
          <w:rStyle w:val="a6"/>
          <w:rFonts w:ascii="黑体" w:eastAsia="黑体" w:hAnsi="宋体" w:cs="宋体" w:hint="eastAsia"/>
          <w:kern w:val="0"/>
          <w:sz w:val="32"/>
          <w:szCs w:val="32"/>
        </w:rPr>
        <w:t>二、部门预算单位构成：</w:t>
      </w:r>
      <w:r>
        <w:rPr>
          <w:rFonts w:ascii="黑体" w:eastAsia="黑体" w:hAnsi="宋体" w:cs="宋体" w:hint="eastAsia"/>
          <w:kern w:val="0"/>
          <w:sz w:val="32"/>
          <w:szCs w:val="32"/>
        </w:rPr>
        <w:br/>
      </w:r>
      <w:r>
        <w:rPr>
          <w:rFonts w:ascii="宋体" w:eastAsia="宋体" w:hAnsi="宋体" w:cs="宋体" w:hint="eastAsia"/>
          <w:kern w:val="0"/>
          <w:sz w:val="32"/>
          <w:szCs w:val="32"/>
        </w:rPr>
        <w:t xml:space="preserve">    </w:t>
      </w:r>
      <w:r>
        <w:rPr>
          <w:rFonts w:ascii="仿宋_GB2312" w:eastAsia="仿宋_GB2312" w:hAnsi="仿宋_GB2312" w:cs="仿宋_GB2312" w:hint="eastAsia"/>
          <w:kern w:val="0"/>
          <w:sz w:val="32"/>
          <w:szCs w:val="32"/>
        </w:rPr>
        <w:t>枣庄市环境保护局部门预算包括：枣庄市环境保护局机关、枣庄市环境测站、枣庄市环境监察支队和枣庄市机动车污染防治中心。纳入枣庄市环境保护局</w:t>
      </w:r>
      <w:r>
        <w:rPr>
          <w:rFonts w:ascii="仿宋_GB2312" w:eastAsia="仿宋_GB2312" w:hAnsi="仿宋_GB2312" w:cs="仿宋_GB2312" w:hint="eastAsia"/>
          <w:kern w:val="0"/>
          <w:sz w:val="32"/>
          <w:szCs w:val="32"/>
        </w:rPr>
        <w:t>2016</w:t>
      </w:r>
      <w:r>
        <w:rPr>
          <w:rFonts w:ascii="仿宋_GB2312" w:eastAsia="仿宋_GB2312" w:hAnsi="仿宋_GB2312" w:cs="仿宋_GB2312" w:hint="eastAsia"/>
          <w:kern w:val="0"/>
          <w:sz w:val="32"/>
          <w:szCs w:val="32"/>
        </w:rPr>
        <w:t>年部门预算编报范围的单位详细情况见下表：</w:t>
      </w:r>
    </w:p>
    <w:tbl>
      <w:tblPr>
        <w:tblW w:w="832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2"/>
        <w:gridCol w:w="4481"/>
        <w:gridCol w:w="2713"/>
      </w:tblGrid>
      <w:tr w:rsidR="000F2BD9">
        <w:trPr>
          <w:trHeight w:val="390"/>
          <w:tblCellSpacing w:w="0" w:type="dxa"/>
          <w:jc w:val="center"/>
        </w:trPr>
        <w:tc>
          <w:tcPr>
            <w:tcW w:w="1132"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序号</w:t>
            </w:r>
          </w:p>
        </w:tc>
        <w:tc>
          <w:tcPr>
            <w:tcW w:w="4481"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单</w:t>
            </w:r>
            <w:r>
              <w:rPr>
                <w:rFonts w:ascii="宋体" w:eastAsia="宋体" w:hAnsi="宋体" w:cs="宋体"/>
                <w:kern w:val="0"/>
                <w:sz w:val="32"/>
                <w:szCs w:val="32"/>
              </w:rPr>
              <w:t xml:space="preserve"> </w:t>
            </w:r>
            <w:r>
              <w:rPr>
                <w:rFonts w:ascii="宋体" w:eastAsia="宋体" w:hAnsi="宋体" w:cs="宋体"/>
                <w:kern w:val="0"/>
                <w:sz w:val="32"/>
                <w:szCs w:val="32"/>
              </w:rPr>
              <w:t>位</w:t>
            </w:r>
            <w:r>
              <w:rPr>
                <w:rFonts w:ascii="宋体" w:eastAsia="宋体" w:hAnsi="宋体" w:cs="宋体"/>
                <w:kern w:val="0"/>
                <w:sz w:val="32"/>
                <w:szCs w:val="32"/>
              </w:rPr>
              <w:t xml:space="preserve"> </w:t>
            </w:r>
            <w:r>
              <w:rPr>
                <w:rFonts w:ascii="宋体" w:eastAsia="宋体" w:hAnsi="宋体" w:cs="宋体"/>
                <w:kern w:val="0"/>
                <w:sz w:val="32"/>
                <w:szCs w:val="32"/>
              </w:rPr>
              <w:t>名</w:t>
            </w:r>
            <w:r>
              <w:rPr>
                <w:rFonts w:ascii="宋体" w:eastAsia="宋体" w:hAnsi="宋体" w:cs="宋体"/>
                <w:kern w:val="0"/>
                <w:sz w:val="32"/>
                <w:szCs w:val="32"/>
              </w:rPr>
              <w:t xml:space="preserve"> </w:t>
            </w:r>
            <w:r>
              <w:rPr>
                <w:rFonts w:ascii="宋体" w:eastAsia="宋体" w:hAnsi="宋体" w:cs="宋体"/>
                <w:kern w:val="0"/>
                <w:sz w:val="32"/>
                <w:szCs w:val="32"/>
              </w:rPr>
              <w:t>称</w:t>
            </w:r>
          </w:p>
        </w:tc>
        <w:tc>
          <w:tcPr>
            <w:tcW w:w="2713"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备注</w:t>
            </w:r>
          </w:p>
        </w:tc>
      </w:tr>
      <w:tr w:rsidR="000F2BD9">
        <w:trPr>
          <w:trHeight w:val="362"/>
          <w:tblCellSpacing w:w="0" w:type="dxa"/>
          <w:jc w:val="center"/>
        </w:trPr>
        <w:tc>
          <w:tcPr>
            <w:tcW w:w="1132"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1</w:t>
            </w:r>
          </w:p>
        </w:tc>
        <w:tc>
          <w:tcPr>
            <w:tcW w:w="4481"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枣庄市环境保护局机关</w:t>
            </w:r>
          </w:p>
        </w:tc>
        <w:tc>
          <w:tcPr>
            <w:tcW w:w="2713"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 </w:t>
            </w:r>
          </w:p>
        </w:tc>
      </w:tr>
      <w:tr w:rsidR="000F2BD9">
        <w:trPr>
          <w:trHeight w:val="362"/>
          <w:tblCellSpacing w:w="0" w:type="dxa"/>
          <w:jc w:val="center"/>
        </w:trPr>
        <w:tc>
          <w:tcPr>
            <w:tcW w:w="1132"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lastRenderedPageBreak/>
              <w:t>2</w:t>
            </w:r>
          </w:p>
        </w:tc>
        <w:tc>
          <w:tcPr>
            <w:tcW w:w="4481"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枣庄市环境监测站</w:t>
            </w:r>
          </w:p>
        </w:tc>
        <w:tc>
          <w:tcPr>
            <w:tcW w:w="2713"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财务独立核算</w:t>
            </w:r>
          </w:p>
        </w:tc>
      </w:tr>
      <w:tr w:rsidR="000F2BD9">
        <w:trPr>
          <w:trHeight w:val="362"/>
          <w:tblCellSpacing w:w="0" w:type="dxa"/>
          <w:jc w:val="center"/>
        </w:trPr>
        <w:tc>
          <w:tcPr>
            <w:tcW w:w="1132"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3</w:t>
            </w:r>
          </w:p>
        </w:tc>
        <w:tc>
          <w:tcPr>
            <w:tcW w:w="4481"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枣庄市环境监察支队</w:t>
            </w:r>
          </w:p>
        </w:tc>
        <w:tc>
          <w:tcPr>
            <w:tcW w:w="2713"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财务不独立核算</w:t>
            </w:r>
          </w:p>
        </w:tc>
      </w:tr>
      <w:tr w:rsidR="000F2BD9">
        <w:trPr>
          <w:trHeight w:val="390"/>
          <w:tblCellSpacing w:w="0" w:type="dxa"/>
          <w:jc w:val="center"/>
        </w:trPr>
        <w:tc>
          <w:tcPr>
            <w:tcW w:w="1132"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4</w:t>
            </w:r>
          </w:p>
        </w:tc>
        <w:tc>
          <w:tcPr>
            <w:tcW w:w="4481"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枣庄市机动车污染防治中心</w:t>
            </w:r>
          </w:p>
        </w:tc>
        <w:tc>
          <w:tcPr>
            <w:tcW w:w="2713" w:type="dxa"/>
            <w:shd w:val="clear" w:color="auto" w:fill="auto"/>
            <w:vAlign w:val="center"/>
          </w:tcPr>
          <w:p w:rsidR="000F2BD9" w:rsidRDefault="00927AC3">
            <w:pPr>
              <w:widowControl/>
              <w:jc w:val="left"/>
              <w:rPr>
                <w:sz w:val="32"/>
                <w:szCs w:val="32"/>
              </w:rPr>
            </w:pPr>
            <w:r>
              <w:rPr>
                <w:rFonts w:ascii="宋体" w:eastAsia="宋体" w:hAnsi="宋体" w:cs="宋体"/>
                <w:kern w:val="0"/>
                <w:sz w:val="32"/>
                <w:szCs w:val="32"/>
              </w:rPr>
              <w:t>财务不独立核算</w:t>
            </w:r>
          </w:p>
        </w:tc>
      </w:tr>
    </w:tbl>
    <w:p w:rsidR="000F2BD9" w:rsidRDefault="000F2BD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hint="eastAsia"/>
          <w:kern w:val="0"/>
          <w:sz w:val="32"/>
          <w:szCs w:val="32"/>
        </w:rPr>
      </w:pPr>
    </w:p>
    <w:p w:rsidR="000C1FA9" w:rsidRDefault="000C1FA9">
      <w:pPr>
        <w:widowControl/>
        <w:spacing w:line="360" w:lineRule="atLeast"/>
        <w:jc w:val="center"/>
        <w:rPr>
          <w:rFonts w:ascii="宋体" w:eastAsia="宋体" w:hAnsi="宋体" w:cs="宋体"/>
          <w:kern w:val="0"/>
          <w:sz w:val="32"/>
          <w:szCs w:val="32"/>
        </w:rPr>
      </w:pPr>
    </w:p>
    <w:p w:rsidR="000F2BD9" w:rsidRPr="00914EC0" w:rsidRDefault="00927AC3">
      <w:pPr>
        <w:widowControl/>
        <w:spacing w:line="360" w:lineRule="atLeast"/>
        <w:jc w:val="center"/>
        <w:rPr>
          <w:rFonts w:asciiTheme="majorEastAsia" w:eastAsiaTheme="majorEastAsia" w:hAnsiTheme="majorEastAsia" w:cs="宋体" w:hint="eastAsia"/>
          <w:b/>
          <w:sz w:val="36"/>
          <w:szCs w:val="36"/>
        </w:rPr>
      </w:pPr>
      <w:r w:rsidRPr="00914EC0">
        <w:rPr>
          <w:rFonts w:asciiTheme="majorEastAsia" w:eastAsiaTheme="majorEastAsia" w:hAnsiTheme="majorEastAsia" w:cs="宋体" w:hint="eastAsia"/>
          <w:b/>
          <w:kern w:val="0"/>
          <w:sz w:val="36"/>
          <w:szCs w:val="36"/>
        </w:rPr>
        <w:t>第二部分</w:t>
      </w:r>
      <w:r w:rsidRPr="00914EC0">
        <w:rPr>
          <w:rFonts w:asciiTheme="majorEastAsia" w:eastAsiaTheme="majorEastAsia" w:hAnsiTheme="majorEastAsia" w:cs="宋体" w:hint="eastAsia"/>
          <w:b/>
          <w:kern w:val="0"/>
          <w:sz w:val="36"/>
          <w:szCs w:val="36"/>
        </w:rPr>
        <w:t>   2018</w:t>
      </w:r>
      <w:r w:rsidRPr="00914EC0">
        <w:rPr>
          <w:rFonts w:asciiTheme="majorEastAsia" w:eastAsiaTheme="majorEastAsia" w:hAnsiTheme="majorEastAsia" w:cs="宋体" w:hint="eastAsia"/>
          <w:b/>
          <w:kern w:val="0"/>
          <w:sz w:val="36"/>
          <w:szCs w:val="36"/>
        </w:rPr>
        <w:t>年部门预算表</w:t>
      </w:r>
    </w:p>
    <w:p w:rsidR="000F2BD9" w:rsidRDefault="00927AC3">
      <w:pPr>
        <w:rPr>
          <w:rFonts w:ascii="宋体" w:eastAsia="宋体" w:hAnsi="宋体" w:cs="宋体"/>
          <w:sz w:val="32"/>
          <w:szCs w:val="32"/>
        </w:rPr>
        <w:sectPr w:rsidR="000F2BD9" w:rsidSect="002776EB">
          <w:footerReference w:type="even" r:id="rId8"/>
          <w:footerReference w:type="default" r:id="rId9"/>
          <w:pgSz w:w="11906" w:h="16838"/>
          <w:pgMar w:top="1440" w:right="1800" w:bottom="1440" w:left="1800" w:header="851" w:footer="992" w:gutter="0"/>
          <w:pgNumType w:fmt="numberInDash"/>
          <w:cols w:space="0"/>
          <w:docGrid w:type="lines" w:linePitch="312"/>
        </w:sectPr>
      </w:pPr>
      <w:r>
        <w:rPr>
          <w:rFonts w:ascii="宋体" w:eastAsia="宋体" w:hAnsi="宋体" w:cs="宋体" w:hint="eastAsia"/>
          <w:sz w:val="32"/>
          <w:szCs w:val="32"/>
        </w:rPr>
        <w:t xml:space="preserve">    </w:t>
      </w:r>
    </w:p>
    <w:p w:rsidR="000F2BD9" w:rsidRDefault="00927AC3">
      <w:pPr>
        <w:rPr>
          <w:rFonts w:ascii="宋体" w:eastAsia="宋体" w:hAnsi="宋体" w:cs="宋体"/>
          <w:sz w:val="28"/>
          <w:szCs w:val="28"/>
        </w:rPr>
      </w:pPr>
      <w:r>
        <w:rPr>
          <w:noProof/>
        </w:rPr>
        <w:lastRenderedPageBreak/>
        <w:drawing>
          <wp:inline distT="0" distB="0" distL="114300" distR="114300">
            <wp:extent cx="8004175" cy="6769100"/>
            <wp:effectExtent l="0" t="0" r="1587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8004175" cy="6769100"/>
                    </a:xfrm>
                    <a:prstGeom prst="rect">
                      <a:avLst/>
                    </a:prstGeom>
                    <a:noFill/>
                    <a:ln w="9525">
                      <a:noFill/>
                    </a:ln>
                  </pic:spPr>
                </pic:pic>
              </a:graphicData>
            </a:graphic>
          </wp:inline>
        </w:drawing>
      </w:r>
    </w:p>
    <w:p w:rsidR="000F2BD9" w:rsidRDefault="00927AC3">
      <w:pPr>
        <w:rPr>
          <w:rFonts w:ascii="宋体" w:eastAsia="宋体" w:hAnsi="宋体" w:cs="宋体"/>
          <w:sz w:val="28"/>
          <w:szCs w:val="28"/>
        </w:rPr>
      </w:pPr>
      <w:r>
        <w:rPr>
          <w:noProof/>
        </w:rPr>
        <w:lastRenderedPageBreak/>
        <w:drawing>
          <wp:inline distT="0" distB="0" distL="114300" distR="114300">
            <wp:extent cx="3628390" cy="494284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628390" cy="4942840"/>
                    </a:xfrm>
                    <a:prstGeom prst="rect">
                      <a:avLst/>
                    </a:prstGeom>
                    <a:noFill/>
                    <a:ln w="9525">
                      <a:noFill/>
                    </a:ln>
                  </pic:spPr>
                </pic:pic>
              </a:graphicData>
            </a:graphic>
          </wp:inline>
        </w:drawing>
      </w:r>
    </w:p>
    <w:p w:rsidR="000F2BD9" w:rsidRDefault="00927AC3">
      <w:pPr>
        <w:rPr>
          <w:rFonts w:ascii="宋体" w:eastAsia="宋体" w:hAnsi="宋体" w:cs="宋体"/>
          <w:sz w:val="28"/>
          <w:szCs w:val="28"/>
        </w:rPr>
      </w:pPr>
      <w:r>
        <w:rPr>
          <w:noProof/>
        </w:rPr>
        <w:lastRenderedPageBreak/>
        <w:drawing>
          <wp:inline distT="0" distB="0" distL="114300" distR="114300">
            <wp:extent cx="7195185" cy="6792595"/>
            <wp:effectExtent l="0" t="0" r="571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7195185" cy="6792595"/>
                    </a:xfrm>
                    <a:prstGeom prst="rect">
                      <a:avLst/>
                    </a:prstGeom>
                    <a:noFill/>
                    <a:ln w="9525">
                      <a:noFill/>
                    </a:ln>
                  </pic:spPr>
                </pic:pic>
              </a:graphicData>
            </a:graphic>
          </wp:inline>
        </w:drawing>
      </w:r>
    </w:p>
    <w:p w:rsidR="000F2BD9" w:rsidRDefault="000F2BD9">
      <w:pPr>
        <w:ind w:leftChars="-200" w:left="-420"/>
        <w:sectPr w:rsidR="000F2BD9">
          <w:pgSz w:w="16838" w:h="11906" w:orient="landscape"/>
          <w:pgMar w:top="720" w:right="720" w:bottom="720" w:left="720" w:header="851" w:footer="992" w:gutter="0"/>
          <w:cols w:space="0"/>
          <w:docGrid w:type="lines" w:linePitch="319"/>
        </w:sectPr>
      </w:pPr>
      <w:bookmarkStart w:id="0" w:name="_GoBack"/>
      <w:bookmarkEnd w:id="0"/>
    </w:p>
    <w:p w:rsidR="000F2BD9" w:rsidRDefault="00927AC3">
      <w:pPr>
        <w:ind w:leftChars="-200" w:left="-420"/>
        <w:sectPr w:rsidR="000F2BD9">
          <w:pgSz w:w="11906" w:h="16838"/>
          <w:pgMar w:top="1440" w:right="1803" w:bottom="1440" w:left="1803" w:header="851" w:footer="992" w:gutter="0"/>
          <w:cols w:space="0"/>
          <w:docGrid w:type="lines" w:linePitch="319"/>
        </w:sectPr>
      </w:pPr>
      <w:r>
        <w:rPr>
          <w:noProof/>
        </w:rPr>
        <w:lastRenderedPageBreak/>
        <w:drawing>
          <wp:inline distT="0" distB="0" distL="114300" distR="114300">
            <wp:extent cx="2561590" cy="6857365"/>
            <wp:effectExtent l="0" t="0" r="1016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561590" cy="6857365"/>
                    </a:xfrm>
                    <a:prstGeom prst="rect">
                      <a:avLst/>
                    </a:prstGeom>
                    <a:noFill/>
                    <a:ln w="9525">
                      <a:noFill/>
                    </a:ln>
                  </pic:spPr>
                </pic:pic>
              </a:graphicData>
            </a:graphic>
          </wp:inline>
        </w:drawing>
      </w:r>
    </w:p>
    <w:p w:rsidR="000F2BD9" w:rsidRDefault="00927AC3">
      <w:pPr>
        <w:ind w:leftChars="-200" w:left="-420"/>
        <w:rPr>
          <w:rFonts w:ascii="宋体" w:eastAsia="宋体" w:hAnsi="宋体" w:cs="宋体"/>
          <w:sz w:val="28"/>
          <w:szCs w:val="28"/>
        </w:rPr>
      </w:pPr>
      <w:r>
        <w:rPr>
          <w:noProof/>
        </w:rPr>
        <w:lastRenderedPageBreak/>
        <w:drawing>
          <wp:inline distT="0" distB="0" distL="114300" distR="114300">
            <wp:extent cx="10163175" cy="6499225"/>
            <wp:effectExtent l="0" t="0" r="9525" b="158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10163175" cy="6499225"/>
                    </a:xfrm>
                    <a:prstGeom prst="rect">
                      <a:avLst/>
                    </a:prstGeom>
                    <a:noFill/>
                    <a:ln w="9525">
                      <a:noFill/>
                    </a:ln>
                  </pic:spPr>
                </pic:pic>
              </a:graphicData>
            </a:graphic>
          </wp:inline>
        </w:drawing>
      </w:r>
    </w:p>
    <w:p w:rsidR="000F2BD9" w:rsidRDefault="00927AC3">
      <w:pPr>
        <w:rPr>
          <w:rFonts w:ascii="宋体" w:eastAsia="宋体" w:hAnsi="宋体" w:cs="宋体"/>
          <w:sz w:val="28"/>
          <w:szCs w:val="28"/>
        </w:rPr>
      </w:pPr>
      <w:r>
        <w:rPr>
          <w:noProof/>
        </w:rPr>
        <w:lastRenderedPageBreak/>
        <w:drawing>
          <wp:inline distT="0" distB="0" distL="114300" distR="114300">
            <wp:extent cx="8913495" cy="6642100"/>
            <wp:effectExtent l="0" t="0" r="1905"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8913495" cy="6642100"/>
                    </a:xfrm>
                    <a:prstGeom prst="rect">
                      <a:avLst/>
                    </a:prstGeom>
                    <a:noFill/>
                    <a:ln w="9525">
                      <a:noFill/>
                    </a:ln>
                  </pic:spPr>
                </pic:pic>
              </a:graphicData>
            </a:graphic>
          </wp:inline>
        </w:drawing>
      </w:r>
    </w:p>
    <w:p w:rsidR="000F2BD9" w:rsidRDefault="00927AC3">
      <w:pPr>
        <w:rPr>
          <w:rFonts w:ascii="宋体" w:eastAsia="宋体" w:hAnsi="宋体" w:cs="宋体"/>
          <w:sz w:val="28"/>
          <w:szCs w:val="28"/>
        </w:rPr>
      </w:pPr>
      <w:r>
        <w:rPr>
          <w:noProof/>
        </w:rPr>
        <w:lastRenderedPageBreak/>
        <w:drawing>
          <wp:inline distT="0" distB="0" distL="114300" distR="114300">
            <wp:extent cx="8827770" cy="6642735"/>
            <wp:effectExtent l="0" t="0" r="1143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8827770" cy="6642735"/>
                    </a:xfrm>
                    <a:prstGeom prst="rect">
                      <a:avLst/>
                    </a:prstGeom>
                    <a:noFill/>
                    <a:ln w="9525">
                      <a:noFill/>
                    </a:ln>
                  </pic:spPr>
                </pic:pic>
              </a:graphicData>
            </a:graphic>
          </wp:inline>
        </w:drawing>
      </w:r>
    </w:p>
    <w:p w:rsidR="000F2BD9" w:rsidRDefault="00927AC3">
      <w:pPr>
        <w:rPr>
          <w:rFonts w:ascii="宋体" w:eastAsia="宋体" w:hAnsi="宋体" w:cs="宋体"/>
          <w:sz w:val="28"/>
          <w:szCs w:val="28"/>
        </w:rPr>
      </w:pPr>
      <w:r>
        <w:rPr>
          <w:noProof/>
        </w:rPr>
        <w:lastRenderedPageBreak/>
        <w:drawing>
          <wp:inline distT="0" distB="0" distL="114300" distR="114300">
            <wp:extent cx="9771380" cy="7023735"/>
            <wp:effectExtent l="0" t="0" r="127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9771380" cy="7023735"/>
                    </a:xfrm>
                    <a:prstGeom prst="rect">
                      <a:avLst/>
                    </a:prstGeom>
                    <a:noFill/>
                    <a:ln w="9525">
                      <a:noFill/>
                    </a:ln>
                  </pic:spPr>
                </pic:pic>
              </a:graphicData>
            </a:graphic>
          </wp:inline>
        </w:drawing>
      </w:r>
    </w:p>
    <w:p w:rsidR="000F2BD9" w:rsidRDefault="00927AC3">
      <w:pPr>
        <w:rPr>
          <w:rFonts w:ascii="宋体" w:eastAsia="宋体" w:hAnsi="宋体" w:cs="宋体"/>
          <w:sz w:val="28"/>
          <w:szCs w:val="28"/>
        </w:rPr>
      </w:pPr>
      <w:r>
        <w:rPr>
          <w:noProof/>
        </w:rPr>
        <w:lastRenderedPageBreak/>
        <w:drawing>
          <wp:inline distT="0" distB="0" distL="114300" distR="114300">
            <wp:extent cx="9777730" cy="6280150"/>
            <wp:effectExtent l="0" t="0" r="139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9777730" cy="6280150"/>
                    </a:xfrm>
                    <a:prstGeom prst="rect">
                      <a:avLst/>
                    </a:prstGeom>
                    <a:noFill/>
                    <a:ln w="9525">
                      <a:noFill/>
                    </a:ln>
                  </pic:spPr>
                </pic:pic>
              </a:graphicData>
            </a:graphic>
          </wp:inline>
        </w:drawing>
      </w:r>
    </w:p>
    <w:p w:rsidR="000F2BD9" w:rsidRDefault="00927AC3">
      <w:pPr>
        <w:rPr>
          <w:rFonts w:ascii="宋体" w:eastAsia="宋体" w:hAnsi="宋体" w:cs="宋体"/>
          <w:sz w:val="28"/>
          <w:szCs w:val="28"/>
        </w:rPr>
      </w:pPr>
      <w:r>
        <w:rPr>
          <w:noProof/>
        </w:rPr>
        <w:lastRenderedPageBreak/>
        <w:drawing>
          <wp:inline distT="0" distB="0" distL="114300" distR="114300">
            <wp:extent cx="8456930" cy="6362065"/>
            <wp:effectExtent l="0" t="0" r="127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8456930" cy="6362065"/>
                    </a:xfrm>
                    <a:prstGeom prst="rect">
                      <a:avLst/>
                    </a:prstGeom>
                    <a:noFill/>
                    <a:ln w="9525">
                      <a:noFill/>
                    </a:ln>
                  </pic:spPr>
                </pic:pic>
              </a:graphicData>
            </a:graphic>
          </wp:inline>
        </w:drawing>
      </w:r>
    </w:p>
    <w:p w:rsidR="000F2BD9" w:rsidRDefault="00927AC3">
      <w:pPr>
        <w:rPr>
          <w:rFonts w:ascii="宋体" w:eastAsia="宋体" w:hAnsi="宋体" w:cs="宋体"/>
          <w:sz w:val="28"/>
          <w:szCs w:val="28"/>
        </w:rPr>
      </w:pPr>
      <w:r>
        <w:rPr>
          <w:noProof/>
        </w:rPr>
        <w:lastRenderedPageBreak/>
        <w:drawing>
          <wp:inline distT="0" distB="0" distL="114300" distR="114300">
            <wp:extent cx="8456930" cy="4914265"/>
            <wp:effectExtent l="0" t="0" r="1270"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8456930" cy="4914265"/>
                    </a:xfrm>
                    <a:prstGeom prst="rect">
                      <a:avLst/>
                    </a:prstGeom>
                    <a:noFill/>
                    <a:ln w="9525">
                      <a:noFill/>
                    </a:ln>
                  </pic:spPr>
                </pic:pic>
              </a:graphicData>
            </a:graphic>
          </wp:inline>
        </w:drawing>
      </w:r>
      <w:r>
        <w:rPr>
          <w:noProof/>
        </w:rPr>
        <w:lastRenderedPageBreak/>
        <w:drawing>
          <wp:inline distT="0" distB="0" distL="114300" distR="114300">
            <wp:extent cx="9770110" cy="251460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1"/>
                    <a:stretch>
                      <a:fillRect/>
                    </a:stretch>
                  </pic:blipFill>
                  <pic:spPr>
                    <a:xfrm>
                      <a:off x="0" y="0"/>
                      <a:ext cx="9770110" cy="2514600"/>
                    </a:xfrm>
                    <a:prstGeom prst="rect">
                      <a:avLst/>
                    </a:prstGeom>
                    <a:noFill/>
                    <a:ln w="9525">
                      <a:noFill/>
                    </a:ln>
                  </pic:spPr>
                </pic:pic>
              </a:graphicData>
            </a:graphic>
          </wp:inline>
        </w:drawing>
      </w:r>
    </w:p>
    <w:p w:rsidR="000F2BD9" w:rsidRDefault="00927AC3">
      <w:pPr>
        <w:rPr>
          <w:rFonts w:ascii="宋体" w:eastAsia="宋体" w:hAnsi="宋体" w:cs="宋体"/>
          <w:sz w:val="28"/>
          <w:szCs w:val="28"/>
        </w:rPr>
      </w:pPr>
      <w:r>
        <w:rPr>
          <w:noProof/>
        </w:rPr>
        <w:lastRenderedPageBreak/>
        <w:drawing>
          <wp:inline distT="0" distB="0" distL="114300" distR="114300">
            <wp:extent cx="9745980" cy="3814445"/>
            <wp:effectExtent l="0" t="0" r="7620" b="146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a:stretch>
                      <a:fillRect/>
                    </a:stretch>
                  </pic:blipFill>
                  <pic:spPr>
                    <a:xfrm>
                      <a:off x="0" y="0"/>
                      <a:ext cx="9745980" cy="3814445"/>
                    </a:xfrm>
                    <a:prstGeom prst="rect">
                      <a:avLst/>
                    </a:prstGeom>
                    <a:noFill/>
                    <a:ln w="9525">
                      <a:noFill/>
                    </a:ln>
                  </pic:spPr>
                </pic:pic>
              </a:graphicData>
            </a:graphic>
          </wp:inline>
        </w:drawing>
      </w:r>
    </w:p>
    <w:p w:rsidR="000F2BD9" w:rsidRDefault="000F2BD9">
      <w:pPr>
        <w:sectPr w:rsidR="000F2BD9">
          <w:pgSz w:w="16838" w:h="11906" w:orient="landscape"/>
          <w:pgMar w:top="720" w:right="720" w:bottom="720" w:left="720" w:header="851" w:footer="992" w:gutter="0"/>
          <w:cols w:space="0"/>
          <w:docGrid w:type="lines" w:linePitch="319"/>
        </w:sectPr>
      </w:pPr>
    </w:p>
    <w:p w:rsidR="000F2BD9" w:rsidRDefault="00927AC3">
      <w:pPr>
        <w:rPr>
          <w:rFonts w:ascii="宋体" w:eastAsia="宋体" w:hAnsi="宋体" w:cs="宋体"/>
          <w:sz w:val="28"/>
          <w:szCs w:val="28"/>
        </w:rPr>
      </w:pPr>
      <w:r>
        <w:rPr>
          <w:noProof/>
        </w:rPr>
        <w:lastRenderedPageBreak/>
        <w:drawing>
          <wp:inline distT="0" distB="0" distL="114300" distR="114300">
            <wp:extent cx="8876030" cy="2324100"/>
            <wp:effectExtent l="0" t="0" r="127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
                    <a:stretch>
                      <a:fillRect/>
                    </a:stretch>
                  </pic:blipFill>
                  <pic:spPr>
                    <a:xfrm>
                      <a:off x="0" y="0"/>
                      <a:ext cx="8876030" cy="2324100"/>
                    </a:xfrm>
                    <a:prstGeom prst="rect">
                      <a:avLst/>
                    </a:prstGeom>
                    <a:noFill/>
                    <a:ln w="9525">
                      <a:noFill/>
                    </a:ln>
                  </pic:spPr>
                </pic:pic>
              </a:graphicData>
            </a:graphic>
          </wp:inline>
        </w:drawing>
      </w:r>
    </w:p>
    <w:p w:rsidR="000F2BD9" w:rsidRDefault="00927AC3">
      <w:pPr>
        <w:spacing w:line="634" w:lineRule="exact"/>
        <w:rPr>
          <w:rFonts w:ascii="宋体" w:eastAsia="宋体" w:hAnsi="宋体" w:cs="宋体"/>
          <w:sz w:val="28"/>
          <w:szCs w:val="28"/>
        </w:rPr>
      </w:pPr>
      <w:r>
        <w:rPr>
          <w:rFonts w:ascii="宋体" w:eastAsia="宋体" w:hAnsi="宋体" w:cs="宋体" w:hint="eastAsia"/>
          <w:sz w:val="28"/>
          <w:szCs w:val="28"/>
        </w:rPr>
        <w:t xml:space="preserve">            </w:t>
      </w:r>
    </w:p>
    <w:p w:rsidR="000F2BD9" w:rsidRDefault="00927AC3">
      <w:pPr>
        <w:spacing w:line="634" w:lineRule="exact"/>
        <w:ind w:firstLineChars="150" w:firstLine="420"/>
        <w:rPr>
          <w:rFonts w:ascii="宋体" w:eastAsia="宋体" w:hAnsi="宋体" w:cs="宋体"/>
          <w:sz w:val="28"/>
          <w:szCs w:val="28"/>
        </w:rPr>
      </w:pPr>
      <w:r>
        <w:rPr>
          <w:rFonts w:ascii="宋体" w:eastAsia="宋体" w:hAnsi="宋体" w:cs="宋体" w:hint="eastAsia"/>
          <w:sz w:val="28"/>
          <w:szCs w:val="28"/>
        </w:rPr>
        <w:t xml:space="preserve">                               </w:t>
      </w:r>
    </w:p>
    <w:p w:rsidR="000F2BD9" w:rsidRDefault="000F2BD9">
      <w:pPr>
        <w:spacing w:line="634" w:lineRule="exact"/>
        <w:ind w:firstLineChars="150" w:firstLine="420"/>
        <w:rPr>
          <w:rFonts w:ascii="宋体" w:eastAsia="宋体" w:hAnsi="宋体" w:cs="宋体"/>
          <w:sz w:val="28"/>
          <w:szCs w:val="28"/>
        </w:rPr>
      </w:pPr>
    </w:p>
    <w:p w:rsidR="000F2BD9" w:rsidRDefault="000F2BD9">
      <w:pPr>
        <w:spacing w:line="634" w:lineRule="exact"/>
        <w:ind w:firstLineChars="150" w:firstLine="420"/>
        <w:rPr>
          <w:rFonts w:ascii="宋体" w:eastAsia="宋体" w:hAnsi="宋体" w:cs="宋体"/>
          <w:sz w:val="28"/>
          <w:szCs w:val="28"/>
        </w:rPr>
      </w:pPr>
    </w:p>
    <w:p w:rsidR="000F2BD9" w:rsidRDefault="000F2BD9">
      <w:pPr>
        <w:spacing w:line="634" w:lineRule="exact"/>
        <w:ind w:firstLineChars="150" w:firstLine="420"/>
        <w:rPr>
          <w:rFonts w:ascii="宋体" w:eastAsia="宋体" w:hAnsi="宋体" w:cs="宋体"/>
          <w:sz w:val="28"/>
          <w:szCs w:val="28"/>
        </w:rPr>
      </w:pPr>
    </w:p>
    <w:p w:rsidR="000F2BD9" w:rsidRDefault="000F2BD9">
      <w:pPr>
        <w:spacing w:line="634" w:lineRule="exact"/>
        <w:ind w:firstLineChars="150" w:firstLine="420"/>
        <w:rPr>
          <w:rFonts w:ascii="宋体" w:eastAsia="宋体" w:hAnsi="宋体" w:cs="宋体"/>
          <w:sz w:val="28"/>
          <w:szCs w:val="28"/>
        </w:rPr>
      </w:pPr>
    </w:p>
    <w:p w:rsidR="000F2BD9" w:rsidRDefault="000F2BD9">
      <w:pPr>
        <w:spacing w:line="634" w:lineRule="exact"/>
        <w:ind w:firstLineChars="150" w:firstLine="420"/>
        <w:rPr>
          <w:rFonts w:ascii="宋体" w:eastAsia="宋体" w:hAnsi="宋体" w:cs="宋体"/>
          <w:sz w:val="28"/>
          <w:szCs w:val="28"/>
        </w:rPr>
      </w:pPr>
    </w:p>
    <w:p w:rsidR="000F2BD9" w:rsidRDefault="000F2BD9">
      <w:pPr>
        <w:spacing w:line="634" w:lineRule="exact"/>
        <w:ind w:firstLineChars="150" w:firstLine="420"/>
        <w:rPr>
          <w:rFonts w:ascii="宋体" w:eastAsia="宋体" w:hAnsi="宋体" w:cs="宋体"/>
          <w:sz w:val="28"/>
          <w:szCs w:val="28"/>
        </w:rPr>
      </w:pPr>
    </w:p>
    <w:p w:rsidR="000F2BD9" w:rsidRDefault="000F2BD9">
      <w:pPr>
        <w:spacing w:line="634" w:lineRule="exact"/>
        <w:ind w:firstLineChars="150" w:firstLine="420"/>
        <w:rPr>
          <w:rFonts w:ascii="宋体" w:eastAsia="宋体" w:hAnsi="宋体" w:cs="宋体"/>
          <w:sz w:val="28"/>
          <w:szCs w:val="28"/>
        </w:rPr>
      </w:pPr>
    </w:p>
    <w:p w:rsidR="000F2BD9" w:rsidRDefault="000F2BD9">
      <w:pPr>
        <w:spacing w:line="634" w:lineRule="exact"/>
        <w:rPr>
          <w:rFonts w:ascii="宋体" w:eastAsia="宋体" w:hAnsi="宋体" w:cs="宋体"/>
          <w:sz w:val="28"/>
          <w:szCs w:val="28"/>
        </w:rPr>
        <w:sectPr w:rsidR="000F2BD9">
          <w:pgSz w:w="16838" w:h="11906" w:orient="landscape"/>
          <w:pgMar w:top="720" w:right="720" w:bottom="720" w:left="720" w:header="851" w:footer="992" w:gutter="0"/>
          <w:cols w:space="0"/>
          <w:docGrid w:type="lines" w:linePitch="327"/>
        </w:sectPr>
      </w:pPr>
    </w:p>
    <w:p w:rsidR="000F2BD9" w:rsidRPr="00914EC0" w:rsidRDefault="00927AC3">
      <w:pPr>
        <w:spacing w:line="634" w:lineRule="exact"/>
        <w:jc w:val="center"/>
        <w:rPr>
          <w:rFonts w:asciiTheme="minorEastAsia" w:hAnsiTheme="minorEastAsia" w:cs="仿宋_GB2312" w:hint="eastAsia"/>
          <w:b/>
          <w:sz w:val="36"/>
          <w:szCs w:val="36"/>
        </w:rPr>
      </w:pPr>
      <w:r w:rsidRPr="00914EC0">
        <w:rPr>
          <w:rFonts w:asciiTheme="minorEastAsia" w:hAnsiTheme="minorEastAsia" w:cs="仿宋_GB2312" w:hint="eastAsia"/>
          <w:b/>
          <w:sz w:val="36"/>
          <w:szCs w:val="36"/>
        </w:rPr>
        <w:lastRenderedPageBreak/>
        <w:t>第三部分</w:t>
      </w:r>
      <w:r w:rsidRPr="00914EC0">
        <w:rPr>
          <w:rFonts w:asciiTheme="minorEastAsia" w:hAnsiTheme="minorEastAsia" w:cs="仿宋_GB2312" w:hint="eastAsia"/>
          <w:b/>
          <w:sz w:val="36"/>
          <w:szCs w:val="36"/>
        </w:rPr>
        <w:t xml:space="preserve">  2018</w:t>
      </w:r>
      <w:r w:rsidRPr="00914EC0">
        <w:rPr>
          <w:rFonts w:asciiTheme="minorEastAsia" w:hAnsiTheme="minorEastAsia" w:cs="仿宋_GB2312" w:hint="eastAsia"/>
          <w:b/>
          <w:sz w:val="36"/>
          <w:szCs w:val="36"/>
        </w:rPr>
        <w:t>年部门预算情况说明</w:t>
      </w:r>
    </w:p>
    <w:p w:rsidR="000F2BD9" w:rsidRDefault="00927AC3">
      <w:pPr>
        <w:spacing w:line="634"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r>
      <w:r w:rsidRPr="000C1FA9">
        <w:rPr>
          <w:rFonts w:ascii="黑体" w:eastAsia="黑体" w:hAnsi="仿宋_GB2312" w:cs="仿宋_GB2312" w:hint="eastAsia"/>
          <w:sz w:val="32"/>
          <w:szCs w:val="32"/>
        </w:rPr>
        <w:t xml:space="preserve"> </w:t>
      </w:r>
      <w:r w:rsidRPr="000C1FA9">
        <w:rPr>
          <w:rFonts w:ascii="黑体" w:eastAsia="黑体" w:hAnsi="仿宋_GB2312" w:cs="仿宋_GB2312" w:hint="eastAsia"/>
          <w:sz w:val="32"/>
          <w:szCs w:val="32"/>
        </w:rPr>
        <w:t>一、收支预算总体情况</w:t>
      </w:r>
      <w:r w:rsidRPr="000C1FA9">
        <w:rPr>
          <w:rFonts w:ascii="黑体" w:eastAsia="黑体" w:hAnsi="仿宋_GB2312" w:cs="仿宋_GB2312" w:hint="eastAsia"/>
          <w:sz w:val="32"/>
          <w:szCs w:val="32"/>
        </w:rPr>
        <w:br/>
      </w: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年收入</w:t>
      </w:r>
      <w:r>
        <w:rPr>
          <w:rFonts w:ascii="仿宋_GB2312" w:eastAsia="仿宋_GB2312" w:hAnsi="仿宋_GB2312" w:cs="仿宋_GB2312" w:hint="eastAsia"/>
          <w:sz w:val="32"/>
          <w:szCs w:val="32"/>
        </w:rPr>
        <w:t>1835.01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全部为财政拨款资金。</w:t>
      </w:r>
    </w:p>
    <w:p w:rsidR="000F2BD9" w:rsidRDefault="00927AC3">
      <w:pPr>
        <w:spacing w:line="634"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年支出</w:t>
      </w:r>
      <w:r>
        <w:rPr>
          <w:rFonts w:ascii="仿宋_GB2312" w:eastAsia="仿宋_GB2312" w:hAnsi="仿宋_GB2312" w:cs="仿宋_GB2312" w:hint="eastAsia"/>
          <w:sz w:val="32"/>
          <w:szCs w:val="32"/>
        </w:rPr>
        <w:t>1871.41</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1060.7</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56.68%</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810.71</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43.32%</w:t>
      </w:r>
      <w:r>
        <w:rPr>
          <w:rFonts w:ascii="仿宋_GB2312" w:eastAsia="仿宋_GB2312" w:hAnsi="仿宋_GB2312" w:cs="仿宋_GB2312" w:hint="eastAsia"/>
          <w:sz w:val="32"/>
          <w:szCs w:val="32"/>
        </w:rPr>
        <w:t>；按功能分类科目，教育支出为</w:t>
      </w:r>
      <w:r>
        <w:rPr>
          <w:rFonts w:ascii="仿宋_GB2312" w:eastAsia="仿宋_GB2312" w:hAnsi="仿宋_GB2312" w:cs="仿宋_GB2312" w:hint="eastAsia"/>
          <w:sz w:val="32"/>
          <w:szCs w:val="32"/>
        </w:rPr>
        <w:t>11.75</w:t>
      </w:r>
      <w:r>
        <w:rPr>
          <w:rFonts w:ascii="仿宋_GB2312" w:eastAsia="仿宋_GB2312" w:hAnsi="仿宋_GB2312" w:cs="仿宋_GB2312" w:hint="eastAsia"/>
          <w:sz w:val="32"/>
          <w:szCs w:val="32"/>
        </w:rPr>
        <w:t>万元，同比减少</w:t>
      </w:r>
      <w:r>
        <w:rPr>
          <w:rFonts w:ascii="仿宋_GB2312" w:eastAsia="仿宋_GB2312" w:hAnsi="仿宋_GB2312" w:cs="仿宋_GB2312" w:hint="eastAsia"/>
          <w:sz w:val="32"/>
          <w:szCs w:val="32"/>
        </w:rPr>
        <w:t>39.4%</w:t>
      </w:r>
      <w:r>
        <w:rPr>
          <w:rFonts w:ascii="仿宋_GB2312" w:eastAsia="仿宋_GB2312" w:hAnsi="仿宋_GB2312" w:cs="仿宋_GB2312" w:hint="eastAsia"/>
          <w:sz w:val="32"/>
          <w:szCs w:val="32"/>
        </w:rPr>
        <w:t>，减少主要原因是</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年压缩培训费支出；节能环保支出</w:t>
      </w:r>
      <w:r>
        <w:rPr>
          <w:rFonts w:ascii="仿宋_GB2312" w:eastAsia="仿宋_GB2312" w:hAnsi="仿宋_GB2312" w:cs="仿宋_GB2312" w:hint="eastAsia"/>
          <w:sz w:val="32"/>
          <w:szCs w:val="32"/>
        </w:rPr>
        <w:t>1471.98</w:t>
      </w:r>
      <w:r>
        <w:rPr>
          <w:rFonts w:ascii="仿宋_GB2312" w:eastAsia="仿宋_GB2312" w:hAnsi="仿宋_GB2312" w:cs="仿宋_GB2312" w:hint="eastAsia"/>
          <w:sz w:val="32"/>
          <w:szCs w:val="32"/>
        </w:rPr>
        <w:t>万元，同比减少</w:t>
      </w: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，减少主要原因是认真贯彻落实中央八项规定，从严控制压缩业务类项目支出；城乡社区支出</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万元，为</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年新增科目；住房保障支出</w:t>
      </w:r>
      <w:r>
        <w:rPr>
          <w:rFonts w:ascii="仿宋_GB2312" w:eastAsia="仿宋_GB2312" w:hAnsi="仿宋_GB2312" w:cs="仿宋_GB2312" w:hint="eastAsia"/>
          <w:sz w:val="32"/>
          <w:szCs w:val="32"/>
        </w:rPr>
        <w:t>87.68</w:t>
      </w:r>
      <w:r>
        <w:rPr>
          <w:rFonts w:ascii="仿宋_GB2312" w:eastAsia="仿宋_GB2312" w:hAnsi="仿宋_GB2312" w:cs="仿宋_GB2312" w:hint="eastAsia"/>
          <w:sz w:val="32"/>
          <w:szCs w:val="32"/>
        </w:rPr>
        <w:t>万元，同比减少</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。减少主要原因是</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年在职人数较</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年减少，住房公积金费用同比降低。</w:t>
      </w:r>
      <w:r>
        <w:rPr>
          <w:rFonts w:ascii="仿宋_GB2312" w:eastAsia="仿宋_GB2312" w:hAnsi="仿宋_GB2312" w:cs="仿宋_GB2312" w:hint="eastAsia"/>
          <w:sz w:val="32"/>
          <w:szCs w:val="32"/>
        </w:rPr>
        <w:t>按经济分类科目，工资福利支出</w:t>
      </w:r>
      <w:r>
        <w:rPr>
          <w:rFonts w:ascii="仿宋_GB2312" w:eastAsia="仿宋_GB2312" w:hAnsi="仿宋_GB2312" w:cs="仿宋_GB2312" w:hint="eastAsia"/>
          <w:sz w:val="32"/>
          <w:szCs w:val="32"/>
        </w:rPr>
        <w:t>915.24</w:t>
      </w:r>
      <w:r>
        <w:rPr>
          <w:rFonts w:ascii="仿宋_GB2312" w:eastAsia="仿宋_GB2312" w:hAnsi="仿宋_GB2312" w:cs="仿宋_GB2312" w:hint="eastAsia"/>
          <w:sz w:val="32"/>
          <w:szCs w:val="32"/>
        </w:rPr>
        <w:t>万元，同比增加</w:t>
      </w:r>
      <w:r>
        <w:rPr>
          <w:rFonts w:ascii="仿宋_GB2312" w:eastAsia="仿宋_GB2312" w:hAnsi="仿宋_GB2312" w:cs="仿宋_GB2312" w:hint="eastAsia"/>
          <w:sz w:val="32"/>
          <w:szCs w:val="32"/>
        </w:rPr>
        <w:t>26.3%</w:t>
      </w:r>
      <w:r>
        <w:rPr>
          <w:rFonts w:ascii="仿宋_GB2312" w:eastAsia="仿宋_GB2312" w:hAnsi="仿宋_GB2312" w:cs="仿宋_GB2312" w:hint="eastAsia"/>
          <w:sz w:val="32"/>
          <w:szCs w:val="32"/>
        </w:rPr>
        <w:t>，原因是部分资金从“个人和家庭的补助”科目调整至“工资福利支出”科目进行填列；商品和服务支出</w:t>
      </w:r>
      <w:r>
        <w:rPr>
          <w:rFonts w:ascii="仿宋_GB2312" w:eastAsia="仿宋_GB2312" w:hAnsi="仿宋_GB2312" w:cs="仿宋_GB2312" w:hint="eastAsia"/>
          <w:sz w:val="32"/>
          <w:szCs w:val="32"/>
        </w:rPr>
        <w:t>944.45</w:t>
      </w:r>
      <w:r>
        <w:rPr>
          <w:rFonts w:ascii="仿宋_GB2312" w:eastAsia="仿宋_GB2312" w:hAnsi="仿宋_GB2312" w:cs="仿宋_GB2312" w:hint="eastAsia"/>
          <w:sz w:val="32"/>
          <w:szCs w:val="32"/>
        </w:rPr>
        <w:t>万元，同比增加</w:t>
      </w:r>
      <w:r>
        <w:rPr>
          <w:rFonts w:ascii="仿宋_GB2312" w:eastAsia="仿宋_GB2312" w:hAnsi="仿宋_GB2312" w:cs="仿宋_GB2312" w:hint="eastAsia"/>
          <w:sz w:val="32"/>
          <w:szCs w:val="32"/>
        </w:rPr>
        <w:t>15.6%</w:t>
      </w:r>
      <w:r>
        <w:rPr>
          <w:rFonts w:ascii="仿宋_GB2312" w:eastAsia="仿宋_GB2312" w:hAnsi="仿宋_GB2312" w:cs="仿宋_GB2312" w:hint="eastAsia"/>
          <w:sz w:val="32"/>
          <w:szCs w:val="32"/>
        </w:rPr>
        <w:t>，增加原因是</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年新增第二次全国污染源普查经费、环境违法行为举报奖励项目；对个人和家庭补助支出</w:t>
      </w:r>
      <w:r>
        <w:rPr>
          <w:rFonts w:ascii="仿宋_GB2312" w:eastAsia="仿宋_GB2312" w:hAnsi="仿宋_GB2312" w:cs="仿宋_GB2312" w:hint="eastAsia"/>
          <w:sz w:val="32"/>
          <w:szCs w:val="32"/>
        </w:rPr>
        <w:t>11.72</w:t>
      </w:r>
      <w:r>
        <w:rPr>
          <w:rFonts w:ascii="仿宋_GB2312" w:eastAsia="仿宋_GB2312" w:hAnsi="仿宋_GB2312" w:cs="仿宋_GB2312" w:hint="eastAsia"/>
          <w:sz w:val="32"/>
          <w:szCs w:val="32"/>
        </w:rPr>
        <w:t>万元，同比减少</w:t>
      </w:r>
      <w:r>
        <w:rPr>
          <w:rFonts w:ascii="仿宋_GB2312" w:eastAsia="仿宋_GB2312" w:hAnsi="仿宋_GB2312" w:cs="仿宋_GB2312" w:hint="eastAsia"/>
          <w:sz w:val="32"/>
          <w:szCs w:val="32"/>
        </w:rPr>
        <w:t>95.3%</w:t>
      </w:r>
      <w:r>
        <w:rPr>
          <w:rFonts w:ascii="仿宋_GB2312" w:eastAsia="仿宋_GB2312" w:hAnsi="仿宋_GB2312" w:cs="仿宋_GB2312" w:hint="eastAsia"/>
          <w:sz w:val="32"/>
          <w:szCs w:val="32"/>
        </w:rPr>
        <w:t>，减少原因是部分资金从“个人和家庭的补助”科目调整至“工资福利支出”科目进行填列。</w:t>
      </w:r>
    </w:p>
    <w:p w:rsidR="000F2BD9" w:rsidRDefault="00927AC3">
      <w:pPr>
        <w:spacing w:line="634" w:lineRule="exact"/>
        <w:ind w:firstLine="645"/>
        <w:rPr>
          <w:rFonts w:ascii="仿宋_GB2312" w:eastAsia="仿宋_GB2312" w:hAnsi="仿宋_GB2312" w:cs="仿宋_GB2312"/>
          <w:sz w:val="32"/>
          <w:szCs w:val="32"/>
        </w:rPr>
      </w:pPr>
      <w:r w:rsidRPr="000C1FA9">
        <w:rPr>
          <w:rFonts w:ascii="黑体" w:eastAsia="黑体" w:hAnsi="仿宋_GB2312" w:cs="仿宋_GB2312" w:hint="eastAsia"/>
          <w:sz w:val="32"/>
          <w:szCs w:val="32"/>
        </w:rPr>
        <w:t>二、财政拨款收支情况</w:t>
      </w:r>
      <w:r w:rsidRPr="000C1FA9">
        <w:rPr>
          <w:rFonts w:ascii="黑体" w:eastAsia="黑体" w:hAnsi="仿宋_GB2312" w:cs="仿宋_GB2312" w:hint="eastAsia"/>
          <w:sz w:val="32"/>
          <w:szCs w:val="32"/>
        </w:rPr>
        <w:br/>
      </w:r>
      <w:r>
        <w:rPr>
          <w:rFonts w:ascii="仿宋_GB2312" w:eastAsia="仿宋_GB2312" w:hAnsi="仿宋_GB2312" w:cs="仿宋_GB2312" w:hint="eastAsia"/>
          <w:sz w:val="32"/>
          <w:szCs w:val="32"/>
        </w:rPr>
        <w:lastRenderedPageBreak/>
        <w:t xml:space="preserve">    2018</w:t>
      </w:r>
      <w:r>
        <w:rPr>
          <w:rFonts w:ascii="仿宋_GB2312" w:eastAsia="仿宋_GB2312" w:hAnsi="仿宋_GB2312" w:cs="仿宋_GB2312" w:hint="eastAsia"/>
          <w:sz w:val="32"/>
          <w:szCs w:val="32"/>
        </w:rPr>
        <w:t>年当年财政拨款收入预算为</w:t>
      </w:r>
      <w:r>
        <w:rPr>
          <w:rFonts w:ascii="仿宋_GB2312" w:eastAsia="仿宋_GB2312" w:hAnsi="仿宋_GB2312" w:cs="仿宋_GB2312" w:hint="eastAsia"/>
          <w:sz w:val="32"/>
          <w:szCs w:val="32"/>
        </w:rPr>
        <w:t>1871.41</w:t>
      </w:r>
      <w:r>
        <w:rPr>
          <w:rFonts w:ascii="仿宋_GB2312" w:eastAsia="仿宋_GB2312" w:hAnsi="仿宋_GB2312" w:cs="仿宋_GB2312" w:hint="eastAsia"/>
          <w:sz w:val="32"/>
          <w:szCs w:val="32"/>
        </w:rPr>
        <w:t>万元，其中：一般公共预算</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35.01</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；政府性基金预算</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br/>
        <w:t xml:space="preserve">    2018</w:t>
      </w:r>
      <w:r>
        <w:rPr>
          <w:rFonts w:ascii="仿宋_GB2312" w:eastAsia="仿宋_GB2312" w:hAnsi="仿宋_GB2312" w:cs="仿宋_GB2312" w:hint="eastAsia"/>
          <w:sz w:val="32"/>
          <w:szCs w:val="32"/>
        </w:rPr>
        <w:t>年财政拨款支出预算为</w:t>
      </w:r>
      <w:r>
        <w:rPr>
          <w:rFonts w:ascii="仿宋_GB2312" w:eastAsia="仿宋_GB2312" w:hAnsi="仿宋_GB2312" w:cs="仿宋_GB2312" w:hint="eastAsia"/>
          <w:sz w:val="32"/>
          <w:szCs w:val="32"/>
        </w:rPr>
        <w:t>1871.41</w:t>
      </w:r>
      <w:r>
        <w:rPr>
          <w:rFonts w:ascii="仿宋_GB2312" w:eastAsia="仿宋_GB2312" w:hAnsi="仿宋_GB2312" w:cs="仿宋_GB2312" w:hint="eastAsia"/>
          <w:sz w:val="32"/>
          <w:szCs w:val="32"/>
        </w:rPr>
        <w:t>万元，具体情况如下：</w:t>
      </w:r>
      <w:r>
        <w:rPr>
          <w:rFonts w:ascii="仿宋_GB2312" w:eastAsia="仿宋_GB2312" w:hAnsi="仿宋_GB2312" w:cs="仿宋_GB2312" w:hint="eastAsia"/>
          <w:sz w:val="32"/>
          <w:szCs w:val="32"/>
        </w:rPr>
        <w:br/>
        <w:t xml:space="preserve">    1</w:t>
      </w:r>
      <w:r>
        <w:rPr>
          <w:rFonts w:ascii="仿宋_GB2312" w:eastAsia="仿宋_GB2312" w:hAnsi="仿宋_GB2312" w:cs="仿宋_GB2312" w:hint="eastAsia"/>
          <w:sz w:val="32"/>
          <w:szCs w:val="32"/>
        </w:rPr>
        <w:t>、教育支出</w:t>
      </w:r>
      <w:r>
        <w:rPr>
          <w:rFonts w:ascii="仿宋_GB2312" w:eastAsia="仿宋_GB2312" w:hAnsi="仿宋_GB2312" w:cs="仿宋_GB2312" w:hint="eastAsia"/>
          <w:sz w:val="32"/>
          <w:szCs w:val="32"/>
        </w:rPr>
        <w:t>11.75</w:t>
      </w:r>
      <w:r>
        <w:rPr>
          <w:rFonts w:ascii="仿宋_GB2312" w:eastAsia="仿宋_GB2312" w:hAnsi="仿宋_GB2312" w:cs="仿宋_GB2312" w:hint="eastAsia"/>
          <w:sz w:val="32"/>
          <w:szCs w:val="32"/>
        </w:rPr>
        <w:t>万元，主要用于培训支出。比上年减少</w:t>
      </w:r>
      <w:r>
        <w:rPr>
          <w:rFonts w:ascii="仿宋_GB2312" w:eastAsia="仿宋_GB2312" w:hAnsi="仿宋_GB2312" w:cs="仿宋_GB2312" w:hint="eastAsia"/>
          <w:sz w:val="32"/>
          <w:szCs w:val="32"/>
        </w:rPr>
        <w:t>39.4%</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年压缩培训费支出。</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、节能环保支出</w:t>
      </w:r>
      <w:r>
        <w:rPr>
          <w:rFonts w:ascii="仿宋_GB2312" w:eastAsia="仿宋_GB2312" w:hAnsi="仿宋_GB2312" w:cs="仿宋_GB2312" w:hint="eastAsia"/>
          <w:sz w:val="32"/>
          <w:szCs w:val="32"/>
        </w:rPr>
        <w:t>1471.98</w:t>
      </w:r>
      <w:r>
        <w:rPr>
          <w:rFonts w:ascii="仿宋_GB2312" w:eastAsia="仿宋_GB2312" w:hAnsi="仿宋_GB2312" w:cs="仿宋_GB2312" w:hint="eastAsia"/>
          <w:sz w:val="32"/>
          <w:szCs w:val="32"/>
        </w:rPr>
        <w:t>万元，主要用于行政运行、一般行政管理事务支出、其他环境保护管理事务支出、其他节能环保支出、环境监测与信息支出。比上年减少</w:t>
      </w: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。主要原因是认真贯彻落实中央八项规定，从严控制压缩业务类项目支出。</w:t>
      </w:r>
      <w:r>
        <w:rPr>
          <w:rFonts w:ascii="仿宋_GB2312" w:eastAsia="仿宋_GB2312" w:hAnsi="仿宋_GB2312" w:cs="仿宋_GB2312" w:hint="eastAsia"/>
          <w:sz w:val="32"/>
          <w:szCs w:val="32"/>
        </w:rPr>
        <w:br/>
        <w:t xml:space="preserve"> </w:t>
      </w:r>
      <w:r w:rsidR="000C1FA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、城乡社区支出</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万元，主要用于其他国有土地使用权出让收入安排的支出。该项目为</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年新增科目。</w:t>
      </w:r>
    </w:p>
    <w:p w:rsidR="000F2BD9" w:rsidRDefault="000C1FA9" w:rsidP="000C1FA9">
      <w:pPr>
        <w:spacing w:line="634" w:lineRule="exact"/>
        <w:rPr>
          <w:rFonts w:ascii="仿宋_GB2312" w:eastAsia="仿宋_GB2312" w:hAnsi="仿宋_GB2312" w:cs="仿宋_GB2312"/>
          <w:sz w:val="32"/>
          <w:szCs w:val="32"/>
        </w:rPr>
      </w:pPr>
      <w:r w:rsidRPr="00914EC0">
        <w:rPr>
          <w:rFonts w:ascii="仿宋_GB2312" w:eastAsia="仿宋_GB2312" w:hAnsi="仿宋_GB2312" w:cs="仿宋_GB2312" w:hint="eastAsia"/>
          <w:sz w:val="32"/>
          <w:szCs w:val="32"/>
        </w:rPr>
        <w:t xml:space="preserve">    4、 </w:t>
      </w:r>
      <w:r w:rsidR="00927AC3" w:rsidRPr="00914EC0">
        <w:rPr>
          <w:rFonts w:ascii="仿宋_GB2312" w:eastAsia="仿宋_GB2312" w:hAnsi="仿宋_GB2312" w:cs="仿宋_GB2312" w:hint="eastAsia"/>
          <w:sz w:val="32"/>
          <w:szCs w:val="32"/>
        </w:rPr>
        <w:t>住房保障支出</w:t>
      </w:r>
      <w:r w:rsidR="00927AC3" w:rsidRPr="00914EC0">
        <w:rPr>
          <w:rFonts w:ascii="仿宋_GB2312" w:eastAsia="仿宋_GB2312" w:hAnsi="仿宋_GB2312" w:cs="仿宋_GB2312" w:hint="eastAsia"/>
          <w:sz w:val="32"/>
          <w:szCs w:val="32"/>
        </w:rPr>
        <w:t>87.68</w:t>
      </w:r>
      <w:r w:rsidR="00927AC3" w:rsidRPr="00914EC0">
        <w:rPr>
          <w:rFonts w:ascii="仿宋_GB2312" w:eastAsia="仿宋_GB2312" w:hAnsi="仿宋_GB2312" w:cs="仿宋_GB2312" w:hint="eastAsia"/>
          <w:sz w:val="32"/>
          <w:szCs w:val="32"/>
        </w:rPr>
        <w:t>万元，主要用于住房公积金支出。</w:t>
      </w:r>
      <w:r w:rsidR="00927AC3">
        <w:rPr>
          <w:rFonts w:ascii="仿宋_GB2312" w:eastAsia="仿宋_GB2312" w:hAnsi="仿宋_GB2312" w:cs="仿宋_GB2312" w:hint="eastAsia"/>
          <w:sz w:val="32"/>
          <w:szCs w:val="32"/>
        </w:rPr>
        <w:t>比上年减少</w:t>
      </w:r>
      <w:r w:rsidR="00927AC3">
        <w:rPr>
          <w:rFonts w:ascii="仿宋_GB2312" w:eastAsia="仿宋_GB2312" w:hAnsi="仿宋_GB2312" w:cs="仿宋_GB2312" w:hint="eastAsia"/>
          <w:sz w:val="32"/>
          <w:szCs w:val="32"/>
        </w:rPr>
        <w:t>5.5%</w:t>
      </w:r>
      <w:r w:rsidR="00927AC3">
        <w:rPr>
          <w:rFonts w:ascii="仿宋_GB2312" w:eastAsia="仿宋_GB2312" w:hAnsi="仿宋_GB2312" w:cs="仿宋_GB2312" w:hint="eastAsia"/>
          <w:sz w:val="32"/>
          <w:szCs w:val="32"/>
        </w:rPr>
        <w:t>。主要原因是</w:t>
      </w:r>
      <w:r w:rsidR="00927AC3">
        <w:rPr>
          <w:rFonts w:ascii="仿宋_GB2312" w:eastAsia="仿宋_GB2312" w:hAnsi="仿宋_GB2312" w:cs="仿宋_GB2312" w:hint="eastAsia"/>
          <w:sz w:val="32"/>
          <w:szCs w:val="32"/>
        </w:rPr>
        <w:t>2018</w:t>
      </w:r>
      <w:r w:rsidR="00927AC3">
        <w:rPr>
          <w:rFonts w:ascii="仿宋_GB2312" w:eastAsia="仿宋_GB2312" w:hAnsi="仿宋_GB2312" w:cs="仿宋_GB2312" w:hint="eastAsia"/>
          <w:sz w:val="32"/>
          <w:szCs w:val="32"/>
        </w:rPr>
        <w:t>年在职人数较</w:t>
      </w:r>
      <w:r w:rsidR="00927AC3">
        <w:rPr>
          <w:rFonts w:ascii="仿宋_GB2312" w:eastAsia="仿宋_GB2312" w:hAnsi="仿宋_GB2312" w:cs="仿宋_GB2312" w:hint="eastAsia"/>
          <w:sz w:val="32"/>
          <w:szCs w:val="32"/>
        </w:rPr>
        <w:t>2017</w:t>
      </w:r>
      <w:r w:rsidR="00927AC3">
        <w:rPr>
          <w:rFonts w:ascii="仿宋_GB2312" w:eastAsia="仿宋_GB2312" w:hAnsi="仿宋_GB2312" w:cs="仿宋_GB2312" w:hint="eastAsia"/>
          <w:sz w:val="32"/>
          <w:szCs w:val="32"/>
        </w:rPr>
        <w:t>年减少，住房公积金费用同比降低。</w:t>
      </w:r>
      <w:r w:rsidR="00927AC3">
        <w:rPr>
          <w:rFonts w:ascii="仿宋_GB2312" w:eastAsia="仿宋_GB2312" w:hAnsi="仿宋_GB2312" w:cs="仿宋_GB2312" w:hint="eastAsia"/>
          <w:sz w:val="32"/>
          <w:szCs w:val="32"/>
        </w:rPr>
        <w:br/>
      </w:r>
      <w:r w:rsidR="00914EC0" w:rsidRPr="00914EC0">
        <w:rPr>
          <w:rFonts w:ascii="黑体" w:eastAsia="黑体" w:hAnsi="仿宋_GB2312" w:cs="仿宋_GB2312" w:hint="eastAsia"/>
          <w:sz w:val="32"/>
          <w:szCs w:val="32"/>
        </w:rPr>
        <w:t xml:space="preserve">    </w:t>
      </w:r>
      <w:r w:rsidR="00927AC3" w:rsidRPr="00914EC0">
        <w:rPr>
          <w:rFonts w:ascii="黑体" w:eastAsia="黑体" w:hAnsi="仿宋_GB2312" w:cs="仿宋_GB2312" w:hint="eastAsia"/>
          <w:sz w:val="32"/>
          <w:szCs w:val="32"/>
        </w:rPr>
        <w:t>三、一般公共预算财政拨款支出预算情况</w:t>
      </w:r>
      <w:r w:rsidR="00927AC3" w:rsidRPr="00914EC0">
        <w:rPr>
          <w:rFonts w:ascii="黑体" w:eastAsia="黑体" w:hAnsi="仿宋_GB2312" w:cs="仿宋_GB2312" w:hint="eastAsia"/>
          <w:sz w:val="32"/>
          <w:szCs w:val="32"/>
        </w:rPr>
        <w:br/>
      </w:r>
      <w:r w:rsidR="00927AC3">
        <w:rPr>
          <w:rFonts w:ascii="仿宋_GB2312" w:eastAsia="仿宋_GB2312" w:hAnsi="仿宋_GB2312" w:cs="仿宋_GB2312" w:hint="eastAsia"/>
          <w:sz w:val="32"/>
          <w:szCs w:val="32"/>
        </w:rPr>
        <w:t xml:space="preserve">    2018</w:t>
      </w:r>
      <w:r w:rsidR="00927AC3">
        <w:rPr>
          <w:rFonts w:ascii="仿宋_GB2312" w:eastAsia="仿宋_GB2312" w:hAnsi="仿宋_GB2312" w:cs="仿宋_GB2312" w:hint="eastAsia"/>
          <w:sz w:val="32"/>
          <w:szCs w:val="32"/>
        </w:rPr>
        <w:t>年当年一般公共预算财政拨款支出预算为</w:t>
      </w:r>
      <w:r w:rsidR="00927AC3">
        <w:rPr>
          <w:rFonts w:ascii="仿宋_GB2312" w:eastAsia="仿宋_GB2312" w:hAnsi="仿宋_GB2312" w:cs="仿宋_GB2312" w:hint="eastAsia"/>
          <w:sz w:val="32"/>
          <w:szCs w:val="32"/>
        </w:rPr>
        <w:t>1571.41</w:t>
      </w:r>
      <w:r w:rsidR="00927AC3">
        <w:rPr>
          <w:rFonts w:ascii="仿宋_GB2312" w:eastAsia="仿宋_GB2312" w:hAnsi="仿宋_GB2312" w:cs="仿宋_GB2312" w:hint="eastAsia"/>
          <w:sz w:val="32"/>
          <w:szCs w:val="32"/>
        </w:rPr>
        <w:t>万元，具体情况如下：</w:t>
      </w:r>
      <w:r w:rsidR="00927AC3">
        <w:rPr>
          <w:rFonts w:ascii="仿宋_GB2312" w:eastAsia="仿宋_GB2312" w:hAnsi="仿宋_GB2312" w:cs="仿宋_GB2312" w:hint="eastAsia"/>
          <w:sz w:val="32"/>
          <w:szCs w:val="32"/>
        </w:rPr>
        <w:br/>
        <w:t xml:space="preserve">    1</w:t>
      </w:r>
      <w:r w:rsidR="00927AC3">
        <w:rPr>
          <w:rFonts w:ascii="仿宋_GB2312" w:eastAsia="仿宋_GB2312" w:hAnsi="仿宋_GB2312" w:cs="仿宋_GB2312" w:hint="eastAsia"/>
          <w:sz w:val="32"/>
          <w:szCs w:val="32"/>
        </w:rPr>
        <w:t>、教育支出（类）进修及培训（款）培训支出（项）支出</w:t>
      </w:r>
      <w:r w:rsidR="00927AC3">
        <w:rPr>
          <w:rFonts w:ascii="仿宋_GB2312" w:eastAsia="仿宋_GB2312" w:hAnsi="仿宋_GB2312" w:cs="仿宋_GB2312" w:hint="eastAsia"/>
          <w:sz w:val="32"/>
          <w:szCs w:val="32"/>
        </w:rPr>
        <w:t>11.75</w:t>
      </w:r>
      <w:r w:rsidR="00927AC3">
        <w:rPr>
          <w:rFonts w:ascii="仿宋_GB2312" w:eastAsia="仿宋_GB2312" w:hAnsi="仿宋_GB2312" w:cs="仿宋_GB2312" w:hint="eastAsia"/>
          <w:sz w:val="32"/>
          <w:szCs w:val="32"/>
        </w:rPr>
        <w:t>万元，主要用于枣庄市环境保护局局机关及直属事业单位</w:t>
      </w:r>
      <w:r w:rsidR="00927AC3">
        <w:rPr>
          <w:rFonts w:ascii="仿宋_GB2312" w:eastAsia="仿宋_GB2312" w:hAnsi="仿宋_GB2312" w:cs="仿宋_GB2312" w:hint="eastAsia"/>
          <w:sz w:val="32"/>
          <w:szCs w:val="32"/>
        </w:rPr>
        <w:lastRenderedPageBreak/>
        <w:t>人员培训支出。比上年减少</w:t>
      </w:r>
      <w:r w:rsidR="00927AC3">
        <w:rPr>
          <w:rFonts w:ascii="仿宋_GB2312" w:eastAsia="仿宋_GB2312" w:hAnsi="仿宋_GB2312" w:cs="仿宋_GB2312" w:hint="eastAsia"/>
          <w:sz w:val="32"/>
          <w:szCs w:val="32"/>
        </w:rPr>
        <w:t>39.4%</w:t>
      </w:r>
      <w:r w:rsidR="00927AC3">
        <w:rPr>
          <w:rFonts w:ascii="仿宋_GB2312" w:eastAsia="仿宋_GB2312" w:hAnsi="仿宋_GB2312" w:cs="仿宋_GB2312" w:hint="eastAsia"/>
          <w:sz w:val="32"/>
          <w:szCs w:val="32"/>
        </w:rPr>
        <w:t>。主要</w:t>
      </w:r>
      <w:r w:rsidR="00927AC3">
        <w:rPr>
          <w:rFonts w:ascii="仿宋_GB2312" w:eastAsia="仿宋_GB2312" w:hAnsi="仿宋_GB2312" w:cs="仿宋_GB2312" w:hint="eastAsia"/>
          <w:sz w:val="32"/>
          <w:szCs w:val="32"/>
        </w:rPr>
        <w:t>原因是</w:t>
      </w:r>
      <w:r w:rsidR="00927AC3">
        <w:rPr>
          <w:rFonts w:ascii="仿宋_GB2312" w:eastAsia="仿宋_GB2312" w:hAnsi="仿宋_GB2312" w:cs="仿宋_GB2312" w:hint="eastAsia"/>
          <w:sz w:val="32"/>
          <w:szCs w:val="32"/>
        </w:rPr>
        <w:t>2018</w:t>
      </w:r>
      <w:r w:rsidR="00927AC3">
        <w:rPr>
          <w:rFonts w:ascii="仿宋_GB2312" w:eastAsia="仿宋_GB2312" w:hAnsi="仿宋_GB2312" w:cs="仿宋_GB2312" w:hint="eastAsia"/>
          <w:sz w:val="32"/>
          <w:szCs w:val="32"/>
        </w:rPr>
        <w:t>年压缩培训费支出。</w:t>
      </w:r>
    </w:p>
    <w:p w:rsidR="000F2BD9" w:rsidRDefault="00927AC3">
      <w:pPr>
        <w:spacing w:line="634"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、节能环保支出（类）环境保护管理事务（款）行政运行（项）支出</w:t>
      </w:r>
      <w:r>
        <w:rPr>
          <w:rFonts w:ascii="仿宋_GB2312" w:eastAsia="仿宋_GB2312" w:hAnsi="仿宋_GB2312" w:cs="仿宋_GB2312" w:hint="eastAsia"/>
          <w:sz w:val="32"/>
          <w:szCs w:val="32"/>
        </w:rPr>
        <w:t>510.37</w:t>
      </w:r>
      <w:r>
        <w:rPr>
          <w:rFonts w:ascii="仿宋_GB2312" w:eastAsia="仿宋_GB2312" w:hAnsi="仿宋_GB2312" w:cs="仿宋_GB2312" w:hint="eastAsia"/>
          <w:sz w:val="32"/>
          <w:szCs w:val="32"/>
        </w:rPr>
        <w:t>万元，主要用于枣庄市环境保护局局机关、枣庄市环境监察支队人员经费、社会保险缴费、维护单位正常运转的日常公用经费等行政运行支出。比上年减少</w:t>
      </w:r>
      <w:r>
        <w:rPr>
          <w:rFonts w:ascii="仿宋_GB2312" w:eastAsia="仿宋_GB2312" w:hAnsi="仿宋_GB2312" w:cs="仿宋_GB2312" w:hint="eastAsia"/>
          <w:sz w:val="32"/>
          <w:szCs w:val="32"/>
        </w:rPr>
        <w:t>14.2%</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年枣庄市机动车污染防治中心人员经费和公用经费从此科目调整至</w:t>
      </w:r>
      <w:r>
        <w:rPr>
          <w:rFonts w:ascii="仿宋_GB2312" w:eastAsia="仿宋_GB2312" w:hint="eastAsia"/>
          <w:sz w:val="32"/>
          <w:szCs w:val="32"/>
        </w:rPr>
        <w:t>“其他环境保护管理事务支出”科目进行填列。</w:t>
      </w:r>
    </w:p>
    <w:p w:rsidR="000F2BD9" w:rsidRDefault="00927AC3">
      <w:pPr>
        <w:spacing w:line="634"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、节能环保支出（类）环境保护管理事务（款）一般行政管理事务（项）</w:t>
      </w:r>
      <w:r>
        <w:rPr>
          <w:rFonts w:ascii="仿宋_GB2312" w:eastAsia="仿宋_GB2312" w:hAnsi="仿宋_GB2312" w:cs="仿宋_GB2312" w:hint="eastAsia"/>
          <w:sz w:val="32"/>
          <w:szCs w:val="32"/>
        </w:rPr>
        <w:t>256</w:t>
      </w:r>
      <w:r>
        <w:rPr>
          <w:rFonts w:ascii="仿宋_GB2312" w:eastAsia="仿宋_GB2312" w:hAnsi="仿宋_GB2312" w:cs="仿宋_GB2312" w:hint="eastAsia"/>
          <w:sz w:val="32"/>
          <w:szCs w:val="32"/>
        </w:rPr>
        <w:t>万元，主要用于枣庄市环境保护局局机关、枣庄市环境监察支队开展环境</w:t>
      </w:r>
      <w:r>
        <w:rPr>
          <w:rFonts w:ascii="仿宋_GB2312" w:eastAsia="仿宋_GB2312" w:hAnsi="仿宋_GB2312" w:cs="仿宋_GB2312" w:hint="eastAsia"/>
          <w:sz w:val="32"/>
          <w:szCs w:val="32"/>
        </w:rPr>
        <w:t>保护管理事务所产生的差旅费、印刷费、会议费、专家劳务费、委托业务费、设备仪器等维系维护及环保材料费、物业管理及办公楼运行维护费等项目支出。比上年增加</w:t>
      </w:r>
      <w:r>
        <w:rPr>
          <w:rFonts w:ascii="仿宋_GB2312" w:eastAsia="仿宋_GB2312" w:hAnsi="仿宋_GB2312" w:cs="仿宋_GB2312" w:hint="eastAsia"/>
          <w:sz w:val="32"/>
          <w:szCs w:val="32"/>
        </w:rPr>
        <w:t>70.7%</w:t>
      </w:r>
      <w:r>
        <w:rPr>
          <w:rFonts w:ascii="仿宋_GB2312" w:eastAsia="仿宋_GB2312" w:hAnsi="仿宋_GB2312" w:cs="仿宋_GB2312" w:hint="eastAsia"/>
          <w:sz w:val="32"/>
          <w:szCs w:val="32"/>
        </w:rPr>
        <w:t>。主要原因是</w:t>
      </w:r>
      <w:r>
        <w:rPr>
          <w:rFonts w:ascii="仿宋_GB2312" w:eastAsia="仿宋_GB2312" w:hint="eastAsia"/>
          <w:sz w:val="32"/>
          <w:szCs w:val="32"/>
        </w:rPr>
        <w:t>2018</w:t>
      </w:r>
      <w:r>
        <w:rPr>
          <w:rFonts w:ascii="仿宋_GB2312" w:eastAsia="仿宋_GB2312" w:hint="eastAsia"/>
          <w:sz w:val="32"/>
          <w:szCs w:val="32"/>
        </w:rPr>
        <w:t>年部分业务类项目从“其他环境保护管理事务支出”、“其他环境监测与监察支出”调整至此科目填列</w:t>
      </w:r>
      <w:r>
        <w:rPr>
          <w:rFonts w:ascii="仿宋_GB2312" w:eastAsia="仿宋_GB2312" w:hAnsi="仿宋_GB2312" w:cs="仿宋_GB2312" w:hint="eastAsia"/>
          <w:sz w:val="32"/>
          <w:szCs w:val="32"/>
        </w:rPr>
        <w:t>。</w:t>
      </w:r>
    </w:p>
    <w:p w:rsidR="000F2BD9" w:rsidRDefault="00927AC3">
      <w:pPr>
        <w:spacing w:line="634"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w:t>
      </w:r>
      <w:r>
        <w:rPr>
          <w:rFonts w:ascii="仿宋_GB2312" w:eastAsia="仿宋_GB2312" w:hAnsi="仿宋_GB2312" w:cs="仿宋_GB2312" w:hint="eastAsia"/>
          <w:sz w:val="32"/>
          <w:szCs w:val="32"/>
        </w:rPr>
        <w:t>、节能环保支出（类）环境保护管理事务（款）其他环境保护管理事务支出（项）</w:t>
      </w:r>
      <w:r>
        <w:rPr>
          <w:rFonts w:ascii="仿宋_GB2312" w:eastAsia="仿宋_GB2312" w:hAnsi="仿宋_GB2312" w:cs="仿宋_GB2312" w:hint="eastAsia"/>
          <w:sz w:val="32"/>
          <w:szCs w:val="32"/>
        </w:rPr>
        <w:t>79.05</w:t>
      </w:r>
      <w:r>
        <w:rPr>
          <w:rFonts w:ascii="仿宋_GB2312" w:eastAsia="仿宋_GB2312" w:hAnsi="仿宋_GB2312" w:cs="仿宋_GB2312" w:hint="eastAsia"/>
          <w:sz w:val="32"/>
          <w:szCs w:val="32"/>
        </w:rPr>
        <w:t>万元，主要用于枣庄市机动车污染防治中心人员经费和日常公用经费支出，第二次全国污染源普查经费支出。比上年增加</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年新增第二次</w:t>
      </w:r>
      <w:r>
        <w:rPr>
          <w:rFonts w:ascii="仿宋_GB2312" w:eastAsia="仿宋_GB2312" w:hAnsi="仿宋_GB2312" w:cs="仿宋_GB2312" w:hint="eastAsia"/>
          <w:sz w:val="32"/>
          <w:szCs w:val="32"/>
        </w:rPr>
        <w:lastRenderedPageBreak/>
        <w:t>全国污染源普查经费支出项目，同时枣庄市机动车污染防治中心人员经费和公用经费从“行政运行”科目调整至</w:t>
      </w:r>
      <w:r>
        <w:rPr>
          <w:rFonts w:ascii="仿宋_GB2312" w:eastAsia="仿宋_GB2312" w:hint="eastAsia"/>
          <w:sz w:val="32"/>
          <w:szCs w:val="32"/>
        </w:rPr>
        <w:t>此科目进行填列</w:t>
      </w:r>
      <w:r>
        <w:rPr>
          <w:rFonts w:ascii="仿宋_GB2312" w:eastAsia="仿宋_GB2312" w:hAnsi="仿宋_GB2312" w:cs="仿宋_GB2312" w:hint="eastAsia"/>
          <w:sz w:val="32"/>
          <w:szCs w:val="32"/>
        </w:rPr>
        <w:t>。</w:t>
      </w:r>
    </w:p>
    <w:p w:rsidR="000F2BD9" w:rsidRDefault="00927AC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、节能环保支出（类）污染减排（款）环境监测与信息支出（项）</w:t>
      </w:r>
      <w:r>
        <w:rPr>
          <w:rFonts w:ascii="仿宋_GB2312" w:eastAsia="仿宋_GB2312" w:hAnsi="仿宋_GB2312" w:cs="仿宋_GB2312" w:hint="eastAsia"/>
          <w:sz w:val="32"/>
          <w:szCs w:val="32"/>
        </w:rPr>
        <w:t>576.56</w:t>
      </w:r>
      <w:r>
        <w:rPr>
          <w:rFonts w:ascii="仿宋_GB2312" w:eastAsia="仿宋_GB2312" w:hAnsi="仿宋_GB2312" w:cs="仿宋_GB2312" w:hint="eastAsia"/>
          <w:sz w:val="32"/>
          <w:szCs w:val="32"/>
        </w:rPr>
        <w:t>万元，主要用于枣庄市环境监测站人员经费、职工医疗保险、维护单位正常运转的日常公用经费、委托业务费、印刷费、专用材料费、空气自动站</w:t>
      </w:r>
      <w:r>
        <w:rPr>
          <w:rFonts w:ascii="仿宋_GB2312" w:eastAsia="仿宋_GB2312" w:hAnsi="仿宋_GB2312" w:cs="仿宋_GB2312" w:hint="eastAsia"/>
          <w:sz w:val="32"/>
          <w:szCs w:val="32"/>
        </w:rPr>
        <w:t>TO</w:t>
      </w:r>
      <w:r>
        <w:rPr>
          <w:rFonts w:ascii="仿宋_GB2312" w:eastAsia="仿宋_GB2312" w:hAnsi="仿宋_GB2312" w:cs="仿宋_GB2312" w:hint="eastAsia"/>
          <w:sz w:val="32"/>
          <w:szCs w:val="32"/>
        </w:rPr>
        <w:t>模式运行费、实验室化验室设施设备运行维护费、台儿庄水质自动站运行维护费用等项目支出。比上年减少</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。主要原因是认真贯彻落实中央八项规定，从严控制压缩业务类项目支出。</w:t>
      </w:r>
    </w:p>
    <w:p w:rsidR="000F2BD9" w:rsidRDefault="00927AC3" w:rsidP="000C1FA9">
      <w:pPr>
        <w:spacing w:line="628" w:lineRule="exact"/>
        <w:ind w:firstLineChars="228" w:firstLine="73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、节能环保支出（类）其他节能环保支出（款）其他节能环保支出（项）</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万元，主要用于环境违法行为举报奖励支出。该科目为新增项目。</w:t>
      </w:r>
      <w:r>
        <w:rPr>
          <w:rFonts w:ascii="仿宋_GB2312" w:eastAsia="仿宋_GB2312" w:hAnsi="仿宋_GB2312" w:cs="仿宋_GB2312" w:hint="eastAsia"/>
          <w:sz w:val="32"/>
          <w:szCs w:val="32"/>
        </w:rPr>
        <w:br/>
        <w:t xml:space="preserve">    7</w:t>
      </w:r>
      <w:r>
        <w:rPr>
          <w:rFonts w:ascii="仿宋_GB2312" w:eastAsia="仿宋_GB2312" w:hAnsi="仿宋_GB2312" w:cs="仿宋_GB2312" w:hint="eastAsia"/>
          <w:sz w:val="32"/>
          <w:szCs w:val="32"/>
        </w:rPr>
        <w:t>、住房保障支出（类）住房改革支出（款）住房公积金（项）</w:t>
      </w:r>
      <w:r>
        <w:rPr>
          <w:rFonts w:ascii="仿宋_GB2312" w:eastAsia="仿宋_GB2312" w:hAnsi="仿宋_GB2312" w:cs="仿宋_GB2312" w:hint="eastAsia"/>
          <w:sz w:val="32"/>
          <w:szCs w:val="32"/>
        </w:rPr>
        <w:t>87.68</w:t>
      </w:r>
      <w:r>
        <w:rPr>
          <w:rFonts w:ascii="仿宋_GB2312" w:eastAsia="仿宋_GB2312" w:hAnsi="仿宋_GB2312" w:cs="仿宋_GB2312" w:hint="eastAsia"/>
          <w:sz w:val="32"/>
          <w:szCs w:val="32"/>
        </w:rPr>
        <w:t>万元，主要用于枣庄市环境保护局局机关、枣庄市环境监测站、枣庄市环境监察支队、枣庄市机动车污染防治中心工作人员的住房公积金支出。比上年减少</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年在职人数较</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年减少，住房公积金费用同比降低。</w:t>
      </w:r>
    </w:p>
    <w:p w:rsidR="000F2BD9" w:rsidRDefault="00927AC3" w:rsidP="000C1FA9">
      <w:pPr>
        <w:spacing w:line="628" w:lineRule="exact"/>
        <w:ind w:firstLineChars="228" w:firstLine="730"/>
        <w:rPr>
          <w:rFonts w:ascii="仿宋_GB2312" w:eastAsia="仿宋_GB2312" w:hAnsi="仿宋_GB2312" w:cs="仿宋_GB2312"/>
          <w:sz w:val="32"/>
          <w:szCs w:val="32"/>
        </w:rPr>
      </w:pPr>
      <w:r w:rsidRPr="00914EC0">
        <w:rPr>
          <w:rFonts w:ascii="黑体" w:eastAsia="黑体" w:hAnsi="仿宋_GB2312" w:cs="仿宋_GB2312" w:hint="eastAsia"/>
          <w:sz w:val="32"/>
          <w:szCs w:val="32"/>
        </w:rPr>
        <w:t>四、政府性基金支出预算情况</w:t>
      </w:r>
      <w:r w:rsidRPr="00914EC0">
        <w:rPr>
          <w:rFonts w:ascii="黑体" w:eastAsia="黑体" w:hAnsi="仿宋_GB2312" w:cs="仿宋_GB2312" w:hint="eastAsia"/>
          <w:sz w:val="32"/>
          <w:szCs w:val="32"/>
        </w:rPr>
        <w:br/>
      </w: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年政府性基金支出预算</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万元，具体情况如下：</w:t>
      </w:r>
    </w:p>
    <w:p w:rsidR="000F2BD9" w:rsidRDefault="00927AC3" w:rsidP="000C1FA9">
      <w:pPr>
        <w:spacing w:line="628" w:lineRule="exact"/>
        <w:ind w:firstLineChars="228" w:firstLine="73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、城乡社区支出（类）国有土地使用权出让收入及对应专</w:t>
      </w:r>
      <w:r>
        <w:rPr>
          <w:rFonts w:ascii="仿宋_GB2312" w:eastAsia="仿宋_GB2312" w:hAnsi="仿宋_GB2312" w:cs="仿宋_GB2312" w:hint="eastAsia"/>
          <w:sz w:val="32"/>
          <w:szCs w:val="32"/>
        </w:rPr>
        <w:lastRenderedPageBreak/>
        <w:t>项债务收入安排的支出（款）其他国有土地使用权出让收入安排的支出（项）</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万元，主要用于环保规划编制。该项目为新增科目。</w:t>
      </w:r>
    </w:p>
    <w:p w:rsidR="000F2BD9" w:rsidRDefault="00927AC3" w:rsidP="000C1FA9">
      <w:pPr>
        <w:spacing w:line="628" w:lineRule="exact"/>
        <w:ind w:firstLineChars="228" w:firstLine="730"/>
        <w:rPr>
          <w:rFonts w:ascii="仿宋_GB2312" w:eastAsia="仿宋_GB2312" w:hAnsi="仿宋_GB2312" w:cs="仿宋_GB2312"/>
          <w:sz w:val="32"/>
          <w:szCs w:val="32"/>
        </w:rPr>
      </w:pPr>
      <w:r w:rsidRPr="00914EC0">
        <w:rPr>
          <w:rFonts w:ascii="黑体" w:eastAsia="黑体" w:hAnsi="仿宋_GB2312" w:cs="仿宋_GB2312" w:hint="eastAsia"/>
          <w:sz w:val="32"/>
          <w:szCs w:val="32"/>
        </w:rPr>
        <w:t>五、财政拨款安排的基本支出情况</w:t>
      </w:r>
      <w:r w:rsidRPr="00914EC0">
        <w:rPr>
          <w:rFonts w:ascii="黑体" w:eastAsia="黑体" w:hAnsi="仿宋_GB2312" w:cs="仿宋_GB2312" w:hint="eastAsia"/>
          <w:sz w:val="32"/>
          <w:szCs w:val="32"/>
        </w:rPr>
        <w:br/>
      </w: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财政拨款安排的基本支出预算</w:t>
      </w:r>
      <w:r>
        <w:rPr>
          <w:rFonts w:ascii="仿宋_GB2312" w:eastAsia="仿宋_GB2312" w:hAnsi="仿宋_GB2312" w:cs="仿宋_GB2312" w:hint="eastAsia"/>
          <w:sz w:val="32"/>
          <w:szCs w:val="32"/>
        </w:rPr>
        <w:t>1060.7</w:t>
      </w:r>
      <w:r>
        <w:rPr>
          <w:rFonts w:ascii="仿宋_GB2312" w:eastAsia="仿宋_GB2312" w:hAnsi="仿宋_GB2312" w:cs="仿宋_GB2312" w:hint="eastAsia"/>
          <w:sz w:val="32"/>
          <w:szCs w:val="32"/>
        </w:rPr>
        <w:t>万元，其中：</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926.96</w:t>
      </w:r>
      <w:r>
        <w:rPr>
          <w:rFonts w:ascii="仿宋_GB2312" w:eastAsia="仿宋_GB2312" w:hAnsi="仿宋_GB2312" w:cs="仿宋_GB2312" w:hint="eastAsia"/>
          <w:sz w:val="32"/>
          <w:szCs w:val="32"/>
        </w:rPr>
        <w:t>万元，主要包括：基本工资、津贴补贴、奖金、基本医疗保险、绩效工资、其他工资福利支出、住房公积金。比上年减少</w:t>
      </w:r>
      <w:r>
        <w:rPr>
          <w:rFonts w:ascii="仿宋_GB2312" w:eastAsia="仿宋_GB2312" w:hAnsi="仿宋_GB2312" w:cs="仿宋_GB2312" w:hint="eastAsia"/>
          <w:sz w:val="32"/>
          <w:szCs w:val="32"/>
        </w:rPr>
        <w:t>5.07%</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年在职人数较</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年减少，人员经费同比降低。</w:t>
      </w:r>
    </w:p>
    <w:p w:rsidR="000F2BD9" w:rsidRDefault="00927AC3">
      <w:pPr>
        <w:spacing w:line="62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日常公用经费</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3.74</w:t>
      </w:r>
      <w:r>
        <w:rPr>
          <w:rFonts w:ascii="仿宋_GB2312" w:eastAsia="仿宋_GB2312" w:hAnsi="仿宋_GB2312" w:cs="仿宋_GB2312" w:hint="eastAsia"/>
          <w:sz w:val="32"/>
          <w:szCs w:val="32"/>
        </w:rPr>
        <w:t>万元，主要包括：办公费、印刷费、水费、电费、邮电费、物业管理费、差旅费、维修（护）费、租赁费、会议费、培训费、公务接待费、专用材料费、劳务费、委托业务费、工会经费、福利费、公务用车运行维护费、其他交通费、其他商品和服务支出等。比上年减少</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年在职人数较</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年减少，公用经费同比降低。</w:t>
      </w:r>
    </w:p>
    <w:p w:rsidR="000F2BD9" w:rsidRDefault="00927AC3" w:rsidP="000C1FA9">
      <w:pPr>
        <w:spacing w:line="628" w:lineRule="exact"/>
        <w:ind w:firstLineChars="228" w:firstLine="730"/>
        <w:rPr>
          <w:rFonts w:ascii="仿宋_GB2312" w:eastAsia="仿宋_GB2312" w:hAnsi="仿宋_GB2312" w:cs="仿宋_GB2312"/>
          <w:sz w:val="32"/>
          <w:szCs w:val="32"/>
        </w:rPr>
      </w:pPr>
      <w:r w:rsidRPr="00914EC0">
        <w:rPr>
          <w:rFonts w:ascii="黑体" w:eastAsia="黑体" w:hAnsi="仿宋_GB2312" w:cs="仿宋_GB2312" w:hint="eastAsia"/>
          <w:sz w:val="32"/>
          <w:szCs w:val="32"/>
        </w:rPr>
        <w:t>六、重要事项说明</w:t>
      </w:r>
      <w:r w:rsidRPr="00914EC0">
        <w:rPr>
          <w:rFonts w:ascii="黑体" w:eastAsia="黑体" w:hAnsi="仿宋_GB2312" w:cs="仿宋_GB2312" w:hint="eastAsia"/>
          <w:sz w:val="32"/>
          <w:szCs w:val="32"/>
        </w:rPr>
        <w:br/>
      </w:r>
      <w:r w:rsidRPr="00914EC0">
        <w:rPr>
          <w:rFonts w:ascii="楷体_GB2312" w:eastAsia="楷体_GB2312" w:hAnsi="仿宋_GB2312" w:cs="仿宋_GB2312" w:hint="eastAsia"/>
          <w:sz w:val="32"/>
          <w:szCs w:val="32"/>
        </w:rPr>
        <w:t xml:space="preserve">   </w:t>
      </w:r>
      <w:r w:rsidRPr="00914EC0">
        <w:rPr>
          <w:rFonts w:ascii="楷体_GB2312" w:eastAsia="楷体_GB2312" w:hAnsi="仿宋_GB2312" w:cs="仿宋_GB2312" w:hint="eastAsia"/>
          <w:sz w:val="32"/>
          <w:szCs w:val="32"/>
        </w:rPr>
        <w:t>（一）政府采购情况</w:t>
      </w:r>
      <w:r w:rsidRPr="00914EC0">
        <w:rPr>
          <w:rFonts w:ascii="楷体_GB2312" w:eastAsia="楷体_GB2312" w:hAnsi="仿宋_GB2312" w:cs="仿宋_GB2312" w:hint="eastAsia"/>
          <w:sz w:val="32"/>
          <w:szCs w:val="32"/>
        </w:rPr>
        <w:br/>
      </w: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年政府采购预算</w:t>
      </w:r>
      <w:r>
        <w:rPr>
          <w:rFonts w:ascii="仿宋_GB2312" w:eastAsia="仿宋_GB2312" w:hAnsi="仿宋_GB2312" w:cs="仿宋_GB2312" w:hint="eastAsia"/>
          <w:sz w:val="32"/>
          <w:szCs w:val="32"/>
        </w:rPr>
        <w:t>320</w:t>
      </w:r>
      <w:r>
        <w:rPr>
          <w:rFonts w:ascii="仿宋_GB2312" w:eastAsia="仿宋_GB2312" w:hAnsi="仿宋_GB2312" w:cs="仿宋_GB2312" w:hint="eastAsia"/>
          <w:sz w:val="32"/>
          <w:szCs w:val="32"/>
        </w:rPr>
        <w:t>万元，全部是财政拨款安排。政府采购项目包括环保规划编制费</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万元，物业管理及办公楼运行维护费</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万元。比上年增</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。主要原因是环保规划编制</w:t>
      </w:r>
      <w:r>
        <w:rPr>
          <w:rFonts w:ascii="仿宋_GB2312" w:eastAsia="仿宋_GB2312" w:hAnsi="仿宋_GB2312" w:cs="仿宋_GB2312" w:hint="eastAsia"/>
          <w:sz w:val="32"/>
          <w:szCs w:val="32"/>
        </w:rPr>
        <w:lastRenderedPageBreak/>
        <w:t>费预算资金较</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年增加。</w:t>
      </w:r>
      <w:r>
        <w:rPr>
          <w:rFonts w:ascii="仿宋_GB2312" w:eastAsia="仿宋_GB2312" w:hAnsi="仿宋_GB2312" w:cs="仿宋_GB2312" w:hint="eastAsia"/>
          <w:sz w:val="32"/>
          <w:szCs w:val="32"/>
        </w:rPr>
        <w:br/>
      </w:r>
      <w:r w:rsidRPr="00914EC0">
        <w:rPr>
          <w:rFonts w:ascii="楷体_GB2312" w:eastAsia="楷体_GB2312" w:hAnsi="仿宋_GB2312" w:cs="仿宋_GB2312" w:hint="eastAsia"/>
          <w:sz w:val="32"/>
          <w:szCs w:val="32"/>
        </w:rPr>
        <w:t xml:space="preserve">   </w:t>
      </w:r>
      <w:r w:rsidRPr="00914EC0">
        <w:rPr>
          <w:rFonts w:ascii="楷体_GB2312" w:eastAsia="楷体_GB2312" w:hAnsi="仿宋_GB2312" w:cs="仿宋_GB2312" w:hint="eastAsia"/>
          <w:sz w:val="32"/>
          <w:szCs w:val="32"/>
        </w:rPr>
        <w:t>（二）财政拨款安排的“三公”经费情况</w:t>
      </w:r>
      <w:r w:rsidRPr="00914EC0">
        <w:rPr>
          <w:rFonts w:ascii="楷体_GB2312" w:eastAsia="楷体_GB2312" w:hAnsi="仿宋_GB2312" w:cs="仿宋_GB2312" w:hint="eastAsia"/>
          <w:sz w:val="32"/>
          <w:szCs w:val="32"/>
        </w:rPr>
        <w:br/>
      </w: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年，通过一般公共预算财政拨款安排的“三公”经费预算共</w:t>
      </w:r>
      <w:r>
        <w:rPr>
          <w:rFonts w:ascii="仿宋_GB2312" w:eastAsia="仿宋_GB2312" w:hAnsi="仿宋_GB2312" w:cs="仿宋_GB2312" w:hint="eastAsia"/>
          <w:sz w:val="32"/>
          <w:szCs w:val="32"/>
        </w:rPr>
        <w:t>31.91</w:t>
      </w:r>
      <w:r>
        <w:rPr>
          <w:rFonts w:ascii="仿宋_GB2312" w:eastAsia="仿宋_GB2312" w:hAnsi="仿宋_GB2312" w:cs="仿宋_GB2312" w:hint="eastAsia"/>
          <w:sz w:val="32"/>
          <w:szCs w:val="32"/>
        </w:rPr>
        <w:t>万元，其中：因公出国（境）费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万元，公务用车购置经费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万元，公务接待费</w:t>
      </w:r>
      <w:r>
        <w:rPr>
          <w:rFonts w:ascii="仿宋_GB2312" w:eastAsia="仿宋_GB2312" w:hAnsi="仿宋_GB2312" w:cs="仿宋_GB2312" w:hint="eastAsia"/>
          <w:sz w:val="32"/>
          <w:szCs w:val="32"/>
        </w:rPr>
        <w:t>1.91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br/>
        <w:t xml:space="preserve">    2018</w:t>
      </w:r>
      <w:r>
        <w:rPr>
          <w:rFonts w:ascii="仿宋_GB2312" w:eastAsia="仿宋_GB2312" w:hAnsi="仿宋_GB2312" w:cs="仿宋_GB2312" w:hint="eastAsia"/>
          <w:sz w:val="32"/>
          <w:szCs w:val="32"/>
        </w:rPr>
        <w:t>年“三公”经费预算比</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年年初预算减少</w:t>
      </w:r>
      <w:r>
        <w:rPr>
          <w:rFonts w:ascii="仿宋_GB2312" w:eastAsia="仿宋_GB2312" w:hAnsi="仿宋_GB2312" w:cs="仿宋_GB2312" w:hint="eastAsia"/>
          <w:sz w:val="32"/>
          <w:szCs w:val="32"/>
        </w:rPr>
        <w:t>2.97</w:t>
      </w:r>
      <w:r>
        <w:rPr>
          <w:rFonts w:ascii="仿宋_GB2312" w:eastAsia="仿宋_GB2312" w:hAnsi="仿宋_GB2312" w:cs="仿宋_GB2312" w:hint="eastAsia"/>
          <w:sz w:val="32"/>
          <w:szCs w:val="32"/>
        </w:rPr>
        <w:t>万元，其中：因公出国（境）费减少</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万元，主要原因是</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安排因公出国（境）费预算</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年年初预算未安排；公务用车购置及运行费增加</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年底机动车污染防治中心新增尾气遥感监测车一辆，</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年根据车辆定额标准核增公务用车运行维护费预算；公务接待费增加</w:t>
      </w:r>
      <w:r>
        <w:rPr>
          <w:rFonts w:ascii="仿宋_GB2312" w:eastAsia="仿宋_GB2312" w:hAnsi="仿宋_GB2312" w:cs="仿宋_GB2312" w:hint="eastAsia"/>
          <w:sz w:val="32"/>
          <w:szCs w:val="32"/>
        </w:rPr>
        <w:t>0.03</w:t>
      </w:r>
      <w:r>
        <w:rPr>
          <w:rFonts w:ascii="仿宋_GB2312" w:eastAsia="仿宋_GB2312" w:hAnsi="仿宋_GB2312" w:cs="仿宋_GB2312" w:hint="eastAsia"/>
          <w:sz w:val="32"/>
          <w:szCs w:val="32"/>
        </w:rPr>
        <w:t>万元。主要原因是</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年公务费增加，按定额核定公务接待费有所增长。</w:t>
      </w:r>
    </w:p>
    <w:p w:rsidR="000F2BD9" w:rsidRPr="00914EC0" w:rsidRDefault="00927AC3" w:rsidP="00914EC0">
      <w:pPr>
        <w:spacing w:line="600" w:lineRule="exact"/>
        <w:ind w:firstLineChars="200" w:firstLine="640"/>
        <w:rPr>
          <w:rFonts w:ascii="仿宋_GB2312" w:eastAsia="仿宋_GB2312"/>
          <w:bCs/>
          <w:sz w:val="32"/>
          <w:szCs w:val="32"/>
        </w:rPr>
      </w:pPr>
      <w:r w:rsidRPr="00914EC0">
        <w:rPr>
          <w:rFonts w:ascii="仿宋_GB2312" w:eastAsia="仿宋_GB2312" w:hint="eastAsia"/>
          <w:bCs/>
          <w:sz w:val="32"/>
          <w:szCs w:val="32"/>
        </w:rPr>
        <w:t>（三）机关运行经费情况</w:t>
      </w:r>
    </w:p>
    <w:p w:rsidR="000F2BD9" w:rsidRDefault="00927AC3">
      <w:pPr>
        <w:spacing w:line="600" w:lineRule="exact"/>
        <w:ind w:firstLine="600"/>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年机关运行经费</w:t>
      </w:r>
      <w:r>
        <w:rPr>
          <w:rFonts w:ascii="仿宋_GB2312" w:eastAsia="仿宋_GB2312" w:hAnsi="仿宋_GB2312" w:cs="仿宋_GB2312" w:hint="eastAsia"/>
          <w:sz w:val="32"/>
          <w:szCs w:val="32"/>
        </w:rPr>
        <w:t>86.66</w:t>
      </w:r>
      <w:r>
        <w:rPr>
          <w:rFonts w:ascii="仿宋_GB2312" w:eastAsia="仿宋_GB2312" w:hint="eastAsia"/>
          <w:sz w:val="32"/>
          <w:szCs w:val="32"/>
        </w:rPr>
        <w:t>万元，比上年减少</w:t>
      </w:r>
      <w:r>
        <w:rPr>
          <w:rFonts w:ascii="仿宋_GB2312" w:eastAsia="仿宋_GB2312" w:hint="eastAsia"/>
          <w:sz w:val="32"/>
          <w:szCs w:val="32"/>
        </w:rPr>
        <w:t>6.43%</w:t>
      </w:r>
      <w:r>
        <w:rPr>
          <w:rFonts w:ascii="仿宋_GB2312" w:eastAsia="仿宋_GB2312" w:hint="eastAsia"/>
          <w:sz w:val="32"/>
          <w:szCs w:val="32"/>
        </w:rPr>
        <w:t>。主要原因是按照定额标准核定的财政拨款基本支出中的日常公用经费支出有所减少。</w:t>
      </w:r>
    </w:p>
    <w:p w:rsidR="000F2BD9" w:rsidRPr="00914EC0" w:rsidRDefault="00927AC3" w:rsidP="00914EC0">
      <w:pPr>
        <w:spacing w:line="600" w:lineRule="exact"/>
        <w:ind w:firstLineChars="200" w:firstLine="640"/>
        <w:rPr>
          <w:rFonts w:ascii="仿宋_GB2312" w:eastAsia="仿宋_GB2312"/>
          <w:bCs/>
          <w:sz w:val="32"/>
          <w:szCs w:val="32"/>
        </w:rPr>
      </w:pPr>
      <w:r w:rsidRPr="00914EC0">
        <w:rPr>
          <w:rFonts w:ascii="仿宋_GB2312" w:eastAsia="仿宋_GB2312" w:hint="eastAsia"/>
          <w:bCs/>
          <w:sz w:val="32"/>
          <w:szCs w:val="32"/>
        </w:rPr>
        <w:t>（四）国有资源（资产）占有使用情况</w:t>
      </w:r>
    </w:p>
    <w:p w:rsidR="000F2BD9" w:rsidRDefault="00927AC3">
      <w:pPr>
        <w:adjustRightInd w:val="0"/>
        <w:snapToGrid w:val="0"/>
        <w:spacing w:line="600" w:lineRule="exact"/>
        <w:ind w:firstLine="640"/>
        <w:rPr>
          <w:rFonts w:ascii="仿宋_GB2312" w:eastAsia="仿宋_GB2312"/>
          <w:sz w:val="32"/>
          <w:szCs w:val="32"/>
        </w:rPr>
      </w:pPr>
      <w:r>
        <w:rPr>
          <w:rFonts w:ascii="仿宋_GB2312" w:eastAsia="仿宋_GB2312" w:hAnsi="仿宋" w:cs="宋体" w:hint="eastAsia"/>
          <w:kern w:val="0"/>
          <w:sz w:val="32"/>
          <w:szCs w:val="32"/>
        </w:rPr>
        <w:t>截至</w:t>
      </w:r>
      <w:r>
        <w:rPr>
          <w:rFonts w:ascii="仿宋_GB2312" w:eastAsia="仿宋_GB2312" w:hAnsi="仿宋" w:cs="宋体" w:hint="eastAsia"/>
          <w:kern w:val="0"/>
          <w:sz w:val="32"/>
          <w:szCs w:val="32"/>
        </w:rPr>
        <w:t>2017</w:t>
      </w:r>
      <w:r>
        <w:rPr>
          <w:rFonts w:ascii="仿宋_GB2312" w:eastAsia="仿宋_GB2312" w:hAnsi="仿宋" w:cs="宋体" w:hint="eastAsia"/>
          <w:kern w:val="0"/>
          <w:sz w:val="32"/>
          <w:szCs w:val="32"/>
        </w:rPr>
        <w:t>年</w:t>
      </w:r>
      <w:r>
        <w:rPr>
          <w:rFonts w:ascii="仿宋_GB2312" w:eastAsia="仿宋_GB2312" w:hAnsi="仿宋" w:cs="宋体" w:hint="eastAsia"/>
          <w:kern w:val="0"/>
          <w:sz w:val="32"/>
          <w:szCs w:val="32"/>
        </w:rPr>
        <w:t>12</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31</w:t>
      </w:r>
      <w:r>
        <w:rPr>
          <w:rFonts w:ascii="仿宋_GB2312" w:eastAsia="仿宋_GB2312" w:hAnsi="仿宋" w:cs="宋体" w:hint="eastAsia"/>
          <w:kern w:val="0"/>
          <w:sz w:val="32"/>
          <w:szCs w:val="32"/>
        </w:rPr>
        <w:t>日，本部门共有车辆</w:t>
      </w:r>
      <w:r>
        <w:rPr>
          <w:rFonts w:ascii="仿宋_GB2312" w:eastAsia="仿宋_GB2312" w:hAnsi="仿宋" w:cs="宋体" w:hint="eastAsia"/>
          <w:kern w:val="0"/>
          <w:sz w:val="32"/>
          <w:szCs w:val="32"/>
        </w:rPr>
        <w:t>16</w:t>
      </w:r>
      <w:r>
        <w:rPr>
          <w:rFonts w:ascii="仿宋_GB2312" w:eastAsia="仿宋_GB2312" w:hAnsi="仿宋" w:cs="宋体" w:hint="eastAsia"/>
          <w:kern w:val="0"/>
          <w:sz w:val="32"/>
          <w:szCs w:val="32"/>
        </w:rPr>
        <w:t>辆，其中，一</w:t>
      </w:r>
      <w:r>
        <w:rPr>
          <w:rFonts w:ascii="仿宋_GB2312" w:eastAsia="仿宋_GB2312" w:hAnsi="仿宋" w:cs="宋体" w:hint="eastAsia"/>
          <w:kern w:val="0"/>
          <w:sz w:val="32"/>
          <w:szCs w:val="32"/>
        </w:rPr>
        <w:lastRenderedPageBreak/>
        <w:t>般执法执勤用车</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辆、特种专业技术用车</w:t>
      </w:r>
      <w:r>
        <w:rPr>
          <w:rFonts w:ascii="仿宋_GB2312" w:eastAsia="仿宋_GB2312" w:hAnsi="仿宋" w:cs="宋体" w:hint="eastAsia"/>
          <w:kern w:val="0"/>
          <w:sz w:val="32"/>
          <w:szCs w:val="32"/>
        </w:rPr>
        <w:t>12</w:t>
      </w:r>
      <w:r>
        <w:rPr>
          <w:rFonts w:ascii="仿宋_GB2312" w:eastAsia="仿宋_GB2312" w:hAnsi="仿宋" w:cs="宋体" w:hint="eastAsia"/>
          <w:kern w:val="0"/>
          <w:sz w:val="32"/>
          <w:szCs w:val="32"/>
        </w:rPr>
        <w:t>辆，其他用车</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辆；单位价</w:t>
      </w:r>
      <w:r>
        <w:rPr>
          <w:rFonts w:ascii="仿宋_GB2312" w:eastAsia="仿宋_GB2312" w:hAnsi="仿宋" w:cs="宋体" w:hint="eastAsia"/>
          <w:kern w:val="0"/>
          <w:sz w:val="32"/>
          <w:szCs w:val="32"/>
        </w:rPr>
        <w:t>50</w:t>
      </w:r>
      <w:r>
        <w:rPr>
          <w:rFonts w:ascii="仿宋_GB2312" w:eastAsia="仿宋_GB2312" w:hAnsi="仿宋" w:cs="宋体" w:hint="eastAsia"/>
          <w:kern w:val="0"/>
          <w:sz w:val="32"/>
          <w:szCs w:val="32"/>
        </w:rPr>
        <w:t>万元以上通用设备</w:t>
      </w:r>
      <w:r>
        <w:rPr>
          <w:rFonts w:ascii="仿宋_GB2312" w:eastAsia="仿宋_GB2312" w:hAnsi="仿宋" w:cs="宋体" w:hint="eastAsia"/>
          <w:kern w:val="0"/>
          <w:sz w:val="32"/>
          <w:szCs w:val="32"/>
        </w:rPr>
        <w:t>4</w:t>
      </w:r>
      <w:r>
        <w:rPr>
          <w:rFonts w:ascii="仿宋_GB2312" w:eastAsia="仿宋_GB2312" w:hAnsi="仿宋" w:cs="宋体" w:hint="eastAsia"/>
          <w:kern w:val="0"/>
          <w:sz w:val="32"/>
          <w:szCs w:val="32"/>
        </w:rPr>
        <w:t>台（套），单位价</w:t>
      </w:r>
      <w:r>
        <w:rPr>
          <w:rFonts w:ascii="仿宋_GB2312" w:eastAsia="仿宋_GB2312" w:hAnsi="仿宋" w:cs="宋体" w:hint="eastAsia"/>
          <w:kern w:val="0"/>
          <w:sz w:val="32"/>
          <w:szCs w:val="32"/>
        </w:rPr>
        <w:t>100</w:t>
      </w:r>
      <w:r>
        <w:rPr>
          <w:rFonts w:ascii="仿宋_GB2312" w:eastAsia="仿宋_GB2312" w:hAnsi="仿宋" w:cs="宋体" w:hint="eastAsia"/>
          <w:kern w:val="0"/>
          <w:sz w:val="32"/>
          <w:szCs w:val="32"/>
        </w:rPr>
        <w:t>万元以上通用设备</w:t>
      </w:r>
      <w:r>
        <w:rPr>
          <w:rFonts w:ascii="仿宋_GB2312" w:eastAsia="仿宋_GB2312" w:hAnsi="仿宋" w:cs="宋体" w:hint="eastAsia"/>
          <w:kern w:val="0"/>
          <w:sz w:val="32"/>
          <w:szCs w:val="32"/>
        </w:rPr>
        <w:t>4</w:t>
      </w:r>
      <w:r>
        <w:rPr>
          <w:rFonts w:ascii="仿宋_GB2312" w:eastAsia="仿宋_GB2312" w:hAnsi="仿宋" w:cs="宋体" w:hint="eastAsia"/>
          <w:kern w:val="0"/>
          <w:sz w:val="32"/>
          <w:szCs w:val="32"/>
        </w:rPr>
        <w:t>台（套）。房屋占有面积</w:t>
      </w:r>
      <w:r>
        <w:rPr>
          <w:rFonts w:ascii="仿宋_GB2312" w:eastAsia="仿宋_GB2312" w:hAnsi="仿宋" w:cs="宋体" w:hint="eastAsia"/>
          <w:kern w:val="0"/>
          <w:sz w:val="32"/>
          <w:szCs w:val="32"/>
        </w:rPr>
        <w:t>9800</w:t>
      </w:r>
      <w:r>
        <w:rPr>
          <w:rFonts w:ascii="仿宋_GB2312" w:eastAsia="仿宋_GB2312" w:hAnsi="仿宋" w:cs="宋体" w:hint="eastAsia"/>
          <w:kern w:val="0"/>
          <w:sz w:val="32"/>
          <w:szCs w:val="32"/>
        </w:rPr>
        <w:t>平方米，地址位于山东省枣庄市新城和谐路</w:t>
      </w:r>
      <w:r>
        <w:rPr>
          <w:rFonts w:ascii="仿宋_GB2312" w:eastAsia="仿宋_GB2312" w:hAnsi="仿宋" w:cs="宋体" w:hint="eastAsia"/>
          <w:kern w:val="0"/>
          <w:sz w:val="32"/>
          <w:szCs w:val="32"/>
        </w:rPr>
        <w:t>568</w:t>
      </w:r>
      <w:r>
        <w:rPr>
          <w:rFonts w:ascii="仿宋_GB2312" w:eastAsia="仿宋_GB2312" w:hAnsi="仿宋" w:cs="宋体" w:hint="eastAsia"/>
          <w:kern w:val="0"/>
          <w:sz w:val="32"/>
          <w:szCs w:val="32"/>
        </w:rPr>
        <w:t>号。</w:t>
      </w:r>
    </w:p>
    <w:p w:rsidR="000F2BD9" w:rsidRPr="00914EC0" w:rsidRDefault="00927AC3" w:rsidP="00914EC0">
      <w:pPr>
        <w:spacing w:line="600" w:lineRule="exact"/>
        <w:ind w:firstLineChars="200" w:firstLine="640"/>
        <w:rPr>
          <w:rFonts w:ascii="仿宋_GB2312" w:eastAsia="仿宋_GB2312"/>
          <w:bCs/>
          <w:sz w:val="32"/>
          <w:szCs w:val="32"/>
        </w:rPr>
      </w:pPr>
      <w:r w:rsidRPr="00914EC0">
        <w:rPr>
          <w:rFonts w:ascii="仿宋_GB2312" w:eastAsia="仿宋_GB2312" w:hint="eastAsia"/>
          <w:bCs/>
          <w:sz w:val="32"/>
          <w:szCs w:val="32"/>
        </w:rPr>
        <w:t>（五）绩效目标设置情况</w:t>
      </w:r>
    </w:p>
    <w:p w:rsidR="000F2BD9" w:rsidRDefault="00927AC3">
      <w:pPr>
        <w:spacing w:line="600" w:lineRule="exact"/>
        <w:ind w:firstLine="600"/>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年未安排投资发展类项目。</w:t>
      </w:r>
    </w:p>
    <w:p w:rsidR="000F2BD9" w:rsidRDefault="000F2BD9">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914EC0" w:rsidRDefault="00914EC0">
      <w:pPr>
        <w:spacing w:line="600" w:lineRule="exact"/>
        <w:ind w:firstLineChars="200" w:firstLine="640"/>
        <w:rPr>
          <w:rFonts w:ascii="黑体" w:eastAsia="黑体" w:hint="eastAsia"/>
          <w:sz w:val="32"/>
          <w:szCs w:val="32"/>
        </w:rPr>
      </w:pPr>
    </w:p>
    <w:p w:rsidR="000F2BD9" w:rsidRPr="00914EC0" w:rsidRDefault="00927AC3" w:rsidP="00914EC0">
      <w:pPr>
        <w:spacing w:line="600" w:lineRule="exact"/>
        <w:jc w:val="center"/>
        <w:rPr>
          <w:rFonts w:asciiTheme="minorEastAsia" w:hAnsiTheme="minorEastAsia" w:hint="eastAsia"/>
          <w:b/>
          <w:sz w:val="36"/>
          <w:szCs w:val="36"/>
        </w:rPr>
      </w:pPr>
      <w:r w:rsidRPr="00914EC0">
        <w:rPr>
          <w:rFonts w:asciiTheme="minorEastAsia" w:hAnsiTheme="minorEastAsia" w:hint="eastAsia"/>
          <w:b/>
          <w:sz w:val="36"/>
          <w:szCs w:val="36"/>
        </w:rPr>
        <w:lastRenderedPageBreak/>
        <w:t>第四部分</w:t>
      </w:r>
      <w:r w:rsidRPr="00914EC0">
        <w:rPr>
          <w:rFonts w:asciiTheme="minorEastAsia" w:hAnsiTheme="minorEastAsia" w:hint="eastAsia"/>
          <w:b/>
          <w:sz w:val="36"/>
          <w:szCs w:val="36"/>
        </w:rPr>
        <w:t xml:space="preserve"> </w:t>
      </w:r>
      <w:r w:rsidRPr="00914EC0">
        <w:rPr>
          <w:rFonts w:asciiTheme="minorEastAsia" w:hAnsiTheme="minorEastAsia" w:hint="eastAsia"/>
          <w:b/>
          <w:sz w:val="36"/>
          <w:szCs w:val="36"/>
        </w:rPr>
        <w:t>名词解释</w:t>
      </w:r>
    </w:p>
    <w:p w:rsidR="00914EC0" w:rsidRDefault="00914EC0">
      <w:pPr>
        <w:spacing w:line="600" w:lineRule="exact"/>
        <w:ind w:firstLineChars="200" w:firstLine="640"/>
        <w:rPr>
          <w:rFonts w:ascii="黑体" w:eastAsia="黑体"/>
          <w:sz w:val="32"/>
          <w:szCs w:val="32"/>
        </w:rPr>
      </w:pPr>
    </w:p>
    <w:p w:rsidR="000F2BD9" w:rsidRDefault="00927AC3">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一、财政拨款收入</w:t>
      </w:r>
      <w:r>
        <w:rPr>
          <w:rFonts w:ascii="黑体" w:eastAsia="仿宋_GB2312" w:hAnsi="黑体" w:hint="eastAsia"/>
          <w:sz w:val="32"/>
          <w:szCs w:val="32"/>
        </w:rPr>
        <w:t>：</w:t>
      </w:r>
      <w:r>
        <w:rPr>
          <w:rFonts w:ascii="仿宋_GB2312" w:eastAsia="仿宋_GB2312" w:hint="eastAsia"/>
          <w:sz w:val="32"/>
          <w:szCs w:val="32"/>
        </w:rPr>
        <w:t>指由财政拨款形成的部门收入。按现行管理制度，市级部门预算中反映的财政拨款包括一般公共预算收入、政府性基金预算收入和国有资本经营预算收入。</w:t>
      </w:r>
    </w:p>
    <w:p w:rsidR="000F2BD9" w:rsidRDefault="00927AC3">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二、财政专户</w:t>
      </w:r>
      <w:r>
        <w:rPr>
          <w:rFonts w:ascii="楷体_GB2312" w:eastAsia="楷体_GB2312" w:hAnsi="楷体_GB2312" w:cs="楷体_GB2312" w:hint="eastAsia"/>
          <w:sz w:val="32"/>
          <w:szCs w:val="32"/>
        </w:rPr>
        <w:t>管理资金</w:t>
      </w:r>
      <w:r>
        <w:rPr>
          <w:rFonts w:ascii="黑体" w:eastAsia="仿宋_GB2312" w:hAnsi="黑体" w:hint="eastAsia"/>
          <w:sz w:val="32"/>
          <w:szCs w:val="32"/>
        </w:rPr>
        <w:t>：</w:t>
      </w:r>
      <w:r>
        <w:rPr>
          <w:rFonts w:ascii="仿宋_GB2312" w:eastAsia="仿宋_GB2312" w:hint="eastAsia"/>
          <w:sz w:val="32"/>
          <w:szCs w:val="32"/>
        </w:rPr>
        <w:t>指单位纳入财政专户管理的资金。包括：教育收费、社会公益机构接受的公益捐赠收入，以及幼儿园接受的捐赠收入等。</w:t>
      </w:r>
    </w:p>
    <w:p w:rsidR="000F2BD9" w:rsidRDefault="00927AC3">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三、事业收入</w:t>
      </w:r>
      <w:r>
        <w:rPr>
          <w:rFonts w:ascii="黑体" w:eastAsia="仿宋_GB2312" w:hAnsi="黑体" w:hint="eastAsia"/>
          <w:sz w:val="32"/>
          <w:szCs w:val="32"/>
        </w:rPr>
        <w:t>：</w:t>
      </w:r>
      <w:r>
        <w:rPr>
          <w:rFonts w:ascii="仿宋_GB2312" w:eastAsia="仿宋_GB2312" w:hint="eastAsia"/>
          <w:sz w:val="32"/>
          <w:szCs w:val="32"/>
        </w:rPr>
        <w:t>指事业单位开展专业业务活动及辅助活动所取得的收入。如：</w:t>
      </w:r>
      <w:r>
        <w:rPr>
          <w:rFonts w:ascii="仿宋_GB2312" w:eastAsia="仿宋_GB2312" w:hint="eastAsia"/>
          <w:sz w:val="32"/>
          <w:szCs w:val="32"/>
        </w:rPr>
        <w:t>xx</w:t>
      </w:r>
      <w:r>
        <w:rPr>
          <w:rFonts w:ascii="仿宋_GB2312" w:eastAsia="仿宋_GB2312" w:hint="eastAsia"/>
          <w:sz w:val="32"/>
          <w:szCs w:val="32"/>
        </w:rPr>
        <w:t>单位开展</w:t>
      </w:r>
      <w:r>
        <w:rPr>
          <w:rFonts w:ascii="仿宋_GB2312" w:eastAsia="仿宋_GB2312" w:hint="eastAsia"/>
          <w:sz w:val="32"/>
          <w:szCs w:val="32"/>
        </w:rPr>
        <w:t>xx</w:t>
      </w:r>
      <w:r>
        <w:rPr>
          <w:rFonts w:ascii="仿宋_GB2312" w:eastAsia="仿宋_GB2312" w:hint="eastAsia"/>
          <w:sz w:val="32"/>
          <w:szCs w:val="32"/>
        </w:rPr>
        <w:t>活动取得的</w:t>
      </w:r>
      <w:r>
        <w:rPr>
          <w:rFonts w:ascii="仿宋_GB2312" w:eastAsia="仿宋_GB2312" w:hint="eastAsia"/>
          <w:sz w:val="32"/>
          <w:szCs w:val="32"/>
        </w:rPr>
        <w:t>xx</w:t>
      </w:r>
      <w:r>
        <w:rPr>
          <w:rFonts w:ascii="仿宋_GB2312" w:eastAsia="仿宋_GB2312" w:hint="eastAsia"/>
          <w:sz w:val="32"/>
          <w:szCs w:val="32"/>
        </w:rPr>
        <w:t>收入……等。</w:t>
      </w:r>
    </w:p>
    <w:p w:rsidR="000F2BD9" w:rsidRDefault="00927AC3">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四、事业单位经营收入</w:t>
      </w:r>
      <w:r>
        <w:rPr>
          <w:rFonts w:ascii="黑体" w:eastAsia="仿宋_GB2312" w:hAnsi="黑体" w:hint="eastAsia"/>
          <w:sz w:val="32"/>
          <w:szCs w:val="32"/>
        </w:rPr>
        <w:t>：</w:t>
      </w:r>
      <w:r>
        <w:rPr>
          <w:rFonts w:ascii="仿宋_GB2312" w:eastAsia="仿宋_GB2312" w:hint="eastAsia"/>
          <w:sz w:val="32"/>
          <w:szCs w:val="32"/>
        </w:rPr>
        <w:t>指事业单位在专业业务活动及其辅助活动之外开展非独立核算经营活动取得的收入。如</w:t>
      </w:r>
      <w:r>
        <w:rPr>
          <w:rFonts w:ascii="仿宋_GB2312" w:eastAsia="仿宋_GB2312" w:hint="eastAsia"/>
          <w:sz w:val="32"/>
          <w:szCs w:val="32"/>
        </w:rPr>
        <w:t>xx</w:t>
      </w:r>
      <w:r>
        <w:rPr>
          <w:rFonts w:ascii="仿宋_GB2312" w:eastAsia="仿宋_GB2312" w:hint="eastAsia"/>
          <w:sz w:val="32"/>
          <w:szCs w:val="32"/>
        </w:rPr>
        <w:t>单位开展</w:t>
      </w:r>
      <w:r>
        <w:rPr>
          <w:rFonts w:ascii="仿宋_GB2312" w:eastAsia="仿宋_GB2312" w:hint="eastAsia"/>
          <w:sz w:val="32"/>
          <w:szCs w:val="32"/>
        </w:rPr>
        <w:t>xx</w:t>
      </w:r>
      <w:r>
        <w:rPr>
          <w:rFonts w:ascii="仿宋_GB2312" w:eastAsia="仿宋_GB2312" w:hint="eastAsia"/>
          <w:sz w:val="32"/>
          <w:szCs w:val="32"/>
        </w:rPr>
        <w:t>活动取得的</w:t>
      </w:r>
      <w:r>
        <w:rPr>
          <w:rFonts w:ascii="仿宋_GB2312" w:eastAsia="仿宋_GB2312" w:hint="eastAsia"/>
          <w:sz w:val="32"/>
          <w:szCs w:val="32"/>
        </w:rPr>
        <w:t>xx</w:t>
      </w:r>
      <w:r>
        <w:rPr>
          <w:rFonts w:ascii="仿宋_GB2312" w:eastAsia="仿宋_GB2312" w:hint="eastAsia"/>
          <w:sz w:val="32"/>
          <w:szCs w:val="32"/>
        </w:rPr>
        <w:t>收入……等。</w:t>
      </w:r>
    </w:p>
    <w:p w:rsidR="000F2BD9" w:rsidRDefault="00927AC3">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五、其他收入</w:t>
      </w:r>
      <w:r>
        <w:rPr>
          <w:rFonts w:ascii="黑体" w:eastAsia="仿宋_GB2312" w:hAnsi="黑体" w:hint="eastAsia"/>
          <w:sz w:val="32"/>
          <w:szCs w:val="32"/>
        </w:rPr>
        <w:t>：</w:t>
      </w:r>
      <w:r>
        <w:rPr>
          <w:rFonts w:ascii="仿宋_GB2312" w:eastAsia="仿宋_GB2312" w:hint="eastAsia"/>
          <w:sz w:val="32"/>
          <w:szCs w:val="32"/>
        </w:rPr>
        <w:t>指除上述“财政拨款收入”、“事业收入”、“事业单位经营收入”等以外的收入。主要是按规定动用的售房收入、存款利息收入等。</w:t>
      </w:r>
    </w:p>
    <w:p w:rsidR="000F2BD9" w:rsidRDefault="00927AC3">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六、上级补助收入</w:t>
      </w:r>
      <w:r>
        <w:rPr>
          <w:rFonts w:ascii="黑体" w:eastAsia="仿宋_GB2312" w:hAnsi="黑体" w:hint="eastAsia"/>
          <w:sz w:val="32"/>
          <w:szCs w:val="32"/>
        </w:rPr>
        <w:t>：</w:t>
      </w:r>
      <w:r>
        <w:rPr>
          <w:rFonts w:ascii="仿宋_GB2312" w:eastAsia="仿宋_GB2312" w:hint="eastAsia"/>
          <w:sz w:val="32"/>
          <w:szCs w:val="32"/>
        </w:rPr>
        <w:t>指单位从主管部门和上级单位取得的非财政补助收入。</w:t>
      </w:r>
    </w:p>
    <w:p w:rsidR="000F2BD9" w:rsidRDefault="00927AC3">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七、附属单位上缴收入</w:t>
      </w:r>
      <w:r>
        <w:rPr>
          <w:rFonts w:ascii="黑体" w:eastAsia="仿宋_GB2312" w:hAnsi="黑体" w:hint="eastAsia"/>
          <w:sz w:val="32"/>
          <w:szCs w:val="32"/>
        </w:rPr>
        <w:t>：</w:t>
      </w:r>
      <w:r>
        <w:rPr>
          <w:rFonts w:ascii="仿宋_GB2312" w:eastAsia="仿宋_GB2312" w:hint="eastAsia"/>
          <w:sz w:val="32"/>
          <w:szCs w:val="32"/>
        </w:rPr>
        <w:t>指附属独立核算单位按照规定上缴的收入。</w:t>
      </w:r>
    </w:p>
    <w:p w:rsidR="000F2BD9" w:rsidRDefault="00927AC3">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八、用事业基金弥补收支差额</w:t>
      </w:r>
      <w:r>
        <w:rPr>
          <w:rFonts w:ascii="黑体" w:eastAsia="仿宋_GB2312" w:hAnsi="黑体" w:hint="eastAsia"/>
          <w:sz w:val="32"/>
          <w:szCs w:val="32"/>
        </w:rPr>
        <w:t>：</w:t>
      </w:r>
      <w:r>
        <w:rPr>
          <w:rFonts w:ascii="仿宋_GB2312" w:eastAsia="仿宋_GB2312" w:hint="eastAsia"/>
          <w:sz w:val="32"/>
          <w:szCs w:val="32"/>
        </w:rPr>
        <w:t>指事业单位在预计用当年的</w:t>
      </w:r>
      <w:r>
        <w:rPr>
          <w:rFonts w:ascii="仿宋_GB2312" w:eastAsia="仿宋_GB2312" w:hint="eastAsia"/>
          <w:sz w:val="32"/>
          <w:szCs w:val="32"/>
        </w:rPr>
        <w:lastRenderedPageBreak/>
        <w:t>“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rsidR="000F2BD9" w:rsidRDefault="00927AC3">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九、上年结转</w:t>
      </w:r>
      <w:r>
        <w:rPr>
          <w:rFonts w:ascii="黑体" w:eastAsia="仿宋_GB2312" w:hAnsi="黑体" w:hint="eastAsia"/>
          <w:sz w:val="32"/>
          <w:szCs w:val="32"/>
        </w:rPr>
        <w:t>：</w:t>
      </w:r>
      <w:r>
        <w:rPr>
          <w:rFonts w:ascii="仿宋_GB2312" w:eastAsia="仿宋_GB2312" w:hint="eastAsia"/>
          <w:sz w:val="32"/>
          <w:szCs w:val="32"/>
        </w:rPr>
        <w:t>指以前年度尚未完成、结转到本年仍按原规定用途继续使用的资金。</w:t>
      </w:r>
    </w:p>
    <w:p w:rsidR="000F2BD9" w:rsidRDefault="00927AC3">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十、基本支出</w:t>
      </w:r>
      <w:r>
        <w:rPr>
          <w:rFonts w:ascii="黑体" w:eastAsia="仿宋_GB2312" w:hAnsi="黑体" w:hint="eastAsia"/>
          <w:sz w:val="32"/>
          <w:szCs w:val="32"/>
        </w:rPr>
        <w:t>：</w:t>
      </w:r>
      <w:r>
        <w:rPr>
          <w:rFonts w:ascii="仿宋_GB2312" w:eastAsia="仿宋_GB2312" w:hint="eastAsia"/>
          <w:sz w:val="32"/>
          <w:szCs w:val="32"/>
        </w:rPr>
        <w:t>指为保障机构正常运转、完成日常工作任务而发生的人员经费和日常公用经费。</w:t>
      </w:r>
    </w:p>
    <w:p w:rsidR="000F2BD9" w:rsidRDefault="00927AC3">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十一、项目支出</w:t>
      </w:r>
      <w:r>
        <w:rPr>
          <w:rFonts w:ascii="黑体" w:eastAsia="仿宋_GB2312" w:hAnsi="黑体" w:hint="eastAsia"/>
          <w:sz w:val="32"/>
          <w:szCs w:val="32"/>
        </w:rPr>
        <w:t>：</w:t>
      </w:r>
      <w:r>
        <w:rPr>
          <w:rFonts w:ascii="仿宋_GB2312" w:eastAsia="仿宋_GB2312" w:hint="eastAsia"/>
          <w:sz w:val="32"/>
          <w:szCs w:val="32"/>
        </w:rPr>
        <w:t>指在基本支出之外为完成特定任务和事业发展目标所发生的支出。</w:t>
      </w:r>
    </w:p>
    <w:p w:rsidR="000F2BD9" w:rsidRDefault="00927AC3">
      <w:pPr>
        <w:spacing w:line="600" w:lineRule="exact"/>
        <w:ind w:firstLineChars="200" w:firstLine="640"/>
        <w:rPr>
          <w:rFonts w:ascii="黑体" w:eastAsia="仿宋_GB2312"/>
          <w:sz w:val="32"/>
          <w:szCs w:val="32"/>
        </w:rPr>
      </w:pPr>
      <w:r>
        <w:rPr>
          <w:rFonts w:ascii="楷体_GB2312" w:eastAsia="楷体_GB2312" w:hAnsi="楷体_GB2312" w:cs="楷体_GB2312" w:hint="eastAsia"/>
          <w:sz w:val="32"/>
          <w:szCs w:val="32"/>
        </w:rPr>
        <w:t>十二、“三公”经费</w:t>
      </w:r>
      <w:r>
        <w:rPr>
          <w:rFonts w:ascii="黑体" w:eastAsia="仿宋_GB2312" w:hAnsi="黑体" w:hint="eastAsia"/>
          <w:sz w:val="32"/>
          <w:szCs w:val="32"/>
        </w:rPr>
        <w:t>：</w:t>
      </w:r>
      <w:r>
        <w:rPr>
          <w:rFonts w:ascii="仿宋_GB2312" w:eastAsia="仿宋_GB2312" w:hint="eastAsia"/>
          <w:sz w:val="32"/>
          <w:szCs w:val="32"/>
        </w:rPr>
        <w:t>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w:t>
      </w:r>
      <w:r>
        <w:rPr>
          <w:rFonts w:ascii="仿宋_GB2312" w:eastAsia="仿宋_GB2312" w:hint="eastAsia"/>
          <w:sz w:val="32"/>
          <w:szCs w:val="32"/>
        </w:rPr>
        <w:t>费反映单位按规定开支的各类接待（含外宾接待）支出。</w:t>
      </w:r>
    </w:p>
    <w:p w:rsidR="000F2BD9" w:rsidRDefault="00927AC3">
      <w:pPr>
        <w:adjustRightInd w:val="0"/>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十三、机关运行经费</w:t>
      </w:r>
      <w:r>
        <w:rPr>
          <w:rFonts w:ascii="仿宋_GB2312" w:eastAsia="仿宋_GB2312" w:hint="eastAsia"/>
          <w:sz w:val="32"/>
          <w:szCs w:val="32"/>
        </w:rPr>
        <w:t>：为保障行政单位（包括实行公务员管理的事业单位）运行用于购买货物和服务的各项资金，包括办公</w:t>
      </w:r>
      <w:r>
        <w:rPr>
          <w:rFonts w:ascii="仿宋_GB2312" w:eastAsia="仿宋_GB2312" w:hint="eastAsia"/>
          <w:sz w:val="32"/>
          <w:szCs w:val="32"/>
        </w:rPr>
        <w:lastRenderedPageBreak/>
        <w:t>及印刷费、邮电费、差旅费、会议费、福利费、日常维修费、专用材料及一般设备购置费、办公用房水电费、办公用房取暖费、办公用房物业管理费、公务用车运行维护费以及其他费用。</w:t>
      </w:r>
    </w:p>
    <w:sectPr w:rsidR="000F2BD9" w:rsidSect="000E79CB">
      <w:pgSz w:w="11906" w:h="16838"/>
      <w:pgMar w:top="2098" w:right="1474" w:bottom="1985" w:left="1588" w:header="851" w:footer="992" w:gutter="0"/>
      <w:pgNumType w:fmt="numberInDash"/>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AC3" w:rsidRDefault="00927AC3" w:rsidP="000C1FA9">
      <w:r>
        <w:separator/>
      </w:r>
    </w:p>
  </w:endnote>
  <w:endnote w:type="continuationSeparator" w:id="1">
    <w:p w:rsidR="00927AC3" w:rsidRDefault="00927AC3" w:rsidP="000C1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Light">
    <w:altName w:val="Arial Unicode MS"/>
    <w:charset w:val="00"/>
    <w:family w:val="roman"/>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84" w:rsidRDefault="00D178F8">
    <w:pPr>
      <w:pStyle w:val="a4"/>
      <w:rPr>
        <w:rFonts w:hint="eastAsia"/>
      </w:rPr>
    </w:pPr>
    <w:fldSimple w:instr=" PAGE   \* MERGEFORMAT ">
      <w:r w:rsidR="00B02450" w:rsidRPr="00B02450">
        <w:rPr>
          <w:noProof/>
          <w:lang w:val="zh-CN"/>
        </w:rPr>
        <w:t>-</w:t>
      </w:r>
      <w:r w:rsidR="00B02450">
        <w:rPr>
          <w:noProof/>
        </w:rPr>
        <w:t xml:space="preserve"> 30 -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0445"/>
      <w:docPartObj>
        <w:docPartGallery w:val="Page Numbers (Bottom of Page)"/>
        <w:docPartUnique/>
      </w:docPartObj>
    </w:sdtPr>
    <w:sdtContent>
      <w:p w:rsidR="000E79CB" w:rsidRDefault="000E79CB">
        <w:pPr>
          <w:pStyle w:val="a4"/>
          <w:jc w:val="right"/>
        </w:pPr>
        <w:fldSimple w:instr=" PAGE   \* MERGEFORMAT ">
          <w:r w:rsidR="00B02450" w:rsidRPr="00B02450">
            <w:rPr>
              <w:noProof/>
              <w:lang w:val="zh-CN"/>
            </w:rPr>
            <w:t>-</w:t>
          </w:r>
          <w:r w:rsidR="00B02450">
            <w:rPr>
              <w:noProof/>
            </w:rPr>
            <w:t xml:space="preserve"> 21 -</w:t>
          </w:r>
        </w:fldSimple>
      </w:p>
    </w:sdtContent>
  </w:sdt>
  <w:p w:rsidR="007D6E84" w:rsidRDefault="007D6E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AC3" w:rsidRDefault="00927AC3" w:rsidP="000C1FA9">
      <w:r>
        <w:separator/>
      </w:r>
    </w:p>
  </w:footnote>
  <w:footnote w:type="continuationSeparator" w:id="1">
    <w:p w:rsidR="00927AC3" w:rsidRDefault="00927AC3" w:rsidP="000C1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335B9"/>
    <w:multiLevelType w:val="singleLevel"/>
    <w:tmpl w:val="858335B9"/>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327"/>
  <w:displayHorizont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37F1CF4"/>
    <w:rsid w:val="00080032"/>
    <w:rsid w:val="000C1FA9"/>
    <w:rsid w:val="000E79CB"/>
    <w:rsid w:val="000F2BD9"/>
    <w:rsid w:val="001158F7"/>
    <w:rsid w:val="001234B5"/>
    <w:rsid w:val="0018250F"/>
    <w:rsid w:val="001913DC"/>
    <w:rsid w:val="001B040A"/>
    <w:rsid w:val="001B0A25"/>
    <w:rsid w:val="00243689"/>
    <w:rsid w:val="002776EB"/>
    <w:rsid w:val="00280163"/>
    <w:rsid w:val="0035533F"/>
    <w:rsid w:val="003A15F3"/>
    <w:rsid w:val="003B076A"/>
    <w:rsid w:val="003B420F"/>
    <w:rsid w:val="003C65AC"/>
    <w:rsid w:val="00433B22"/>
    <w:rsid w:val="004605BA"/>
    <w:rsid w:val="004B3A52"/>
    <w:rsid w:val="00655923"/>
    <w:rsid w:val="00721848"/>
    <w:rsid w:val="007363FC"/>
    <w:rsid w:val="00764D1A"/>
    <w:rsid w:val="007A3128"/>
    <w:rsid w:val="007D6E84"/>
    <w:rsid w:val="008B50CC"/>
    <w:rsid w:val="008E44A9"/>
    <w:rsid w:val="008E4EC8"/>
    <w:rsid w:val="00914EC0"/>
    <w:rsid w:val="00927AC3"/>
    <w:rsid w:val="00A519F6"/>
    <w:rsid w:val="00B02450"/>
    <w:rsid w:val="00C24A85"/>
    <w:rsid w:val="00C26CF6"/>
    <w:rsid w:val="00CA5D95"/>
    <w:rsid w:val="00D178F8"/>
    <w:rsid w:val="00D47FDA"/>
    <w:rsid w:val="00D97814"/>
    <w:rsid w:val="00EA4E30"/>
    <w:rsid w:val="00F07769"/>
    <w:rsid w:val="00FF06A7"/>
    <w:rsid w:val="037F1CF4"/>
    <w:rsid w:val="09E474C5"/>
    <w:rsid w:val="0A547EE9"/>
    <w:rsid w:val="0D494E07"/>
    <w:rsid w:val="102D79A5"/>
    <w:rsid w:val="14EE4D68"/>
    <w:rsid w:val="17F51DB9"/>
    <w:rsid w:val="1EC719FE"/>
    <w:rsid w:val="20197327"/>
    <w:rsid w:val="22530E15"/>
    <w:rsid w:val="2D574E48"/>
    <w:rsid w:val="34A365F0"/>
    <w:rsid w:val="34F82E04"/>
    <w:rsid w:val="39AD6D20"/>
    <w:rsid w:val="3CBC2F39"/>
    <w:rsid w:val="412A02B9"/>
    <w:rsid w:val="427878C5"/>
    <w:rsid w:val="46BF6DAB"/>
    <w:rsid w:val="480B17C6"/>
    <w:rsid w:val="48D04817"/>
    <w:rsid w:val="4DDD6EEB"/>
    <w:rsid w:val="55AE27EF"/>
    <w:rsid w:val="582D6A36"/>
    <w:rsid w:val="584D0351"/>
    <w:rsid w:val="713776C3"/>
    <w:rsid w:val="73491C92"/>
    <w:rsid w:val="73F7151E"/>
    <w:rsid w:val="7EEA5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2BD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F2BD9"/>
    <w:rPr>
      <w:sz w:val="18"/>
      <w:szCs w:val="18"/>
    </w:rPr>
  </w:style>
  <w:style w:type="paragraph" w:styleId="a4">
    <w:name w:val="footer"/>
    <w:basedOn w:val="a"/>
    <w:link w:val="Char0"/>
    <w:uiPriority w:val="99"/>
    <w:qFormat/>
    <w:rsid w:val="000F2BD9"/>
    <w:pPr>
      <w:tabs>
        <w:tab w:val="center" w:pos="4153"/>
        <w:tab w:val="right" w:pos="8306"/>
      </w:tabs>
      <w:snapToGrid w:val="0"/>
      <w:jc w:val="left"/>
    </w:pPr>
    <w:rPr>
      <w:sz w:val="18"/>
      <w:szCs w:val="18"/>
    </w:rPr>
  </w:style>
  <w:style w:type="paragraph" w:styleId="a5">
    <w:name w:val="header"/>
    <w:basedOn w:val="a"/>
    <w:link w:val="Char1"/>
    <w:qFormat/>
    <w:rsid w:val="000F2BD9"/>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0F2BD9"/>
    <w:rPr>
      <w:b/>
    </w:rPr>
  </w:style>
  <w:style w:type="character" w:customStyle="1" w:styleId="font01">
    <w:name w:val="font01"/>
    <w:basedOn w:val="a0"/>
    <w:qFormat/>
    <w:rsid w:val="000F2BD9"/>
    <w:rPr>
      <w:rFonts w:ascii="宋体" w:eastAsia="宋体" w:hAnsi="宋体" w:cs="宋体" w:hint="eastAsia"/>
      <w:b/>
      <w:color w:val="000000"/>
      <w:sz w:val="44"/>
      <w:szCs w:val="44"/>
      <w:u w:val="none"/>
    </w:rPr>
  </w:style>
  <w:style w:type="character" w:customStyle="1" w:styleId="Char1">
    <w:name w:val="页眉 Char"/>
    <w:basedOn w:val="a0"/>
    <w:link w:val="a5"/>
    <w:qFormat/>
    <w:rsid w:val="000F2BD9"/>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0F2BD9"/>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0F2BD9"/>
    <w:rPr>
      <w:rFonts w:asciiTheme="minorHAnsi" w:eastAsiaTheme="minorEastAsia" w:hAnsiTheme="minorHAnsi" w:cstheme="minorBidi"/>
      <w:kern w:val="2"/>
      <w:sz w:val="18"/>
      <w:szCs w:val="18"/>
    </w:rPr>
  </w:style>
  <w:style w:type="paragraph" w:styleId="a7">
    <w:name w:val="List Paragraph"/>
    <w:basedOn w:val="a"/>
    <w:uiPriority w:val="99"/>
    <w:unhideWhenUsed/>
    <w:qFormat/>
    <w:rsid w:val="000F2BD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958</Words>
  <Characters>5462</Characters>
  <Application>Microsoft Office Word</Application>
  <DocSecurity>0</DocSecurity>
  <Lines>45</Lines>
  <Paragraphs>12</Paragraphs>
  <ScaleCrop>false</ScaleCrop>
  <Company>www.dadighost.com</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大地系统</cp:lastModifiedBy>
  <cp:revision>25</cp:revision>
  <cp:lastPrinted>2018-02-01T01:58:00Z</cp:lastPrinted>
  <dcterms:created xsi:type="dcterms:W3CDTF">2017-03-11T06:45:00Z</dcterms:created>
  <dcterms:modified xsi:type="dcterms:W3CDTF">2018-02-01T02:01:00Z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