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事项类别：</w:t>
      </w:r>
      <w:r>
        <w:rPr>
          <w:rFonts w:hint="eastAsia" w:ascii="楷体_GB2312" w:hAnsi="楷体_GB2312" w:eastAsia="楷体_GB2312" w:cs="楷体_GB2312"/>
          <w:b/>
          <w:sz w:val="32"/>
          <w:szCs w:val="32"/>
          <w:lang w:val="en-US" w:eastAsia="zh-CN"/>
        </w:rPr>
        <w:t>行政许可</w:t>
      </w:r>
    </w:p>
    <w:p>
      <w:pPr>
        <w:adjustRightInd w:val="0"/>
        <w:snapToGrid w:val="0"/>
        <w:rPr>
          <w:rFonts w:hint="default" w:ascii="黑体" w:hAnsi="黑体" w:eastAsia="黑体" w:cs="方正小标宋简体"/>
          <w:sz w:val="32"/>
          <w:szCs w:val="32"/>
        </w:rPr>
      </w:pPr>
      <w:r>
        <w:rPr>
          <w:rFonts w:hint="eastAsia" w:ascii="楷体_GB2312" w:hAnsi="楷体_GB2312" w:eastAsia="楷体_GB2312" w:cs="楷体_GB2312"/>
          <w:b/>
          <w:sz w:val="32"/>
          <w:szCs w:val="32"/>
        </w:rPr>
        <w:t>事项编码：370116010002</w:t>
      </w:r>
    </w:p>
    <w:p>
      <w:pPr>
        <w:rPr>
          <w:rFonts w:hint="default" w:ascii="仿宋_GB2312" w:eastAsia="仿宋_GB2312"/>
          <w:b/>
          <w:sz w:val="32"/>
          <w:szCs w:val="32"/>
        </w:rPr>
      </w:pPr>
    </w:p>
    <w:p>
      <w:pPr>
        <w:jc w:val="center"/>
        <w:rPr>
          <w:sz w:val="44"/>
          <w:szCs w:val="44"/>
        </w:rPr>
      </w:pPr>
      <w:r>
        <w:rPr>
          <w:rFonts w:hint="eastAsia" w:ascii="黑体" w:hAnsi="黑体" w:eastAsia="黑体" w:cs="方正小标宋简体"/>
          <w:sz w:val="32"/>
          <w:szCs w:val="32"/>
        </w:rPr>
        <w:t>枣庄市</w:t>
      </w:r>
      <w:r>
        <w:rPr>
          <w:rFonts w:hint="eastAsia" w:ascii="黑体" w:hAnsi="黑体" w:eastAsia="黑体" w:cs="方正小标宋简体"/>
          <w:sz w:val="32"/>
          <w:szCs w:val="32"/>
          <w:lang w:val="en-US" w:eastAsia="zh-CN"/>
        </w:rPr>
        <w:t>生态环境</w:t>
      </w:r>
      <w:r>
        <w:rPr>
          <w:rFonts w:hint="eastAsia" w:ascii="黑体" w:hAnsi="黑体" w:eastAsia="黑体" w:cs="方正小标宋简体"/>
          <w:sz w:val="32"/>
          <w:szCs w:val="32"/>
        </w:rPr>
        <w:t>局</w:t>
      </w:r>
    </w:p>
    <w:p>
      <w:pPr>
        <w:jc w:val="center"/>
        <w:rPr>
          <w:rFonts w:hint="default" w:ascii="黑体" w:hAnsi="黑体" w:eastAsia="黑体" w:cs="方正小标宋简体"/>
          <w:sz w:val="32"/>
          <w:szCs w:val="32"/>
        </w:rPr>
      </w:pPr>
      <w:r>
        <w:rPr>
          <w:rFonts w:hint="eastAsia" w:ascii="黑体" w:hAnsi="黑体" w:eastAsia="黑体" w:cs="方正小标宋简体"/>
          <w:sz w:val="32"/>
          <w:szCs w:val="32"/>
        </w:rPr>
        <w:t>建设项目环境影响评价审批(环境影响报告</w:t>
      </w:r>
      <w:r>
        <w:rPr>
          <w:rFonts w:hint="eastAsia" w:ascii="黑体" w:hAnsi="黑体" w:eastAsia="黑体" w:cs="方正小标宋简体"/>
          <w:sz w:val="32"/>
          <w:szCs w:val="32"/>
          <w:lang w:val="en-US" w:eastAsia="zh-CN"/>
        </w:rPr>
        <w:t>表</w:t>
      </w:r>
      <w:r>
        <w:rPr>
          <w:rFonts w:hint="eastAsia" w:ascii="黑体" w:hAnsi="黑体" w:eastAsia="黑体" w:cs="方正小标宋简体"/>
          <w:sz w:val="32"/>
          <w:szCs w:val="32"/>
        </w:rPr>
        <w:t>)</w:t>
      </w:r>
    </w:p>
    <w:p>
      <w:pPr>
        <w:adjustRightInd w:val="0"/>
        <w:snapToGrid w:val="0"/>
        <w:jc w:val="center"/>
        <w:rPr>
          <w:rFonts w:hint="default" w:ascii="楷体_GB2312" w:hAnsi="宋体" w:eastAsia="楷体_GB2312"/>
          <w:sz w:val="32"/>
          <w:szCs w:val="32"/>
        </w:rPr>
      </w:pPr>
    </w:p>
    <w:p>
      <w:pPr>
        <w:pStyle w:val="5"/>
        <w:keepNext w:val="0"/>
        <w:keepLines w:val="0"/>
        <w:pageBreakBefore w:val="0"/>
        <w:widowControl w:val="0"/>
        <w:kinsoku/>
        <w:wordWrap/>
        <w:overflowPunct/>
        <w:topLinePunct w:val="0"/>
        <w:autoSpaceDE/>
        <w:autoSpaceDN/>
        <w:adjustRightInd/>
        <w:snapToGrid/>
        <w:spacing w:after="0" w:line="560" w:lineRule="exact"/>
        <w:ind w:left="0" w:leftChars="0"/>
        <w:textAlignment w:val="auto"/>
        <w:rPr>
          <w:rFonts w:hint="default" w:ascii="楷体_GB2312" w:hAnsi="楷体_GB2312" w:eastAsia="楷体_GB2312" w:cs="楷体_GB2312"/>
          <w:b/>
          <w:color w:val="auto"/>
          <w:sz w:val="28"/>
          <w:szCs w:val="28"/>
        </w:rPr>
      </w:pP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（一）事项设定层级：</w:t>
      </w:r>
      <w:r>
        <w:rPr>
          <w:rFonts w:hint="eastAsia" w:ascii="宋体" w:hAnsi="宋体" w:cs="宋体"/>
          <w:color w:val="auto"/>
          <w:sz w:val="28"/>
          <w:szCs w:val="28"/>
          <w:shd w:val="clear" w:color="auto" w:fill="FFFFFF"/>
        </w:rPr>
        <w:t>法律</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（二）设定依据及条款：</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1.《中华人民共和国环境保护法》第十九条：“编制有关开发利用规划，建设对环境有影响的项目，应当依法进行环境影响评价。未依法进行环境影响评价的开发利用规划，不得组织实施；未依法进行环境影响评价的建设项目，不得开工建设。”</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2.《中华人民共和国环境影响评价法》第二十二条：“建设项目的环境影响报告书、报告表，由建设单位按照国务院的规定报有审批权的生态环境主管部门审批。 ...... 审批部门应当自收到环境影响报告书之日起六十日内，收到环境影响报告表之日起三十日内，分别作出审批决定并书面通知建设单位。 国家对环境影响登记表实行备案管理。”</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3.《建设项目环境保护管理条例》第九条：“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4.《山东省环境保护条例》第十八条：“新建、改建、扩建建设项目，应当依法进行环境影响评价。”</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default" w:ascii="宋体" w:hAnsi="宋体" w:cs="宋体"/>
          <w:color w:val="auto"/>
          <w:sz w:val="28"/>
          <w:szCs w:val="28"/>
          <w:shd w:val="clear" w:color="auto" w:fill="FFFFFF"/>
        </w:rPr>
      </w:pPr>
      <w:r>
        <w:rPr>
          <w:rFonts w:hint="eastAsia" w:ascii="宋体" w:hAnsi="宋体" w:cs="宋体"/>
          <w:color w:val="auto"/>
          <w:sz w:val="28"/>
          <w:szCs w:val="28"/>
          <w:shd w:val="clear" w:color="auto" w:fill="FFFFFF"/>
          <w:lang w:val="en-US" w:eastAsia="zh-CN"/>
        </w:rPr>
        <w:t>5.《山东省实施&lt;中华人民共和国环境影响评价法&gt;办法》第十一条：“建设对环境有影响的项目，……组织编制环境影响报告书、环境影响报告表 (以下统称环境影响评价文件)。”；第十三条：“省生态环境行政主管部门负责审批下列建设项目的环境影响评价文件：（一）跨设区的市行政区域的建设项目；（二）法律、法规规定或者国家和省确定由省生态环境行政主管部门负责审批的建设项目。”</w:t>
      </w:r>
      <w:r>
        <w:rPr>
          <w:rFonts w:hint="eastAsia" w:ascii="宋体" w:hAnsi="宋体" w:cs="宋体"/>
          <w:color w:val="auto"/>
          <w:sz w:val="28"/>
          <w:szCs w:val="28"/>
          <w:shd w:val="clear" w:color="auto" w:fill="FFFFFF"/>
        </w:rPr>
        <w:t xml:space="preserve">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textAlignment w:val="auto"/>
        <w:rPr>
          <w:rFonts w:hint="eastAsia" w:ascii="宋体" w:hAnsi="宋体" w:eastAsia="楷体_GB2312" w:cs="宋体"/>
          <w:color w:val="auto"/>
          <w:sz w:val="28"/>
          <w:szCs w:val="28"/>
          <w:shd w:val="clear" w:color="auto" w:fill="FFFFFF"/>
          <w:lang w:val="en-US" w:eastAsia="zh-CN"/>
        </w:rPr>
      </w:pPr>
      <w:r>
        <w:rPr>
          <w:rFonts w:hint="eastAsia" w:ascii="楷体_GB2312" w:hAnsi="楷体_GB2312" w:eastAsia="楷体_GB2312" w:cs="楷体_GB2312"/>
          <w:b/>
          <w:color w:val="auto"/>
          <w:sz w:val="28"/>
          <w:szCs w:val="28"/>
        </w:rPr>
        <w:t>（三）申请主体：</w:t>
      </w:r>
      <w:r>
        <w:rPr>
          <w:rFonts w:hint="eastAsia" w:ascii="楷体_GB2312" w:hAnsi="楷体_GB2312" w:eastAsia="楷体_GB2312" w:cs="楷体_GB2312"/>
          <w:b/>
          <w:color w:val="auto"/>
          <w:sz w:val="28"/>
          <w:szCs w:val="28"/>
        </w:rPr>
        <w:br w:type="textWrapping"/>
      </w:r>
      <w:r>
        <w:rPr>
          <w:rFonts w:hint="eastAsia" w:ascii="楷体_GB2312" w:hAnsi="楷体_GB2312" w:eastAsia="楷体_GB2312" w:cs="楷体_GB2312"/>
          <w:b/>
          <w:color w:val="auto"/>
          <w:sz w:val="28"/>
          <w:szCs w:val="28"/>
          <w:lang w:val="en-US" w:eastAsia="zh-CN"/>
        </w:rPr>
        <w:tab/>
      </w:r>
      <w:r>
        <w:rPr>
          <w:rFonts w:hint="eastAsia" w:ascii="楷体_GB2312" w:hAnsi="楷体_GB2312" w:eastAsia="楷体_GB2312" w:cs="楷体_GB2312"/>
          <w:b/>
          <w:color w:val="auto"/>
          <w:sz w:val="28"/>
          <w:szCs w:val="28"/>
          <w:lang w:val="en-US" w:eastAsia="zh-CN"/>
        </w:rPr>
        <w:t xml:space="preserve"> </w:t>
      </w:r>
      <w:r>
        <w:rPr>
          <w:rFonts w:hint="eastAsia" w:ascii="宋体" w:hAnsi="宋体" w:cs="宋体"/>
          <w:color w:val="auto"/>
          <w:sz w:val="28"/>
          <w:szCs w:val="28"/>
          <w:shd w:val="clear" w:color="auto" w:fill="FFFFFF"/>
          <w:lang w:val="en-US" w:eastAsia="zh-CN"/>
        </w:rPr>
        <w:t>企业法人、事业法人、社团法人、其他组织</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（四）办理条件：</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 xml:space="preserve">1. 符合国家及省级、市级环境保护相关法律法规、有关规范性文件和产业政策； </w:t>
      </w:r>
      <w:r>
        <w:rPr>
          <w:rFonts w:hint="eastAsia" w:ascii="宋体" w:hAnsi="宋体" w:cs="宋体"/>
          <w:color w:val="auto"/>
          <w:sz w:val="28"/>
          <w:szCs w:val="28"/>
          <w:shd w:val="clear" w:color="auto" w:fill="FFFFFF"/>
          <w:lang w:val="en-US" w:eastAsia="zh-CN"/>
        </w:rPr>
        <w:tab/>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2</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符合《建设项目环境影响评价分类管理名录》规定的环境影响报告书环评等级的要求；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3</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按照分级审批权限规定，申请事项属于本级环评审批部门审批的权限范围；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4</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符合建设项目环境影响评价审批原则和</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rPr>
        <w:t xml:space="preserve">禁批”和“限批”的具体规定；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5</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符合相关行业和园区规划环评结论；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6</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符合所在地县级以上生态保护规划和环境功能区划要求；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7</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污染物能够达标排放；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8</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符合污染物排放总量控制要求；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default"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9</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选址、选线环境可行性结论明确可行；</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（五）申请材料名称、来源、数量及介质要求</w:t>
      </w:r>
      <w:r>
        <w:rPr>
          <w:rFonts w:hint="eastAsia" w:ascii="楷体_GB2312" w:hAnsi="楷体_GB2312" w:eastAsia="楷体_GB2312" w:cs="楷体_GB2312"/>
          <w:b/>
          <w:color w:val="auto"/>
          <w:sz w:val="28"/>
          <w:szCs w:val="28"/>
          <w:vertAlign w:val="superscript"/>
          <w:lang w:val="en-US" w:eastAsia="zh-CN"/>
        </w:rPr>
        <w:t>#</w:t>
      </w:r>
      <w:r>
        <w:rPr>
          <w:rFonts w:hint="eastAsia" w:ascii="楷体_GB2312" w:hAnsi="楷体_GB2312" w:eastAsia="楷体_GB2312" w:cs="楷体_GB2312"/>
          <w:b/>
          <w:color w:val="auto"/>
          <w:sz w:val="28"/>
          <w:szCs w:val="28"/>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eastAsia="宋体" w:cs="宋体"/>
          <w:color w:val="auto"/>
          <w:sz w:val="28"/>
          <w:szCs w:val="28"/>
          <w:shd w:val="clear" w:color="auto" w:fill="FFFFFF"/>
          <w:lang w:eastAsia="zh-CN"/>
        </w:rPr>
      </w:pPr>
      <w:r>
        <w:rPr>
          <w:rFonts w:hint="eastAsia" w:ascii="宋体" w:hAnsi="宋体" w:cs="宋体"/>
          <w:color w:val="auto"/>
          <w:sz w:val="28"/>
          <w:szCs w:val="28"/>
          <w:shd w:val="clear" w:color="auto" w:fill="FFFFFF"/>
        </w:rPr>
        <w:t>1.建设项目环境影响报告</w:t>
      </w:r>
      <w:r>
        <w:rPr>
          <w:rFonts w:hint="eastAsia" w:ascii="宋体" w:hAnsi="宋体" w:cs="宋体"/>
          <w:color w:val="auto"/>
          <w:sz w:val="28"/>
          <w:szCs w:val="28"/>
          <w:shd w:val="clear" w:color="auto" w:fill="FFFFFF"/>
          <w:lang w:val="en-US" w:eastAsia="zh-CN"/>
        </w:rPr>
        <w:t>表</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报批</w:t>
      </w:r>
      <w:r>
        <w:rPr>
          <w:rFonts w:hint="eastAsia" w:ascii="宋体" w:hAnsi="宋体" w:eastAsia="仿宋_GB2312" w:cs="宋体"/>
          <w:color w:val="auto"/>
          <w:sz w:val="28"/>
          <w:szCs w:val="28"/>
          <w:shd w:val="clear" w:color="auto" w:fill="FFFFFF"/>
          <w:lang w:val="en-US" w:eastAsia="zh-CN"/>
        </w:rPr>
        <w:t>版纸质</w:t>
      </w:r>
      <w:r>
        <w:rPr>
          <w:rFonts w:hint="eastAsia" w:ascii="宋体" w:hAnsi="宋体" w:eastAsia="仿宋_GB2312" w:cs="宋体"/>
          <w:color w:val="auto"/>
          <w:sz w:val="28"/>
          <w:szCs w:val="28"/>
          <w:shd w:val="clear" w:color="auto" w:fill="FFFFFF"/>
        </w:rPr>
        <w:t>原件</w:t>
      </w:r>
      <w:r>
        <w:rPr>
          <w:rFonts w:hint="eastAsia" w:ascii="宋体" w:hAnsi="宋体" w:eastAsia="仿宋_GB2312" w:cs="宋体"/>
          <w:color w:val="auto"/>
          <w:sz w:val="28"/>
          <w:szCs w:val="28"/>
          <w:shd w:val="clear" w:color="auto" w:fill="FFFFFF"/>
          <w:lang w:val="en-US" w:eastAsia="zh-CN"/>
        </w:rPr>
        <w:t>2</w:t>
      </w:r>
      <w:r>
        <w:rPr>
          <w:rFonts w:hint="eastAsia" w:ascii="宋体" w:hAnsi="宋体" w:eastAsia="仿宋_GB2312" w:cs="宋体"/>
          <w:color w:val="auto"/>
          <w:sz w:val="28"/>
          <w:szCs w:val="28"/>
          <w:shd w:val="clear" w:color="auto" w:fill="FFFFFF"/>
        </w:rPr>
        <w:t>份</w:t>
      </w:r>
      <w:r>
        <w:rPr>
          <w:rFonts w:hint="eastAsia" w:ascii="宋体" w:hAnsi="宋体" w:eastAsia="仿宋_GB2312" w:cs="宋体"/>
          <w:color w:val="auto"/>
          <w:sz w:val="28"/>
          <w:szCs w:val="28"/>
          <w:shd w:val="clear" w:color="auto" w:fill="FFFFFF"/>
          <w:lang w:eastAsia="zh-CN"/>
        </w:rPr>
        <w:t>，</w:t>
      </w:r>
      <w:r>
        <w:rPr>
          <w:rFonts w:hint="eastAsia" w:ascii="宋体" w:hAnsi="宋体" w:eastAsia="仿宋_GB2312" w:cs="宋体"/>
          <w:color w:val="auto"/>
          <w:sz w:val="28"/>
          <w:szCs w:val="28"/>
          <w:shd w:val="clear" w:color="auto" w:fill="FFFFFF"/>
          <w:lang w:val="en-US" w:eastAsia="zh-CN"/>
        </w:rPr>
        <w:t>报</w:t>
      </w:r>
      <w:r>
        <w:rPr>
          <w:rFonts w:hint="eastAsia" w:ascii="宋体" w:hAnsi="宋体" w:cs="宋体"/>
          <w:color w:val="auto"/>
          <w:sz w:val="28"/>
          <w:szCs w:val="28"/>
          <w:shd w:val="clear" w:color="auto" w:fill="FFFFFF"/>
          <w:lang w:val="en-US" w:eastAsia="zh-CN"/>
        </w:rPr>
        <w:t>批版及公示版相应电子版</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2.不宜公开信息的说明</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纸质版</w:t>
      </w:r>
      <w:r>
        <w:rPr>
          <w:rFonts w:hint="eastAsia" w:ascii="宋体" w:hAnsi="宋体" w:cs="宋体"/>
          <w:color w:val="auto"/>
          <w:sz w:val="28"/>
          <w:szCs w:val="28"/>
          <w:shd w:val="clear" w:color="auto" w:fill="FFFFFF"/>
        </w:rPr>
        <w:t>原件</w:t>
      </w:r>
      <w:r>
        <w:rPr>
          <w:rFonts w:hint="eastAsia" w:ascii="宋体" w:hAnsi="宋体" w:cs="宋体"/>
          <w:color w:val="auto"/>
          <w:sz w:val="28"/>
          <w:szCs w:val="28"/>
          <w:shd w:val="clear" w:color="auto" w:fill="FFFFFF"/>
          <w:lang w:val="en-US" w:eastAsia="zh-CN"/>
        </w:rPr>
        <w:t>及相应电子版1</w:t>
      </w:r>
      <w:r>
        <w:rPr>
          <w:rFonts w:hint="eastAsia" w:ascii="宋体" w:hAnsi="宋体" w:cs="宋体"/>
          <w:color w:val="auto"/>
          <w:sz w:val="28"/>
          <w:szCs w:val="28"/>
          <w:shd w:val="clear" w:color="auto" w:fill="FFFFFF"/>
        </w:rPr>
        <w:t>份）</w:t>
      </w:r>
      <w:r>
        <w:rPr>
          <w:rFonts w:hint="eastAsia" w:ascii="宋体" w:hAnsi="宋体" w:cs="宋体"/>
          <w:color w:val="auto"/>
          <w:sz w:val="28"/>
          <w:szCs w:val="28"/>
          <w:shd w:val="clear" w:color="auto" w:fill="FFFFFF"/>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宋体" w:hAnsi="宋体" w:cs="宋体"/>
          <w:color w:val="auto"/>
          <w:sz w:val="28"/>
          <w:szCs w:val="28"/>
        </w:rPr>
      </w:pPr>
      <w:r>
        <w:rPr>
          <w:rFonts w:hint="eastAsia" w:ascii="楷体_GB2312" w:hAnsi="楷体_GB2312" w:eastAsia="楷体_GB2312" w:cs="楷体_GB2312"/>
          <w:b/>
          <w:color w:val="auto"/>
          <w:sz w:val="28"/>
          <w:szCs w:val="28"/>
        </w:rPr>
        <w:t>（六）数量信息：</w:t>
      </w:r>
      <w:r>
        <w:rPr>
          <w:rFonts w:hint="eastAsia" w:ascii="宋体" w:hAnsi="宋体" w:cs="宋体"/>
          <w:color w:val="auto"/>
          <w:sz w:val="28"/>
          <w:szCs w:val="28"/>
          <w:shd w:val="clear" w:color="auto" w:fill="FFFFFF"/>
          <w:lang w:val="en-US" w:eastAsia="zh-CN"/>
        </w:rPr>
        <w:t>无数量限制</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lang w:val="en-US"/>
        </w:rPr>
      </w:pPr>
      <w:r>
        <w:rPr>
          <w:rFonts w:hint="eastAsia" w:ascii="楷体_GB2312" w:hAnsi="楷体_GB2312" w:eastAsia="楷体_GB2312" w:cs="楷体_GB2312"/>
          <w:b/>
          <w:color w:val="auto"/>
          <w:sz w:val="28"/>
          <w:szCs w:val="28"/>
        </w:rPr>
        <w:t>（七）禁止性要求：</w:t>
      </w:r>
      <w:r>
        <w:rPr>
          <w:rFonts w:hint="eastAsia" w:ascii="宋体" w:hAnsi="宋体" w:cs="宋体"/>
          <w:color w:val="auto"/>
          <w:sz w:val="28"/>
          <w:szCs w:val="28"/>
          <w:lang w:val="en-US" w:eastAsia="zh-CN"/>
        </w:rPr>
        <w:t>不符合环境影响评价文件审批要求的不予审批。</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eastAsia"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（八）中介机构和特殊环节:</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宋体" w:hAnsi="宋体" w:eastAsia="仿宋_GB2312" w:cs="宋体"/>
          <w:color w:val="auto"/>
          <w:sz w:val="28"/>
          <w:szCs w:val="28"/>
          <w:lang w:val="en-US" w:eastAsia="zh-CN"/>
        </w:rPr>
      </w:pPr>
      <w:r>
        <w:rPr>
          <w:rFonts w:hint="eastAsia" w:ascii="宋体" w:hAnsi="宋体" w:cs="宋体"/>
          <w:color w:val="auto"/>
          <w:sz w:val="28"/>
          <w:szCs w:val="28"/>
          <w:lang w:val="en-US" w:eastAsia="zh-CN"/>
        </w:rPr>
        <w:t>受理后会结合项目实际进行现场踏勘、专家评审</w:t>
      </w:r>
      <w:r>
        <w:rPr>
          <w:rFonts w:hint="eastAsia" w:ascii="宋体" w:hAnsi="宋体" w:eastAsia="仿宋_GB2312" w:cs="宋体"/>
          <w:color w:val="auto"/>
          <w:sz w:val="28"/>
          <w:szCs w:val="28"/>
          <w:lang w:val="en-US"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（九）办理流程：</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rPr>
        <w:t>1.窗口</w:t>
      </w:r>
      <w:r>
        <w:rPr>
          <w:rFonts w:hint="eastAsia" w:ascii="宋体" w:hAnsi="宋体" w:cs="宋体"/>
          <w:color w:val="auto"/>
          <w:sz w:val="28"/>
          <w:szCs w:val="28"/>
          <w:lang w:val="en-US" w:eastAsia="zh-CN"/>
        </w:rPr>
        <w:t xml:space="preserve">/网上受理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2.公示和审查（受理公示5个工作日）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宋体" w:hAnsi="宋体" w:cs="宋体"/>
          <w:color w:val="auto"/>
          <w:sz w:val="28"/>
          <w:szCs w:val="28"/>
        </w:rPr>
      </w:pPr>
      <w:r>
        <w:rPr>
          <w:rFonts w:hint="eastAsia" w:ascii="宋体" w:hAnsi="宋体" w:cs="宋体"/>
          <w:color w:val="auto"/>
          <w:sz w:val="28"/>
          <w:szCs w:val="28"/>
          <w:lang w:val="en-US" w:eastAsia="zh-CN"/>
        </w:rPr>
        <w:t>3.审批、公示及办结（拟批复公示5个工作日）</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宋体" w:hAnsi="宋体" w:eastAsia="宋体" w:cs="宋体"/>
          <w:color w:val="auto"/>
          <w:sz w:val="28"/>
          <w:szCs w:val="28"/>
          <w:lang w:val="en-US" w:eastAsia="zh-CN"/>
        </w:rPr>
      </w:pPr>
      <w:r>
        <w:rPr>
          <w:rFonts w:hint="eastAsia" w:ascii="楷体_GB2312" w:hAnsi="楷体_GB2312" w:eastAsia="楷体_GB2312" w:cs="楷体_GB2312"/>
          <w:b/>
          <w:color w:val="auto"/>
          <w:sz w:val="28"/>
          <w:szCs w:val="28"/>
        </w:rPr>
        <w:t>（十）办理方式：</w:t>
      </w:r>
      <w:r>
        <w:rPr>
          <w:rFonts w:hint="eastAsia" w:ascii="宋体" w:hAnsi="宋体" w:cs="宋体"/>
          <w:color w:val="auto"/>
          <w:sz w:val="28"/>
          <w:szCs w:val="28"/>
        </w:rPr>
        <w:t>枣庄市市民服务中心</w:t>
      </w:r>
      <w:r>
        <w:rPr>
          <w:rFonts w:hint="eastAsia" w:ascii="宋体" w:hAnsi="宋体" w:cs="宋体"/>
          <w:color w:val="auto"/>
          <w:sz w:val="28"/>
          <w:szCs w:val="28"/>
          <w:lang w:val="en-US" w:eastAsia="zh-CN"/>
        </w:rPr>
        <w:t>C32窗口受理</w:t>
      </w:r>
      <w:r>
        <w:rPr>
          <w:rFonts w:hint="eastAsia" w:ascii="宋体" w:hAnsi="宋体" w:cs="宋体"/>
          <w:color w:val="auto"/>
          <w:sz w:val="28"/>
          <w:szCs w:val="28"/>
        </w:rPr>
        <w:t>办理</w:t>
      </w:r>
      <w:r>
        <w:rPr>
          <w:rFonts w:hint="eastAsia" w:ascii="宋体" w:hAnsi="宋体" w:cs="宋体"/>
          <w:color w:val="auto"/>
          <w:sz w:val="28"/>
          <w:szCs w:val="28"/>
          <w:vertAlign w:val="superscript"/>
          <w:lang w:val="en-US" w:eastAsia="zh-CN"/>
        </w:rPr>
        <w:t>*</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山东省政务服务网枣庄站点网上申报办理；快递申请办理</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楷体_GB2312" w:hAnsi="楷体_GB2312" w:eastAsia="楷体_GB2312" w:cs="楷体_GB2312"/>
          <w:b/>
          <w:color w:val="auto"/>
          <w:sz w:val="28"/>
          <w:szCs w:val="28"/>
        </w:rPr>
        <w:t>（十一）受理窗口</w:t>
      </w:r>
      <w:r>
        <w:rPr>
          <w:rFonts w:hint="eastAsia" w:ascii="楷体_GB2312" w:hAnsi="楷体_GB2312" w:eastAsia="楷体_GB2312" w:cs="楷体_GB2312"/>
          <w:b/>
          <w:color w:val="auto"/>
          <w:sz w:val="28"/>
          <w:szCs w:val="28"/>
          <w:lang w:eastAsia="zh-CN"/>
        </w:rPr>
        <w:t>：</w:t>
      </w:r>
      <w:r>
        <w:rPr>
          <w:rFonts w:hint="eastAsia" w:ascii="宋体" w:hAnsi="宋体" w:cs="宋体"/>
          <w:color w:val="auto"/>
          <w:sz w:val="28"/>
          <w:szCs w:val="28"/>
        </w:rPr>
        <w:t>市民服务中心C</w:t>
      </w:r>
      <w:r>
        <w:rPr>
          <w:rFonts w:hint="eastAsia" w:ascii="宋体" w:hAnsi="宋体" w:cs="宋体"/>
          <w:color w:val="auto"/>
          <w:sz w:val="28"/>
          <w:szCs w:val="28"/>
          <w:lang w:val="en-US" w:eastAsia="zh-CN"/>
        </w:rPr>
        <w:t>32</w:t>
      </w:r>
      <w:r>
        <w:rPr>
          <w:rFonts w:hint="eastAsia" w:ascii="宋体" w:hAnsi="宋体" w:cs="宋体"/>
          <w:color w:val="auto"/>
          <w:sz w:val="28"/>
          <w:szCs w:val="28"/>
        </w:rPr>
        <w:t>窗口</w:t>
      </w:r>
      <w:r>
        <w:rPr>
          <w:rFonts w:hint="eastAsia" w:ascii="宋体" w:hAnsi="宋体" w:cs="宋体"/>
          <w:color w:val="auto"/>
          <w:sz w:val="28"/>
          <w:szCs w:val="28"/>
          <w:vertAlign w:val="superscript"/>
          <w:lang w:val="en-US"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（十二）受理窗口工作时间：</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default" w:ascii="宋体" w:hAnsi="宋体" w:cs="宋体"/>
          <w:color w:val="auto"/>
          <w:sz w:val="28"/>
          <w:szCs w:val="28"/>
        </w:rPr>
      </w:pPr>
      <w:r>
        <w:rPr>
          <w:rFonts w:hint="eastAsia" w:ascii="宋体" w:hAnsi="宋体" w:cs="宋体"/>
          <w:color w:val="auto"/>
          <w:sz w:val="28"/>
          <w:szCs w:val="28"/>
        </w:rPr>
        <w:t>法定工作日：8:40-11:50,13:10-16:50，节假日及按照上级统一部署的特殊情况、不可抗力导致的紧急情况除外。</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（十三）办件类型：</w:t>
      </w:r>
      <w:r>
        <w:rPr>
          <w:rFonts w:hint="eastAsia" w:ascii="宋体" w:hAnsi="宋体" w:cs="宋体"/>
          <w:color w:val="auto"/>
          <w:sz w:val="28"/>
          <w:szCs w:val="28"/>
          <w:lang w:val="en-US" w:eastAsia="zh-CN"/>
        </w:rPr>
        <w:t>承诺件</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（十四）法定期限：</w:t>
      </w:r>
      <w:r>
        <w:rPr>
          <w:rFonts w:hint="eastAsia" w:ascii="宋体" w:hAnsi="宋体" w:cs="宋体"/>
          <w:color w:val="auto"/>
          <w:sz w:val="28"/>
          <w:szCs w:val="28"/>
          <w:lang w:val="en-US" w:eastAsia="zh-CN"/>
        </w:rPr>
        <w:t>3</w:t>
      </w:r>
      <w:r>
        <w:rPr>
          <w:rFonts w:hint="eastAsia" w:ascii="宋体" w:hAnsi="宋体" w:cs="宋体"/>
          <w:color w:val="auto"/>
          <w:sz w:val="28"/>
          <w:szCs w:val="28"/>
        </w:rPr>
        <w:t>0个工作日</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楷体_GB2312" w:hAnsi="楷体_GB2312" w:eastAsia="宋体" w:cs="楷体_GB2312"/>
          <w:b/>
          <w:color w:val="auto"/>
          <w:sz w:val="28"/>
          <w:szCs w:val="28"/>
          <w:lang w:val="en-US" w:eastAsia="zh-CN"/>
        </w:rPr>
      </w:pPr>
      <w:r>
        <w:rPr>
          <w:rFonts w:hint="eastAsia" w:ascii="楷体_GB2312" w:hAnsi="楷体_GB2312" w:eastAsia="楷体_GB2312" w:cs="楷体_GB2312"/>
          <w:b/>
          <w:color w:val="auto"/>
          <w:sz w:val="28"/>
          <w:szCs w:val="28"/>
        </w:rPr>
        <w:t>（十五）承诺期限：</w:t>
      </w:r>
      <w:r>
        <w:rPr>
          <w:rFonts w:hint="eastAsia" w:ascii="宋体" w:hAnsi="宋体" w:eastAsia="楷体_GB2312" w:cs="宋体"/>
          <w:color w:val="auto"/>
          <w:sz w:val="28"/>
          <w:szCs w:val="28"/>
          <w:lang w:val="en-US" w:eastAsia="zh-CN"/>
        </w:rPr>
        <w:t>1</w:t>
      </w:r>
      <w:r>
        <w:rPr>
          <w:rFonts w:hint="eastAsia" w:ascii="宋体" w:hAnsi="宋体" w:cs="宋体"/>
          <w:color w:val="auto"/>
          <w:sz w:val="28"/>
          <w:szCs w:val="28"/>
        </w:rPr>
        <w:t>个工作日</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材料完整齐全，剔除专家评审、报告修改时限</w:t>
      </w:r>
      <w:r>
        <w:rPr>
          <w:rFonts w:hint="eastAsia" w:ascii="宋体" w:hAnsi="宋体" w:cs="宋体"/>
          <w:color w:val="auto"/>
          <w:sz w:val="28"/>
          <w:szCs w:val="28"/>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（十六）是否收费：</w:t>
      </w:r>
      <w:r>
        <w:rPr>
          <w:rFonts w:hint="eastAsia" w:ascii="宋体" w:hAnsi="宋体" w:cs="宋体"/>
          <w:color w:val="auto"/>
          <w:sz w:val="28"/>
          <w:szCs w:val="28"/>
        </w:rPr>
        <w:t>不收费</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eastAsia" w:ascii="宋体" w:hAnsi="宋体" w:eastAsia="仿宋_GB2312" w:cs="宋体"/>
          <w:color w:val="auto"/>
          <w:sz w:val="28"/>
          <w:szCs w:val="28"/>
          <w:lang w:eastAsia="zh-CN"/>
        </w:rPr>
      </w:pPr>
      <w:r>
        <w:rPr>
          <w:rFonts w:hint="eastAsia" w:ascii="楷体_GB2312" w:hAnsi="楷体_GB2312" w:eastAsia="楷体_GB2312" w:cs="楷体_GB2312"/>
          <w:b/>
          <w:color w:val="auto"/>
          <w:sz w:val="28"/>
          <w:szCs w:val="28"/>
        </w:rPr>
        <w:t>（十七）收费依据及标准：</w:t>
      </w:r>
      <w:r>
        <w:rPr>
          <w:rFonts w:hint="eastAsia" w:ascii="宋体" w:hAnsi="宋体" w:eastAsia="仿宋_GB2312" w:cs="宋体"/>
          <w:color w:val="auto"/>
          <w:sz w:val="28"/>
          <w:szCs w:val="28"/>
          <w:lang w:eastAsia="zh-CN"/>
        </w:rPr>
        <w:t>无</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宋体" w:hAnsi="宋体" w:eastAsia="宋体" w:cs="宋体"/>
          <w:color w:val="auto"/>
          <w:sz w:val="28"/>
          <w:szCs w:val="28"/>
          <w:lang w:val="en-US" w:eastAsia="zh-CN"/>
        </w:rPr>
      </w:pPr>
      <w:r>
        <w:rPr>
          <w:rFonts w:hint="eastAsia" w:ascii="楷体_GB2312" w:hAnsi="楷体_GB2312" w:eastAsia="楷体_GB2312" w:cs="楷体_GB2312"/>
          <w:b/>
          <w:color w:val="auto"/>
          <w:sz w:val="28"/>
          <w:szCs w:val="28"/>
        </w:rPr>
        <w:t>（十八）受理部门联系电话：</w:t>
      </w:r>
      <w:r>
        <w:rPr>
          <w:rFonts w:hint="eastAsia" w:ascii="宋体" w:hAnsi="宋体" w:cs="宋体"/>
          <w:color w:val="auto"/>
          <w:sz w:val="28"/>
          <w:szCs w:val="28"/>
        </w:rPr>
        <w:t>0632-3168</w:t>
      </w:r>
      <w:r>
        <w:rPr>
          <w:rFonts w:hint="eastAsia" w:ascii="宋体" w:hAnsi="宋体" w:cs="宋体"/>
          <w:color w:val="auto"/>
          <w:sz w:val="28"/>
          <w:szCs w:val="28"/>
          <w:lang w:val="en-US" w:eastAsia="zh-CN"/>
        </w:rPr>
        <w:t>190</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（十九）办理进程和结果查询：</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eastAsia" w:ascii="宋体" w:hAnsi="宋体" w:cs="宋体"/>
          <w:color w:val="auto"/>
          <w:sz w:val="28"/>
          <w:szCs w:val="28"/>
        </w:rPr>
      </w:pPr>
      <w:r>
        <w:rPr>
          <w:rFonts w:hint="eastAsia" w:ascii="宋体" w:hAnsi="宋体" w:cs="宋体"/>
          <w:color w:val="auto"/>
          <w:sz w:val="28"/>
          <w:szCs w:val="28"/>
        </w:rPr>
        <w:t>山东省政务服务网</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宋体" w:hAnsi="宋体" w:cs="宋体"/>
          <w:color w:val="auto"/>
          <w:spacing w:val="-6"/>
          <w:sz w:val="28"/>
          <w:szCs w:val="28"/>
        </w:rPr>
      </w:pPr>
      <w:r>
        <w:rPr>
          <w:rFonts w:hint="eastAsia" w:ascii="宋体" w:hAnsi="宋体" w:cs="宋体"/>
          <w:color w:val="auto"/>
          <w:spacing w:val="-6"/>
          <w:sz w:val="28"/>
          <w:szCs w:val="28"/>
        </w:rPr>
        <w:t>http://zwfw.sd.gov.cn/col/col1562/index.html</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eastAsia" w:ascii="宋体" w:hAnsi="宋体" w:cs="宋体"/>
          <w:color w:val="auto"/>
          <w:sz w:val="28"/>
          <w:szCs w:val="28"/>
        </w:rPr>
      </w:pPr>
      <w:r>
        <w:rPr>
          <w:rFonts w:hint="eastAsia" w:ascii="楷体_GB2312" w:hAnsi="楷体_GB2312" w:eastAsia="楷体_GB2312" w:cs="楷体_GB2312"/>
          <w:b/>
          <w:color w:val="auto"/>
          <w:sz w:val="28"/>
          <w:szCs w:val="28"/>
        </w:rPr>
        <w:t>（二十）监督部门联系电话：</w:t>
      </w:r>
      <w:r>
        <w:rPr>
          <w:rFonts w:hint="eastAsia" w:ascii="宋体" w:hAnsi="宋体" w:cs="宋体"/>
          <w:color w:val="auto"/>
          <w:sz w:val="28"/>
          <w:szCs w:val="28"/>
        </w:rPr>
        <w:t>枣庄市行政审批服务局0632-3168680</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（二十一）空表、样表下载网址：</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rPr>
        <w:t>山东省政务服务网</w:t>
      </w:r>
      <w:r>
        <w:rPr>
          <w:rFonts w:hint="eastAsia" w:ascii="宋体" w:hAnsi="宋体" w:cs="宋体"/>
          <w:color w:val="auto"/>
          <w:sz w:val="28"/>
          <w:szCs w:val="28"/>
          <w:lang w:val="en-US" w:eastAsia="zh-CN"/>
        </w:rPr>
        <w:t>枣庄站点</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仿宋" w:hAnsi="仿宋" w:eastAsia="仿宋" w:cs="仿宋"/>
          <w:color w:val="auto"/>
          <w:sz w:val="28"/>
          <w:szCs w:val="28"/>
          <w:lang w:val="en-US" w:eastAsia="zh-CN"/>
        </w:rPr>
      </w:pPr>
      <w:r>
        <w:rPr>
          <w:rFonts w:hint="default" w:ascii="宋体" w:hAnsi="宋体" w:cs="宋体"/>
          <w:color w:val="auto"/>
          <w:spacing w:val="-6"/>
          <w:sz w:val="28"/>
          <w:szCs w:val="28"/>
        </w:rPr>
        <w:t>http://zzzwfw.sd.gov.cn/zz/department/departmentHall/departmentHallInfo?id=ZZ370400HB</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枣庄市人民政府关于推进“市县同权”改革调整一批行政许可及关联事项的通知》（枣政发〔2020〕6号），该事项为市县同权事项，申请人选择窗口受理办理时，除市级窗口外，也可就近选择区级窗口进行受理。</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仿宋" w:hAnsi="仿宋" w:eastAsia="仿宋" w:cs="仿宋"/>
          <w:color w:val="auto"/>
          <w:sz w:val="28"/>
          <w:szCs w:val="28"/>
        </w:rPr>
      </w:pPr>
      <w:r>
        <w:rPr>
          <w:rFonts w:hint="eastAsia" w:ascii="仿宋" w:hAnsi="仿宋" w:eastAsia="仿宋" w:cs="仿宋"/>
          <w:color w:val="auto"/>
          <w:sz w:val="28"/>
          <w:szCs w:val="28"/>
        </w:rPr>
        <w:t>本服务指南根据法律法规调整和“放管服”改革要求予以更新，详版请登陆山东政务服务网查询或下载。</w:t>
      </w:r>
    </w:p>
    <w:sectPr>
      <w:footerReference r:id="rId3" w:type="default"/>
      <w:footerReference r:id="rId4" w:type="even"/>
      <w:pgSz w:w="11906" w:h="16838"/>
      <w:pgMar w:top="1440" w:right="1797" w:bottom="1440" w:left="1797"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Arial">
    <w:altName w:val="Times New Roman"/>
    <w:panose1 w:val="00000000000000000000"/>
    <w:charset w:val="00"/>
    <w:family w:val="auto"/>
    <w:pitch w:val="default"/>
    <w:sig w:usb0="E0002AFF" w:usb1="C0007843" w:usb2="00000009" w:usb3="00000000" w:csb0="400001FF" w:csb1="FFFF0000"/>
  </w:font>
  <w:font w:name="Courier New">
    <w:panose1 w:val="02070409020205090404"/>
    <w:charset w:val="00"/>
    <w:family w:val="auto"/>
    <w:pitch w:val="default"/>
    <w:sig w:usb0="E0000EFF" w:usb1="40007843" w:usb2="00000001" w:usb3="00000000" w:csb0="400001BF" w:csb1="DFF70000"/>
  </w:font>
  <w:font w:name="Symbol">
    <w:panose1 w:val="02000609000000000000"/>
    <w:charset w:val="00"/>
    <w:family w:val="auto"/>
    <w:pitch w:val="default"/>
    <w:sig w:usb0="800000AF" w:usb1="4000204A" w:usb2="00000000" w:usb3="00000000" w:csb0="20000000" w:csb1="00000000"/>
  </w:font>
  <w:font w:name="Cambria Math">
    <w:altName w:val="DejaVu Math TeX Gyre"/>
    <w:panose1 w:val="00000000000000000000"/>
    <w:charset w:val="00"/>
    <w:family w:val="auto"/>
    <w:pitch w:val="default"/>
    <w:sig w:usb0="E00006FF" w:usb1="420024FF" w:usb2="02000000" w:usb3="00000000" w:csb0="2000019F" w:csb1="00000000"/>
  </w:font>
  <w:font w:name="Cambria">
    <w:altName w:val="汉仪中秀体简"/>
    <w:panose1 w:val="00000000000000000000"/>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w:altName w:val="汉仪仿宋S"/>
    <w:panose1 w:val="00000000000000000000"/>
    <w:charset w:val="00"/>
    <w:family w:val="auto"/>
    <w:pitch w:val="default"/>
    <w:sig w:usb0="00000000" w:usb1="00000000" w:usb2="00000000" w:usb3="00000000" w:csb0="00000000" w:csb1="00000000"/>
  </w:font>
  <w:font w:name="FangSong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汉仪中秀体简">
    <w:panose1 w:val="00020600040101010101"/>
    <w:charset w:val="86"/>
    <w:family w:val="auto"/>
    <w:pitch w:val="default"/>
    <w:sig w:usb0="A00002BF" w:usb1="1A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right"/>
      <w:rPr>
        <w:sz w:val="21"/>
        <w:szCs w:val="22"/>
      </w:rPr>
    </w:pPr>
    <w:r>
      <w:rPr>
        <w:rStyle w:val="12"/>
        <w:rFonts w:hint="eastAsia" w:ascii="宋体" w:hAnsi="宋体"/>
        <w:sz w:val="28"/>
        <w:szCs w:val="28"/>
      </w:rPr>
      <w:t>—</w:t>
    </w:r>
    <w:r>
      <w:rPr>
        <w:rStyle w:val="12"/>
        <w:rFonts w:hint="default" w:ascii="宋体" w:hAnsi="宋体"/>
        <w:sz w:val="28"/>
        <w:szCs w:val="28"/>
      </w:rPr>
      <w:fldChar w:fldCharType="begin"/>
    </w:r>
    <w:r>
      <w:rPr>
        <w:rStyle w:val="12"/>
        <w:rFonts w:hint="default" w:ascii="宋体" w:hAnsi="宋体"/>
        <w:sz w:val="28"/>
        <w:szCs w:val="28"/>
      </w:rPr>
      <w:instrText xml:space="preserve">PAGE  </w:instrText>
    </w:r>
    <w:r>
      <w:rPr>
        <w:rStyle w:val="12"/>
        <w:rFonts w:hint="default" w:ascii="宋体" w:hAnsi="宋体"/>
        <w:sz w:val="28"/>
        <w:szCs w:val="28"/>
      </w:rPr>
      <w:fldChar w:fldCharType="separate"/>
    </w:r>
    <w:r>
      <w:rPr>
        <w:rStyle w:val="12"/>
        <w:rFonts w:hint="default" w:ascii="宋体" w:hAnsi="宋体"/>
        <w:sz w:val="28"/>
        <w:szCs w:val="28"/>
      </w:rPr>
      <w:t>1</w:t>
    </w:r>
    <w:r>
      <w:rPr>
        <w:rStyle w:val="12"/>
        <w:rFonts w:hint="default" w:ascii="宋体" w:hAnsi="宋体"/>
        <w:sz w:val="28"/>
        <w:szCs w:val="28"/>
      </w:rPr>
      <w:fldChar w:fldCharType="end"/>
    </w:r>
    <w:r>
      <w:rPr>
        <w:rStyle w:val="12"/>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sz w:val="21"/>
        <w:szCs w:val="22"/>
      </w:rPr>
    </w:pPr>
    <w:r>
      <w:rPr>
        <w:rStyle w:val="12"/>
        <w:rFonts w:hint="eastAsia" w:ascii="宋体" w:hAnsi="宋体"/>
        <w:sz w:val="28"/>
        <w:szCs w:val="28"/>
      </w:rPr>
      <w:t>—</w:t>
    </w:r>
    <w:r>
      <w:rPr>
        <w:rStyle w:val="12"/>
        <w:rFonts w:hint="default" w:ascii="宋体" w:hAnsi="宋体"/>
        <w:sz w:val="28"/>
        <w:szCs w:val="28"/>
      </w:rPr>
      <w:fldChar w:fldCharType="begin"/>
    </w:r>
    <w:r>
      <w:rPr>
        <w:rStyle w:val="12"/>
        <w:rFonts w:hint="default" w:ascii="宋体" w:hAnsi="宋体"/>
        <w:sz w:val="28"/>
        <w:szCs w:val="28"/>
      </w:rPr>
      <w:instrText xml:space="preserve">PAGE  </w:instrText>
    </w:r>
    <w:r>
      <w:rPr>
        <w:rStyle w:val="12"/>
        <w:rFonts w:hint="default" w:ascii="宋体" w:hAnsi="宋体"/>
        <w:sz w:val="28"/>
        <w:szCs w:val="28"/>
      </w:rPr>
      <w:fldChar w:fldCharType="separate"/>
    </w:r>
    <w:r>
      <w:rPr>
        <w:rStyle w:val="12"/>
        <w:rFonts w:hint="default" w:ascii="宋体" w:hAnsi="宋体"/>
        <w:sz w:val="28"/>
        <w:szCs w:val="28"/>
      </w:rPr>
      <w:t>2</w:t>
    </w:r>
    <w:r>
      <w:rPr>
        <w:rStyle w:val="12"/>
        <w:rFonts w:hint="default" w:ascii="宋体" w:hAnsi="宋体"/>
        <w:sz w:val="28"/>
        <w:szCs w:val="28"/>
      </w:rPr>
      <w:fldChar w:fldCharType="end"/>
    </w:r>
    <w:r>
      <w:rPr>
        <w:rStyle w:val="12"/>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BCD4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default" w:ascii="Calibri" w:hAnsi="Calibri"/>
      <w:kern w:val="2"/>
      <w:sz w:val="21"/>
      <w:szCs w:val="22"/>
      <w:lang w:val="en-US" w:eastAsia="zh-CN"/>
    </w:rPr>
  </w:style>
  <w:style w:type="paragraph" w:styleId="2">
    <w:name w:val="heading 2"/>
    <w:basedOn w:val="1"/>
    <w:next w:val="1"/>
    <w:link w:val="19"/>
    <w:uiPriority w:val="0"/>
    <w:pPr>
      <w:keepNext/>
      <w:keepLines/>
      <w:spacing w:before="260" w:after="260" w:line="416" w:lineRule="auto"/>
      <w:outlineLvl w:val="1"/>
    </w:pPr>
    <w:rPr>
      <w:rFonts w:hint="default" w:ascii="Cambria" w:hAnsi="Cambria"/>
      <w:b/>
      <w:kern w:val="0"/>
      <w:sz w:val="32"/>
      <w:szCs w:val="32"/>
    </w:rPr>
  </w:style>
  <w:style w:type="paragraph" w:styleId="3">
    <w:name w:val="heading 3"/>
    <w:basedOn w:val="1"/>
    <w:next w:val="1"/>
    <w:link w:val="20"/>
    <w:uiPriority w:val="0"/>
    <w:pPr>
      <w:keepNext/>
      <w:keepLines/>
      <w:spacing w:before="260" w:after="260" w:line="416" w:lineRule="auto"/>
      <w:outlineLvl w:val="2"/>
    </w:pPr>
    <w:rPr>
      <w:b/>
      <w:kern w:val="0"/>
      <w:sz w:val="32"/>
      <w:szCs w:val="32"/>
    </w:rPr>
  </w:style>
  <w:style w:type="character" w:default="1" w:styleId="11">
    <w:name w:val="Default Paragraph Font"/>
    <w:uiPriority w:val="0"/>
  </w:style>
  <w:style w:type="table" w:default="1" w:styleId="10">
    <w:name w:val="Normal Table"/>
    <w:uiPriority w:val="0"/>
    <w:rPr>
      <w:lang w:val="en-US" w:eastAsia="zh-CN"/>
    </w:rPr>
    <w:tblPr>
      <w:tblCellMar>
        <w:top w:w="0" w:type="dxa"/>
        <w:left w:w="108" w:type="dxa"/>
        <w:bottom w:w="0" w:type="dxa"/>
        <w:right w:w="108" w:type="dxa"/>
      </w:tblCellMar>
    </w:tblPr>
  </w:style>
  <w:style w:type="paragraph" w:styleId="4">
    <w:name w:val="toc 3"/>
    <w:basedOn w:val="1"/>
    <w:next w:val="1"/>
    <w:uiPriority w:val="0"/>
    <w:pPr>
      <w:ind w:left="840" w:leftChars="400"/>
    </w:pPr>
    <w:rPr>
      <w:rFonts w:hint="default" w:ascii="Times New Roman" w:hAnsi="Times New Roman" w:eastAsia="仿宋_GB2312"/>
      <w:szCs w:val="24"/>
    </w:rPr>
  </w:style>
  <w:style w:type="paragraph" w:styleId="5">
    <w:name w:val="Body Text Indent 2"/>
    <w:basedOn w:val="1"/>
    <w:link w:val="22"/>
    <w:uiPriority w:val="0"/>
    <w:pPr>
      <w:spacing w:after="120" w:line="480" w:lineRule="auto"/>
      <w:ind w:left="420" w:leftChars="200"/>
    </w:pPr>
    <w:rPr>
      <w:rFonts w:hint="default" w:ascii="Times New Roman" w:hAnsi="Times New Roman"/>
      <w:kern w:val="0"/>
      <w:sz w:val="20"/>
      <w:szCs w:val="24"/>
    </w:rPr>
  </w:style>
  <w:style w:type="paragraph" w:styleId="6">
    <w:name w:val="Balloon Text"/>
    <w:basedOn w:val="1"/>
    <w:link w:val="23"/>
    <w:uiPriority w:val="0"/>
    <w:rPr>
      <w:sz w:val="18"/>
      <w:szCs w:val="18"/>
    </w:rPr>
  </w:style>
  <w:style w:type="paragraph" w:styleId="7">
    <w:name w:val="footer"/>
    <w:basedOn w:val="1"/>
    <w:link w:val="17"/>
    <w:uiPriority w:val="0"/>
    <w:pPr>
      <w:snapToGrid w:val="0"/>
      <w:jc w:val="left"/>
    </w:pPr>
    <w:rPr>
      <w:rFonts w:hint="default" w:ascii="Times New Roman" w:hAnsi="Times New Roman"/>
      <w:kern w:val="0"/>
      <w:sz w:val="18"/>
      <w:szCs w:val="18"/>
    </w:rPr>
  </w:style>
  <w:style w:type="paragraph" w:styleId="8">
    <w:name w:val="header"/>
    <w:basedOn w:val="1"/>
    <w:link w:val="16"/>
    <w:uiPriority w:val="0"/>
    <w:pPr>
      <w:pBdr>
        <w:bottom w:val="single" w:color="auto" w:sz="6" w:space="1"/>
      </w:pBdr>
      <w:snapToGrid w:val="0"/>
      <w:jc w:val="center"/>
    </w:pPr>
    <w:rPr>
      <w:rFonts w:hint="default" w:ascii="Times New Roman" w:hAnsi="Times New Roman"/>
      <w:kern w:val="0"/>
      <w:sz w:val="18"/>
      <w:szCs w:val="18"/>
    </w:rPr>
  </w:style>
  <w:style w:type="paragraph" w:styleId="9">
    <w:name w:val="toc 2"/>
    <w:basedOn w:val="1"/>
    <w:next w:val="1"/>
    <w:uiPriority w:val="0"/>
    <w:pPr>
      <w:ind w:left="420" w:leftChars="200"/>
    </w:pPr>
    <w:rPr>
      <w:rFonts w:hint="default" w:ascii="Times New Roman" w:hAnsi="Times New Roman" w:eastAsia="仿宋_GB2312"/>
      <w:szCs w:val="24"/>
    </w:rPr>
  </w:style>
  <w:style w:type="character" w:styleId="12">
    <w:name w:val="page number"/>
    <w:basedOn w:val="11"/>
    <w:uiPriority w:val="0"/>
  </w:style>
  <w:style w:type="character" w:styleId="13">
    <w:name w:val="FollowedHyperlink"/>
    <w:basedOn w:val="11"/>
    <w:uiPriority w:val="0"/>
    <w:rPr>
      <w:color w:val="000000"/>
      <w:u w:val="none"/>
    </w:rPr>
  </w:style>
  <w:style w:type="character" w:styleId="14">
    <w:name w:val="Hyperlink"/>
    <w:uiPriority w:val="0"/>
    <w:rPr>
      <w:color w:val="0000FF"/>
      <w:u w:val="single"/>
    </w:rPr>
  </w:style>
  <w:style w:type="paragraph" w:customStyle="1" w:styleId="15">
    <w:name w:val="列出段落1"/>
    <w:basedOn w:val="1"/>
    <w:uiPriority w:val="0"/>
    <w:pPr>
      <w:ind w:firstLine="420" w:firstLineChars="200"/>
    </w:pPr>
  </w:style>
  <w:style w:type="character" w:customStyle="1" w:styleId="16">
    <w:name w:val="页眉 Char"/>
    <w:link w:val="8"/>
    <w:uiPriority w:val="0"/>
    <w:rPr>
      <w:sz w:val="18"/>
      <w:szCs w:val="18"/>
    </w:rPr>
  </w:style>
  <w:style w:type="character" w:customStyle="1" w:styleId="17">
    <w:name w:val="页脚 Char"/>
    <w:link w:val="7"/>
    <w:uiPriority w:val="0"/>
    <w:rPr>
      <w:sz w:val="18"/>
      <w:szCs w:val="18"/>
    </w:rPr>
  </w:style>
  <w:style w:type="paragraph" w:customStyle="1" w:styleId="18">
    <w:name w:val="封面标准名称"/>
    <w:basedOn w:val="1"/>
    <w:uiPriority w:val="0"/>
    <w:pPr>
      <w:spacing w:line="680" w:lineRule="exact"/>
      <w:jc w:val="center"/>
    </w:pPr>
    <w:rPr>
      <w:rFonts w:hint="eastAsia" w:ascii="黑体" w:hAnsi="Times New Roman" w:eastAsia="黑体"/>
      <w:kern w:val="0"/>
      <w:sz w:val="52"/>
      <w:szCs w:val="20"/>
    </w:rPr>
  </w:style>
  <w:style w:type="character" w:customStyle="1" w:styleId="19">
    <w:name w:val="标题 2 Char"/>
    <w:link w:val="2"/>
    <w:uiPriority w:val="0"/>
    <w:rPr>
      <w:rFonts w:hint="default" w:ascii="Cambria" w:hAnsi="Cambria" w:eastAsia="宋体" w:cs="Times New Roman"/>
      <w:b/>
      <w:sz w:val="32"/>
      <w:szCs w:val="32"/>
    </w:rPr>
  </w:style>
  <w:style w:type="character" w:customStyle="1" w:styleId="20">
    <w:name w:val="标题 3 Char"/>
    <w:link w:val="3"/>
    <w:uiPriority w:val="0"/>
    <w:rPr>
      <w:rFonts w:hint="default" w:ascii="Calibri" w:hAnsi="Calibri" w:eastAsia="宋体" w:cs="Times New Roman"/>
      <w:b/>
      <w:sz w:val="32"/>
      <w:szCs w:val="32"/>
    </w:rPr>
  </w:style>
  <w:style w:type="paragraph" w:customStyle="1" w:styleId="21">
    <w:name w:val="正文 New"/>
    <w:uiPriority w:val="0"/>
    <w:pPr>
      <w:widowControl w:val="0"/>
      <w:jc w:val="both"/>
    </w:pPr>
    <w:rPr>
      <w:kern w:val="2"/>
      <w:sz w:val="21"/>
      <w:lang w:val="en-US" w:eastAsia="zh-CN"/>
    </w:rPr>
  </w:style>
  <w:style w:type="character" w:customStyle="1" w:styleId="22">
    <w:name w:val="正文文本缩进 2 Char"/>
    <w:link w:val="5"/>
    <w:uiPriority w:val="0"/>
    <w:rPr>
      <w:rFonts w:hint="default" w:ascii="Times New Roman" w:hAnsi="Times New Roman" w:eastAsia="宋体" w:cs="Times New Roman"/>
      <w:szCs w:val="24"/>
    </w:rPr>
  </w:style>
  <w:style w:type="character" w:customStyle="1" w:styleId="23">
    <w:name w:val="批注框文本 Char"/>
    <w:link w:val="6"/>
    <w:uiPriority w:val="0"/>
    <w:rPr>
      <w:rFonts w:hint="default"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1</Pages>
  <Words>159</Words>
  <Characters>911</Characters>
  <Lines>7</Lines>
  <Paragraphs>2</Paragraphs>
  <TotalTime>17</TotalTime>
  <ScaleCrop>false</ScaleCrop>
  <LinksUpToDate>false</LinksUpToDate>
  <CharactersWithSpaces>1068</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2018-08-17T16:29:00Z</dcterms:created>
  <dc:creator>NTKO</dc:creator>
  <cp:lastModifiedBy>user</cp:lastModifiedBy>
  <cp:lastPrinted>2018-08-08T10:09:00Z</cp:lastPrinted>
  <dcterms:modified xsi:type="dcterms:W3CDTF">2022-03-11T11:03:32Z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