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28"/>
          <w:szCs w:val="28"/>
          <w:lang w:val="en-US" w:eastAsia="zh-CN"/>
        </w:rPr>
      </w:pPr>
      <w:bookmarkStart w:id="0" w:name="_Toc139812164"/>
      <w:bookmarkStart w:id="1" w:name="_Toc139484602"/>
      <w:bookmarkStart w:id="2" w:name="_Toc456274952"/>
      <w:r>
        <w:rPr>
          <w:rFonts w:hint="default" w:ascii="黑体" w:hAnsi="黑体" w:eastAsia="黑体" w:cs="黑体"/>
          <w:sz w:val="28"/>
          <w:szCs w:val="28"/>
          <w:lang w:val="en-US" w:eastAsia="zh-CN"/>
        </w:rPr>
        <w:t>附</w:t>
      </w:r>
      <w:r>
        <w:rPr>
          <w:rFonts w:hint="eastAsia" w:ascii="黑体" w:hAnsi="黑体" w:eastAsia="黑体" w:cs="黑体"/>
          <w:sz w:val="28"/>
          <w:szCs w:val="28"/>
          <w:lang w:val="en-US" w:eastAsia="zh-CN"/>
        </w:rPr>
        <w:t>件3</w:t>
      </w:r>
    </w:p>
    <w:p>
      <w:pPr>
        <w:jc w:val="left"/>
        <w:rPr>
          <w:rFonts w:hint="default" w:ascii="Times New Roman" w:hAnsi="Times New Roman" w:eastAsia="黑体" w:cs="Times New Roman"/>
          <w:color w:val="auto"/>
          <w:sz w:val="24"/>
          <w:szCs w:val="24"/>
          <w:lang w:val="en-US" w:eastAsia="zh-CN"/>
        </w:rPr>
      </w:pPr>
    </w:p>
    <w:bookmarkEnd w:id="0"/>
    <w:bookmarkEnd w:id="1"/>
    <w:bookmarkEnd w:id="2"/>
    <w:p>
      <w:pPr>
        <w:jc w:val="center"/>
        <w:rPr>
          <w:rFonts w:hint="default" w:ascii="Times New Roman" w:hAnsi="Times New Roman" w:eastAsia="黑体" w:cs="Times New Roman"/>
          <w:color w:val="auto"/>
          <w:sz w:val="24"/>
          <w:szCs w:val="24"/>
        </w:rPr>
      </w:pPr>
      <w:r>
        <w:rPr>
          <w:rFonts w:hint="default" w:ascii="方正小标宋简体" w:hAnsi="方正小标宋简体" w:eastAsia="方正小标宋简体" w:cs="方正小标宋简体"/>
          <w:sz w:val="44"/>
          <w:szCs w:val="44"/>
          <w:lang w:val="en-US" w:eastAsia="zh-CN"/>
        </w:rPr>
        <w:t>枣庄市市级生态环境准入清单（2024年版）</w:t>
      </w:r>
    </w:p>
    <w:tbl>
      <w:tblPr>
        <w:tblStyle w:val="13"/>
        <w:tblW w:w="4923"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124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8" w:type="pct"/>
            <w:vAlign w:val="center"/>
          </w:tcPr>
          <w:p>
            <w:pPr>
              <w:widowControl/>
              <w:adjustRightInd w:val="0"/>
              <w:snapToGrid w:val="0"/>
              <w:spacing w:line="240" w:lineRule="auto"/>
              <w:ind w:firstLine="0" w:firstLineChars="0"/>
              <w:jc w:val="center"/>
              <w:textAlignment w:val="center"/>
              <w:rPr>
                <w:rFonts w:hint="eastAsia" w:ascii="黑体" w:hAnsi="黑体" w:eastAsia="黑体" w:cs="黑体"/>
                <w:b w:val="0"/>
                <w:bCs/>
                <w:color w:val="auto"/>
                <w:sz w:val="21"/>
                <w:szCs w:val="21"/>
                <w:lang w:bidi="ar"/>
              </w:rPr>
            </w:pPr>
            <w:r>
              <w:rPr>
                <w:rFonts w:hint="eastAsia" w:ascii="黑体" w:hAnsi="黑体" w:eastAsia="黑体" w:cs="黑体"/>
                <w:b w:val="0"/>
                <w:bCs/>
                <w:color w:val="auto"/>
                <w:sz w:val="21"/>
                <w:szCs w:val="21"/>
                <w:lang w:bidi="ar"/>
              </w:rPr>
              <w:t>管控类型</w:t>
            </w:r>
          </w:p>
        </w:tc>
        <w:tc>
          <w:tcPr>
            <w:tcW w:w="4711" w:type="pct"/>
            <w:vAlign w:val="center"/>
          </w:tcPr>
          <w:p>
            <w:pPr>
              <w:widowControl/>
              <w:adjustRightInd w:val="0"/>
              <w:snapToGrid w:val="0"/>
              <w:spacing w:line="240" w:lineRule="auto"/>
              <w:ind w:firstLine="0" w:firstLineChars="0"/>
              <w:jc w:val="center"/>
              <w:rPr>
                <w:rFonts w:hint="eastAsia" w:ascii="黑体" w:hAnsi="黑体" w:eastAsia="黑体" w:cs="黑体"/>
                <w:b w:val="0"/>
                <w:bCs/>
                <w:color w:val="auto"/>
                <w:kern w:val="0"/>
                <w:sz w:val="21"/>
                <w:szCs w:val="21"/>
                <w:lang w:val="en-US" w:eastAsia="zh-CN" w:bidi="ar"/>
              </w:rPr>
            </w:pPr>
            <w:r>
              <w:rPr>
                <w:rFonts w:hint="eastAsia" w:ascii="黑体" w:hAnsi="黑体" w:eastAsia="黑体" w:cs="黑体"/>
                <w:b w:val="0"/>
                <w:bCs/>
                <w:color w:val="auto"/>
                <w:kern w:val="0"/>
                <w:sz w:val="21"/>
                <w:szCs w:val="21"/>
                <w:lang w:val="en-US" w:eastAsia="zh-CN" w:bidi="ar"/>
              </w:rPr>
              <w:t>管控要求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8" w:type="pct"/>
            <w:vAlign w:val="center"/>
          </w:tcPr>
          <w:p>
            <w:pPr>
              <w:widowControl/>
              <w:adjustRightInd w:val="0"/>
              <w:snapToGrid w:val="0"/>
              <w:spacing w:line="240" w:lineRule="auto"/>
              <w:ind w:firstLine="0" w:firstLineChars="0"/>
              <w:jc w:val="center"/>
              <w:textAlignment w:val="center"/>
              <w:rPr>
                <w:rFonts w:hint="eastAsia" w:ascii="仿宋_GB2312" w:hAnsi="仿宋_GB2312" w:eastAsia="仿宋_GB2312" w:cs="仿宋_GB2312"/>
                <w:b w:val="0"/>
                <w:bCs w:val="0"/>
                <w:color w:val="auto"/>
                <w:sz w:val="21"/>
                <w:szCs w:val="21"/>
              </w:rPr>
            </w:pPr>
            <w:r>
              <w:rPr>
                <w:rFonts w:hint="eastAsia" w:ascii="楷体" w:hAnsi="楷体" w:eastAsia="楷体" w:cs="楷体"/>
                <w:b w:val="0"/>
                <w:bCs w:val="0"/>
                <w:color w:val="auto"/>
                <w:sz w:val="21"/>
                <w:szCs w:val="21"/>
                <w:lang w:bidi="ar"/>
              </w:rPr>
              <w:t>空间布局约束</w:t>
            </w:r>
          </w:p>
        </w:tc>
        <w:tc>
          <w:tcPr>
            <w:tcW w:w="4711" w:type="pct"/>
            <w:vAlign w:val="center"/>
          </w:tcPr>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生态保护红线，以及各类保护区严格按照相关法律法规实行严格保护。一般生态空间原则上按限制开发区域的要求进行管理，按照生态空间用途分区，依法依规对允许、限制、禁止的产业和项目类型实施准入管控。对自然保护区核心保护区用地实行特别保护和管制。</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对自然保护区设立之前已经存在的工矿企业以及保护区设立之后各项手续完备且已征得主管部门同意设立的探矿权、采矿权、取水权，分类提出差别化的补偿和退出方案，依法退出核心保护区，开展生态修复；新建矿山除应符合国家有关法律、法规外，还必须严格遵循山东省生态红线保护规划。规范保护区内原有居民的生产、生活，对确需搬迁的村庄村落，科学制定搬迁方案。依法使用自然保护区内土地的单位和个人，不得擅自改变土地用途、扩大使用面积。</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实行湿地面积总量管控，严格湿地用途监管，增强湿地生态功能，全面提升湿地保护与修复水平。重要湿地保护区按照《国家级自然公园管理办法》《湿地保护管理规定》《山东省湿地保护办法》《山东省地方级自然公园管理办法》等有关规定执行。严控以任何形式围垦湖泊、违法占用湖泊水域。坚决清理整治围垦湖泊、侵占水域以及非法排污、养殖、采砂、设障、捕捞、取用水等活动。距南四湖湖堤15公里范围内加强畜禽养殖、水产养殖及从事其他各种污染水质行为的监督管控力度。严格控制跨湖泊、穿湖泊、临湖泊建筑物和设施建设，确需建设的重大项目和民生工程，要优化工程建设方案，采取科学合理的恢复和补救措施，最大限度减少对湖泊的不利影响。</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4、饮用水水源地保护区范围内，按照《中华人民共和国水污染防治法》《饮用水水源保护区污染防治管理规定》《山东省水污染防治条例》等有关规定，禁止在饮用水水源一级保护区内新建、改建、扩建与供水设施和保护水源无关的建设项目；禁止在饮用水水源二级保护区内新建、改建、扩建排放污染物的建设项目。</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5、水产种质资源保护区按照《中华人民共和国渔业法》《水产种质资源保护区管理暂行办法》等规定执行。禁止在水产种质资源保护区内从事围湖造田等工程。</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6、实施最严格的耕地保护制度和节约用地制度。将符合条件的优先保护类耕地划为永久基本农田，实行严格保护，确保其面积不减少、土壤环境质量不下降，除法律规定的涉及国家能源、交通、水利、军事设施等重点建设项目选址确实无法避让外，其他任何建设不得占用。对行政区域内优先保护类耕地面积减少或土壤环境质量下降的区（市），依法采取环评限批等限制性措施。将严格管控类耕地纳入国家新一轮退耕还林还草实施范围，实施重度污染耕地种植结构调整或退耕还林还草计划；在优先保护类耕地集中区域，严格控制新建排放重金属、持久性有机物和挥发性有机物的项目。</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7、合理规划引导战略性新兴产业向园区和基地集聚发展。依托具有优势的产业集聚区、骨干企业，按照全产业链模式，带动中小型关联企业加快发展，形成一批专业性强、规模优势突出的特色产业链（集群）。新、改、扩建项目的环境影响评价，应满足区域规划环评的要求。加快推动化工企业进入园区集聚发展。化工行业投资项目按照《山东省化工行业投资项目管理规定》执行。</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8、严格实施环境容量控制制度，对空气质量达不到国家二级标准且连续3个月同比恶化的区域，实行涉气建设项目环保限批。原则上不再审批新建煤矿项目、新增产能的技术改造项目和产能核增项目，确需新建、技改提能和核增产能的煤矿建设项目一律实行等量置换，确需建设的耗煤项目，严格落实替代源及替代比例，所有新、改、扩建项目一律实施煤炭减量或等量替代。污染物总量采取新产能落地区（市）区域内平衡，严格落实污染物排放“减量替代是原则，等量替代是例外”的总量控制刚性要求，优化整合过程中不能增加新产能落地区域的污染物排放总量，新优化产能投产之时，被整合老产能一律依法同时关停。加快城市建成区重污染企业搬迁改造或关闭退出，引导现有焦化、化工、造纸、印染、医药等污染较重的企业有序搬迁改造或依法关闭。依法依规关停退出一批煤电、水泥、造纸等行业中能耗、环保、安全、质量达不到标准和生产不合格产品或淘汰类产能。“两高”项目替代要求按照《关于“两高”项目管理有关事项的补充通知》执行。严禁新增水泥熟料、粉磨产能，严禁省外水泥熟料、粉磨、焦化产能转入我市。</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9、对辖区内尚无危险废物集中处置设施或处置能力严重不足的地区，严格控制产生危险废物的项目建设。优化危险废物处置能力配置，合理布局危险废物综合收集、医疗废物集中处置设施，将生活垃圾焚烧飞灰集中处置设施纳入当地公共基础设施统筹建设。鼓励危险废物年产生量大于5000吨的企业自行建设危险废物处置设施，鼓励煤焦油、废醋酸、废催化剂等危险废物综合利用产业发展。支持有条件的化工园区建设危险废物收集、贮存和预处理中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8" w:type="pct"/>
            <w:vAlign w:val="center"/>
          </w:tcPr>
          <w:p>
            <w:pPr>
              <w:widowControl/>
              <w:adjustRightInd w:val="0"/>
              <w:snapToGrid w:val="0"/>
              <w:spacing w:line="240" w:lineRule="auto"/>
              <w:ind w:firstLine="0" w:firstLineChars="0"/>
              <w:jc w:val="center"/>
              <w:textAlignment w:val="center"/>
              <w:rPr>
                <w:rFonts w:hint="eastAsia" w:ascii="仿宋_GB2312" w:hAnsi="仿宋_GB2312" w:eastAsia="仿宋_GB2312" w:cs="仿宋_GB2312"/>
                <w:b w:val="0"/>
                <w:bCs w:val="0"/>
                <w:color w:val="auto"/>
                <w:sz w:val="21"/>
                <w:szCs w:val="21"/>
              </w:rPr>
            </w:pPr>
            <w:r>
              <w:rPr>
                <w:rFonts w:hint="eastAsia" w:ascii="楷体" w:hAnsi="楷体" w:eastAsia="楷体" w:cs="楷体"/>
                <w:b w:val="0"/>
                <w:bCs w:val="0"/>
                <w:color w:val="auto"/>
                <w:sz w:val="21"/>
                <w:szCs w:val="21"/>
                <w:lang w:bidi="ar"/>
              </w:rPr>
              <w:t>污染物排放管控</w:t>
            </w:r>
          </w:p>
        </w:tc>
        <w:tc>
          <w:tcPr>
            <w:tcW w:w="4711" w:type="pct"/>
            <w:vAlign w:val="center"/>
          </w:tcPr>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推进依法治污。严格执行《中华人民共和国环境保护法》《中华人民共和国大气污染防治法》《中华人民共和国水污染防治法》《中华人民共和国土壤污染防治法》《中华人民共和国固体废物污染环境防治法》《排污许可管理条例》《山东省大气污染防治条例》《山东省水污染防治条例》等法律法规以及国家、地方环境质量标准和污染物排放标准。严格落实主要污染物排放总量控制，严格执行《建设项目主要污染物排放总量指标审核及管理暂行办法》《山东省建设项目主要大气污染物排放总量替代指标核算及管理办法》。对属于山东省“两高”项目的，落实《关于“两高”项目管理有关事项的补充通知》《山东省空气质量持续改善暨第三轮“四减四增”行动实施方案》等文件关于碳排放减量和常规污染物减量要求；并根据《关于促进轮胎铸造行业转型升级调整优化项目管理的通知》等相关文件的更新，对应执行其更新调整要求。</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1、在大气污染防治方面：</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全面执行《区域性大气污染物综合排放标准》（DB37/2376-2019）大气污染物排放浓度限值，工业污染源全面执行国家和省大气污染物相应排放标准要求。严格实施船舶大气污染物排放标准。位于大气重点控制单元内的污染源，大气污染物排放应执行国家、省关于重点区域污染物排放控制要求。</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对开发区、工业园区、高新区等进行大气达标排放治理，减少工业聚集区污染。完善园区集中供热设施，积极推广集中供热。强化工业企业无组织排放控制管理，对建材、有色、火电、焦化、铸造等重点行业及燃煤锅炉开展无组织排放排查，建立管理台账。开展焦化、水泥行业超低排放改造。逐步完成完成焦化退出装置关停。</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采取源头削减、过程控制、末端治理全过程防控措施，全面加强VOCs污染防治。对重点区域、重点行业挥发性有机物排放实行总量控制。严格落实国家制定的化工、工业涂装、包装印刷等VOCs排放重点行业和油品储运销综合整治方案，执行泄漏检测与修复（LDAR）标准、VOCs治理技术指南要求。严格执行涂料、油墨、胶粘剂、清洗剂等产品VOCs含量限值强制性国家标准。严格控制生产和使用高VOCs含量涂料、油墨、胶粘剂、清洗剂等建设项目，提高低（无）VOCs含量产品比重。加强环境质量和污染源排放VOCs自动监测工作，市控以上自动监测站点要增加VOCs监测指标。排气口高度超过45米的高架源，以及化工、包装印刷、工业涂装等VOCs排放重点源，要纳入各区（市）重点排污单位名录。推进VOCs重点排放源厂界监测。推广使用静电喷涂等高涂着效率的涂装工艺，喷涂、流平和烘干等工艺应置于喷烤漆房内，使用溶剂型涂料的喷枪应密闭清洗，产生的VOCs应集中收集并导入治理设施，实现达标排放。有条件的工业聚集区、工业园区建设集中的喷涂工程中心后，应配备高效治理设施，替代本园区内企业的独立喷涂工序。有条件的工业园区应结合园区排放特征配置VOCs连续自动采样体系或符合园区排放特征的VOCs监测监控系统。对采用单一低温等离子、光氧化、光催化以及非水溶性VOCs废气采用单一喷淋吸收等治理技术且无法稳定达标的治理设施实施升级改造。</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4）加快淘汰落后的燃煤机组。淘汰关停环保、能耗、安全等不达标的30万千瓦以下燃煤机组，优先淘汰30万千瓦以下的运行满20年的纯凝机组、运行满25年的抽凝机组和仍达不到超低排放标准的燃煤机组。对关停机组的装机容量、煤炭消费量和污染物排放量指标，允许进行交易或置换，可统筹安排建设等容量超低排放燃煤机组。鼓励天然气等清洁能源替代煤炭消费，除民生供热工程外原则上不再新增燃煤机组装机容量。推进燃煤锅炉综合整治，全面淘汰35蒸吨/小时及以下燃煤锅炉。原则上不再新增自备燃煤机组，支持自备燃煤机组实施清洁能源替代。县级及以上城市建成区基本淘汰茶水炉、经营性炉灶、储粮烘干设备等燃煤设施，不再新建35蒸吨/小时以下的燃煤锅炉。65蒸吨/小时及以上燃煤锅炉在完成超低排放改造的基础上全部完成节能改造。</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5）加强工业炉窑专项整治。在全市炉窑专项整治工作的基础上，组织对各区（市）上报的炉窑清单进行核查，对照新标准新要求落实有组织达标排放、无组织综合整治、在线监控要求。严防已关停取缔的生产线死灰复燃，未列入核查名单或整治不达标的，纳入关停取缔名单。加快淘汰中小型煤气发生炉，全部淘汰一段式煤气发生炉。鼓励工业炉窑使用电、天然气等能源或由周边热电厂供热。全市新、改、扩建的加热炉、热处理炉、干燥炉、熔化炉，都要采用清洁低碳能源，不得使用煤炭等高污染燃料。</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6）严格落实《山东省扬尘污染防治管理办法》，将扬尘控制作为城市环境综合整治的重要内容。建筑工地施工现场达不到扬尘防治标准的实施停工整治。加强施工扬尘精细化管控，城市施工工地严格执行“六项措施”，强化土石方作业洒水抑尘，加强渣土车密闭，增加作业车辆和机械冲洗次数，防止带泥行驶。强化道路扬尘综合整治，推进吸尘式机械化湿式清扫作业，加大城市外环路、城市出入口、城乡结合部等重要路段冲洗保洁力度。</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7）加速淘汰高排放、老旧柴油货车，全部淘汰国三及以下排放标准柴油货车。加快淘汰采用稀薄燃烧技术、“油改气”老旧燃气车辆，完成淘汰国四及以下排放标准营运柴油货车省分解任务，国六排放标准重型货车占比达到30%以上，对纳入淘汰范围的车辆，不予办理变更、检验及转移登记。根据国家修订的《机动车强制报废标准规定》，缩短营运柴油货车使用年限。实施机动车国六排放标准。重污染天气期间，高排放、老旧柴油货车原则上禁止上路行驶。减少重污染天气期间柴油货车运输，涉及大宗原材料及产品运输的重点用车企业应制定应急运输响应方案。</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（8）新建加油站、储油库和油罐车必须同步配套建设油气回收设施。积极推进年销售汽油3000吨及以上的加油站安装在线监测系统并联网。</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9）规范建设封闭式烧烤园，安装净化设备，对不安装或不正常使用油烟净化装置的进行查处；全面禁止露天焚烧秸秆、枯枝落叶、垃圾等行为，积极推进农业源氨排放控制。强化秸秆和氨排放控制。切实加强秸秆禁烧管控，建立网格化监管制度，在夏收和秋收阶段开展秸秆禁烧专项巡查。严防因秸秆露天焚烧造成区域性重污染天气。积极推动秸秆综合利用。</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2、在水污染防治方面：</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严格管控工业企业污染。严格执行《流域水污染物综合排放标准第1部分：南四湖东平湖流域》。对排入集中污水处理设施的工业企业，所排废水经预处理后须达到集中处理要求，对影响集中污水处理设施出水稳定达标的要限期退出。加强排污单位污水排放管理，确保企业废水达标排放和符合总量控制要求。实行新（改、扩）建项目主要污染物排放等量或减量置换。</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全面加强污水管网建设。推进城中村、老旧城区、城乡接合部污水收集处理和雨污管网分流改造，科学实施沿河沿湖截污管道建设。各区（市）开展对建成区内建筑小区、企事业单位内部和市政雨污水管道混错接问题的排查，并根据排查结果制定改造方案、组织实施。新建城区应同步规划建设污水处理设施和配套管网，实施雨污管网分流。加快建成区污水管网建设。加快推进县（市、区）完成整县（市、区）制雨污合流管网清零。有条件的污水处理厂应当配套建设人工湿地水质净化工程。实现所有建制镇均建有污水处理设施。新建污水处理设施的配套管网应同步设计、同步建设、同步投运。城镇新区建设均应实行雨污分流，有条件的地区要推进初期雨水收集、处理和资源化利用。新建住宅小区应配套建设雨水收集利用设施。</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全面加强入河（湖）排污口监管。结合全面落实河长制、湖长制，摸清入河排污口底数，对新发现的非法设置入河（湖）排污口依规封堵；实行入河（湖）排污口统一编码管理，建立档案。加快推进化工企业地下水环境监测井建设，加强监测和运行维护，及时掌握地下水水质变化情况。</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4）结合控制污染物排放许可制实施落实工业污染源全面达标排放计划，开展对水环境影响较大的工业集聚区、企业、加工点的专项整治。开展工业集聚区废水预处理、污水集中处理设施和自动在线监控装置排查，完成排查整治。对污水未经处理直接排放或不达标排放导致水体黑臭的工业集聚区严格执法。工业园区应建成污水集中处理设施并稳定达标运行。省级及以上工业集聚区建立水环境管理档案，实现“一园一档”。</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5）加强规模化畜禽养殖场管理，配套建设粪便雨污分流及污水贮存、处理、资源化利用设施。禁止在河湖（含水库）中设置人工投饵网箱或围网养殖。探索建立“鱼塘+湿地”养殖模式，通过人工湿地净化鱼塘尾水，削减入河湖污染负荷。加强渔业养殖污染治理，全面清理开放性湖泊网箱网围养殖。</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（6）对建成区内已完成治理的黑臭水体加大监测力度，每季度开展一次监测，及时掌握水质情况，防止黑臭水体反弹。</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7）实施农村生活污水治理工程。分类治理农村生活污水。按照《山东省农村生活污水处理设施运行维护管理办法》，对建制镇和农村新型社区已建成的污水处理设施加强监管、维护，确保运行效果达到农村生活污水处理设施水污染排放标准。加快全市农村改厕步伐，积极鼓励改水改厕同步进行。</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8）南水北调沿线航行船舶产生的污水、垃圾，应在具备集中处理条件的港口等统一收集、统一处理，实行登记管理，不得将污染物直接排入湖泊；在内河航运禁止运输危险废物、危险化学品及放射性物质或废物。</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9）对供水人口在10000人或日供水1000吨以上的饮用水水源每季度监测1次。按照国家相关标准，结合山东省水质本底状况确定监测项目并组织实施。加快实行岩马水库、马河水库、周村水库、户主水库、石嘴子水库等汇水区域测土配方施肥，减少农药、化肥施用量。完成主要入湖河流拦污坝等应急缓冲设施建设，防止污染物、泄漏物质以及消防水等污染水源地。在南水北调东线等重要水源地汇水区域内实施果菜茶有机肥替代化肥示范项目，大力推进有机肥替代化肥行动，减轻面源污染。</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3、在土壤、固废污染防治方面：</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严格执行重金属污染物排放标准，落实总量控制指标，将重金属污染物指标纳入许可证管理范围。推进农用地重金属污染源排查整治，严格控制涉重金属行业企业污染排放。对整改后仍不达标的企业，依法责令其停业、关闭，并将企业名单向社会公开。</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（2）严格规范农药、兽药、饲料添加剂以及化肥的生产和使用，防止过量使用，促进源头减量。严格控制环境激素类化学品污染。落实国家鼓励的有毒有害原料（产品）替代品目录要求。</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推进医疗废物城乡一体化处置，建立城乡一体的医疗废物收集转运体系。严格落实医疗废物分类管理、专用包装、集中贮存要求，加强收集飞转运设施设备配套，因地制宜推行以处置企业为主体的农村医疗废物收集转运工作模式。</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4）严控生活垃圾违规倾倒。进一步改造提升枣庄市城市生活垃圾处理厂等渗滤液收集处置设施，确保稳定达标排放，严防垃圾渗滤液直排或溢流入河。加强对生活垃圾焚烧厂的日常运行监管，保障生活垃圾末端治理能力。深入推进水体及岸线的垃圾治理。开展管理范围内非正规垃圾堆放点排查，并对清理出的垃圾进行无害化处置。加大农村垃圾治理力度，严控垃圾向农村转移。加大生活垃圾治理力度，完善“户集、村收、镇（街）转运、区（市）处理”的垃圾处理体系，防止垃圾直接入河或随意堆放。严控将城镇生活垃圾、污泥、工业废物直接用作肥料。</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5）推进污泥安全处置。禁止处理处置不达标的污泥进入耕地。妥善对污水处理厂及河道治理底泥进行处理处置，推动建立煤电、水泥窑协同处置为主，建材利用、低温干燥、集中干化等为辅的污水污泥无害化多元处置技术体系。严控沿岸随意堆放，其中属于危险废物的，须交由有资质的单位进行安全处置。</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6）加强矿山地质环境保护与治理恢复。新建矿山严格执行地质环境保护制度，持续推进采煤塌陷地治理。矿山企业在矿山开采、选矿运输等活动中应当采取防护措施，防止废气、废水、尾矿、矸石等污染土壤环境；矿业废物贮存设施和矿场停止使用后，采矿企业应采取防渗漏、封场、闭库、生态修复等措施，防止污染土壤环境。严厉打击工矿企业在废水、废气和固体废物处理处置过程中向土壤环境非法转移污染物的行为。</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7）实施污染场地治理修复工程，应按照经审核通过的治理修复方案进行并采取措施防止污染土壤挖掘、堆存以及治理修复过程中产生的废水、废气、固废等二次污染，对具有挥发性有机污染物的场地鼓励采取原位治理修复技术和封闭式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8" w:type="pct"/>
            <w:vAlign w:val="center"/>
          </w:tcPr>
          <w:p>
            <w:pPr>
              <w:widowControl/>
              <w:adjustRightInd w:val="0"/>
              <w:snapToGrid w:val="0"/>
              <w:spacing w:line="240" w:lineRule="auto"/>
              <w:ind w:firstLine="0" w:firstLineChars="0"/>
              <w:jc w:val="center"/>
              <w:textAlignment w:val="center"/>
              <w:rPr>
                <w:rFonts w:hint="eastAsia" w:ascii="仿宋_GB2312" w:hAnsi="仿宋_GB2312" w:eastAsia="仿宋_GB2312" w:cs="仿宋_GB2312"/>
                <w:b w:val="0"/>
                <w:bCs w:val="0"/>
                <w:color w:val="auto"/>
                <w:sz w:val="21"/>
                <w:szCs w:val="21"/>
              </w:rPr>
            </w:pPr>
            <w:r>
              <w:rPr>
                <w:rFonts w:hint="eastAsia" w:ascii="楷体" w:hAnsi="楷体" w:eastAsia="楷体" w:cs="楷体"/>
                <w:b w:val="0"/>
                <w:bCs w:val="0"/>
                <w:color w:val="auto"/>
                <w:sz w:val="21"/>
                <w:szCs w:val="21"/>
                <w:lang w:bidi="ar"/>
              </w:rPr>
              <w:t>环境风险防控</w:t>
            </w:r>
          </w:p>
        </w:tc>
        <w:tc>
          <w:tcPr>
            <w:tcW w:w="4711" w:type="pct"/>
            <w:vAlign w:val="center"/>
          </w:tcPr>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1、加强重污染天气应急联防联控，健全完善空气质量预报预警会商机制，积极做好枣庄市及周边地区重污染天气应急联防联控，统一预警分级标准和应急响应措施。加强区域应急协同，按照区域预警信息，同步启动应急响应，共同应对重污染天气。开展空气质量中长期趋势预测工作。完善预警分级标准体系，区分不同区域不同季节应急响应标准。各区（市）按级别启动应急响应，实施应急联动。</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2、按照国家发布的有毒空气污染物优先控制名录，强化排放有毒废气企业的环境监管，对重点排放企业实施强制性清洁生产审核。严格执行有毒空气污染物的相关排放标准与防治技术规范。加强有毒有害气体治理。重点加强对烧结、工业炉窑、医疗垃圾和危险废物焚烧有毒有害大气污染物排放企业的监管。按国家有关规定对排放有毒有害大气污染物的排放口和周边环境进行定期监测，建设环境风险预警体系，排查环境安全隐患，评估和防范环境风险。</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3、港口、码头、装卸站的经营单位应制定防治船舶及其有关活动污染水环境的应急计划，完善应急预案，提升水上突发事故应急处置能力。做好南水北调沿线应急物资（装备）储备库及应急防护工程建设，以及主要入湖河流拦污坝等应急缓冲设施建设。南水北调沿线禁止危险化学品运输，各油类作业点应在作业前按照法律规定布设围油栏。</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4、全市城镇及以上水源地根据实际需要，完善应急物资储备，建设应急工程、防护工程和水源地取水口应急工程，构建市-区（市）-镇“三级”应急防控体系。定期监（检）测、评估集中式饮用水水源、供水单位供水和用户水龙头水质状况。</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5、根据国家分批分类调整的进口固体废物管理目录，严防环保项目不合格的废物原料入境。全面禁止洋垃圾进入枣庄市，持续开展打击固体废物走私专项行动，强化进口废物原料检验检疫，严防引进达不到环境保护控制标准的固体废物。加强对固体废物加工利用企业和团体废物集散地日常监督与执法行动，加强对固体废物加工利用企业的批建、“三同时”制度执行、污染防治设施运行和污染物排放、危险废物管理台账等情况的现场检查。</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6、按照《国家鼓励的有毒有害原料（产品）替代品目录》要求，引导企业使用低毒低害和无毒无害原料，促进企业从源头削减或避免危险废物产生。对以危险废物为原料进行生产或者在生产中排放危险废物的企业，实施强制性清洁生产审核，提出并实施减少危险废物的使用、产生和资源化利用方案。</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7、加强危险废物监管能力建设，建立危险废物产生、收集、运输、贮存飞利用和处置等全过程监管体系。严防危险废物非法转移、处置。严格执行危险废物申报登记、转移联单、经营许可制度。严厉打击危险废物非法排放转移、倾倒、处置等环境违法犯罪行为。强化危险废物跨区域转移监管，严格把控危险废物跨市处置。对贮存危险废物100吨以上、贮存设施不符合规范、贮存量饱和或超限、贮存的危险废物在市内无相应处置能力的4类企业，要根据贮存条件、危险废物特性、辖区处置能力等因素，制定实施存量清理方案；对危险废物贮存时间超过1年、贮存设施不符合环保要求、贮存量饱和或超限的产废企业以及收集的危险废物贮存时间超过1年的危险废物经营企业，将其列入重点监控名单，实行“挂单销号”，按要求完善贮存场所，切实推动贮存危险废物的处置，防范环境风险。</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8、严格控制农药使用量，禁止使用高毒、高残留农药，推广高效、低毒、低残留农药及生物防治技术。严格控制剧毒高毒高风险农药使用，全面建立剧毒高毒农药定点经营和实名购买制度，加大禁限用高毒农药清查力度，杜绝甲胺磷等国家禁用农药的生产经营和使用。对潜在污染林地、园地开展环境风险评估，对不适合人群活动的采取封闭、隔离等环境风险管控措施。</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9、加强涉重金属危险废物无害化处置，鼓励生产或经营企业建立废铅酸蓄电池、废弃荧光灯、废镍镉电池等回收网络，支持分类回收处理。建立机动车拆解维修、检测实验室等特种行业危险废物的收集体系。有色金属冶炼、化工、医药、焦化、电镀、制革、铅蓄电池制造等行业企业拆除生产设施设备、构筑物和污染治理设施前，应认真排查拆除过程中可能引发突发环境事件的风险源和风险因素，有针对性地制定包含遗留物料、残留污染物清理和安全处置方案。拆除活动残留污染物属于危险废物的，应委托具有危险废物经营资质的单位进行安全处置，防范拆除活动污染土壤。</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sz w:val="21"/>
                <w:szCs w:val="21"/>
                <w:u w:val="none"/>
              </w:rPr>
            </w:pPr>
            <w:r>
              <w:rPr>
                <w:rFonts w:hint="eastAsia" w:ascii="仿宋_GB2312" w:hAnsi="仿宋_GB2312" w:eastAsia="仿宋_GB2312" w:cs="仿宋_GB2312"/>
                <w:b w:val="0"/>
                <w:bCs w:val="0"/>
                <w:color w:val="auto"/>
                <w:sz w:val="21"/>
                <w:szCs w:val="21"/>
                <w:u w:val="none"/>
              </w:rPr>
              <w:t>10、建立土壤预警和应急监测体系，企业编制的环境突发事件应急监测预案和方案中要包含土壤应急监测内容。健全污染地块联动监管机制和污染地块及其开发利用信息共享机制，将建设用地土壤环境管理要求纳入城市规划和供地管理，对暂不开发污染地块实施风险管控。按照《关于深化建设用地土壤环境管理服务高质量发展的意见》开展土壤污染状况调查，加强建设用地管理。建立建设用地土壤污染风险管控和修复名录，列入名录且未完成治理修复的地块，不得作为住宅、公共管理与公共服务等用地，严格土壤污染重点行业企业拆除相关设施过程中的风险管控。加强城镇人口密集区危险化学品生产企业搬迁改造以及化工产业转型升级中已腾退土地的污染风险管控和治理修复。定期跟踪评估潜在污染场地环境风险，发现污染扩散或环境风险超出可接受水平的，由场地责任主体及时采取污染物隔离、阻断等环境风险管控或治理修复措施。有环境污染风险扩散的地块，治理达标前不得转为城乡住宅、公共设施用地和农用地。有关区（市）要对威胁地下水、饮用水水源安全的严格管控类耕地制定环境风险管控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88" w:type="pct"/>
            <w:vAlign w:val="center"/>
          </w:tcPr>
          <w:p>
            <w:pPr>
              <w:widowControl/>
              <w:adjustRightInd w:val="0"/>
              <w:snapToGrid w:val="0"/>
              <w:spacing w:line="240" w:lineRule="auto"/>
              <w:ind w:firstLine="0" w:firstLineChars="0"/>
              <w:jc w:val="center"/>
              <w:textAlignment w:val="center"/>
              <w:rPr>
                <w:rFonts w:hint="eastAsia" w:ascii="仿宋_GB2312" w:hAnsi="仿宋_GB2312" w:eastAsia="仿宋_GB2312" w:cs="仿宋_GB2312"/>
                <w:b w:val="0"/>
                <w:bCs w:val="0"/>
                <w:color w:val="auto"/>
                <w:sz w:val="21"/>
                <w:szCs w:val="21"/>
              </w:rPr>
            </w:pPr>
            <w:r>
              <w:rPr>
                <w:rFonts w:hint="eastAsia" w:ascii="楷体" w:hAnsi="楷体" w:eastAsia="楷体" w:cs="楷体"/>
                <w:b w:val="0"/>
                <w:bCs w:val="0"/>
                <w:color w:val="auto"/>
                <w:sz w:val="21"/>
                <w:szCs w:val="21"/>
                <w:lang w:bidi="ar"/>
              </w:rPr>
              <w:t>资源开发效率要求</w:t>
            </w:r>
          </w:p>
        </w:tc>
        <w:tc>
          <w:tcPr>
            <w:tcW w:w="4711" w:type="pct"/>
            <w:vAlign w:val="center"/>
          </w:tcPr>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全面贯彻落实最严格水资源管理制度，严守水资源开发利用总量、用水效率红线。落实水资源消耗总量和强度双控行动实施方案，严控用水总量，严管用水强度，严格节水标准，严控耗水项目。坚持和落实节水优先的方针，全面提高用水效率，水资源短缺地区、生态脆弱地区要严格限制发展高耗水项目，加快实施农业、工业和城乡节水技术改造，坚决遏制用水浪费。强化工业节水，所有新建、改建、扩建建设项目需要取水的，应当按照有关规定开展建设项目水资源论证，并办理取水许可手续。严格落实区域用水总量限批制度，新增工业取水许可优先利用矿井排水、再生水等非常规水源。从严审批高耗水的建设项目。新建、改建、扩建建设项目，应当编制节水措施方案，配套建设节水设施，与主体工程同时设计、同时施工、同时投入使用，并保证节水设施正常使用。</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2、强化河流水库水资源保护。严格河流水库取水、用水和排水全过程管理，控制取水总量，维持生态用水和合理水位。在重要水体的敏感区域内，严控以任何形式围垦、违法占用水域，加快实施退田还湖还湿、返渔还湖，逐步恢复河湖水系的自然连通。积极保障河道生态水量。新建城区严控随意填埋河道沟塘，严控侵占河道水体行为，保持城市现状水面不减少。充分挖掘城市河道补水水源，优先使用城市污水处理厂再生水和清洁雨水作为补充水源。严格控制河流沿岸引水取水规模，切实保障重点河湖生态基流。</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3、严格地下水开发利用总量和水位双控制。采取控采限量、节水压减、水源置换、修复补源等措施压采地下水。</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4、严格控制农用地转为建设用地。加强纳入后备农用地资源的未利用地保护。严守耕地保护红线，严控农村集体建设用地规模。强化建设用地总量和强度双控行动。严格控制各类建设用地，建设用地优先安排交通、水利、能源、原材料等重点建设项目，其它建设项目按照产业政策安排。</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5、禁止毁林开垦和非法占用林地，严格控制各项建设工程占用、征用国家重点公益林、自然保护区以及生态脆弱地区的林地。</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6、城市高污染燃料禁燃区内全面取缔散煤销售点，禁止销售、燃用散煤。</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7、实施非化石能源行动计划，非化石能源占能源消费比重达到国家相应目标要求。按照煤炭集中使用、清洁利用的原则，重点削减非电力用煤，全市电煤（含热电联产供热用煤）占煤炭消费比重达到省相应目标要求。减少劣质煤使用，对暂不具备清洁采暖条件的地区，积极推广使用型煤、优质无烟块等洁净煤进行替代，大力推动“洁净型煤+节能环保炉具”模式。加强煤炭质量全过程监管。提高煤炭品质。严格控制劣质煤炭进入消费市场。严厉打击劣质煤销售，鼓励火电等高耗煤行业采用高热值煤炭，减少低热值煤炭使用量。</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8、以焦化、铸造、建材、化工、工业涂装、包装印刷等行业为重点，开展全流程清洁化、循环化、低碳化改造；在能源、化工等13个重点行业依法开展强制性清洁生产审核，积极创建生态工业园区。按照国家要求开展低效失效污染治理设施排查，通过清洁能源替代、升级改造、整合退出等方式实施分类处置。实行最严格的煤炭消费总量控制，推动工业园区热源点的优化布局，提高供热效率，减少煤炭消耗。加强重点工业行业提标改造，在重点耗能行业全面推行能效对标，煤电、建材、化工、煤炭、轻工、纺织、机械等重点耗能行业能源利用效率达到或接近国内先进水平，新建高耗能项目单位产品（产值）能耗要达到国际先进水平。</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9、落实国家对新能源汽车产销量的指标要求。确保财政资金购买的公交车、公务用车（除涉及国家安全、侦查办案、防汛抢险救灾等特殊工作要求的车辆）及市政、环卫车辆，统一采购新能源车。加快推进城市建成区新增和更新的公交、环卫、邮政（快递）、出租、通勤、轻型物流配送车辆采用新能源或清洁能源汽车。全市铁路货场等新增或更换作业车辆主要采用新能源或清洁能源汽车。按照上级部署，推进高速公路服务区和普通国省道沿线充电站（桩）设施建设。在物流园、产业园、工业园、大型商业购物中心、农贸批发市场等物流集散地建设集中式充电桩和快速充电桩。按照国家要求，鼓励各区（市）组织开展燃料电池货车示范运营，建设一批加氢示范站。</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10、全面执行居住建筑节能、公共建筑节能设计标准，大力发展钢结构装配式建筑。加大以太阳能、地热能为重点的可再生能源建筑应用推广力度，充分利用太阳能，采用节能的建筑围护结构，减少采暖和空调的使用。城镇新建民用建筑严格执行国家、省建筑节能标准规范，加强建筑节能常态化监督检查，压实参建各方主体责任。大力推进大型公共建筑和办公建筑通风、照明、墙体保温处理等节能改造。政府投资新建的机关、学校、医院、博物馆、科技馆体育馆、保障性住房以及单体建筑面积超过2万平方米的车站、宾馆、饭店、商场、写字楼等大型公共建筑等强制执行绿色建筑标准。</w:t>
            </w:r>
          </w:p>
          <w:p>
            <w:pPr>
              <w:widowControl/>
              <w:adjustRightInd w:val="0"/>
              <w:snapToGrid w:val="0"/>
              <w:spacing w:line="240" w:lineRule="auto"/>
              <w:ind w:firstLine="0" w:firstLineChars="0"/>
              <w:jc w:val="left"/>
              <w:rPr>
                <w:rFonts w:hint="eastAsia" w:ascii="仿宋_GB2312" w:hAnsi="仿宋_GB2312" w:eastAsia="仿宋_GB2312" w:cs="仿宋_GB2312"/>
                <w:b w:val="0"/>
                <w:bCs w:val="0"/>
                <w:color w:val="auto"/>
                <w:kern w:val="0"/>
                <w:sz w:val="21"/>
                <w:szCs w:val="21"/>
                <w:u w:val="none"/>
                <w:lang w:bidi="ar"/>
              </w:rPr>
            </w:pPr>
            <w:r>
              <w:rPr>
                <w:rFonts w:hint="eastAsia" w:ascii="仿宋_GB2312" w:hAnsi="仿宋_GB2312" w:eastAsia="仿宋_GB2312" w:cs="仿宋_GB2312"/>
                <w:b w:val="0"/>
                <w:bCs w:val="0"/>
                <w:color w:val="auto"/>
                <w:kern w:val="0"/>
                <w:sz w:val="21"/>
                <w:szCs w:val="21"/>
                <w:u w:val="none"/>
                <w:lang w:bidi="ar"/>
              </w:rPr>
              <w:t>11、对属于山东省“两高”项目的，严守“两高”行业能耗煤耗只减不增底线，严格落实节能审查以及产能减量、能耗减量和煤炭减量要求；并根据《关于“两高”项目管理有关事项的补充通知》《关于促进轮胎铸造行业转型升级调整优化项目管理的通知》《山东省空气质量持续改善暨第三轮“四减四增”行动实施方案》等文件的更新，对应执行其更新调整要求。</w:t>
            </w:r>
            <w:bookmarkStart w:id="3" w:name="_GoBack"/>
            <w:bookmarkEnd w:id="3"/>
          </w:p>
        </w:tc>
      </w:tr>
    </w:tbl>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2000609000000000000"/>
    <w:charset w:val="02"/>
    <w:family w:val="roman"/>
    <w:pitch w:val="default"/>
    <w:sig w:usb0="800000AF" w:usb1="4000204A" w:usb2="00000000" w:usb3="00000000" w:csb0="20000000" w:csb1="00000000"/>
  </w:font>
  <w:font w:name="Calibri">
    <w:altName w:val="Century Gothic"/>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D80C2"/>
    <w:multiLevelType w:val="multilevel"/>
    <w:tmpl w:val="904D80C2"/>
    <w:lvl w:ilvl="0" w:tentative="0">
      <w:start w:val="1"/>
      <w:numFmt w:val="decimal"/>
      <w:suff w:val="nothing"/>
      <w:lvlText w:val="第%1章"/>
      <w:lvlJc w:val="left"/>
      <w:pPr>
        <w:ind w:left="0" w:firstLine="0"/>
      </w:pPr>
      <w:rPr>
        <w:rFonts w:hint="eastAsia"/>
        <w:color w:val="FFFFFF"/>
        <w:sz w:val="10"/>
        <w:szCs w:val="10"/>
      </w:rPr>
    </w:lvl>
    <w:lvl w:ilvl="1" w:tentative="0">
      <w:start w:val="1"/>
      <w:numFmt w:val="decimal"/>
      <w:pStyle w:val="2"/>
      <w:suff w:val="nothing"/>
      <w:lvlText w:val="%2"/>
      <w:lvlJc w:val="left"/>
      <w:pPr>
        <w:ind w:left="2205" w:firstLine="0"/>
      </w:pPr>
      <w:rPr>
        <w:rFonts w:hint="eastAsia"/>
        <w:color w:val="FFFFFF"/>
        <w:sz w:val="10"/>
        <w:szCs w:val="10"/>
      </w:rPr>
    </w:lvl>
    <w:lvl w:ilvl="2" w:tentative="0">
      <w:start w:val="1"/>
      <w:numFmt w:val="none"/>
      <w:pStyle w:val="4"/>
      <w:suff w:val="nothing"/>
      <w:lvlText w:val=""/>
      <w:lvlJc w:val="left"/>
      <w:pPr>
        <w:ind w:left="0" w:firstLine="0"/>
      </w:pPr>
      <w:rPr>
        <w:rFonts w:hint="default"/>
        <w:u w:val="none" w:color="auto"/>
      </w:rPr>
    </w:lvl>
    <w:lvl w:ilvl="3" w:tentative="0">
      <w:start w:val="1"/>
      <w:numFmt w:val="none"/>
      <w:pStyle w:val="5"/>
      <w:suff w:val="nothing"/>
      <w:lvlText w:val=""/>
      <w:lvlJc w:val="left"/>
      <w:pPr>
        <w:ind w:left="0" w:firstLine="0"/>
      </w:pPr>
      <w:rPr>
        <w:rFonts w:hint="default"/>
        <w:u w:val="none" w:color="auto"/>
      </w:rPr>
    </w:lvl>
    <w:lvl w:ilvl="4" w:tentative="0">
      <w:start w:val="1"/>
      <w:numFmt w:val="none"/>
      <w:pStyle w:val="6"/>
      <w:suff w:val="nothing"/>
      <w:lvlText w:val=""/>
      <w:lvlJc w:val="left"/>
      <w:pPr>
        <w:ind w:left="0" w:firstLine="0"/>
      </w:pPr>
      <w:rPr>
        <w:rFonts w:hint="default"/>
        <w:u w:val="none" w:color="auto"/>
      </w:rPr>
    </w:lvl>
    <w:lvl w:ilvl="5" w:tentative="0">
      <w:start w:val="1"/>
      <w:numFmt w:val="none"/>
      <w:pStyle w:val="7"/>
      <w:suff w:val="nothing"/>
      <w:lvlText w:val=""/>
      <w:lvlJc w:val="left"/>
      <w:pPr>
        <w:ind w:left="0" w:firstLine="0"/>
      </w:pPr>
      <w:rPr>
        <w:rFonts w:hint="default"/>
        <w:u w:val="none" w:color="auto"/>
      </w:rPr>
    </w:lvl>
    <w:lvl w:ilvl="6" w:tentative="0">
      <w:start w:val="1"/>
      <w:numFmt w:val="none"/>
      <w:pStyle w:val="8"/>
      <w:suff w:val="nothing"/>
      <w:lvlText w:val=""/>
      <w:lvlJc w:val="left"/>
      <w:pPr>
        <w:ind w:left="0" w:firstLine="0"/>
      </w:pPr>
      <w:rPr>
        <w:rFonts w:hint="default"/>
        <w:u w:val="none" w:color="auto"/>
      </w:rPr>
    </w:lvl>
    <w:lvl w:ilvl="7" w:tentative="0">
      <w:start w:val="1"/>
      <w:numFmt w:val="none"/>
      <w:pStyle w:val="9"/>
      <w:suff w:val="nothing"/>
      <w:lvlText w:val=""/>
      <w:lvlJc w:val="left"/>
      <w:pPr>
        <w:ind w:left="0" w:firstLine="0"/>
      </w:pPr>
      <w:rPr>
        <w:rFonts w:hint="default"/>
        <w:u w:val="none" w:color="auto"/>
      </w:rPr>
    </w:lvl>
    <w:lvl w:ilvl="8" w:tentative="0">
      <w:start w:val="1"/>
      <w:numFmt w:val="none"/>
      <w:pStyle w:val="10"/>
      <w:suff w:val="nothing"/>
      <w:lvlText w:val=""/>
      <w:lvlJc w:val="left"/>
      <w:pPr>
        <w:ind w:left="0" w:firstLine="0"/>
      </w:pPr>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ZGUzZGNkNjA0NzMzMzRiZmUyMWNlMjljMDE4N2MifQ=="/>
  </w:docVars>
  <w:rsids>
    <w:rsidRoot w:val="58D70209"/>
    <w:rsid w:val="00250B7C"/>
    <w:rsid w:val="003E334B"/>
    <w:rsid w:val="007959AB"/>
    <w:rsid w:val="00A752B2"/>
    <w:rsid w:val="01020DDE"/>
    <w:rsid w:val="011447C6"/>
    <w:rsid w:val="02DF712E"/>
    <w:rsid w:val="0391154C"/>
    <w:rsid w:val="03BC76A4"/>
    <w:rsid w:val="042C2C6A"/>
    <w:rsid w:val="04BD29D6"/>
    <w:rsid w:val="04EA1BFB"/>
    <w:rsid w:val="065E0976"/>
    <w:rsid w:val="06642E14"/>
    <w:rsid w:val="069B3D2B"/>
    <w:rsid w:val="07865BC0"/>
    <w:rsid w:val="07E71BF5"/>
    <w:rsid w:val="08503F67"/>
    <w:rsid w:val="09B278C7"/>
    <w:rsid w:val="09C75A8B"/>
    <w:rsid w:val="09CC68DA"/>
    <w:rsid w:val="0A006E13"/>
    <w:rsid w:val="0A2055A9"/>
    <w:rsid w:val="0B0723F0"/>
    <w:rsid w:val="0B1D2F19"/>
    <w:rsid w:val="0B261B15"/>
    <w:rsid w:val="0B7F03E5"/>
    <w:rsid w:val="0C2D2FAF"/>
    <w:rsid w:val="0C3628D7"/>
    <w:rsid w:val="0C622D13"/>
    <w:rsid w:val="0C9037D2"/>
    <w:rsid w:val="0D191C1F"/>
    <w:rsid w:val="0DCC3438"/>
    <w:rsid w:val="0DCE2186"/>
    <w:rsid w:val="0E306D61"/>
    <w:rsid w:val="0E9643B8"/>
    <w:rsid w:val="0F0E7155"/>
    <w:rsid w:val="0F686692"/>
    <w:rsid w:val="0F975666"/>
    <w:rsid w:val="0FDA553B"/>
    <w:rsid w:val="10704D28"/>
    <w:rsid w:val="10837B11"/>
    <w:rsid w:val="109202F8"/>
    <w:rsid w:val="11583CB7"/>
    <w:rsid w:val="11D12D1A"/>
    <w:rsid w:val="12194230"/>
    <w:rsid w:val="131018D8"/>
    <w:rsid w:val="13F41DC8"/>
    <w:rsid w:val="14125594"/>
    <w:rsid w:val="156051C3"/>
    <w:rsid w:val="1623710F"/>
    <w:rsid w:val="16E55626"/>
    <w:rsid w:val="175B0BCA"/>
    <w:rsid w:val="188C7E03"/>
    <w:rsid w:val="188E39B4"/>
    <w:rsid w:val="19B23C43"/>
    <w:rsid w:val="19FC7FDD"/>
    <w:rsid w:val="1A447EC6"/>
    <w:rsid w:val="1AEE7569"/>
    <w:rsid w:val="1AF24BE0"/>
    <w:rsid w:val="1B3B3EBA"/>
    <w:rsid w:val="1B8151F1"/>
    <w:rsid w:val="1BE51C24"/>
    <w:rsid w:val="1C774562"/>
    <w:rsid w:val="1D015646"/>
    <w:rsid w:val="1D9B6A3E"/>
    <w:rsid w:val="1DA01989"/>
    <w:rsid w:val="1FFE6BAB"/>
    <w:rsid w:val="203C17F2"/>
    <w:rsid w:val="20C41134"/>
    <w:rsid w:val="21F00B60"/>
    <w:rsid w:val="22ED3300"/>
    <w:rsid w:val="233149A1"/>
    <w:rsid w:val="24077A99"/>
    <w:rsid w:val="245E35F5"/>
    <w:rsid w:val="247832F7"/>
    <w:rsid w:val="247D7903"/>
    <w:rsid w:val="25072C0B"/>
    <w:rsid w:val="258E7C7F"/>
    <w:rsid w:val="25905BE2"/>
    <w:rsid w:val="2625380B"/>
    <w:rsid w:val="268818DC"/>
    <w:rsid w:val="26B007F2"/>
    <w:rsid w:val="26DD2DA6"/>
    <w:rsid w:val="26DF6985"/>
    <w:rsid w:val="271813DF"/>
    <w:rsid w:val="27711845"/>
    <w:rsid w:val="28C64B8B"/>
    <w:rsid w:val="29056FA2"/>
    <w:rsid w:val="29AE5AA6"/>
    <w:rsid w:val="29DA6B40"/>
    <w:rsid w:val="2A1D27DB"/>
    <w:rsid w:val="2B01746F"/>
    <w:rsid w:val="2B19771E"/>
    <w:rsid w:val="2BA63A79"/>
    <w:rsid w:val="2BC00046"/>
    <w:rsid w:val="2D1C121E"/>
    <w:rsid w:val="2D2B0FF8"/>
    <w:rsid w:val="2D954F24"/>
    <w:rsid w:val="2EDA462B"/>
    <w:rsid w:val="2EDF69A7"/>
    <w:rsid w:val="2F3F2FA2"/>
    <w:rsid w:val="2F6B101E"/>
    <w:rsid w:val="2F760B8B"/>
    <w:rsid w:val="301B66C0"/>
    <w:rsid w:val="303D1BD7"/>
    <w:rsid w:val="30682168"/>
    <w:rsid w:val="311A6908"/>
    <w:rsid w:val="31214F94"/>
    <w:rsid w:val="31E00383"/>
    <w:rsid w:val="32DF12A9"/>
    <w:rsid w:val="32EA70EF"/>
    <w:rsid w:val="33135ADD"/>
    <w:rsid w:val="33C94487"/>
    <w:rsid w:val="33FF7A66"/>
    <w:rsid w:val="340829EA"/>
    <w:rsid w:val="3427319D"/>
    <w:rsid w:val="342968AE"/>
    <w:rsid w:val="34E27BD7"/>
    <w:rsid w:val="3520082B"/>
    <w:rsid w:val="35380BBF"/>
    <w:rsid w:val="35710B6B"/>
    <w:rsid w:val="35AE4AB7"/>
    <w:rsid w:val="35DB2DAD"/>
    <w:rsid w:val="366235D0"/>
    <w:rsid w:val="36BA41A7"/>
    <w:rsid w:val="371B5CDA"/>
    <w:rsid w:val="385A6776"/>
    <w:rsid w:val="392B4A23"/>
    <w:rsid w:val="3932079F"/>
    <w:rsid w:val="399323F0"/>
    <w:rsid w:val="3A213E67"/>
    <w:rsid w:val="3A261A91"/>
    <w:rsid w:val="3A6B3398"/>
    <w:rsid w:val="3AC60AFD"/>
    <w:rsid w:val="3B237D7C"/>
    <w:rsid w:val="3B9A547A"/>
    <w:rsid w:val="3BCF3541"/>
    <w:rsid w:val="3C4577D1"/>
    <w:rsid w:val="3C6306C3"/>
    <w:rsid w:val="3C761AA9"/>
    <w:rsid w:val="3C862FBA"/>
    <w:rsid w:val="3CB245EB"/>
    <w:rsid w:val="3D635F72"/>
    <w:rsid w:val="3D7A6B84"/>
    <w:rsid w:val="3D965098"/>
    <w:rsid w:val="3E247F32"/>
    <w:rsid w:val="3E3F15CF"/>
    <w:rsid w:val="3EBB29A2"/>
    <w:rsid w:val="3EC9748D"/>
    <w:rsid w:val="3ED517C4"/>
    <w:rsid w:val="3EEB6AB7"/>
    <w:rsid w:val="3F2F0ABF"/>
    <w:rsid w:val="401F4E55"/>
    <w:rsid w:val="40B02CC7"/>
    <w:rsid w:val="40BB7E98"/>
    <w:rsid w:val="40E64F02"/>
    <w:rsid w:val="41813794"/>
    <w:rsid w:val="41CE0B0D"/>
    <w:rsid w:val="4259700D"/>
    <w:rsid w:val="44507249"/>
    <w:rsid w:val="45026F00"/>
    <w:rsid w:val="45330C0C"/>
    <w:rsid w:val="458C36CE"/>
    <w:rsid w:val="45A762FE"/>
    <w:rsid w:val="45C42671"/>
    <w:rsid w:val="45D60E05"/>
    <w:rsid w:val="45EC2164"/>
    <w:rsid w:val="46381DD0"/>
    <w:rsid w:val="47CB6A64"/>
    <w:rsid w:val="480C5CBF"/>
    <w:rsid w:val="48C50BFF"/>
    <w:rsid w:val="492643AE"/>
    <w:rsid w:val="497F2984"/>
    <w:rsid w:val="4A83019B"/>
    <w:rsid w:val="4AB70CBB"/>
    <w:rsid w:val="4AF37259"/>
    <w:rsid w:val="4C121B6F"/>
    <w:rsid w:val="4C1F662B"/>
    <w:rsid w:val="4C476217"/>
    <w:rsid w:val="4C7807C4"/>
    <w:rsid w:val="4C9F262A"/>
    <w:rsid w:val="4CA43F0E"/>
    <w:rsid w:val="4DB41408"/>
    <w:rsid w:val="4DCD6919"/>
    <w:rsid w:val="4DD52664"/>
    <w:rsid w:val="4E6C3FC3"/>
    <w:rsid w:val="4E782E22"/>
    <w:rsid w:val="4EEC24C5"/>
    <w:rsid w:val="4F0E577C"/>
    <w:rsid w:val="4FDD3A47"/>
    <w:rsid w:val="4FF06145"/>
    <w:rsid w:val="51577AB5"/>
    <w:rsid w:val="521E3449"/>
    <w:rsid w:val="538B56C8"/>
    <w:rsid w:val="54147100"/>
    <w:rsid w:val="55C430BE"/>
    <w:rsid w:val="55CE1C74"/>
    <w:rsid w:val="55D06633"/>
    <w:rsid w:val="55E260DF"/>
    <w:rsid w:val="56EA3232"/>
    <w:rsid w:val="57062AE6"/>
    <w:rsid w:val="576F1DC6"/>
    <w:rsid w:val="57A90F64"/>
    <w:rsid w:val="57DB2248"/>
    <w:rsid w:val="583E405E"/>
    <w:rsid w:val="586E599C"/>
    <w:rsid w:val="589C6BEB"/>
    <w:rsid w:val="58D70209"/>
    <w:rsid w:val="59201B50"/>
    <w:rsid w:val="595879A2"/>
    <w:rsid w:val="59884DA9"/>
    <w:rsid w:val="5A0B50DC"/>
    <w:rsid w:val="5A582FE6"/>
    <w:rsid w:val="5A802C08"/>
    <w:rsid w:val="5AC96110"/>
    <w:rsid w:val="5B89775C"/>
    <w:rsid w:val="5C64246F"/>
    <w:rsid w:val="5CB70147"/>
    <w:rsid w:val="5CED7125"/>
    <w:rsid w:val="5CF34482"/>
    <w:rsid w:val="5DB205A9"/>
    <w:rsid w:val="5E642E52"/>
    <w:rsid w:val="5E990E12"/>
    <w:rsid w:val="5F02451D"/>
    <w:rsid w:val="5F2601F3"/>
    <w:rsid w:val="5FAB73DE"/>
    <w:rsid w:val="60CD69EF"/>
    <w:rsid w:val="6166498D"/>
    <w:rsid w:val="623A23EE"/>
    <w:rsid w:val="629D5E7E"/>
    <w:rsid w:val="62FC1634"/>
    <w:rsid w:val="6367429A"/>
    <w:rsid w:val="63F332F0"/>
    <w:rsid w:val="641605E0"/>
    <w:rsid w:val="641D00AF"/>
    <w:rsid w:val="647D7C12"/>
    <w:rsid w:val="64EA419E"/>
    <w:rsid w:val="65075D34"/>
    <w:rsid w:val="65AB2FB9"/>
    <w:rsid w:val="66006445"/>
    <w:rsid w:val="66015768"/>
    <w:rsid w:val="669971F6"/>
    <w:rsid w:val="66AB3EBA"/>
    <w:rsid w:val="66B423EC"/>
    <w:rsid w:val="66FD0594"/>
    <w:rsid w:val="67134004"/>
    <w:rsid w:val="675D60DF"/>
    <w:rsid w:val="680D0103"/>
    <w:rsid w:val="69540D80"/>
    <w:rsid w:val="698A0514"/>
    <w:rsid w:val="6A1E64E8"/>
    <w:rsid w:val="6A440D4B"/>
    <w:rsid w:val="6A6B5DED"/>
    <w:rsid w:val="6A772D37"/>
    <w:rsid w:val="6ACB4669"/>
    <w:rsid w:val="6B970619"/>
    <w:rsid w:val="6C423AF6"/>
    <w:rsid w:val="6C6E17A6"/>
    <w:rsid w:val="6C91013B"/>
    <w:rsid w:val="6D02049F"/>
    <w:rsid w:val="6DAB6609"/>
    <w:rsid w:val="6DB70D27"/>
    <w:rsid w:val="6F487CDD"/>
    <w:rsid w:val="6FFB5811"/>
    <w:rsid w:val="710918CA"/>
    <w:rsid w:val="71A608D7"/>
    <w:rsid w:val="71A9542C"/>
    <w:rsid w:val="71C23AFD"/>
    <w:rsid w:val="72D30C6F"/>
    <w:rsid w:val="735C724B"/>
    <w:rsid w:val="73C309FD"/>
    <w:rsid w:val="73D716F4"/>
    <w:rsid w:val="7439758C"/>
    <w:rsid w:val="744E31DB"/>
    <w:rsid w:val="767E4499"/>
    <w:rsid w:val="76922BA5"/>
    <w:rsid w:val="76E44C9C"/>
    <w:rsid w:val="77795FCB"/>
    <w:rsid w:val="77A95CDF"/>
    <w:rsid w:val="77EA7F6B"/>
    <w:rsid w:val="784604CA"/>
    <w:rsid w:val="787B743F"/>
    <w:rsid w:val="78B5680C"/>
    <w:rsid w:val="78C65C18"/>
    <w:rsid w:val="78F732D8"/>
    <w:rsid w:val="790273F5"/>
    <w:rsid w:val="7A02529A"/>
    <w:rsid w:val="7A3270E7"/>
    <w:rsid w:val="7A5545A5"/>
    <w:rsid w:val="7AB75F2D"/>
    <w:rsid w:val="7AD95625"/>
    <w:rsid w:val="7C671E02"/>
    <w:rsid w:val="7D236858"/>
    <w:rsid w:val="7E703A13"/>
    <w:rsid w:val="7E7A3F89"/>
    <w:rsid w:val="7FFD6982"/>
    <w:rsid w:val="9D4B5CFF"/>
    <w:rsid w:val="BA7B23C6"/>
    <w:rsid w:val="EDF64003"/>
    <w:rsid w:val="F3B4A1CE"/>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numPr>
        <w:ilvl w:val="1"/>
        <w:numId w:val="1"/>
      </w:numPr>
      <w:spacing w:before="80" w:after="80" w:line="360" w:lineRule="auto"/>
      <w:ind w:left="2205"/>
      <w:outlineLvl w:val="0"/>
    </w:pPr>
    <w:rPr>
      <w:rFonts w:ascii="Times New Roman" w:hAnsi="Times New Roman" w:eastAsia="黑体" w:cs="仿宋_GB2312"/>
      <w:bCs/>
      <w:kern w:val="44"/>
      <w:sz w:val="32"/>
      <w:szCs w:val="44"/>
      <w:lang w:eastAsia="zh-CN"/>
    </w:rPr>
  </w:style>
  <w:style w:type="paragraph" w:styleId="3">
    <w:name w:val="heading 2"/>
    <w:basedOn w:val="1"/>
    <w:next w:val="1"/>
    <w:link w:val="15"/>
    <w:semiHidden/>
    <w:unhideWhenUsed/>
    <w:qFormat/>
    <w:uiPriority w:val="0"/>
    <w:pPr>
      <w:keepNext/>
      <w:keepLines/>
      <w:spacing w:before="160" w:after="160" w:line="360" w:lineRule="auto"/>
      <w:outlineLvl w:val="1"/>
    </w:pPr>
    <w:rPr>
      <w:rFonts w:ascii="Times New Roman" w:hAnsi="Times New Roman" w:eastAsia="黑体" w:cs="Times New Roman"/>
      <w:bCs/>
      <w:sz w:val="28"/>
      <w:szCs w:val="32"/>
      <w:lang w:val="zh-CN"/>
    </w:rPr>
  </w:style>
  <w:style w:type="paragraph" w:styleId="4">
    <w:name w:val="heading 3"/>
    <w:basedOn w:val="1"/>
    <w:next w:val="1"/>
    <w:link w:val="16"/>
    <w:semiHidden/>
    <w:unhideWhenUsed/>
    <w:qFormat/>
    <w:uiPriority w:val="0"/>
    <w:pPr>
      <w:keepNext/>
      <w:keepLines/>
      <w:numPr>
        <w:ilvl w:val="2"/>
        <w:numId w:val="1"/>
      </w:numPr>
      <w:spacing w:line="360" w:lineRule="auto"/>
      <w:outlineLvl w:val="2"/>
    </w:pPr>
    <w:rPr>
      <w:rFonts w:ascii="Times New Roman" w:hAnsi="Times New Roman" w:eastAsia="宋体" w:cs="Times New Roman"/>
      <w:b/>
      <w:bCs/>
      <w:sz w:val="24"/>
      <w:szCs w:val="32"/>
      <w:lang w:val="zh-CN"/>
    </w:rPr>
  </w:style>
  <w:style w:type="paragraph" w:styleId="5">
    <w:name w:val="heading 4"/>
    <w:basedOn w:val="1"/>
    <w:next w:val="1"/>
    <w:link w:val="17"/>
    <w:semiHidden/>
    <w:unhideWhenUsed/>
    <w:qFormat/>
    <w:uiPriority w:val="0"/>
    <w:pPr>
      <w:numPr>
        <w:ilvl w:val="3"/>
        <w:numId w:val="1"/>
      </w:numPr>
      <w:ind w:firstLine="0" w:firstLineChars="0"/>
      <w:jc w:val="left"/>
      <w:outlineLvl w:val="3"/>
    </w:pPr>
    <w:rPr>
      <w:rFonts w:ascii="Times New Roman" w:hAnsi="Times New Roman" w:eastAsia="宋体"/>
      <w:b/>
      <w:bCs/>
      <w:sz w:val="24"/>
      <w:szCs w:val="24"/>
      <w:lang w:eastAsia="en-US"/>
    </w:rPr>
  </w:style>
  <w:style w:type="paragraph" w:styleId="6">
    <w:name w:val="heading 5"/>
    <w:basedOn w:val="1"/>
    <w:next w:val="1"/>
    <w:link w:val="18"/>
    <w:semiHidden/>
    <w:unhideWhenUsed/>
    <w:qFormat/>
    <w:uiPriority w:val="0"/>
    <w:pPr>
      <w:keepNext/>
      <w:numPr>
        <w:ilvl w:val="4"/>
        <w:numId w:val="1"/>
      </w:numPr>
      <w:ind w:firstLine="0" w:firstLineChars="0"/>
      <w:jc w:val="left"/>
      <w:outlineLvl w:val="4"/>
    </w:pPr>
    <w:rPr>
      <w:rFonts w:ascii="Times New Roman" w:hAnsi="Times New Roman" w:eastAsia="宋体"/>
      <w:b/>
      <w:iCs/>
      <w:sz w:val="24"/>
    </w:rPr>
  </w:style>
  <w:style w:type="paragraph" w:styleId="7">
    <w:name w:val="heading 6"/>
    <w:basedOn w:val="1"/>
    <w:next w:val="1"/>
    <w:link w:val="19"/>
    <w:semiHidden/>
    <w:unhideWhenUsed/>
    <w:qFormat/>
    <w:uiPriority w:val="0"/>
    <w:pPr>
      <w:keepNext/>
      <w:keepLines/>
      <w:numPr>
        <w:ilvl w:val="5"/>
        <w:numId w:val="1"/>
      </w:numPr>
      <w:adjustRightInd w:val="0"/>
      <w:spacing w:line="360" w:lineRule="auto"/>
      <w:ind w:firstLineChars="200"/>
      <w:textAlignment w:val="baseline"/>
      <w:outlineLvl w:val="5"/>
    </w:pPr>
    <w:rPr>
      <w:rFonts w:ascii="Times New Roman" w:hAnsi="Times New Roman" w:eastAsia="宋体"/>
      <w:b/>
      <w:kern w:val="0"/>
      <w:sz w:val="24"/>
    </w:rPr>
  </w:style>
  <w:style w:type="paragraph" w:styleId="8">
    <w:name w:val="heading 7"/>
    <w:basedOn w:val="1"/>
    <w:next w:val="1"/>
    <w:semiHidden/>
    <w:unhideWhenUsed/>
    <w:qFormat/>
    <w:uiPriority w:val="0"/>
    <w:pPr>
      <w:keepNext/>
      <w:keepLines/>
      <w:numPr>
        <w:ilvl w:val="6"/>
        <w:numId w:val="1"/>
      </w:numPr>
      <w:tabs>
        <w:tab w:val="left" w:pos="1296"/>
      </w:tabs>
      <w:adjustRightInd w:val="0"/>
      <w:snapToGrid w:val="0"/>
      <w:spacing w:line="360" w:lineRule="auto"/>
      <w:ind w:left="0" w:firstLine="0" w:firstLineChars="0"/>
      <w:textAlignment w:val="baseline"/>
      <w:outlineLvl w:val="6"/>
    </w:pPr>
    <w:rPr>
      <w:rFonts w:ascii="Times New Roman" w:hAnsi="Times New Roman" w:eastAsia="宋体"/>
      <w:kern w:val="0"/>
      <w:sz w:val="24"/>
    </w:rPr>
  </w:style>
  <w:style w:type="paragraph" w:styleId="9">
    <w:name w:val="heading 8"/>
    <w:basedOn w:val="1"/>
    <w:next w:val="1"/>
    <w:semiHidden/>
    <w:unhideWhenUsed/>
    <w:qFormat/>
    <w:uiPriority w:val="0"/>
    <w:pPr>
      <w:keepNext/>
      <w:keepLines/>
      <w:numPr>
        <w:ilvl w:val="7"/>
        <w:numId w:val="1"/>
      </w:numPr>
      <w:tabs>
        <w:tab w:val="left" w:pos="1440"/>
      </w:tabs>
      <w:spacing w:before="240" w:beforeLines="0" w:beforeAutospacing="0" w:after="64" w:afterLines="0" w:afterAutospacing="0" w:line="317" w:lineRule="auto"/>
      <w:ind w:left="0" w:firstLine="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tabs>
        <w:tab w:val="left" w:pos="1584"/>
      </w:tabs>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14">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index 9"/>
    <w:basedOn w:val="1"/>
    <w:next w:val="1"/>
    <w:qFormat/>
    <w:uiPriority w:val="0"/>
    <w:pPr>
      <w:ind w:left="3360"/>
    </w:pPr>
    <w:rPr>
      <w:rFonts w:ascii="Times New Roman" w:hAnsi="Times New Roman" w:eastAsia="宋体"/>
      <w:sz w:val="21"/>
    </w:rPr>
  </w:style>
  <w:style w:type="character" w:customStyle="1" w:styleId="15">
    <w:name w:val="标题 2 字符"/>
    <w:link w:val="3"/>
    <w:qFormat/>
    <w:uiPriority w:val="9"/>
    <w:rPr>
      <w:rFonts w:ascii="Times New Roman" w:hAnsi="Times New Roman" w:eastAsia="黑体" w:cs="Times New Roman"/>
      <w:bCs/>
      <w:kern w:val="2"/>
      <w:sz w:val="28"/>
      <w:szCs w:val="32"/>
      <w:lang w:val="zh-CN" w:eastAsia="zh-CN"/>
    </w:rPr>
  </w:style>
  <w:style w:type="character" w:customStyle="1" w:styleId="16">
    <w:name w:val="标题 3 Char"/>
    <w:link w:val="4"/>
    <w:qFormat/>
    <w:uiPriority w:val="0"/>
    <w:rPr>
      <w:rFonts w:ascii="Times New Roman" w:hAnsi="Times New Roman" w:eastAsia="宋体" w:cs="Times New Roman"/>
      <w:b/>
      <w:bCs/>
      <w:kern w:val="2"/>
      <w:sz w:val="24"/>
      <w:szCs w:val="32"/>
      <w:lang w:val="en-US" w:eastAsia="en-US" w:bidi="ar-SA"/>
    </w:rPr>
  </w:style>
  <w:style w:type="character" w:customStyle="1" w:styleId="17">
    <w:name w:val="标题 4 字符"/>
    <w:link w:val="5"/>
    <w:qFormat/>
    <w:uiPriority w:val="0"/>
    <w:rPr>
      <w:rFonts w:ascii="Times New Roman" w:hAnsi="Times New Roman" w:eastAsia="宋体"/>
      <w:b/>
      <w:bCs/>
      <w:sz w:val="24"/>
      <w:szCs w:val="24"/>
      <w:lang w:eastAsia="en-US"/>
    </w:rPr>
  </w:style>
  <w:style w:type="character" w:customStyle="1" w:styleId="18">
    <w:name w:val="标题 5 Char"/>
    <w:link w:val="6"/>
    <w:qFormat/>
    <w:uiPriority w:val="0"/>
    <w:rPr>
      <w:rFonts w:ascii="Times New Roman" w:hAnsi="Times New Roman" w:eastAsia="宋体"/>
      <w:b/>
      <w:iCs/>
      <w:kern w:val="2"/>
      <w:sz w:val="24"/>
      <w:szCs w:val="24"/>
      <w:lang w:val="en-US" w:eastAsia="zh-CN" w:bidi="ar-SA"/>
    </w:rPr>
  </w:style>
  <w:style w:type="character" w:customStyle="1" w:styleId="19">
    <w:name w:val="标题 6 Char"/>
    <w:link w:val="7"/>
    <w:qFormat/>
    <w:uiPriority w:val="0"/>
    <w:rPr>
      <w:rFonts w:ascii="Times New Roman" w:hAnsi="Times New Roman" w:eastAsia="宋体"/>
      <w:b/>
      <w:bCs/>
      <w:kern w:val="2"/>
      <w:sz w:val="24"/>
      <w:szCs w:val="24"/>
    </w:rPr>
  </w:style>
  <w:style w:type="character" w:customStyle="1" w:styleId="20">
    <w:name w:val="标题 1 Char"/>
    <w:link w:val="2"/>
    <w:qFormat/>
    <w:uiPriority w:val="0"/>
    <w:rPr>
      <w:rFonts w:ascii="Times New Roman" w:hAnsi="Times New Roman" w:eastAsia="黑体" w:cs="仿宋_GB2312"/>
      <w:bCs/>
      <w:kern w:val="44"/>
      <w:sz w:val="32"/>
      <w:szCs w:val="44"/>
      <w:lang w:val="en-US" w:eastAsia="zh-CN" w:bidi="ar-SA"/>
    </w:rPr>
  </w:style>
  <w:style w:type="paragraph" w:customStyle="1" w:styleId="21">
    <w:name w:val="3级标题"/>
    <w:basedOn w:val="1"/>
    <w:link w:val="22"/>
    <w:qFormat/>
    <w:uiPriority w:val="0"/>
    <w:pPr>
      <w:keepNext/>
      <w:keepLines/>
      <w:snapToGrid w:val="0"/>
      <w:spacing w:before="20" w:beforeLines="20" w:after="20" w:afterLines="20" w:line="360" w:lineRule="auto"/>
      <w:jc w:val="left"/>
      <w:outlineLvl w:val="2"/>
    </w:pPr>
    <w:rPr>
      <w:rFonts w:ascii="Times New Roman" w:hAnsi="Times New Roman" w:eastAsia="宋体"/>
      <w:b/>
      <w:sz w:val="24"/>
      <w:szCs w:val="22"/>
    </w:rPr>
  </w:style>
  <w:style w:type="character" w:customStyle="1" w:styleId="22">
    <w:name w:val="3级标题 Char"/>
    <w:link w:val="21"/>
    <w:qFormat/>
    <w:uiPriority w:val="0"/>
    <w:rPr>
      <w:rFonts w:ascii="Times New Roman" w:hAnsi="Times New Roman" w:eastAsia="宋体"/>
      <w:b/>
      <w:kern w:val="2"/>
      <w:sz w:val="2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2024-04-23T00:01:00Z</dcterms:created>
  <dc:creator>XU</dc:creator>
  <cp:lastModifiedBy>user</cp:lastModifiedBy>
  <dcterms:modified xsi:type="dcterms:W3CDTF">2026-07-27T14:44:36Z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1CC8B758469249EE890E2AF9200CF763_11</vt:lpwstr>
  </property>
</Properties>
</file>