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bookmarkStart w:id="0" w:name="_GoBack"/>
      <w:bookmarkEnd w:id="0"/>
    </w:p>
    <w:tbl>
      <w:tblPr>
        <w:tblW w:w="13960"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6FAFF"/>
        <w:tblLayout w:type="fixed"/>
        <w:tblCellMar>
          <w:top w:w="15" w:type="dxa"/>
          <w:left w:w="15" w:type="dxa"/>
          <w:bottom w:w="15" w:type="dxa"/>
          <w:right w:w="15" w:type="dxa"/>
        </w:tblCellMar>
      </w:tblPr>
      <w:tblGrid>
        <w:gridCol w:w="684"/>
        <w:gridCol w:w="915"/>
        <w:gridCol w:w="830"/>
        <w:gridCol w:w="897"/>
        <w:gridCol w:w="1048"/>
        <w:gridCol w:w="1599"/>
        <w:gridCol w:w="6968"/>
        <w:gridCol w:w="10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0" w:hRule="atLeast"/>
          <w:jc w:val="center"/>
        </w:trPr>
        <w:tc>
          <w:tcPr>
            <w:tcW w:w="684"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黑体" w:hAnsi="黑体" w:eastAsia="黑体" w:cs="黑体"/>
              </w:rPr>
            </w:pPr>
            <w:r>
              <w:rPr>
                <w:rFonts w:hint="eastAsia" w:ascii="黑体" w:hAnsi="黑体" w:eastAsia="黑体" w:cs="黑体"/>
                <w:i w:val="0"/>
                <w:caps w:val="0"/>
                <w:color w:val="434343"/>
                <w:spacing w:val="0"/>
                <w:kern w:val="0"/>
                <w:sz w:val="21"/>
                <w:szCs w:val="21"/>
                <w:lang w:val="en-US" w:eastAsia="zh-CN" w:bidi="ar"/>
              </w:rPr>
              <w:t>序号</w:t>
            </w:r>
          </w:p>
        </w:tc>
        <w:tc>
          <w:tcPr>
            <w:tcW w:w="91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黑体" w:hAnsi="黑体" w:eastAsia="黑体" w:cs="黑体"/>
              </w:rPr>
            </w:pPr>
            <w:r>
              <w:rPr>
                <w:rFonts w:hint="eastAsia" w:ascii="黑体" w:hAnsi="黑体" w:eastAsia="黑体" w:cs="黑体"/>
                <w:i w:val="0"/>
                <w:caps w:val="0"/>
                <w:color w:val="434343"/>
                <w:spacing w:val="0"/>
                <w:kern w:val="0"/>
                <w:sz w:val="21"/>
                <w:szCs w:val="21"/>
                <w:lang w:val="en-US" w:eastAsia="zh-CN" w:bidi="ar"/>
              </w:rPr>
              <w:t>项目名称</w:t>
            </w:r>
          </w:p>
        </w:tc>
        <w:tc>
          <w:tcPr>
            <w:tcW w:w="83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黑体" w:hAnsi="黑体" w:eastAsia="黑体" w:cs="黑体"/>
              </w:rPr>
            </w:pPr>
            <w:r>
              <w:rPr>
                <w:rFonts w:hint="eastAsia" w:ascii="黑体" w:hAnsi="黑体" w:eastAsia="黑体" w:cs="黑体"/>
                <w:i w:val="0"/>
                <w:caps w:val="0"/>
                <w:color w:val="434343"/>
                <w:spacing w:val="0"/>
                <w:kern w:val="0"/>
                <w:sz w:val="21"/>
                <w:szCs w:val="21"/>
                <w:lang w:val="en-US" w:eastAsia="zh-CN" w:bidi="ar"/>
              </w:rPr>
              <w:t>建设地点</w:t>
            </w:r>
          </w:p>
        </w:tc>
        <w:tc>
          <w:tcPr>
            <w:tcW w:w="89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黑体" w:hAnsi="黑体" w:eastAsia="黑体" w:cs="黑体"/>
              </w:rPr>
            </w:pPr>
            <w:r>
              <w:rPr>
                <w:rFonts w:hint="eastAsia" w:ascii="黑体" w:hAnsi="黑体" w:eastAsia="黑体" w:cs="黑体"/>
                <w:i w:val="0"/>
                <w:caps w:val="0"/>
                <w:color w:val="434343"/>
                <w:spacing w:val="0"/>
                <w:kern w:val="0"/>
                <w:sz w:val="21"/>
                <w:szCs w:val="21"/>
                <w:lang w:val="en-US" w:eastAsia="zh-CN" w:bidi="ar"/>
              </w:rPr>
              <w:t>建设单位</w:t>
            </w:r>
          </w:p>
        </w:tc>
        <w:tc>
          <w:tcPr>
            <w:tcW w:w="104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黑体" w:hAnsi="黑体" w:eastAsia="黑体" w:cs="黑体"/>
              </w:rPr>
            </w:pPr>
            <w:r>
              <w:rPr>
                <w:rFonts w:hint="eastAsia" w:ascii="黑体" w:hAnsi="黑体" w:eastAsia="黑体" w:cs="黑体"/>
                <w:i w:val="0"/>
                <w:caps w:val="0"/>
                <w:color w:val="434343"/>
                <w:spacing w:val="0"/>
                <w:kern w:val="0"/>
                <w:sz w:val="21"/>
                <w:szCs w:val="21"/>
                <w:lang w:val="en-US" w:eastAsia="zh-CN" w:bidi="ar"/>
              </w:rPr>
              <w:t>环境影响评价机构</w:t>
            </w:r>
          </w:p>
        </w:tc>
        <w:tc>
          <w:tcPr>
            <w:tcW w:w="159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黑体" w:hAnsi="黑体" w:eastAsia="黑体" w:cs="黑体"/>
                <w:i w:val="0"/>
                <w:caps w:val="0"/>
                <w:color w:val="434343"/>
                <w:spacing w:val="0"/>
                <w:kern w:val="0"/>
                <w:sz w:val="21"/>
                <w:szCs w:val="21"/>
                <w:lang w:val="en-US" w:eastAsia="zh-CN" w:bidi="ar"/>
              </w:rPr>
            </w:pPr>
            <w:r>
              <w:rPr>
                <w:rFonts w:hint="eastAsia" w:ascii="黑体" w:hAnsi="黑体" w:eastAsia="黑体" w:cs="黑体"/>
                <w:i w:val="0"/>
                <w:caps w:val="0"/>
                <w:color w:val="434343"/>
                <w:spacing w:val="0"/>
                <w:kern w:val="0"/>
                <w:sz w:val="21"/>
                <w:szCs w:val="21"/>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黑体" w:hAnsi="黑体" w:eastAsia="黑体" w:cs="黑体"/>
              </w:rPr>
            </w:pPr>
            <w:r>
              <w:rPr>
                <w:rFonts w:hint="eastAsia" w:ascii="黑体" w:hAnsi="黑体" w:eastAsia="黑体" w:cs="黑体"/>
                <w:i w:val="0"/>
                <w:caps w:val="0"/>
                <w:color w:val="434343"/>
                <w:spacing w:val="0"/>
                <w:kern w:val="0"/>
                <w:sz w:val="21"/>
                <w:szCs w:val="21"/>
                <w:lang w:val="en-US" w:eastAsia="zh-CN" w:bidi="ar"/>
              </w:rPr>
              <w:t>概况</w:t>
            </w:r>
          </w:p>
        </w:tc>
        <w:tc>
          <w:tcPr>
            <w:tcW w:w="69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黑体" w:hAnsi="黑体" w:eastAsia="黑体" w:cs="黑体"/>
              </w:rPr>
            </w:pPr>
            <w:r>
              <w:rPr>
                <w:rFonts w:hint="eastAsia" w:ascii="黑体" w:hAnsi="黑体" w:eastAsia="黑体" w:cs="黑体"/>
                <w:i w:val="0"/>
                <w:caps w:val="0"/>
                <w:color w:val="434343"/>
                <w:spacing w:val="0"/>
                <w:kern w:val="0"/>
                <w:sz w:val="21"/>
                <w:szCs w:val="21"/>
                <w:lang w:val="en-US" w:eastAsia="zh-CN" w:bidi="ar"/>
              </w:rPr>
              <w:t>主要环境影响及预防或者减轻不良环境影响的对策和措施</w:t>
            </w:r>
          </w:p>
        </w:tc>
        <w:tc>
          <w:tcPr>
            <w:tcW w:w="10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黑体" w:hAnsi="黑体" w:eastAsia="黑体" w:cs="黑体"/>
              </w:rPr>
            </w:pPr>
            <w:r>
              <w:rPr>
                <w:rFonts w:hint="eastAsia" w:ascii="黑体" w:hAnsi="黑体" w:eastAsia="黑体" w:cs="黑体"/>
                <w:i w:val="0"/>
                <w:caps w:val="0"/>
                <w:color w:val="434343"/>
                <w:spacing w:val="0"/>
                <w:kern w:val="0"/>
                <w:sz w:val="21"/>
                <w:szCs w:val="21"/>
                <w:lang w:val="en-US" w:eastAsia="zh-CN" w:bidi="ar"/>
              </w:rPr>
              <w:t>公众参与情况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6FAFF"/>
          <w:tblLayout w:type="fixed"/>
          <w:tblCellMar>
            <w:top w:w="15" w:type="dxa"/>
            <w:left w:w="15" w:type="dxa"/>
            <w:bottom w:w="15" w:type="dxa"/>
            <w:right w:w="15" w:type="dxa"/>
          </w:tblCellMar>
        </w:tblPrEx>
        <w:trPr>
          <w:trHeight w:val="2209" w:hRule="atLeast"/>
          <w:jc w:val="center"/>
        </w:trPr>
        <w:tc>
          <w:tcPr>
            <w:tcW w:w="68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exact"/>
              <w:ind w:left="0" w:right="0"/>
              <w:jc w:val="left"/>
              <w:textAlignment w:val="auto"/>
              <w:outlineLvl w:val="9"/>
              <w:rPr>
                <w:rFonts w:hint="eastAsia" w:ascii="仿宋_GB2312" w:hAnsi="仿宋_GB2312" w:eastAsia="仿宋_GB2312" w:cs="仿宋_GB2312"/>
                <w:sz w:val="20"/>
                <w:szCs w:val="22"/>
              </w:rPr>
            </w:pPr>
            <w:r>
              <w:rPr>
                <w:rFonts w:hint="eastAsia" w:ascii="仿宋_GB2312" w:hAnsi="仿宋_GB2312" w:eastAsia="仿宋_GB2312" w:cs="仿宋_GB2312"/>
                <w:i w:val="0"/>
                <w:caps w:val="0"/>
                <w:color w:val="434343"/>
                <w:spacing w:val="0"/>
                <w:kern w:val="0"/>
                <w:sz w:val="20"/>
                <w:szCs w:val="20"/>
                <w:lang w:val="en-US" w:eastAsia="zh-CN" w:bidi="ar"/>
              </w:rPr>
              <w:t>1</w:t>
            </w:r>
          </w:p>
        </w:tc>
        <w:tc>
          <w:tcPr>
            <w:tcW w:w="9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exact"/>
              <w:ind w:left="0" w:right="0"/>
              <w:jc w:val="left"/>
              <w:textAlignment w:val="auto"/>
              <w:outlineLvl w:val="9"/>
              <w:rPr>
                <w:rFonts w:hint="eastAsia" w:ascii="仿宋_GB2312" w:hAnsi="仿宋_GB2312" w:eastAsia="仿宋_GB2312" w:cs="仿宋_GB2312"/>
                <w:sz w:val="20"/>
                <w:szCs w:val="22"/>
              </w:rPr>
            </w:pPr>
            <w:r>
              <w:rPr>
                <w:rFonts w:hint="eastAsia" w:ascii="仿宋_GB2312" w:hAnsi="仿宋_GB2312" w:eastAsia="仿宋_GB2312" w:cs="仿宋_GB2312"/>
                <w:i w:val="0"/>
                <w:caps w:val="0"/>
                <w:color w:val="434343"/>
                <w:spacing w:val="0"/>
                <w:kern w:val="0"/>
                <w:sz w:val="20"/>
                <w:szCs w:val="20"/>
                <w:lang w:val="en-US" w:eastAsia="zh-CN" w:bidi="ar"/>
              </w:rPr>
              <w:t>年产3万吨氰尿酸脱硝剂联产3万吨氯代异氰脲酸类水处理剂项目</w:t>
            </w:r>
          </w:p>
        </w:tc>
        <w:tc>
          <w:tcPr>
            <w:tcW w:w="83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exact"/>
              <w:ind w:left="0" w:right="0"/>
              <w:jc w:val="left"/>
              <w:textAlignment w:val="auto"/>
              <w:outlineLvl w:val="9"/>
              <w:rPr>
                <w:rFonts w:hint="eastAsia" w:ascii="仿宋_GB2312" w:hAnsi="仿宋_GB2312" w:eastAsia="仿宋_GB2312" w:cs="仿宋_GB2312"/>
                <w:sz w:val="20"/>
                <w:szCs w:val="22"/>
              </w:rPr>
            </w:pPr>
            <w:r>
              <w:rPr>
                <w:rFonts w:hint="eastAsia" w:ascii="仿宋_GB2312" w:hAnsi="仿宋_GB2312" w:eastAsia="仿宋_GB2312" w:cs="仿宋_GB2312"/>
                <w:i w:val="0"/>
                <w:caps w:val="0"/>
                <w:color w:val="434343"/>
                <w:spacing w:val="0"/>
                <w:kern w:val="0"/>
                <w:sz w:val="20"/>
                <w:szCs w:val="20"/>
                <w:lang w:val="en-US" w:eastAsia="zh-CN" w:bidi="ar"/>
              </w:rPr>
              <w:t>滕州市木石镇鲁南高科技化工园区</w:t>
            </w:r>
          </w:p>
        </w:tc>
        <w:tc>
          <w:tcPr>
            <w:tcW w:w="8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exact"/>
              <w:ind w:left="0" w:right="0"/>
              <w:jc w:val="left"/>
              <w:textAlignment w:val="auto"/>
              <w:outlineLvl w:val="9"/>
              <w:rPr>
                <w:rFonts w:hint="eastAsia" w:ascii="仿宋_GB2312" w:hAnsi="仿宋_GB2312" w:eastAsia="仿宋_GB2312" w:cs="仿宋_GB2312"/>
                <w:sz w:val="20"/>
                <w:szCs w:val="22"/>
              </w:rPr>
            </w:pPr>
            <w:r>
              <w:rPr>
                <w:rFonts w:hint="eastAsia" w:ascii="仿宋_GB2312" w:hAnsi="仿宋_GB2312" w:eastAsia="仿宋_GB2312" w:cs="仿宋_GB2312"/>
                <w:i w:val="0"/>
                <w:caps w:val="0"/>
                <w:color w:val="434343"/>
                <w:spacing w:val="0"/>
                <w:kern w:val="0"/>
                <w:sz w:val="20"/>
                <w:szCs w:val="20"/>
                <w:lang w:val="en-US" w:eastAsia="zh-CN" w:bidi="ar"/>
              </w:rPr>
              <w:t>山东绿灵生物科技有限公司</w:t>
            </w:r>
          </w:p>
        </w:tc>
        <w:tc>
          <w:tcPr>
            <w:tcW w:w="104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exact"/>
              <w:ind w:left="0" w:right="0"/>
              <w:jc w:val="left"/>
              <w:textAlignment w:val="auto"/>
              <w:outlineLvl w:val="9"/>
              <w:rPr>
                <w:rFonts w:hint="eastAsia" w:ascii="仿宋_GB2312" w:hAnsi="仿宋_GB2312" w:eastAsia="仿宋_GB2312" w:cs="仿宋_GB2312"/>
                <w:sz w:val="20"/>
                <w:szCs w:val="22"/>
              </w:rPr>
            </w:pPr>
            <w:r>
              <w:rPr>
                <w:rFonts w:hint="eastAsia" w:ascii="仿宋_GB2312" w:hAnsi="仿宋_GB2312" w:eastAsia="仿宋_GB2312" w:cs="仿宋_GB2312"/>
                <w:i w:val="0"/>
                <w:caps w:val="0"/>
                <w:color w:val="434343"/>
                <w:spacing w:val="0"/>
                <w:kern w:val="0"/>
                <w:sz w:val="20"/>
                <w:szCs w:val="20"/>
                <w:lang w:val="en-US" w:eastAsia="zh-CN" w:bidi="ar"/>
              </w:rPr>
              <w:t>枣庄市环境保护科学研究所有限公司</w:t>
            </w:r>
          </w:p>
        </w:tc>
        <w:tc>
          <w:tcPr>
            <w:tcW w:w="15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exact"/>
              <w:ind w:left="0" w:right="0"/>
              <w:jc w:val="left"/>
              <w:textAlignment w:val="auto"/>
              <w:outlineLvl w:val="9"/>
              <w:rPr>
                <w:rFonts w:hint="eastAsia" w:ascii="仿宋_GB2312" w:hAnsi="仿宋_GB2312" w:eastAsia="仿宋_GB2312" w:cs="仿宋_GB2312"/>
                <w:sz w:val="20"/>
                <w:szCs w:val="22"/>
              </w:rPr>
            </w:pPr>
            <w:r>
              <w:rPr>
                <w:rFonts w:hint="eastAsia" w:ascii="仿宋_GB2312" w:hAnsi="仿宋_GB2312" w:eastAsia="仿宋_GB2312" w:cs="仿宋_GB2312"/>
                <w:i w:val="0"/>
                <w:caps w:val="0"/>
                <w:color w:val="434343"/>
                <w:spacing w:val="0"/>
                <w:kern w:val="0"/>
                <w:sz w:val="20"/>
                <w:szCs w:val="20"/>
                <w:lang w:val="en-US" w:eastAsia="zh-CN" w:bidi="ar"/>
              </w:rPr>
              <w:t>该项目位于鲁南高科技化工园区节用路456号，工程总投资34126.66万元，其中环保投资1332万元，项目代码为2018-37400-26-03-057404。计划建设年产3万吨氰尿酸脱硝剂联产3万吨氯代异氰脲酸类水处理剂项目的生产车间及其配套工程。</w:t>
            </w:r>
          </w:p>
        </w:tc>
        <w:tc>
          <w:tcPr>
            <w:tcW w:w="69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rPr>
                <w:rFonts w:hint="eastAsia" w:ascii="仿宋_GB2312" w:hAnsi="仿宋_GB2312" w:eastAsia="仿宋_GB2312" w:cs="仿宋_GB2312"/>
                <w:sz w:val="20"/>
                <w:szCs w:val="22"/>
              </w:rPr>
            </w:pPr>
            <w:r>
              <w:rPr>
                <w:rFonts w:hint="eastAsia" w:ascii="仿宋_GB2312" w:hAnsi="仿宋_GB2312" w:eastAsia="仿宋_GB2312" w:cs="仿宋_GB2312"/>
                <w:i w:val="0"/>
                <w:caps w:val="0"/>
                <w:color w:val="434343"/>
                <w:spacing w:val="0"/>
                <w:kern w:val="0"/>
                <w:sz w:val="20"/>
                <w:szCs w:val="20"/>
                <w:lang w:val="en-US" w:eastAsia="zh-CN" w:bidi="ar"/>
              </w:rPr>
              <w:t>1、废气：有组织废气主要包括锅炉燃烧废气、缩合炉燃烧废气、缩合炉热解废气、精制废气、产品干燥废气、氯化釜尾氯等。锅炉燃料为天然气，燃烧废气经15m高烟囱排放。尿素热解废气经硫酸喷淋吸收处理后，与精制废气、烘干废气及缩合炉天然气燃烧废气一并经30m高排气筒排放。三氯水处理剂生产车间的氯化装置含氯尾气经四级碱液喷淋吸收；烘干、风送、造粒、压片等工序产生的含尘废气经旋风除尘+布袋除尘+碱液喷淋处置后，与经大苏打溶液吸收后的尾氯一同经30m高排气筒排放。二氯水处理剂生产车间的氯化装置含氯尾气及中和废气经大苏打溶液吸收后，经30m高排气筒排放；二氯三氯母液和水洗废水处理过程中回收的氯气返回二氯、三氯车间生产工艺中。锅炉房废气可满足《山东省锅炉大气污染物排放标准》(DB37/2374- 2018)表2燃气锅炉污染物排放浓度限值要求，各生产车间产生工艺废气污染物浓度均可满足《恶臭污染物排放标准》（GB14554-93）表2标准要求、《大气污染物综合排放标准》（GB16297-1996）的二级标准排放要求、《山东省区域性大气污染物综合排放标准》（DB37/2376-2013）表2（第四时段）中重点控制区标准要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rPr>
                <w:rFonts w:hint="eastAsia" w:ascii="仿宋_GB2312" w:hAnsi="仿宋_GB2312" w:eastAsia="仿宋_GB2312" w:cs="仿宋_GB2312"/>
                <w:sz w:val="20"/>
                <w:szCs w:val="22"/>
              </w:rPr>
            </w:pPr>
            <w:r>
              <w:rPr>
                <w:rFonts w:hint="eastAsia" w:ascii="仿宋_GB2312" w:hAnsi="仿宋_GB2312" w:eastAsia="仿宋_GB2312" w:cs="仿宋_GB2312"/>
                <w:i w:val="0"/>
                <w:caps w:val="0"/>
                <w:color w:val="434343"/>
                <w:spacing w:val="0"/>
                <w:kern w:val="0"/>
                <w:sz w:val="22"/>
                <w:szCs w:val="22"/>
                <w:lang w:val="en-US" w:eastAsia="zh-CN" w:bidi="ar"/>
              </w:rPr>
              <w:t>  </w:t>
            </w:r>
            <w:r>
              <w:rPr>
                <w:rFonts w:hint="eastAsia" w:ascii="仿宋_GB2312" w:hAnsi="仿宋_GB2312" w:eastAsia="仿宋_GB2312" w:cs="仿宋_GB2312"/>
                <w:i w:val="0"/>
                <w:caps w:val="0"/>
                <w:color w:val="434343"/>
                <w:spacing w:val="0"/>
                <w:kern w:val="0"/>
                <w:sz w:val="20"/>
                <w:szCs w:val="20"/>
                <w:lang w:val="en-US" w:eastAsia="zh-CN" w:bidi="ar"/>
              </w:rPr>
              <w:t>车间无组织废气主要包括配料和包装工序产生的粉尘、尿素热解工序中从缩合炉逸散出的氨气等。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rPr>
                <w:rFonts w:hint="eastAsia" w:ascii="仿宋_GB2312" w:hAnsi="仿宋_GB2312" w:eastAsia="仿宋_GB2312" w:cs="仿宋_GB2312"/>
                <w:sz w:val="20"/>
                <w:szCs w:val="22"/>
              </w:rPr>
            </w:pPr>
            <w:r>
              <w:rPr>
                <w:rFonts w:hint="eastAsia" w:ascii="仿宋_GB2312" w:hAnsi="仿宋_GB2312" w:eastAsia="仿宋_GB2312" w:cs="仿宋_GB2312"/>
                <w:i w:val="0"/>
                <w:caps w:val="0"/>
                <w:color w:val="434343"/>
                <w:spacing w:val="0"/>
                <w:kern w:val="0"/>
                <w:sz w:val="20"/>
                <w:szCs w:val="20"/>
                <w:lang w:val="en-US" w:eastAsia="zh-CN" w:bidi="ar"/>
              </w:rPr>
              <w:t>2、废水：生产工艺废水（二氯、三氯水洗废水）通过生产污水管网汇集到废水前置区进行处理后，三氯废水回用于次氯酸钠溶液生产工艺中，二氯废水进入MVR蒸发系统中制备副产品氯化钙；设备冲洗废水收集后回用于生产过程中，项目无工艺废水外排。项目建成后，全厂外排废水主要为车间地面冲洗废水、循环水池排污及职工生活污水，废水满足《污水排入城镇下水道水质标准》(GB/T 31962-2015) A等级标准，并达到园区污水处理厂进水水质要求，排入园区污水管网。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rPr>
                <w:rFonts w:hint="eastAsia" w:ascii="仿宋_GB2312" w:hAnsi="仿宋_GB2312" w:eastAsia="仿宋_GB2312" w:cs="仿宋_GB2312"/>
                <w:sz w:val="20"/>
                <w:szCs w:val="22"/>
              </w:rPr>
            </w:pPr>
            <w:r>
              <w:rPr>
                <w:rFonts w:hint="eastAsia" w:ascii="仿宋_GB2312" w:hAnsi="仿宋_GB2312" w:eastAsia="仿宋_GB2312" w:cs="仿宋_GB2312"/>
                <w:i w:val="0"/>
                <w:caps w:val="0"/>
                <w:color w:val="434343"/>
                <w:spacing w:val="0"/>
                <w:kern w:val="0"/>
                <w:sz w:val="22"/>
                <w:szCs w:val="22"/>
                <w:lang w:val="en-US" w:eastAsia="zh-CN" w:bidi="ar"/>
              </w:rPr>
              <w:t>  </w:t>
            </w:r>
            <w:r>
              <w:rPr>
                <w:rFonts w:hint="eastAsia" w:ascii="仿宋_GB2312" w:hAnsi="仿宋_GB2312" w:eastAsia="仿宋_GB2312" w:cs="仿宋_GB2312"/>
                <w:i w:val="0"/>
                <w:caps w:val="0"/>
                <w:color w:val="434343"/>
                <w:spacing w:val="0"/>
                <w:kern w:val="0"/>
                <w:sz w:val="20"/>
                <w:szCs w:val="20"/>
                <w:lang w:val="en-US" w:eastAsia="zh-CN" w:bidi="ar"/>
              </w:rPr>
              <w:t>排入园区污水处理厂污染物量为COD1.29 t/a、氨氮0.125t/a、SS 0.996 t/a、BOD</w:t>
            </w:r>
            <w:r>
              <w:rPr>
                <w:rFonts w:hint="eastAsia" w:ascii="仿宋_GB2312" w:hAnsi="仿宋_GB2312" w:eastAsia="仿宋_GB2312" w:cs="仿宋_GB2312"/>
                <w:i w:val="0"/>
                <w:caps w:val="0"/>
                <w:color w:val="434343"/>
                <w:spacing w:val="0"/>
                <w:kern w:val="0"/>
                <w:sz w:val="20"/>
                <w:szCs w:val="20"/>
                <w:vertAlign w:val="subscript"/>
                <w:lang w:val="en-US" w:eastAsia="zh-CN" w:bidi="ar"/>
              </w:rPr>
              <w:t>5</w:t>
            </w:r>
            <w:r>
              <w:rPr>
                <w:rFonts w:hint="eastAsia" w:ascii="仿宋_GB2312" w:hAnsi="仿宋_GB2312" w:eastAsia="仿宋_GB2312" w:cs="仿宋_GB2312"/>
                <w:i w:val="0"/>
                <w:caps w:val="0"/>
                <w:color w:val="434343"/>
                <w:spacing w:val="0"/>
                <w:kern w:val="0"/>
                <w:sz w:val="20"/>
                <w:szCs w:val="20"/>
                <w:lang w:val="en-US" w:eastAsia="zh-CN" w:bidi="ar"/>
              </w:rPr>
              <w:t>0.562 t/a、溶解性总固体1400 t/a。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rPr>
                <w:rFonts w:hint="eastAsia" w:ascii="仿宋_GB2312" w:hAnsi="仿宋_GB2312" w:eastAsia="仿宋_GB2312" w:cs="仿宋_GB2312"/>
                <w:sz w:val="20"/>
                <w:szCs w:val="22"/>
              </w:rPr>
            </w:pPr>
            <w:r>
              <w:rPr>
                <w:rFonts w:hint="eastAsia" w:ascii="仿宋_GB2312" w:hAnsi="仿宋_GB2312" w:eastAsia="仿宋_GB2312" w:cs="仿宋_GB2312"/>
                <w:i w:val="0"/>
                <w:caps w:val="0"/>
                <w:color w:val="434343"/>
                <w:spacing w:val="0"/>
                <w:kern w:val="0"/>
                <w:sz w:val="22"/>
                <w:szCs w:val="22"/>
                <w:lang w:val="en-US" w:eastAsia="zh-CN" w:bidi="ar"/>
              </w:rPr>
              <w:t>  </w:t>
            </w:r>
            <w:r>
              <w:rPr>
                <w:rFonts w:hint="eastAsia" w:ascii="仿宋_GB2312" w:hAnsi="仿宋_GB2312" w:eastAsia="仿宋_GB2312" w:cs="仿宋_GB2312"/>
                <w:i w:val="0"/>
                <w:caps w:val="0"/>
                <w:color w:val="434343"/>
                <w:spacing w:val="0"/>
                <w:kern w:val="0"/>
                <w:sz w:val="20"/>
                <w:szCs w:val="20"/>
                <w:lang w:val="en-US" w:eastAsia="zh-CN" w:bidi="ar"/>
              </w:rPr>
              <w:t>项目污水管道和污水处理构筑物等采取严格防渗措施，防止污水渗漏直接污染地下水。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rPr>
                <w:rFonts w:hint="eastAsia" w:ascii="仿宋_GB2312" w:hAnsi="仿宋_GB2312" w:eastAsia="仿宋_GB2312" w:cs="仿宋_GB2312"/>
                <w:sz w:val="20"/>
                <w:szCs w:val="22"/>
              </w:rPr>
            </w:pPr>
            <w:r>
              <w:rPr>
                <w:rFonts w:hint="eastAsia" w:ascii="仿宋_GB2312" w:hAnsi="仿宋_GB2312" w:eastAsia="仿宋_GB2312" w:cs="仿宋_GB2312"/>
                <w:i w:val="0"/>
                <w:caps w:val="0"/>
                <w:color w:val="434343"/>
                <w:spacing w:val="0"/>
                <w:kern w:val="0"/>
                <w:sz w:val="20"/>
                <w:szCs w:val="20"/>
                <w:lang w:val="en-US" w:eastAsia="zh-CN" w:bidi="ar"/>
              </w:rPr>
              <w:t>3、固体废物：主要是三氯异氰脲酸水处理剂生产车间产生的三钠盐滤渣。厂内产生其他固废主要是原辅料废包装物及职工办公生活垃圾。三钠盐滤渣回用于氰尿酸生产车间硫酸铵生产系统中，不外排；生活垃圾经集中收集后定期由环卫部门统一清运至生活垃圾卫生填埋场；废包装物主要成分为尼龙及塑料，作为一般固废外卖至废品回收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rPr>
                <w:rFonts w:hint="eastAsia" w:ascii="仿宋_GB2312" w:hAnsi="仿宋_GB2312" w:eastAsia="仿宋_GB2312" w:cs="仿宋_GB2312"/>
                <w:sz w:val="20"/>
                <w:szCs w:val="22"/>
              </w:rPr>
            </w:pPr>
            <w:r>
              <w:rPr>
                <w:rFonts w:hint="eastAsia" w:ascii="仿宋_GB2312" w:hAnsi="仿宋_GB2312" w:eastAsia="仿宋_GB2312" w:cs="仿宋_GB2312"/>
                <w:i w:val="0"/>
                <w:caps w:val="0"/>
                <w:color w:val="434343"/>
                <w:spacing w:val="0"/>
                <w:kern w:val="0"/>
                <w:sz w:val="20"/>
                <w:szCs w:val="20"/>
                <w:lang w:val="en-US" w:eastAsia="zh-CN" w:bidi="ar"/>
              </w:rPr>
              <w:t>4、噪声：噪声源主要各水泵、风机、空压机、离心机、粉碎机、干燥机等。工程拟对设备采用室内安装、基础减振、平衡安装、加装消声器等措施，使厂界噪声达到《工业企业厂界环境噪声排放标准》(GB12348-2008)中3类标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rPr>
                <w:rFonts w:hint="eastAsia" w:ascii="仿宋_GB2312" w:hAnsi="仿宋_GB2312" w:eastAsia="仿宋_GB2312" w:cs="仿宋_GB2312"/>
                <w:sz w:val="20"/>
                <w:szCs w:val="22"/>
              </w:rPr>
            </w:pPr>
            <w:r>
              <w:rPr>
                <w:rFonts w:hint="eastAsia" w:ascii="仿宋_GB2312" w:hAnsi="仿宋_GB2312" w:eastAsia="仿宋_GB2312" w:cs="仿宋_GB2312"/>
                <w:i w:val="0"/>
                <w:caps w:val="0"/>
                <w:color w:val="434343"/>
                <w:spacing w:val="0"/>
                <w:kern w:val="0"/>
                <w:sz w:val="20"/>
                <w:szCs w:val="20"/>
                <w:lang w:val="en-US" w:eastAsia="zh-CN" w:bidi="ar"/>
              </w:rPr>
              <w:t>5、环境风险：项目原辅材料、产品涉及的危险化学品主要有硫酸、盐酸、液碱、二氯异氰脲酸、三氯异氰脲酸、氨、氯等。报告书提出各种风险防范措施及安全管理措施，经过落实可将环境风险降至最小水平。</w:t>
            </w:r>
          </w:p>
        </w:tc>
        <w:tc>
          <w:tcPr>
            <w:tcW w:w="10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exact"/>
              <w:ind w:left="0" w:right="0"/>
              <w:jc w:val="left"/>
              <w:textAlignment w:val="auto"/>
              <w:outlineLvl w:val="9"/>
              <w:rPr>
                <w:rFonts w:hint="eastAsia" w:ascii="仿宋_GB2312" w:hAnsi="仿宋_GB2312" w:eastAsia="仿宋_GB2312" w:cs="仿宋_GB2312"/>
                <w:sz w:val="20"/>
                <w:szCs w:val="22"/>
              </w:rPr>
            </w:pPr>
            <w:r>
              <w:rPr>
                <w:rFonts w:hint="eastAsia" w:ascii="仿宋_GB2312" w:hAnsi="仿宋_GB2312" w:eastAsia="仿宋_GB2312" w:cs="仿宋_GB2312"/>
                <w:i w:val="0"/>
                <w:caps w:val="0"/>
                <w:color w:val="434343"/>
                <w:spacing w:val="0"/>
                <w:kern w:val="0"/>
                <w:sz w:val="20"/>
                <w:szCs w:val="20"/>
                <w:lang w:val="en-US" w:eastAsia="zh-CN" w:bidi="ar"/>
              </w:rPr>
              <w:t>采取网站公示、发放调查问卷、公告张贴、报纸刊登等方式开展公众参与工作。</w:t>
            </w:r>
          </w:p>
        </w:tc>
      </w:tr>
    </w:tbl>
    <w:p>
      <w:pPr>
        <w:keepNext w:val="0"/>
        <w:keepLines w:val="0"/>
        <w:pageBreakBefore w:val="0"/>
        <w:widowControl w:val="0"/>
        <w:kinsoku/>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B070C"/>
    <w:rsid w:val="1B5C0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LC</dc:creator>
  <cp:lastModifiedBy>LC</cp:lastModifiedBy>
  <dcterms:modified xsi:type="dcterms:W3CDTF">2019-07-17T02:01:51Z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