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tbl>
      <w:tblPr>
        <w:tblStyle w:val="3"/>
        <w:tblW w:w="1396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6FAFF"/>
        <w:tblLayout w:type="fixed"/>
        <w:tblCellMar>
          <w:top w:w="15" w:type="dxa"/>
          <w:left w:w="15" w:type="dxa"/>
          <w:bottom w:w="15" w:type="dxa"/>
          <w:right w:w="15" w:type="dxa"/>
        </w:tblCellMar>
      </w:tblPr>
      <w:tblGrid>
        <w:gridCol w:w="684"/>
        <w:gridCol w:w="915"/>
        <w:gridCol w:w="830"/>
        <w:gridCol w:w="897"/>
        <w:gridCol w:w="1048"/>
        <w:gridCol w:w="1599"/>
        <w:gridCol w:w="6968"/>
        <w:gridCol w:w="101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6FAFF"/>
          <w:tblCellMar>
            <w:top w:w="15" w:type="dxa"/>
            <w:left w:w="15" w:type="dxa"/>
            <w:bottom w:w="15" w:type="dxa"/>
            <w:right w:w="15" w:type="dxa"/>
          </w:tblCellMar>
        </w:tblPrEx>
        <w:trPr>
          <w:trHeight w:val="90" w:hRule="atLeast"/>
          <w:jc w:val="center"/>
        </w:trPr>
        <w:tc>
          <w:tcPr>
            <w:tcW w:w="68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eastAsia" w:ascii="黑体" w:hAnsi="黑体" w:eastAsia="黑体" w:cs="黑体"/>
              </w:rPr>
            </w:pPr>
            <w:r>
              <w:rPr>
                <w:rFonts w:hint="eastAsia" w:ascii="黑体" w:hAnsi="黑体" w:eastAsia="黑体" w:cs="黑体"/>
                <w:i w:val="0"/>
                <w:caps w:val="0"/>
                <w:color w:val="434343"/>
                <w:spacing w:val="0"/>
                <w:kern w:val="0"/>
                <w:sz w:val="21"/>
                <w:szCs w:val="21"/>
                <w:lang w:val="en-US" w:eastAsia="zh-CN" w:bidi="ar"/>
              </w:rPr>
              <w:t>序号</w:t>
            </w:r>
          </w:p>
        </w:tc>
        <w:tc>
          <w:tcPr>
            <w:tcW w:w="91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eastAsia" w:ascii="黑体" w:hAnsi="黑体" w:eastAsia="黑体" w:cs="黑体"/>
              </w:rPr>
            </w:pPr>
            <w:r>
              <w:rPr>
                <w:rFonts w:hint="eastAsia" w:ascii="黑体" w:hAnsi="黑体" w:eastAsia="黑体" w:cs="黑体"/>
                <w:i w:val="0"/>
                <w:caps w:val="0"/>
                <w:color w:val="434343"/>
                <w:spacing w:val="0"/>
                <w:kern w:val="0"/>
                <w:sz w:val="21"/>
                <w:szCs w:val="21"/>
                <w:lang w:val="en-US" w:eastAsia="zh-CN" w:bidi="ar"/>
              </w:rPr>
              <w:t>项目名称</w:t>
            </w:r>
          </w:p>
        </w:tc>
        <w:tc>
          <w:tcPr>
            <w:tcW w:w="83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eastAsia" w:ascii="黑体" w:hAnsi="黑体" w:eastAsia="黑体" w:cs="黑体"/>
              </w:rPr>
            </w:pPr>
            <w:r>
              <w:rPr>
                <w:rFonts w:hint="eastAsia" w:ascii="黑体" w:hAnsi="黑体" w:eastAsia="黑体" w:cs="黑体"/>
                <w:i w:val="0"/>
                <w:caps w:val="0"/>
                <w:color w:val="434343"/>
                <w:spacing w:val="0"/>
                <w:kern w:val="0"/>
                <w:sz w:val="21"/>
                <w:szCs w:val="21"/>
                <w:lang w:val="en-US" w:eastAsia="zh-CN" w:bidi="ar"/>
              </w:rPr>
              <w:t>建设地点</w:t>
            </w:r>
          </w:p>
        </w:tc>
        <w:tc>
          <w:tcPr>
            <w:tcW w:w="89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eastAsia" w:ascii="黑体" w:hAnsi="黑体" w:eastAsia="黑体" w:cs="黑体"/>
              </w:rPr>
            </w:pPr>
            <w:r>
              <w:rPr>
                <w:rFonts w:hint="eastAsia" w:ascii="黑体" w:hAnsi="黑体" w:eastAsia="黑体" w:cs="黑体"/>
                <w:i w:val="0"/>
                <w:caps w:val="0"/>
                <w:color w:val="434343"/>
                <w:spacing w:val="0"/>
                <w:kern w:val="0"/>
                <w:sz w:val="21"/>
                <w:szCs w:val="21"/>
                <w:lang w:val="en-US" w:eastAsia="zh-CN" w:bidi="ar"/>
              </w:rPr>
              <w:t>建设单位</w:t>
            </w:r>
          </w:p>
        </w:tc>
        <w:tc>
          <w:tcPr>
            <w:tcW w:w="104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eastAsia" w:ascii="黑体" w:hAnsi="黑体" w:eastAsia="黑体" w:cs="黑体"/>
              </w:rPr>
            </w:pPr>
            <w:r>
              <w:rPr>
                <w:rFonts w:hint="eastAsia" w:ascii="黑体" w:hAnsi="黑体" w:eastAsia="黑体" w:cs="黑体"/>
                <w:i w:val="0"/>
                <w:caps w:val="0"/>
                <w:color w:val="434343"/>
                <w:spacing w:val="0"/>
                <w:kern w:val="0"/>
                <w:sz w:val="21"/>
                <w:szCs w:val="21"/>
                <w:lang w:val="en-US" w:eastAsia="zh-CN" w:bidi="ar"/>
              </w:rPr>
              <w:t>环境影响评价机构</w:t>
            </w:r>
          </w:p>
        </w:tc>
        <w:tc>
          <w:tcPr>
            <w:tcW w:w="159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eastAsia" w:ascii="黑体" w:hAnsi="黑体" w:eastAsia="黑体" w:cs="黑体"/>
                <w:i w:val="0"/>
                <w:caps w:val="0"/>
                <w:color w:val="434343"/>
                <w:spacing w:val="0"/>
                <w:kern w:val="0"/>
                <w:sz w:val="21"/>
                <w:szCs w:val="21"/>
                <w:lang w:val="en-US" w:eastAsia="zh-CN" w:bidi="ar"/>
              </w:rPr>
            </w:pPr>
            <w:r>
              <w:rPr>
                <w:rFonts w:hint="eastAsia" w:ascii="黑体" w:hAnsi="黑体" w:eastAsia="黑体" w:cs="黑体"/>
                <w:i w:val="0"/>
                <w:caps w:val="0"/>
                <w:color w:val="434343"/>
                <w:spacing w:val="0"/>
                <w:kern w:val="0"/>
                <w:sz w:val="21"/>
                <w:szCs w:val="21"/>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eastAsia" w:ascii="黑体" w:hAnsi="黑体" w:eastAsia="黑体" w:cs="黑体"/>
              </w:rPr>
            </w:pPr>
            <w:r>
              <w:rPr>
                <w:rFonts w:hint="eastAsia" w:ascii="黑体" w:hAnsi="黑体" w:eastAsia="黑体" w:cs="黑体"/>
                <w:i w:val="0"/>
                <w:caps w:val="0"/>
                <w:color w:val="434343"/>
                <w:spacing w:val="0"/>
                <w:kern w:val="0"/>
                <w:sz w:val="21"/>
                <w:szCs w:val="21"/>
                <w:lang w:val="en-US" w:eastAsia="zh-CN" w:bidi="ar"/>
              </w:rPr>
              <w:t>概况</w:t>
            </w:r>
          </w:p>
        </w:tc>
        <w:tc>
          <w:tcPr>
            <w:tcW w:w="696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eastAsia" w:ascii="黑体" w:hAnsi="黑体" w:eastAsia="黑体" w:cs="黑体"/>
              </w:rPr>
            </w:pPr>
            <w:r>
              <w:rPr>
                <w:rFonts w:hint="eastAsia" w:ascii="黑体" w:hAnsi="黑体" w:eastAsia="黑体" w:cs="黑体"/>
                <w:i w:val="0"/>
                <w:caps w:val="0"/>
                <w:color w:val="434343"/>
                <w:spacing w:val="0"/>
                <w:kern w:val="0"/>
                <w:sz w:val="21"/>
                <w:szCs w:val="21"/>
                <w:lang w:val="en-US" w:eastAsia="zh-CN" w:bidi="ar"/>
              </w:rPr>
              <w:t>主要环境影响及预防或者减轻不良环境影响的对策和措施</w:t>
            </w:r>
          </w:p>
        </w:tc>
        <w:tc>
          <w:tcPr>
            <w:tcW w:w="101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eastAsia" w:ascii="黑体" w:hAnsi="黑体" w:eastAsia="黑体" w:cs="黑体"/>
              </w:rPr>
            </w:pPr>
            <w:r>
              <w:rPr>
                <w:rFonts w:hint="eastAsia" w:ascii="黑体" w:hAnsi="黑体" w:eastAsia="黑体" w:cs="黑体"/>
                <w:i w:val="0"/>
                <w:caps w:val="0"/>
                <w:color w:val="434343"/>
                <w:spacing w:val="0"/>
                <w:kern w:val="0"/>
                <w:sz w:val="21"/>
                <w:szCs w:val="21"/>
                <w:lang w:val="en-US" w:eastAsia="zh-CN" w:bidi="ar"/>
              </w:rPr>
              <w:t>公众参与情况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6FAFF"/>
          <w:tblCellMar>
            <w:top w:w="15" w:type="dxa"/>
            <w:left w:w="15" w:type="dxa"/>
            <w:bottom w:w="15" w:type="dxa"/>
            <w:right w:w="15" w:type="dxa"/>
          </w:tblCellMar>
        </w:tblPrEx>
        <w:trPr>
          <w:trHeight w:val="2209" w:hRule="atLeast"/>
          <w:jc w:val="center"/>
        </w:trPr>
        <w:tc>
          <w:tcPr>
            <w:tcW w:w="68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40" w:lineRule="exact"/>
              <w:ind w:left="0" w:right="0"/>
              <w:jc w:val="left"/>
              <w:textAlignment w:val="auto"/>
              <w:outlineLvl w:val="9"/>
              <w:rPr>
                <w:rFonts w:hint="eastAsia" w:ascii="仿宋_GB2312" w:hAnsi="仿宋_GB2312" w:eastAsia="仿宋_GB2312" w:cs="仿宋_GB2312"/>
                <w:sz w:val="20"/>
                <w:szCs w:val="22"/>
              </w:rPr>
            </w:pPr>
            <w:r>
              <w:rPr>
                <w:rFonts w:hint="eastAsia" w:ascii="仿宋_GB2312" w:hAnsi="仿宋_GB2312" w:eastAsia="仿宋_GB2312" w:cs="仿宋_GB2312"/>
                <w:i w:val="0"/>
                <w:caps w:val="0"/>
                <w:color w:val="434343"/>
                <w:spacing w:val="0"/>
                <w:kern w:val="0"/>
                <w:sz w:val="20"/>
                <w:szCs w:val="20"/>
                <w:lang w:val="en-US" w:eastAsia="zh-CN" w:bidi="ar"/>
              </w:rPr>
              <w:t>1</w:t>
            </w:r>
          </w:p>
        </w:tc>
        <w:tc>
          <w:tcPr>
            <w:tcW w:w="9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40" w:lineRule="exact"/>
              <w:ind w:left="0" w:right="0"/>
              <w:jc w:val="left"/>
              <w:textAlignment w:val="auto"/>
              <w:outlineLvl w:val="9"/>
              <w:rPr>
                <w:rFonts w:hint="eastAsia" w:ascii="仿宋_GB2312" w:hAnsi="仿宋_GB2312" w:eastAsia="仿宋_GB2312" w:cs="仿宋_GB2312"/>
                <w:b w:val="0"/>
                <w:bCs w:val="0"/>
                <w:sz w:val="20"/>
                <w:szCs w:val="22"/>
              </w:rPr>
            </w:pPr>
            <w:r>
              <w:rPr>
                <w:rFonts w:hint="eastAsia" w:ascii="仿宋_GB2312" w:hAnsi="仿宋_GB2312" w:eastAsia="仿宋_GB2312" w:cs="仿宋_GB2312"/>
                <w:b w:val="0"/>
                <w:bCs w:val="0"/>
                <w:i w:val="0"/>
                <w:caps w:val="0"/>
                <w:color w:val="434343"/>
                <w:spacing w:val="0"/>
                <w:kern w:val="0"/>
                <w:sz w:val="20"/>
                <w:szCs w:val="20"/>
                <w:lang w:val="en-US" w:eastAsia="zh-CN" w:bidi="ar"/>
              </w:rPr>
              <w:t>光大国际滕州环保能源发电二期项目</w:t>
            </w:r>
          </w:p>
        </w:tc>
        <w:tc>
          <w:tcPr>
            <w:tcW w:w="8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40" w:lineRule="exact"/>
              <w:ind w:left="0" w:right="0"/>
              <w:jc w:val="left"/>
              <w:textAlignment w:val="auto"/>
              <w:outlineLvl w:val="9"/>
              <w:rPr>
                <w:rFonts w:hint="eastAsia" w:ascii="仿宋_GB2312" w:hAnsi="仿宋_GB2312" w:eastAsia="仿宋_GB2312" w:cs="仿宋_GB2312"/>
                <w:b w:val="0"/>
                <w:bCs w:val="0"/>
                <w:sz w:val="20"/>
                <w:szCs w:val="22"/>
              </w:rPr>
            </w:pPr>
            <w:r>
              <w:rPr>
                <w:rFonts w:hint="eastAsia" w:ascii="仿宋_GB2312" w:hAnsi="仿宋_GB2312" w:eastAsia="仿宋_GB2312" w:cs="仿宋_GB2312"/>
                <w:b w:val="0"/>
                <w:bCs w:val="0"/>
                <w:i w:val="0"/>
                <w:caps w:val="0"/>
                <w:color w:val="434343"/>
                <w:spacing w:val="0"/>
                <w:kern w:val="0"/>
                <w:sz w:val="20"/>
                <w:szCs w:val="20"/>
                <w:lang w:val="en-US" w:eastAsia="zh-CN" w:bidi="ar"/>
              </w:rPr>
              <w:t>滕州市城区东南方向木石镇独后村向阳山山坳</w:t>
            </w:r>
          </w:p>
        </w:tc>
        <w:tc>
          <w:tcPr>
            <w:tcW w:w="8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40" w:lineRule="exact"/>
              <w:ind w:left="0" w:right="0"/>
              <w:jc w:val="left"/>
              <w:textAlignment w:val="auto"/>
              <w:outlineLvl w:val="9"/>
              <w:rPr>
                <w:rFonts w:hint="eastAsia" w:ascii="仿宋_GB2312" w:hAnsi="仿宋_GB2312" w:eastAsia="仿宋_GB2312" w:cs="仿宋_GB2312"/>
                <w:b w:val="0"/>
                <w:bCs w:val="0"/>
                <w:sz w:val="20"/>
                <w:szCs w:val="22"/>
              </w:rPr>
            </w:pPr>
            <w:r>
              <w:rPr>
                <w:rFonts w:hint="eastAsia" w:ascii="仿宋_GB2312" w:hAnsi="仿宋_GB2312" w:eastAsia="仿宋_GB2312" w:cs="仿宋_GB2312"/>
                <w:b w:val="0"/>
                <w:bCs w:val="0"/>
                <w:i w:val="0"/>
                <w:caps w:val="0"/>
                <w:color w:val="434343"/>
                <w:spacing w:val="0"/>
                <w:kern w:val="0"/>
                <w:sz w:val="20"/>
                <w:szCs w:val="20"/>
                <w:lang w:val="en-US" w:eastAsia="zh-CN" w:bidi="ar"/>
              </w:rPr>
              <w:t>光大环保能源（滕州）有限公司</w:t>
            </w:r>
          </w:p>
        </w:tc>
        <w:tc>
          <w:tcPr>
            <w:tcW w:w="10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40" w:lineRule="exact"/>
              <w:ind w:left="0" w:right="0"/>
              <w:jc w:val="left"/>
              <w:textAlignment w:val="auto"/>
              <w:outlineLvl w:val="9"/>
              <w:rPr>
                <w:rFonts w:hint="eastAsia" w:ascii="仿宋_GB2312" w:hAnsi="仿宋_GB2312" w:eastAsia="仿宋_GB2312" w:cs="仿宋_GB2312"/>
                <w:b w:val="0"/>
                <w:bCs w:val="0"/>
                <w:sz w:val="20"/>
                <w:szCs w:val="22"/>
              </w:rPr>
            </w:pPr>
            <w:r>
              <w:rPr>
                <w:rFonts w:hint="eastAsia" w:ascii="仿宋_GB2312" w:hAnsi="仿宋_GB2312" w:eastAsia="仿宋_GB2312" w:cs="仿宋_GB2312"/>
                <w:b w:val="0"/>
                <w:bCs w:val="0"/>
                <w:i w:val="0"/>
                <w:caps w:val="0"/>
                <w:color w:val="434343"/>
                <w:spacing w:val="0"/>
                <w:kern w:val="0"/>
                <w:sz w:val="20"/>
                <w:szCs w:val="20"/>
                <w:lang w:val="en-US" w:eastAsia="zh-CN" w:bidi="ar"/>
              </w:rPr>
              <w:t>山东省环境保护科学研究设计院有限公司</w:t>
            </w:r>
          </w:p>
        </w:tc>
        <w:tc>
          <w:tcPr>
            <w:tcW w:w="15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40" w:lineRule="exact"/>
              <w:ind w:left="0" w:right="0"/>
              <w:jc w:val="left"/>
              <w:textAlignment w:val="auto"/>
              <w:outlineLvl w:val="9"/>
              <w:rPr>
                <w:rFonts w:hint="eastAsia" w:ascii="仿宋_GB2312" w:hAnsi="仿宋_GB2312" w:eastAsia="仿宋_GB2312" w:cs="仿宋_GB2312"/>
                <w:b w:val="0"/>
                <w:bCs w:val="0"/>
                <w:sz w:val="20"/>
                <w:szCs w:val="22"/>
              </w:rPr>
            </w:pPr>
            <w:r>
              <w:rPr>
                <w:rFonts w:hint="eastAsia" w:ascii="仿宋_GB2312" w:hAnsi="仿宋_GB2312" w:eastAsia="仿宋_GB2312" w:cs="仿宋_GB2312"/>
                <w:b w:val="0"/>
                <w:bCs w:val="0"/>
                <w:i w:val="0"/>
                <w:caps w:val="0"/>
                <w:color w:val="434343"/>
                <w:spacing w:val="0"/>
                <w:kern w:val="0"/>
                <w:sz w:val="20"/>
                <w:szCs w:val="20"/>
                <w:lang w:val="en-US" w:eastAsia="zh-CN" w:bidi="ar"/>
              </w:rPr>
              <w:t>该项目为扩建，位于现有工程厂区内。项目主要建设1台处理能力为400t/d机械炉排炉焚烧炉，1台9MW凝汽式汽轮机+1台9MW发电机，同步配套建设烟气处理系统及渗滤液收集等系统。部分设施依托现有工程。项目服务年限为24年。</w:t>
            </w:r>
          </w:p>
        </w:tc>
        <w:tc>
          <w:tcPr>
            <w:tcW w:w="69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outlineLvl w:val="9"/>
              <w:rPr>
                <w:rFonts w:hint="eastAsia" w:ascii="仿宋_GB2312" w:hAnsi="仿宋_GB2312" w:eastAsia="仿宋_GB2312" w:cs="仿宋_GB2312"/>
                <w:b w:val="0"/>
                <w:bCs w:val="0"/>
                <w:i w:val="0"/>
                <w:caps w:val="0"/>
                <w:color w:val="434343"/>
                <w:spacing w:val="0"/>
                <w:kern w:val="0"/>
                <w:sz w:val="20"/>
                <w:szCs w:val="20"/>
                <w:lang w:val="en-US" w:eastAsia="zh-CN" w:bidi="ar"/>
              </w:rPr>
            </w:pPr>
            <w:r>
              <w:rPr>
                <w:rFonts w:hint="eastAsia" w:ascii="仿宋_GB2312" w:hAnsi="仿宋_GB2312" w:eastAsia="仿宋_GB2312" w:cs="仿宋_GB2312"/>
                <w:b w:val="0"/>
                <w:bCs w:val="0"/>
                <w:i w:val="0"/>
                <w:caps w:val="0"/>
                <w:color w:val="434343"/>
                <w:spacing w:val="0"/>
                <w:kern w:val="0"/>
                <w:sz w:val="20"/>
                <w:szCs w:val="20"/>
                <w:lang w:val="en-US" w:eastAsia="zh-CN" w:bidi="ar"/>
              </w:rPr>
              <w:t>废气：焚烧烟气采用“SNCR系统+旋转喷雾脱酸塔+消石灰干粉喷射+活性炭喷射吸附+布袋除尘器”方法组合进行烟气净化后通过内径为1.7m、高为100m 的烟囱排放。项目年排放烟尘9.52t/a，HCl 19.04t/a，SO</w:t>
            </w:r>
            <w:r>
              <w:rPr>
                <w:rFonts w:hint="eastAsia" w:ascii="仿宋_GB2312" w:hAnsi="仿宋_GB2312" w:eastAsia="仿宋_GB2312" w:cs="仿宋_GB2312"/>
                <w:b w:val="0"/>
                <w:bCs w:val="0"/>
                <w:i w:val="0"/>
                <w:caps w:val="0"/>
                <w:color w:val="434343"/>
                <w:spacing w:val="0"/>
                <w:kern w:val="0"/>
                <w:sz w:val="20"/>
                <w:szCs w:val="20"/>
                <w:vertAlign w:val="subscript"/>
                <w:lang w:val="en-US" w:eastAsia="zh-CN" w:bidi="ar"/>
              </w:rPr>
              <w:t>2</w:t>
            </w:r>
            <w:r>
              <w:rPr>
                <w:rFonts w:hint="eastAsia" w:ascii="仿宋_GB2312" w:hAnsi="仿宋_GB2312" w:eastAsia="仿宋_GB2312" w:cs="仿宋_GB2312"/>
                <w:b w:val="0"/>
                <w:bCs w:val="0"/>
                <w:i w:val="0"/>
                <w:caps w:val="0"/>
                <w:color w:val="434343"/>
                <w:spacing w:val="0"/>
                <w:kern w:val="0"/>
                <w:sz w:val="20"/>
                <w:szCs w:val="20"/>
                <w:lang w:val="en-US" w:eastAsia="zh-CN" w:bidi="ar"/>
              </w:rPr>
              <w:t xml:space="preserve"> 63.46t/a，NOx 126.91t/a，氟化氢0.63t/a，汞0.00087t/a，镉0.00054 t/a，Ti 0.000013 t/a，Pb0.0018 t/a，Cu0.0022t/a，Co 0.000013t/a，Ni 0.0034 t/a，As 0.0050t/a，Mn 0.0149 t/a，Sb 0.0023t/a，Cr 0.0054 t/a，二噁英类污染物0.034TEQ g/a。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firstLine="200" w:firstLineChars="100"/>
              <w:jc w:val="left"/>
              <w:textAlignment w:val="auto"/>
              <w:outlineLvl w:val="9"/>
              <w:rPr>
                <w:rFonts w:hint="default" w:ascii="仿宋_GB2312" w:hAnsi="仿宋_GB2312" w:eastAsia="仿宋_GB2312" w:cs="仿宋_GB2312"/>
                <w:b w:val="0"/>
                <w:bCs w:val="0"/>
                <w:sz w:val="20"/>
                <w:szCs w:val="22"/>
                <w:lang w:val="en-US"/>
              </w:rPr>
            </w:pPr>
            <w:r>
              <w:rPr>
                <w:rFonts w:hint="eastAsia" w:ascii="仿宋_GB2312" w:hAnsi="仿宋_GB2312" w:eastAsia="仿宋_GB2312" w:cs="仿宋_GB2312"/>
                <w:b w:val="0"/>
                <w:bCs w:val="0"/>
                <w:i w:val="0"/>
                <w:caps w:val="0"/>
                <w:color w:val="434343"/>
                <w:spacing w:val="0"/>
                <w:kern w:val="0"/>
                <w:sz w:val="20"/>
                <w:szCs w:val="20"/>
                <w:lang w:val="en-US" w:eastAsia="zh-CN" w:bidi="ar"/>
              </w:rPr>
              <w:t xml:space="preserve">严格实施恶臭气体的无组织排放治理，本期工程与一期工程共用垃圾储坑，无组织排放情况不会增加污染物排放量。污水处理站采用密闭处理，正常工况下污水处理站恶臭气体送焚烧车间垃圾贮坑，垃圾贮坑上部侧方设置焚烧炉一次风机筛网式吸风口，恶臭气体由风机引致焚烧炉作为助燃空气使用；焚烧炉停炉检修时，恶臭气体通过活性炭吸附除臭装置净化处理后通过主厂房顶排气筒排放。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outlineLvl w:val="9"/>
              <w:rPr>
                <w:rFonts w:hint="eastAsia" w:ascii="仿宋_GB2312" w:hAnsi="仿宋_GB2312" w:eastAsia="仿宋_GB2312" w:cs="仿宋_GB2312"/>
                <w:b w:val="0"/>
                <w:bCs w:val="0"/>
                <w:sz w:val="20"/>
                <w:szCs w:val="22"/>
              </w:rPr>
            </w:pPr>
            <w:r>
              <w:rPr>
                <w:rFonts w:hint="eastAsia" w:ascii="仿宋_GB2312" w:hAnsi="仿宋_GB2312" w:eastAsia="仿宋_GB2312" w:cs="仿宋_GB2312"/>
                <w:b w:val="0"/>
                <w:bCs w:val="0"/>
                <w:i w:val="0"/>
                <w:caps w:val="0"/>
                <w:color w:val="434343"/>
                <w:spacing w:val="0"/>
                <w:kern w:val="0"/>
                <w:sz w:val="20"/>
                <w:szCs w:val="20"/>
                <w:lang w:val="en-US" w:eastAsia="zh-CN" w:bidi="ar"/>
              </w:rPr>
              <w:t>2、废水：生活污水进入现有工程生活污水处理站，含盐废水进入厂区工业废水处理站处理，渗滤液排至厂区渗滤液处理站，渗滤液处理站扩建规模日处理废水250t，采用“预处理+ IOC厌氧反应器+A/O生化处理系统+UF超滤膜+NF纳滤膜+RO（+DTRO）反渗透膜”工艺。处理达到《城市污水再生利用 工业用水水质》（GB/T19923-2005 ）、《城市污水再生利用 城市杂用水水质》（ GB/T18920-2002）中的标准要求后全部厂区回用，不外排。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outlineLvl w:val="9"/>
              <w:rPr>
                <w:rFonts w:hint="eastAsia" w:ascii="仿宋_GB2312" w:hAnsi="仿宋_GB2312" w:eastAsia="仿宋_GB2312" w:cs="仿宋_GB2312"/>
                <w:b w:val="0"/>
                <w:bCs w:val="0"/>
                <w:sz w:val="20"/>
                <w:szCs w:val="22"/>
              </w:rPr>
            </w:pPr>
            <w:r>
              <w:rPr>
                <w:rFonts w:hint="eastAsia" w:ascii="仿宋_GB2312" w:hAnsi="仿宋_GB2312" w:eastAsia="仿宋_GB2312" w:cs="仿宋_GB2312"/>
                <w:b w:val="0"/>
                <w:bCs w:val="0"/>
                <w:i w:val="0"/>
                <w:caps w:val="0"/>
                <w:color w:val="434343"/>
                <w:spacing w:val="0"/>
                <w:kern w:val="0"/>
                <w:sz w:val="22"/>
                <w:szCs w:val="22"/>
                <w:lang w:val="en-US" w:eastAsia="zh-CN" w:bidi="ar"/>
              </w:rPr>
              <w:t> </w:t>
            </w:r>
            <w:r>
              <w:rPr>
                <w:rFonts w:hint="eastAsia" w:ascii="仿宋_GB2312" w:hAnsi="仿宋_GB2312" w:eastAsia="仿宋_GB2312" w:cs="仿宋_GB2312"/>
                <w:b w:val="0"/>
                <w:bCs w:val="0"/>
                <w:i w:val="0"/>
                <w:caps w:val="0"/>
                <w:color w:val="0000FF"/>
                <w:spacing w:val="0"/>
                <w:kern w:val="0"/>
                <w:sz w:val="22"/>
                <w:szCs w:val="22"/>
                <w:lang w:val="en-US" w:eastAsia="zh-CN" w:bidi="ar"/>
              </w:rPr>
              <w:t> </w:t>
            </w:r>
            <w:r>
              <w:rPr>
                <w:rFonts w:hint="eastAsia" w:ascii="仿宋_GB2312" w:hAnsi="仿宋_GB2312" w:eastAsia="仿宋_GB2312" w:cs="仿宋_GB2312"/>
                <w:b w:val="0"/>
                <w:bCs w:val="0"/>
                <w:i w:val="0"/>
                <w:caps w:val="0"/>
                <w:color w:val="434343"/>
                <w:spacing w:val="0"/>
                <w:kern w:val="0"/>
                <w:sz w:val="22"/>
                <w:szCs w:val="22"/>
                <w:lang w:val="en-US" w:eastAsia="zh-CN" w:bidi="ar"/>
              </w:rPr>
              <w:t>  </w:t>
            </w:r>
            <w:r>
              <w:rPr>
                <w:rFonts w:hint="eastAsia" w:ascii="仿宋_GB2312" w:hAnsi="仿宋_GB2312" w:eastAsia="仿宋_GB2312" w:cs="仿宋_GB2312"/>
                <w:b w:val="0"/>
                <w:bCs w:val="0"/>
                <w:i w:val="0"/>
                <w:caps w:val="0"/>
                <w:color w:val="434343"/>
                <w:spacing w:val="0"/>
                <w:kern w:val="0"/>
                <w:sz w:val="20"/>
                <w:szCs w:val="20"/>
                <w:lang w:val="en-US" w:eastAsia="zh-CN" w:bidi="ar"/>
              </w:rPr>
              <w:t>在采取严格的防渗、防腐、防泄漏措施后，项目对周围环境的影响在可接受水平。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outlineLvl w:val="9"/>
              <w:rPr>
                <w:rFonts w:hint="eastAsia" w:ascii="仿宋_GB2312" w:hAnsi="仿宋_GB2312" w:eastAsia="仿宋_GB2312" w:cs="仿宋_GB2312"/>
                <w:b w:val="0"/>
                <w:bCs w:val="0"/>
                <w:sz w:val="20"/>
                <w:szCs w:val="22"/>
              </w:rPr>
            </w:pPr>
            <w:r>
              <w:rPr>
                <w:rFonts w:hint="eastAsia" w:ascii="仿宋_GB2312" w:hAnsi="仿宋_GB2312" w:eastAsia="仿宋_GB2312" w:cs="仿宋_GB2312"/>
                <w:b w:val="0"/>
                <w:bCs w:val="0"/>
                <w:i w:val="0"/>
                <w:caps w:val="0"/>
                <w:color w:val="434343"/>
                <w:spacing w:val="0"/>
                <w:kern w:val="0"/>
                <w:sz w:val="20"/>
                <w:szCs w:val="20"/>
                <w:lang w:val="en-US" w:eastAsia="zh-CN" w:bidi="ar"/>
              </w:rPr>
              <w:t>3、固体废物：焚烧飞灰厂内稳定化处理，经鉴定满足《生活垃圾填埋场污染控制标准》（GB16889-2008）后方进入滕州市生活垃圾卫生填埋场处置；废反渗透膜、废布袋、废润滑油、废油漆油漆桶委托有资质单位处置。废活性炭、污水处理站污泥经干化后与生活垃圾全部回焚烧炉焚烧。炉渣外售综合利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outlineLvl w:val="9"/>
              <w:rPr>
                <w:rFonts w:hint="eastAsia" w:ascii="仿宋_GB2312" w:hAnsi="仿宋_GB2312" w:eastAsia="仿宋_GB2312" w:cs="仿宋_GB2312"/>
                <w:b w:val="0"/>
                <w:bCs w:val="0"/>
                <w:sz w:val="20"/>
                <w:szCs w:val="22"/>
              </w:rPr>
            </w:pPr>
            <w:r>
              <w:rPr>
                <w:rFonts w:hint="eastAsia" w:ascii="仿宋_GB2312" w:hAnsi="仿宋_GB2312" w:eastAsia="仿宋_GB2312" w:cs="仿宋_GB2312"/>
                <w:b w:val="0"/>
                <w:bCs w:val="0"/>
                <w:i w:val="0"/>
                <w:caps w:val="0"/>
                <w:color w:val="434343"/>
                <w:spacing w:val="0"/>
                <w:kern w:val="0"/>
                <w:sz w:val="20"/>
                <w:szCs w:val="20"/>
                <w:lang w:val="en-US" w:eastAsia="zh-CN" w:bidi="ar"/>
              </w:rPr>
              <w:t>4、噪声：噪声源主要包括焚烧炉、余热锅炉、各类风机、空压机、水泵等，通过优化厂区平面布置，选用低噪声设备，对主要噪声源采取隔声、消声、减振等降噪措施。厂界噪声须满足《工业企业厂界环境噪声排放标准》(GB12348- 2008)2类标准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outlineLvl w:val="9"/>
              <w:rPr>
                <w:rFonts w:hint="eastAsia" w:ascii="仿宋_GB2312" w:hAnsi="仿宋_GB2312" w:eastAsia="仿宋_GB2312" w:cs="仿宋_GB2312"/>
                <w:b w:val="0"/>
                <w:bCs w:val="0"/>
                <w:sz w:val="20"/>
                <w:szCs w:val="22"/>
              </w:rPr>
            </w:pPr>
            <w:r>
              <w:rPr>
                <w:rFonts w:hint="eastAsia" w:ascii="仿宋_GB2312" w:hAnsi="仿宋_GB2312" w:eastAsia="仿宋_GB2312" w:cs="仿宋_GB2312"/>
                <w:b w:val="0"/>
                <w:bCs w:val="0"/>
                <w:i w:val="0"/>
                <w:caps w:val="0"/>
                <w:color w:val="434343"/>
                <w:spacing w:val="0"/>
                <w:kern w:val="0"/>
                <w:sz w:val="20"/>
                <w:szCs w:val="20"/>
                <w:lang w:val="en-US" w:eastAsia="zh-CN" w:bidi="ar"/>
              </w:rPr>
              <w:t>5、环境风险：项目防护距离内无村庄、学校等敏感点，满足环境防护距离的要求。通过落实各种风险防范措施，环境风险</w:t>
            </w:r>
            <w:bookmarkStart w:id="0" w:name="_GoBack"/>
            <w:bookmarkEnd w:id="0"/>
            <w:r>
              <w:rPr>
                <w:rFonts w:hint="eastAsia" w:ascii="仿宋_GB2312" w:hAnsi="仿宋_GB2312" w:eastAsia="仿宋_GB2312" w:cs="仿宋_GB2312"/>
                <w:b w:val="0"/>
                <w:bCs w:val="0"/>
                <w:i w:val="0"/>
                <w:caps w:val="0"/>
                <w:color w:val="434343"/>
                <w:spacing w:val="0"/>
                <w:kern w:val="0"/>
                <w:sz w:val="20"/>
                <w:szCs w:val="20"/>
                <w:lang w:val="en-US" w:eastAsia="zh-CN" w:bidi="ar"/>
              </w:rPr>
              <w:t>可防可控。</w:t>
            </w:r>
          </w:p>
        </w:tc>
        <w:tc>
          <w:tcPr>
            <w:tcW w:w="10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40" w:lineRule="exact"/>
              <w:ind w:left="0" w:right="0"/>
              <w:jc w:val="left"/>
              <w:textAlignment w:val="auto"/>
              <w:outlineLvl w:val="9"/>
              <w:rPr>
                <w:rFonts w:hint="eastAsia" w:ascii="仿宋_GB2312" w:hAnsi="仿宋_GB2312" w:eastAsia="仿宋_GB2312" w:cs="仿宋_GB2312"/>
                <w:sz w:val="20"/>
                <w:szCs w:val="22"/>
              </w:rPr>
            </w:pPr>
            <w:r>
              <w:rPr>
                <w:rFonts w:hint="eastAsia" w:ascii="仿宋_GB2312" w:hAnsi="仿宋_GB2312" w:eastAsia="仿宋_GB2312" w:cs="仿宋_GB2312"/>
                <w:i w:val="0"/>
                <w:caps w:val="0"/>
                <w:color w:val="auto"/>
                <w:spacing w:val="0"/>
                <w:kern w:val="0"/>
                <w:sz w:val="20"/>
                <w:szCs w:val="20"/>
                <w:lang w:val="en-US" w:eastAsia="zh-CN" w:bidi="ar"/>
              </w:rPr>
              <w:t>采取网站公示、公告张贴、报纸刊登等方式开展公众参与工作。</w:t>
            </w:r>
          </w:p>
        </w:tc>
      </w:tr>
    </w:tbl>
    <w:p>
      <w:pPr>
        <w:keepNext w:val="0"/>
        <w:keepLines w:val="0"/>
        <w:pageBreakBefore w:val="0"/>
        <w:widowControl w:val="0"/>
        <w:kinsoku/>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589D19"/>
    <w:multiLevelType w:val="singleLevel"/>
    <w:tmpl w:val="CE589D1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56468"/>
    <w:rsid w:val="011C6D31"/>
    <w:rsid w:val="0249163E"/>
    <w:rsid w:val="04300C3A"/>
    <w:rsid w:val="06DB070C"/>
    <w:rsid w:val="127F4DB7"/>
    <w:rsid w:val="191E625F"/>
    <w:rsid w:val="1B5C02E0"/>
    <w:rsid w:val="20AE08E0"/>
    <w:rsid w:val="21796972"/>
    <w:rsid w:val="237D09D1"/>
    <w:rsid w:val="27E465EF"/>
    <w:rsid w:val="28636BF6"/>
    <w:rsid w:val="2A013633"/>
    <w:rsid w:val="2CB7042C"/>
    <w:rsid w:val="2CD03720"/>
    <w:rsid w:val="2EAB31E7"/>
    <w:rsid w:val="31BE5BC2"/>
    <w:rsid w:val="353343D0"/>
    <w:rsid w:val="37B35E9F"/>
    <w:rsid w:val="3CA23D2B"/>
    <w:rsid w:val="408C31DA"/>
    <w:rsid w:val="47292827"/>
    <w:rsid w:val="4B1768BF"/>
    <w:rsid w:val="4E400177"/>
    <w:rsid w:val="4F052BC1"/>
    <w:rsid w:val="568D074F"/>
    <w:rsid w:val="576453E4"/>
    <w:rsid w:val="5EBA117A"/>
    <w:rsid w:val="5FD526DE"/>
    <w:rsid w:val="5FFB6DB3"/>
    <w:rsid w:val="61E514AD"/>
    <w:rsid w:val="63DC141C"/>
    <w:rsid w:val="6A713933"/>
    <w:rsid w:val="73066C42"/>
    <w:rsid w:val="7B3E6634"/>
    <w:rsid w:val="7C0C0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LC</dc:creator>
  <cp:lastModifiedBy>Administrator</cp:lastModifiedBy>
  <dcterms:modified xsi:type="dcterms:W3CDTF">2019-11-11T09:03:38Z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