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72" w:rsidRDefault="00A00E7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396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4"/>
        <w:gridCol w:w="814"/>
        <w:gridCol w:w="1051"/>
        <w:gridCol w:w="777"/>
        <w:gridCol w:w="1048"/>
        <w:gridCol w:w="1599"/>
        <w:gridCol w:w="6968"/>
        <w:gridCol w:w="1019"/>
      </w:tblGrid>
      <w:tr w:rsidR="00A00E72" w:rsidRPr="004D6A7A">
        <w:trPr>
          <w:trHeight w:val="90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72" w:rsidRDefault="00A00E72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72" w:rsidRDefault="00A00E72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/>
              </w:rPr>
              <w:t>项目名称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72" w:rsidRDefault="00A00E72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/>
              </w:rPr>
              <w:t>建设地点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72" w:rsidRDefault="00A00E72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/>
              </w:rPr>
              <w:t>建设单位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72" w:rsidRDefault="00A00E72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/>
              </w:rPr>
              <w:t>环境影响评价机构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72" w:rsidRDefault="00A00E72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/>
              </w:rPr>
              <w:t>项目</w:t>
            </w:r>
          </w:p>
          <w:p w:rsidR="00A00E72" w:rsidRDefault="00A00E72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/>
              </w:rPr>
              <w:t>概况</w:t>
            </w:r>
          </w:p>
        </w:tc>
        <w:tc>
          <w:tcPr>
            <w:tcW w:w="6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72" w:rsidRDefault="00A00E72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/>
              </w:rPr>
              <w:t>主要环境影响及预防或者减轻不良环境影响的对策和措施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72" w:rsidRDefault="00A00E72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/>
              </w:rPr>
              <w:t>公众参与情况</w:t>
            </w:r>
          </w:p>
        </w:tc>
      </w:tr>
      <w:tr w:rsidR="00A00E72" w:rsidRPr="004D6A7A">
        <w:trPr>
          <w:trHeight w:val="1528"/>
          <w:jc w:val="center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72" w:rsidRDefault="00A00E72">
            <w:pPr>
              <w:widowControl/>
              <w:spacing w:beforeAutospacing="1" w:afterAutospacing="1"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72" w:rsidRPr="00A2698D" w:rsidRDefault="00A00E72">
            <w:pPr>
              <w:widowControl/>
              <w:spacing w:beforeAutospacing="1" w:afterAutospacing="1"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 w:rsidRPr="00A2698D">
              <w:rPr>
                <w:rFonts w:ascii="仿宋_GB2312" w:eastAsia="仿宋_GB2312" w:hAnsi="仿宋_GB2312" w:cs="仿宋_GB2312"/>
                <w:sz w:val="20"/>
                <w:szCs w:val="22"/>
              </w:rPr>
              <w:t>8</w:t>
            </w:r>
            <w:r w:rsidRPr="00A2698D"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万吨</w:t>
            </w:r>
            <w:r w:rsidRPr="00A2698D">
              <w:rPr>
                <w:rFonts w:ascii="仿宋_GB2312" w:eastAsia="仿宋_GB2312" w:hAnsi="仿宋_GB2312" w:cs="仿宋_GB2312"/>
                <w:sz w:val="20"/>
                <w:szCs w:val="22"/>
              </w:rPr>
              <w:t>/</w:t>
            </w:r>
            <w:r w:rsidRPr="00A2698D"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年苯甲酸及其系列产品、</w:t>
            </w:r>
            <w:r w:rsidRPr="00A2698D">
              <w:rPr>
                <w:rFonts w:ascii="仿宋_GB2312" w:eastAsia="仿宋_GB2312" w:hAnsi="仿宋_GB2312" w:cs="仿宋_GB2312"/>
                <w:sz w:val="20"/>
                <w:szCs w:val="22"/>
              </w:rPr>
              <w:t>2</w:t>
            </w:r>
            <w:r w:rsidRPr="00A2698D"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万吨</w:t>
            </w:r>
            <w:r w:rsidRPr="00A2698D">
              <w:rPr>
                <w:rFonts w:ascii="仿宋_GB2312" w:eastAsia="仿宋_GB2312" w:hAnsi="仿宋_GB2312" w:cs="仿宋_GB2312"/>
                <w:sz w:val="20"/>
                <w:szCs w:val="22"/>
              </w:rPr>
              <w:t>/</w:t>
            </w:r>
            <w:r w:rsidRPr="00A2698D"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年丙酸盐系列产品、</w:t>
            </w:r>
            <w:r w:rsidRPr="00A2698D">
              <w:rPr>
                <w:rFonts w:ascii="仿宋_GB2312" w:eastAsia="仿宋_GB2312" w:hAnsi="仿宋_GB2312" w:cs="仿宋_GB2312"/>
                <w:sz w:val="20"/>
                <w:szCs w:val="22"/>
              </w:rPr>
              <w:t>2</w:t>
            </w:r>
            <w:r w:rsidRPr="00A2698D"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万吨</w:t>
            </w:r>
            <w:r w:rsidRPr="00A2698D">
              <w:rPr>
                <w:rFonts w:ascii="仿宋_GB2312" w:eastAsia="仿宋_GB2312" w:hAnsi="仿宋_GB2312" w:cs="仿宋_GB2312"/>
                <w:sz w:val="20"/>
                <w:szCs w:val="22"/>
              </w:rPr>
              <w:t>/</w:t>
            </w:r>
            <w:r w:rsidRPr="00A2698D"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年乙酸盐系列产品、</w:t>
            </w:r>
            <w:r w:rsidRPr="00A2698D">
              <w:rPr>
                <w:rFonts w:ascii="仿宋_GB2312" w:eastAsia="仿宋_GB2312" w:hAnsi="仿宋_GB2312" w:cs="仿宋_GB2312"/>
                <w:sz w:val="20"/>
                <w:szCs w:val="22"/>
              </w:rPr>
              <w:t>2</w:t>
            </w:r>
            <w:r w:rsidRPr="00A2698D"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万吨</w:t>
            </w:r>
            <w:r w:rsidRPr="00A2698D">
              <w:rPr>
                <w:rFonts w:ascii="仿宋_GB2312" w:eastAsia="仿宋_GB2312" w:hAnsi="仿宋_GB2312" w:cs="仿宋_GB2312"/>
                <w:sz w:val="20"/>
                <w:szCs w:val="22"/>
              </w:rPr>
              <w:t>/</w:t>
            </w:r>
            <w:r w:rsidRPr="00A2698D"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年乳酸盐及干贝素系列产品项目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72" w:rsidRPr="0053326E" w:rsidRDefault="00A00E72">
            <w:pPr>
              <w:widowControl/>
              <w:spacing w:beforeAutospacing="1" w:afterAutospacing="1"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  <w:r w:rsidRPr="0053326E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滕州市木石镇鲁南高科技化工园区内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72" w:rsidRPr="00A2698D" w:rsidRDefault="00A00E72">
            <w:pPr>
              <w:widowControl/>
              <w:spacing w:beforeAutospacing="1" w:afterAutospacing="1"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  <w:r w:rsidRPr="00A2698D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滕州市腾龙食品科技发展有限公司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72" w:rsidRPr="00A2698D" w:rsidRDefault="00A00E72">
            <w:pPr>
              <w:widowControl/>
              <w:spacing w:beforeAutospacing="1" w:afterAutospacing="1"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 w:rsidRPr="00A2698D"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枣庄市环境保护科学研究所有限公司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72" w:rsidRPr="00224FFB" w:rsidRDefault="00A00E72">
            <w:pPr>
              <w:widowControl/>
              <w:spacing w:beforeAutospacing="1" w:afterAutospacing="1"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拟</w:t>
            </w:r>
            <w:r w:rsidRPr="00224FF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建设</w:t>
            </w:r>
            <w:r w:rsidRPr="00224FFB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 xml:space="preserve">8 </w:t>
            </w:r>
            <w:r w:rsidRPr="00224FF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万吨</w:t>
            </w:r>
            <w:r w:rsidRPr="00224FFB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/</w:t>
            </w:r>
            <w:r w:rsidRPr="00224FF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年苯甲酸及其系列产品、</w:t>
            </w:r>
            <w:r w:rsidRPr="00224FFB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 xml:space="preserve">2 </w:t>
            </w:r>
            <w:r w:rsidRPr="00224FF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万吨</w:t>
            </w:r>
            <w:r w:rsidRPr="00224FFB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/</w:t>
            </w:r>
            <w:r w:rsidRPr="00224FF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年丙酸盐系列产品、</w:t>
            </w:r>
            <w:r w:rsidRPr="00224FFB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2</w:t>
            </w:r>
            <w:r w:rsidRPr="00224FF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万吨</w:t>
            </w:r>
            <w:r w:rsidRPr="00224FFB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/</w:t>
            </w:r>
            <w:r w:rsidRPr="00224FF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年乙酸盐系列产品、</w:t>
            </w:r>
            <w:r w:rsidRPr="00224FFB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2</w:t>
            </w:r>
            <w:r w:rsidRPr="00224FF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万吨</w:t>
            </w:r>
            <w:r w:rsidRPr="00224FFB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/</w:t>
            </w:r>
            <w:r w:rsidRPr="00224FF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年乳酸盐及干贝素系列产品项目，占地面积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6000"/>
                <w:attr w:name="UnitName" w:val="m2"/>
              </w:smartTagPr>
              <w:r w:rsidRPr="00224FFB">
                <w:rPr>
                  <w:rFonts w:ascii="仿宋_GB2312" w:eastAsia="仿宋_GB2312" w:hAnsi="仿宋_GB2312" w:cs="仿宋_GB2312"/>
                  <w:kern w:val="0"/>
                  <w:sz w:val="20"/>
                  <w:szCs w:val="20"/>
                  <w:lang/>
                </w:rPr>
                <w:t>46000m</w:t>
              </w:r>
              <w:r w:rsidRPr="00224FFB">
                <w:rPr>
                  <w:rFonts w:ascii="仿宋_GB2312" w:eastAsia="仿宋_GB2312" w:hAnsi="仿宋_GB2312" w:cs="仿宋_GB2312"/>
                  <w:kern w:val="0"/>
                  <w:sz w:val="20"/>
                  <w:szCs w:val="20"/>
                  <w:vertAlign w:val="superscript"/>
                  <w:lang/>
                </w:rPr>
                <w:t>2</w:t>
              </w:r>
            </w:smartTag>
            <w:r w:rsidRPr="00224FFB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(</w:t>
            </w:r>
            <w:r w:rsidRPr="00224FF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约</w:t>
            </w:r>
            <w:r w:rsidRPr="00224FFB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69</w:t>
            </w:r>
            <w:r w:rsidRPr="00224FF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亩</w:t>
            </w:r>
            <w:r w:rsidRPr="00224FFB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)</w:t>
            </w:r>
            <w:r w:rsidRPr="00224FF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，总投资</w:t>
            </w:r>
            <w:r w:rsidRPr="00224FFB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42690.54</w:t>
            </w:r>
            <w:r w:rsidRPr="00224FF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万元，其中环保投资</w:t>
            </w:r>
            <w:r w:rsidRPr="00224FFB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1032</w:t>
            </w:r>
            <w:r w:rsidRPr="00224FF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万元。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72" w:rsidRDefault="00A00E72" w:rsidP="00395B55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废气：</w:t>
            </w:r>
            <w:r w:rsidRPr="00395B55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苯甲酸生产时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氧化废气由</w:t>
            </w:r>
            <w:r w:rsidRPr="00395B55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3</w:t>
            </w:r>
            <w:r w:rsidRPr="00395B55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级冷凝</w:t>
            </w:r>
            <w:r w:rsidRPr="00395B55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+3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级活性炭吸附，</w:t>
            </w:r>
            <w:r w:rsidRPr="00395B55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有机废气采用</w:t>
            </w:r>
            <w:r w:rsidRPr="00395B55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32%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氢氧化钠溶液吸收喷淋，固态苯甲酸切片</w:t>
            </w:r>
            <w:r w:rsidRPr="00395B55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产生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粉尘由</w:t>
            </w:r>
            <w:r w:rsidRPr="00395B55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级旋风除尘后碱液喷淋，产品粉碎过程产生含尘废气通过布袋除尘净化</w:t>
            </w:r>
            <w:r w:rsidRPr="00395B55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。</w:t>
            </w:r>
            <w:r w:rsidRPr="00CF5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燃气锅炉采用清洁能源天然气，污染物排放量较少。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项目排放最终</w:t>
            </w:r>
            <w:r w:rsidRPr="0081743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废气污染物为</w:t>
            </w:r>
            <w:r w:rsidRPr="00817437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SO</w:t>
            </w:r>
            <w:r w:rsidRPr="00817437">
              <w:rPr>
                <w:rFonts w:ascii="仿宋_GB2312" w:eastAsia="仿宋_GB2312" w:hAnsi="仿宋_GB2312" w:cs="仿宋_GB2312"/>
                <w:kern w:val="0"/>
                <w:sz w:val="20"/>
                <w:szCs w:val="20"/>
                <w:vertAlign w:val="subscript"/>
                <w:lang/>
              </w:rPr>
              <w:t>2</w:t>
            </w:r>
            <w:r w:rsidRPr="00817437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 xml:space="preserve"> 1.76t/a</w:t>
            </w:r>
            <w:r w:rsidRPr="0081743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、</w:t>
            </w:r>
            <w:r w:rsidRPr="00817437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NOx 9.89t/a</w:t>
            </w:r>
            <w:r w:rsidRPr="0081743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、颗粒物</w:t>
            </w:r>
            <w:r w:rsidRPr="00817437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3.59t/a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、</w:t>
            </w:r>
            <w:r w:rsidRPr="00817437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VOCs 5.20t/a</w:t>
            </w:r>
            <w:r w:rsidRPr="0081743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。</w:t>
            </w:r>
          </w:p>
          <w:p w:rsidR="00A00E72" w:rsidRDefault="00A00E72" w:rsidP="00A00E72">
            <w:pPr>
              <w:widowControl/>
              <w:spacing w:line="24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项目在无组织废气治理方面应</w:t>
            </w:r>
            <w:r w:rsidRPr="007A1EA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加强维护管理，严格控制跑冒滴漏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。均采用内浮顶罐储存有机原料，有效降低大小呼吸的排放。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 xml:space="preserve"> </w:t>
            </w:r>
          </w:p>
          <w:p w:rsidR="00A00E72" w:rsidRPr="00557988" w:rsidRDefault="00A00E7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、废水：污水进行分质处理，工艺废水采用三效蒸发处理后</w:t>
            </w:r>
            <w:r w:rsidRPr="00760D64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进入厂区污水站处理，烘干工序冷凝废水大部分回用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后</w:t>
            </w:r>
            <w:r w:rsidRPr="00760D64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剩余部分进入厂区污水站处理，其他含盐水、冲洗水及生活污水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进入厂区污水站处理，项目废水经厂区污水站处理后</w:t>
            </w:r>
            <w:r w:rsidRPr="00760D64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排入园区污水厂进一步处理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。</w:t>
            </w:r>
            <w:r w:rsidRPr="0055798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最终排入小沂河的污染物量为</w:t>
            </w:r>
            <w:r w:rsidRPr="00557988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COD 2.82 t/a</w:t>
            </w:r>
            <w:r w:rsidRPr="0055798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、氨氮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0.09</w:t>
            </w:r>
            <w:r w:rsidRPr="00557988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t/a</w:t>
            </w:r>
            <w:r w:rsidRPr="0055798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。</w:t>
            </w:r>
          </w:p>
          <w:p w:rsidR="00A00E72" w:rsidRPr="00557988" w:rsidRDefault="00A00E7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color w:val="FF0000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szCs w:val="22"/>
                <w:lang/>
              </w:rPr>
              <w:t> </w:t>
            </w:r>
            <w:r w:rsidRPr="00D55926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厂区进行严格的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分区</w:t>
            </w:r>
            <w:r w:rsidRPr="00D55926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防渗处理</w:t>
            </w:r>
            <w:r w:rsidRPr="009532C2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，避免跑、冒、滴、漏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，</w:t>
            </w:r>
            <w:r w:rsidRPr="00542DF0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有效防止对地下水的污染。</w:t>
            </w:r>
          </w:p>
          <w:p w:rsidR="00A00E72" w:rsidRPr="00D95DB6" w:rsidRDefault="00A00E72" w:rsidP="009B3658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、固体废物：生活垃圾及物料压滤、过滤工序</w:t>
            </w:r>
            <w:r w:rsidRPr="009B365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的杂质、空气净化杂质、废气包装物、污水站污泥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作为</w:t>
            </w:r>
            <w:r w:rsidRPr="009B365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一般固废定期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交</w:t>
            </w:r>
            <w:r w:rsidRPr="009B365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环卫部门清运。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其中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,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污水站污泥应先进行浸出毒性实验，若为危险废物</w:t>
            </w:r>
            <w:r w:rsidRPr="009B365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按照危险废物处置。尾气吸附工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序及苯甲酸钠脱色</w:t>
            </w:r>
            <w:r w:rsidRPr="009B365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产生的废活性炭和废导热油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作</w:t>
            </w:r>
            <w:r w:rsidRPr="009B365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为危险废物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委托有资质</w:t>
            </w:r>
            <w:r w:rsidRPr="009B365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单位处置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。</w:t>
            </w:r>
          </w:p>
          <w:p w:rsidR="00A00E72" w:rsidRDefault="00A00E7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、噪声：噪声源主要由</w:t>
            </w:r>
            <w:r w:rsidRPr="0055798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水泵、风机、空压机、离心机、粉碎机、干燥机等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组成。对各噪声源采取措施后，</w:t>
            </w:r>
            <w:r w:rsidRPr="0055798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使厂界噪声达到《工业企业厂界环境噪声排放标准》</w:t>
            </w:r>
            <w:r w:rsidRPr="00557988"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(GB12348-2008)3</w:t>
            </w:r>
            <w:r w:rsidRPr="00557988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类标准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。</w:t>
            </w:r>
          </w:p>
          <w:p w:rsidR="00A00E72" w:rsidRDefault="00A00E72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、环境风险：通过落实各种风险防范措施，环境风险可防可控。</w:t>
            </w:r>
            <w:bookmarkStart w:id="0" w:name="_GoBack"/>
            <w:bookmarkEnd w:id="0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72" w:rsidRDefault="00A00E72">
            <w:pPr>
              <w:widowControl/>
              <w:spacing w:beforeAutospacing="1" w:afterAutospacing="1" w:line="240" w:lineRule="exact"/>
              <w:jc w:val="left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采取网站公示、公告张贴、报纸刊登等方式开展公众参与工作。</w:t>
            </w:r>
          </w:p>
        </w:tc>
      </w:tr>
    </w:tbl>
    <w:p w:rsidR="00A00E72" w:rsidRDefault="00A00E7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A00E72" w:rsidSect="00C61F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589D19"/>
    <w:multiLevelType w:val="singleLevel"/>
    <w:tmpl w:val="CE589D1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B6F0E"/>
    <w:rsid w:val="00156468"/>
    <w:rsid w:val="00172A27"/>
    <w:rsid w:val="00224FFB"/>
    <w:rsid w:val="00307141"/>
    <w:rsid w:val="00363299"/>
    <w:rsid w:val="00395B55"/>
    <w:rsid w:val="003B7937"/>
    <w:rsid w:val="003C2731"/>
    <w:rsid w:val="003C4B4B"/>
    <w:rsid w:val="003C6FAD"/>
    <w:rsid w:val="003F78AE"/>
    <w:rsid w:val="0047590A"/>
    <w:rsid w:val="0048355F"/>
    <w:rsid w:val="004D54A6"/>
    <w:rsid w:val="004D6A7A"/>
    <w:rsid w:val="0053326E"/>
    <w:rsid w:val="00542DF0"/>
    <w:rsid w:val="00557988"/>
    <w:rsid w:val="00647F3F"/>
    <w:rsid w:val="006E1E95"/>
    <w:rsid w:val="00760D64"/>
    <w:rsid w:val="007A1EAA"/>
    <w:rsid w:val="00807E1E"/>
    <w:rsid w:val="00817437"/>
    <w:rsid w:val="00894EB8"/>
    <w:rsid w:val="009376BA"/>
    <w:rsid w:val="009532C2"/>
    <w:rsid w:val="009B3658"/>
    <w:rsid w:val="009D6954"/>
    <w:rsid w:val="00A00E72"/>
    <w:rsid w:val="00A2698D"/>
    <w:rsid w:val="00A700EB"/>
    <w:rsid w:val="00AC07B5"/>
    <w:rsid w:val="00AC6AD6"/>
    <w:rsid w:val="00AD2CC9"/>
    <w:rsid w:val="00B37A63"/>
    <w:rsid w:val="00B87F96"/>
    <w:rsid w:val="00BE22D7"/>
    <w:rsid w:val="00C61F8B"/>
    <w:rsid w:val="00CE66F6"/>
    <w:rsid w:val="00CF5D57"/>
    <w:rsid w:val="00D55926"/>
    <w:rsid w:val="00D95DB6"/>
    <w:rsid w:val="00DD40FA"/>
    <w:rsid w:val="011C6D31"/>
    <w:rsid w:val="0181792D"/>
    <w:rsid w:val="0249163E"/>
    <w:rsid w:val="03140CDB"/>
    <w:rsid w:val="03B4385A"/>
    <w:rsid w:val="04300C3A"/>
    <w:rsid w:val="051C3BB9"/>
    <w:rsid w:val="05A71715"/>
    <w:rsid w:val="062F4F3E"/>
    <w:rsid w:val="06DB070C"/>
    <w:rsid w:val="07F84C28"/>
    <w:rsid w:val="0B2A61B3"/>
    <w:rsid w:val="127F4DB7"/>
    <w:rsid w:val="13AE7BD6"/>
    <w:rsid w:val="162C7868"/>
    <w:rsid w:val="1848265D"/>
    <w:rsid w:val="18CA1C3C"/>
    <w:rsid w:val="191E625F"/>
    <w:rsid w:val="1B5C02E0"/>
    <w:rsid w:val="1B824D35"/>
    <w:rsid w:val="1BD1329A"/>
    <w:rsid w:val="1C321BBE"/>
    <w:rsid w:val="20AE08E0"/>
    <w:rsid w:val="21796972"/>
    <w:rsid w:val="2182305F"/>
    <w:rsid w:val="237D09D1"/>
    <w:rsid w:val="25C12A49"/>
    <w:rsid w:val="25CA083D"/>
    <w:rsid w:val="26D16342"/>
    <w:rsid w:val="27E465EF"/>
    <w:rsid w:val="28636BF6"/>
    <w:rsid w:val="2A013633"/>
    <w:rsid w:val="2CB7042C"/>
    <w:rsid w:val="2CD03720"/>
    <w:rsid w:val="2EAB31E7"/>
    <w:rsid w:val="31BE5BC2"/>
    <w:rsid w:val="353343D0"/>
    <w:rsid w:val="35E43A27"/>
    <w:rsid w:val="37B35E9F"/>
    <w:rsid w:val="3CA23D2B"/>
    <w:rsid w:val="3F7365B7"/>
    <w:rsid w:val="408C31DA"/>
    <w:rsid w:val="442D3686"/>
    <w:rsid w:val="45706D63"/>
    <w:rsid w:val="46A137C3"/>
    <w:rsid w:val="47292827"/>
    <w:rsid w:val="49CE0505"/>
    <w:rsid w:val="4B1768BF"/>
    <w:rsid w:val="4B907EDE"/>
    <w:rsid w:val="4E400177"/>
    <w:rsid w:val="4F052BC1"/>
    <w:rsid w:val="4F387512"/>
    <w:rsid w:val="507F4934"/>
    <w:rsid w:val="5581575F"/>
    <w:rsid w:val="568D074F"/>
    <w:rsid w:val="576453E4"/>
    <w:rsid w:val="5EBA117A"/>
    <w:rsid w:val="5FD526DE"/>
    <w:rsid w:val="5FFB6DB3"/>
    <w:rsid w:val="61E514AD"/>
    <w:rsid w:val="62F12AD4"/>
    <w:rsid w:val="63DC141C"/>
    <w:rsid w:val="64074FE4"/>
    <w:rsid w:val="68707A0C"/>
    <w:rsid w:val="6A713933"/>
    <w:rsid w:val="70CA58CC"/>
    <w:rsid w:val="73066C42"/>
    <w:rsid w:val="74F614E0"/>
    <w:rsid w:val="786C1AEC"/>
    <w:rsid w:val="794B3C35"/>
    <w:rsid w:val="7B3E6634"/>
    <w:rsid w:val="7C0C07A7"/>
    <w:rsid w:val="7C5A1945"/>
    <w:rsid w:val="7CB51C0D"/>
    <w:rsid w:val="7F104AAD"/>
    <w:rsid w:val="7FCA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8B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61F8B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C61F8B"/>
    <w:rPr>
      <w:rFonts w:cs="Times New Roman"/>
      <w:b/>
    </w:rPr>
  </w:style>
  <w:style w:type="character" w:styleId="Hyperlink">
    <w:name w:val="Hyperlink"/>
    <w:basedOn w:val="DefaultParagraphFont"/>
    <w:uiPriority w:val="99"/>
    <w:rsid w:val="00C61F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149</Words>
  <Characters>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xw</cp:lastModifiedBy>
  <cp:revision>40</cp:revision>
  <dcterms:created xsi:type="dcterms:W3CDTF">2014-10-29T12:08:00Z</dcterms:created>
  <dcterms:modified xsi:type="dcterms:W3CDTF">2019-12-13T03:21:00Z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