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32"/>
          <w:szCs w:val="32"/>
        </w:rPr>
      </w:pPr>
    </w:p>
    <w:tbl>
      <w:tblPr>
        <w:tblStyle w:val="5"/>
        <w:tblW w:w="1327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638"/>
        <w:gridCol w:w="684"/>
        <w:gridCol w:w="666"/>
        <w:gridCol w:w="850"/>
        <w:gridCol w:w="2451"/>
        <w:gridCol w:w="6968"/>
        <w:gridCol w:w="10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638" w:type="dxa"/>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vAlign w:val="center"/>
          </w:tcPr>
          <w:p>
            <w:pPr>
              <w:widowControl/>
              <w:spacing w:line="240" w:lineRule="exact"/>
              <w:jc w:val="center"/>
              <w:rPr>
                <w:rFonts w:ascii="黑体" w:hAnsi="黑体" w:eastAsia="黑体" w:cs="黑体"/>
                <w:color w:val="auto"/>
              </w:rPr>
            </w:pPr>
            <w:r>
              <w:rPr>
                <w:rFonts w:hint="eastAsia" w:ascii="黑体" w:hAnsi="黑体" w:eastAsia="黑体" w:cs="黑体"/>
                <w:color w:val="auto"/>
                <w:kern w:val="0"/>
                <w:szCs w:val="21"/>
              </w:rPr>
              <w:t>项目名称</w:t>
            </w:r>
          </w:p>
        </w:tc>
        <w:tc>
          <w:tcPr>
            <w:tcW w:w="684"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黑体" w:hAnsi="黑体" w:eastAsia="黑体" w:cs="黑体"/>
                <w:color w:val="auto"/>
              </w:rPr>
            </w:pPr>
            <w:r>
              <w:rPr>
                <w:rFonts w:hint="eastAsia" w:ascii="黑体" w:hAnsi="黑体" w:eastAsia="黑体" w:cs="黑体"/>
                <w:color w:val="auto"/>
                <w:kern w:val="0"/>
                <w:szCs w:val="21"/>
              </w:rPr>
              <w:t>建设地点</w:t>
            </w:r>
          </w:p>
        </w:tc>
        <w:tc>
          <w:tcPr>
            <w:tcW w:w="6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黑体" w:hAnsi="黑体" w:eastAsia="黑体" w:cs="黑体"/>
                <w:color w:val="auto"/>
              </w:rPr>
            </w:pPr>
            <w:r>
              <w:rPr>
                <w:rFonts w:hint="eastAsia" w:ascii="黑体" w:hAnsi="黑体" w:eastAsia="黑体" w:cs="黑体"/>
                <w:color w:val="auto"/>
                <w:kern w:val="0"/>
                <w:szCs w:val="21"/>
              </w:rPr>
              <w:t>建设单位</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黑体" w:hAnsi="黑体" w:eastAsia="黑体" w:cs="黑体"/>
                <w:color w:val="auto"/>
              </w:rPr>
            </w:pPr>
            <w:r>
              <w:rPr>
                <w:rFonts w:hint="eastAsia" w:ascii="黑体" w:hAnsi="黑体" w:eastAsia="黑体" w:cs="黑体"/>
                <w:color w:val="auto"/>
                <w:kern w:val="0"/>
                <w:szCs w:val="21"/>
              </w:rPr>
              <w:t>环境影响评价机构</w:t>
            </w:r>
          </w:p>
        </w:tc>
        <w:tc>
          <w:tcPr>
            <w:tcW w:w="24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黑体" w:hAnsi="黑体" w:eastAsia="黑体" w:cs="黑体"/>
                <w:color w:val="auto"/>
                <w:kern w:val="0"/>
                <w:szCs w:val="21"/>
              </w:rPr>
            </w:pPr>
            <w:r>
              <w:rPr>
                <w:rFonts w:hint="eastAsia" w:ascii="黑体" w:hAnsi="黑体" w:eastAsia="黑体" w:cs="黑体"/>
                <w:color w:val="auto"/>
                <w:kern w:val="0"/>
                <w:szCs w:val="21"/>
              </w:rPr>
              <w:t>项目</w:t>
            </w:r>
          </w:p>
          <w:p>
            <w:pPr>
              <w:widowControl/>
              <w:spacing w:line="240" w:lineRule="exact"/>
              <w:jc w:val="center"/>
              <w:rPr>
                <w:rFonts w:ascii="黑体" w:hAnsi="黑体" w:eastAsia="黑体" w:cs="黑体"/>
                <w:color w:val="auto"/>
              </w:rPr>
            </w:pPr>
            <w:r>
              <w:rPr>
                <w:rFonts w:hint="eastAsia" w:ascii="黑体" w:hAnsi="黑体" w:eastAsia="黑体" w:cs="黑体"/>
                <w:color w:val="auto"/>
                <w:kern w:val="0"/>
                <w:szCs w:val="21"/>
              </w:rPr>
              <w:t>概况</w:t>
            </w:r>
          </w:p>
        </w:tc>
        <w:tc>
          <w:tcPr>
            <w:tcW w:w="69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黑体" w:hAnsi="黑体" w:eastAsia="黑体" w:cs="黑体"/>
                <w:color w:val="auto"/>
              </w:rPr>
            </w:pPr>
            <w:r>
              <w:rPr>
                <w:rFonts w:hint="eastAsia" w:ascii="黑体" w:hAnsi="黑体" w:eastAsia="黑体" w:cs="黑体"/>
                <w:color w:val="auto"/>
                <w:kern w:val="0"/>
                <w:szCs w:val="21"/>
              </w:rPr>
              <w:t>主要环境影响及预防或者减轻不良环境影响的对策和措施</w:t>
            </w:r>
          </w:p>
        </w:tc>
        <w:tc>
          <w:tcPr>
            <w:tcW w:w="10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黑体" w:hAnsi="黑体" w:eastAsia="黑体" w:cs="黑体"/>
                <w:color w:val="auto"/>
              </w:rPr>
            </w:pPr>
            <w:r>
              <w:rPr>
                <w:rFonts w:hint="eastAsia" w:ascii="黑体" w:hAnsi="黑体" w:eastAsia="黑体" w:cs="黑体"/>
                <w:color w:val="auto"/>
                <w:kern w:val="0"/>
                <w:szCs w:val="21"/>
              </w:rPr>
              <w:t>公众参与情况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28" w:hRule="atLeast"/>
          <w:jc w:val="center"/>
        </w:trPr>
        <w:tc>
          <w:tcPr>
            <w:tcW w:w="638"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Autospacing="1" w:afterAutospacing="1" w:line="240" w:lineRule="exact"/>
              <w:jc w:val="left"/>
              <w:rPr>
                <w:rFonts w:ascii="仿宋_GB2312" w:hAnsi="仿宋_GB2312" w:eastAsia="仿宋_GB2312" w:cs="仿宋_GB2312"/>
                <w:color w:val="auto"/>
                <w:sz w:val="20"/>
                <w:szCs w:val="22"/>
              </w:rPr>
            </w:pPr>
            <w:r>
              <w:rPr>
                <w:rFonts w:hint="eastAsia" w:ascii="仿宋_GB2312" w:hAnsi="仿宋_GB2312" w:eastAsia="仿宋_GB2312" w:cs="仿宋_GB2312"/>
                <w:color w:val="auto"/>
                <w:sz w:val="20"/>
                <w:szCs w:val="22"/>
              </w:rPr>
              <w:t>年产30万吨水处理剂及系列产品项目</w:t>
            </w:r>
          </w:p>
        </w:tc>
        <w:tc>
          <w:tcPr>
            <w:tcW w:w="684" w:type="dxa"/>
            <w:tcBorders>
              <w:top w:val="nil"/>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滕州市木石镇鲁南高科技化工园区</w:t>
            </w:r>
          </w:p>
        </w:tc>
        <w:tc>
          <w:tcPr>
            <w:tcW w:w="666"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山东绿之能环保科技有限公司</w:t>
            </w:r>
          </w:p>
        </w:tc>
        <w:tc>
          <w:tcPr>
            <w:tcW w:w="85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ascii="仿宋_GB2312" w:hAnsi="仿宋_GB2312" w:eastAsia="仿宋_GB2312" w:cs="仿宋_GB2312"/>
                <w:color w:val="auto"/>
                <w:sz w:val="20"/>
                <w:szCs w:val="22"/>
              </w:rPr>
            </w:pPr>
            <w:r>
              <w:rPr>
                <w:rFonts w:hint="eastAsia" w:ascii="仿宋_GB2312" w:hAnsi="仿宋_GB2312" w:eastAsia="仿宋_GB2312" w:cs="仿宋_GB2312"/>
                <w:color w:val="auto"/>
                <w:sz w:val="20"/>
                <w:szCs w:val="22"/>
              </w:rPr>
              <w:t>枣庄市环境保护科学研究所有限公司</w:t>
            </w:r>
          </w:p>
        </w:tc>
        <w:tc>
          <w:tcPr>
            <w:tcW w:w="2451"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项目</w:t>
            </w:r>
            <w:r>
              <w:rPr>
                <w:rFonts w:hint="eastAsia" w:ascii="仿宋_GB2312" w:hAnsi="仿宋_GB2312" w:eastAsia="仿宋_GB2312" w:cs="仿宋_GB2312"/>
                <w:color w:val="auto"/>
                <w:kern w:val="0"/>
                <w:sz w:val="20"/>
                <w:szCs w:val="20"/>
                <w:lang w:val="en-US" w:eastAsia="zh-CN"/>
              </w:rPr>
              <w:t>生产</w:t>
            </w:r>
            <w:r>
              <w:rPr>
                <w:rFonts w:hint="eastAsia" w:ascii="仿宋_GB2312" w:hAnsi="仿宋_GB2312" w:eastAsia="仿宋_GB2312" w:cs="仿宋_GB2312"/>
                <w:color w:val="auto"/>
                <w:kern w:val="0"/>
                <w:sz w:val="20"/>
                <w:szCs w:val="20"/>
              </w:rPr>
              <w:t>水处理剂产品</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lang w:val="en-US" w:eastAsia="zh-CN"/>
              </w:rPr>
              <w:t>含</w:t>
            </w:r>
            <w:r>
              <w:rPr>
                <w:rFonts w:hint="eastAsia" w:ascii="仿宋_GB2312" w:hAnsi="仿宋_GB2312" w:eastAsia="仿宋_GB2312" w:cs="仿宋_GB2312"/>
                <w:color w:val="auto"/>
                <w:kern w:val="0"/>
                <w:sz w:val="20"/>
                <w:szCs w:val="20"/>
              </w:rPr>
              <w:t>氨基三亚甲基膦酸、羟基亚乙基二膦酸、乙二胺四甲叉膦酸钠、二乙烯三胺五甲叉膦酸、2-膦酸丁烷-1,2,4-三羧酸、多氨基多醚基甲叉膦酸、双 1,6-亚己基三胺五甲叉膦酸、水解马来酸酐、马来酸-丙烯酸共聚物、丙烯酸-2-丙烯酰胺-2 甲基丙磺酸共、聚物、聚丙烯酸（钠）、丙烯酸-丙烯酸酯-磺酸盐三元共聚物、十二烷基二甲基苄基氯化铵、聚合氯化铝</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甲醛溶液、多聚甲醛、盐酸。</w:t>
            </w:r>
          </w:p>
        </w:tc>
        <w:tc>
          <w:tcPr>
            <w:tcW w:w="6968"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numPr>
                <w:ilvl w:val="0"/>
                <w:numId w:val="1"/>
              </w:numPr>
              <w:spacing w:line="240" w:lineRule="exact"/>
              <w:jc w:val="left"/>
              <w:rPr>
                <w:color w:val="auto"/>
              </w:rPr>
            </w:pPr>
            <w:r>
              <w:rPr>
                <w:rFonts w:hint="eastAsia" w:ascii="仿宋_GB2312" w:hAnsi="仿宋_GB2312" w:eastAsia="仿宋_GB2312" w:cs="仿宋_GB2312"/>
                <w:color w:val="auto"/>
                <w:kern w:val="0"/>
                <w:sz w:val="20"/>
                <w:szCs w:val="20"/>
                <w:highlight w:val="none"/>
              </w:rPr>
              <w:t>废气：PAC生产工艺废气、其他有机膦类水处理剂生产工艺废气、聚合物类水处理剂生产工艺废气、各车间真空泵废气和罐区无组织排放废气及装载过程产生的无组织废气分别经降膜吸收后尾气均进入尾气处理车间，再经水喷淋吸收+碱液吸收后通过15m高排气筒排放。</w:t>
            </w:r>
            <w:r>
              <w:rPr>
                <w:rFonts w:hint="eastAsia" w:ascii="仿宋_GB2312" w:hAnsi="仿宋_GB2312" w:eastAsia="仿宋_GB2312" w:cs="仿宋_GB2312"/>
                <w:color w:val="auto"/>
                <w:kern w:val="0"/>
                <w:sz w:val="20"/>
                <w:szCs w:val="20"/>
                <w:highlight w:val="none"/>
                <w:lang w:eastAsia="zh-CN"/>
              </w:rPr>
              <w:t>甲醛生产过程中产生尾气及多聚甲醛</w:t>
            </w:r>
            <w:r>
              <w:rPr>
                <w:rFonts w:hint="eastAsia" w:ascii="仿宋_GB2312" w:hAnsi="仿宋_GB2312" w:eastAsia="仿宋_GB2312" w:cs="仿宋_GB2312"/>
                <w:color w:val="auto"/>
                <w:kern w:val="0"/>
                <w:sz w:val="20"/>
                <w:szCs w:val="20"/>
                <w:highlight w:val="none"/>
                <w:lang w:val="en-US" w:eastAsia="zh-CN"/>
              </w:rPr>
              <w:t>废</w:t>
            </w:r>
            <w:r>
              <w:rPr>
                <w:rFonts w:hint="eastAsia" w:ascii="仿宋_GB2312" w:hAnsi="仿宋_GB2312" w:eastAsia="仿宋_GB2312" w:cs="仿宋_GB2312"/>
                <w:color w:val="auto"/>
                <w:kern w:val="0"/>
                <w:sz w:val="20"/>
                <w:szCs w:val="20"/>
                <w:highlight w:val="none"/>
                <w:lang w:eastAsia="zh-CN"/>
              </w:rPr>
              <w:t>气及除尘尾气、PBTCA废气进入尾气焚烧炉焚烧后尾气后</w:t>
            </w:r>
            <w:r>
              <w:rPr>
                <w:rFonts w:hint="eastAsia" w:ascii="仿宋_GB2312" w:hAnsi="仿宋_GB2312" w:eastAsia="仿宋_GB2312" w:cs="仿宋_GB2312"/>
                <w:color w:val="auto"/>
                <w:kern w:val="0"/>
                <w:sz w:val="20"/>
                <w:szCs w:val="20"/>
                <w:highlight w:val="none"/>
                <w:lang w:val="en-US" w:eastAsia="zh-CN"/>
              </w:rPr>
              <w:t>经</w:t>
            </w:r>
            <w:r>
              <w:rPr>
                <w:rFonts w:hint="eastAsia" w:ascii="仿宋_GB2312" w:hAnsi="仿宋_GB2312" w:eastAsia="仿宋_GB2312" w:cs="仿宋_GB2312"/>
                <w:color w:val="auto"/>
                <w:kern w:val="0"/>
                <w:sz w:val="20"/>
                <w:szCs w:val="20"/>
                <w:highlight w:val="none"/>
                <w:lang w:eastAsia="zh-CN"/>
              </w:rPr>
              <w:t>15m高排气筒排放。</w:t>
            </w:r>
            <w:r>
              <w:rPr>
                <w:rFonts w:hint="eastAsia" w:ascii="仿宋_GB2312" w:hAnsi="仿宋_GB2312" w:eastAsia="仿宋_GB2312" w:cs="仿宋_GB2312"/>
                <w:color w:val="auto"/>
                <w:kern w:val="0"/>
                <w:sz w:val="20"/>
                <w:szCs w:val="20"/>
                <w:highlight w:val="none"/>
                <w:lang w:val="en-US" w:eastAsia="zh-CN" w:bidi="ar-SA"/>
              </w:rPr>
              <w:t>颗粒物、NOx、VOCs排放量分别控制在0.55t/a、2.53t/a、0.5 t/a以内。</w:t>
            </w:r>
            <w:r>
              <w:rPr>
                <w:rFonts w:hint="eastAsia" w:ascii="仿宋_GB2312" w:hAnsi="仿宋_GB2312" w:eastAsia="仿宋_GB2312" w:cs="仿宋_GB2312"/>
                <w:color w:val="auto"/>
                <w:kern w:val="0"/>
                <w:sz w:val="20"/>
                <w:szCs w:val="20"/>
                <w:highlight w:val="none"/>
                <w:lang w:val="en-US" w:eastAsia="zh-CN" w:bidi="ar-SA"/>
              </w:rPr>
              <w:t>同时，加强无组织废气管理，严格控制跑冒滴漏。</w:t>
            </w:r>
          </w:p>
          <w:p>
            <w:pPr>
              <w:widowControl/>
              <w:spacing w:line="240" w:lineRule="exact"/>
              <w:jc w:val="left"/>
              <w:rPr>
                <w:rFonts w:hint="default" w:ascii="仿宋_GB2312" w:hAnsi="仿宋_GB2312" w:eastAsia="仿宋_GB2312" w:cs="仿宋_GB2312"/>
                <w:color w:val="auto"/>
                <w:sz w:val="20"/>
                <w:szCs w:val="22"/>
                <w:lang w:val="en-US" w:eastAsia="zh-CN"/>
              </w:rPr>
            </w:pPr>
            <w:r>
              <w:rPr>
                <w:rFonts w:ascii="仿宋_GB2312" w:hAnsi="仿宋_GB2312" w:eastAsia="仿宋_GB2312" w:cs="仿宋_GB2312"/>
                <w:color w:val="auto"/>
                <w:kern w:val="0"/>
                <w:sz w:val="20"/>
                <w:szCs w:val="20"/>
              </w:rPr>
              <w:t>2</w:t>
            </w:r>
            <w:r>
              <w:rPr>
                <w:rFonts w:hint="eastAsia" w:ascii="仿宋_GB2312" w:hAnsi="仿宋_GB2312" w:eastAsia="仿宋_GB2312" w:cs="仿宋_GB2312"/>
                <w:color w:val="auto"/>
                <w:kern w:val="0"/>
                <w:sz w:val="20"/>
                <w:szCs w:val="20"/>
              </w:rPr>
              <w:t>、废水：车间地面清洗废水</w:t>
            </w:r>
            <w:r>
              <w:rPr>
                <w:rFonts w:hint="eastAsia" w:ascii="仿宋_GB2312" w:hAnsi="仿宋_GB2312" w:eastAsia="仿宋_GB2312" w:cs="仿宋_GB2312"/>
                <w:color w:val="auto"/>
                <w:kern w:val="0"/>
                <w:sz w:val="20"/>
                <w:szCs w:val="20"/>
                <w:lang w:eastAsia="zh-CN"/>
              </w:rPr>
              <w:t>、循环水排污</w:t>
            </w:r>
            <w:r>
              <w:rPr>
                <w:rFonts w:hint="eastAsia" w:ascii="仿宋_GB2312" w:hAnsi="仿宋_GB2312" w:eastAsia="仿宋_GB2312" w:cs="仿宋_GB2312"/>
                <w:color w:val="auto"/>
                <w:kern w:val="0"/>
                <w:sz w:val="20"/>
                <w:szCs w:val="20"/>
                <w:lang w:val="en-US" w:eastAsia="zh-CN"/>
              </w:rPr>
              <w:t>及生活污水经</w:t>
            </w:r>
            <w:r>
              <w:rPr>
                <w:rFonts w:hint="eastAsia" w:ascii="仿宋_GB2312" w:hAnsi="仿宋_GB2312" w:eastAsia="仿宋_GB2312" w:cs="仿宋_GB2312"/>
                <w:color w:val="auto"/>
                <w:kern w:val="0"/>
                <w:sz w:val="20"/>
                <w:szCs w:val="20"/>
              </w:rPr>
              <w:t>厂区污水站处理</w:t>
            </w:r>
            <w:r>
              <w:rPr>
                <w:rFonts w:hint="eastAsia" w:ascii="仿宋_GB2312" w:hAnsi="仿宋_GB2312" w:eastAsia="仿宋_GB2312" w:cs="仿宋_GB2312"/>
                <w:color w:val="auto"/>
                <w:kern w:val="0"/>
                <w:sz w:val="20"/>
                <w:szCs w:val="20"/>
                <w:lang w:val="en-US" w:eastAsia="zh-CN"/>
              </w:rPr>
              <w:t>达标</w:t>
            </w:r>
            <w:r>
              <w:rPr>
                <w:rFonts w:hint="eastAsia" w:ascii="仿宋_GB2312" w:hAnsi="仿宋_GB2312" w:eastAsia="仿宋_GB2312" w:cs="仿宋_GB2312"/>
                <w:color w:val="auto"/>
                <w:kern w:val="0"/>
                <w:sz w:val="20"/>
                <w:szCs w:val="20"/>
              </w:rPr>
              <w:t>后排入园区污水处理厂深度处理。</w:t>
            </w:r>
            <w:r>
              <w:rPr>
                <w:rFonts w:hint="eastAsia" w:ascii="仿宋_GB2312" w:hAnsi="仿宋_GB2312" w:eastAsia="仿宋_GB2312" w:cs="仿宋_GB2312"/>
                <w:color w:val="auto"/>
                <w:kern w:val="0"/>
                <w:sz w:val="20"/>
                <w:szCs w:val="20"/>
                <w:lang w:val="en-US" w:eastAsia="zh-CN"/>
              </w:rPr>
              <w:t>同时，落实区域防渗措施，防止污染地下水和土壤。</w:t>
            </w:r>
          </w:p>
          <w:p>
            <w:pPr>
              <w:widowControl/>
              <w:spacing w:line="240" w:lineRule="exact"/>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3、</w:t>
            </w:r>
            <w:r>
              <w:rPr>
                <w:rFonts w:hint="eastAsia" w:ascii="仿宋_GB2312" w:hAnsi="仿宋_GB2312" w:eastAsia="仿宋_GB2312" w:cs="仿宋_GB2312"/>
                <w:color w:val="auto"/>
                <w:kern w:val="0"/>
                <w:sz w:val="20"/>
                <w:szCs w:val="20"/>
              </w:rPr>
              <w:t>固体废物：</w:t>
            </w:r>
            <w:r>
              <w:rPr>
                <w:rFonts w:hint="eastAsia" w:ascii="仿宋_GB2312" w:hAnsi="仿宋_GB2312" w:eastAsia="仿宋_GB2312" w:cs="仿宋_GB2312"/>
                <w:color w:val="auto"/>
                <w:kern w:val="0"/>
                <w:sz w:val="20"/>
                <w:szCs w:val="20"/>
                <w:lang w:val="en-US" w:eastAsia="zh-CN"/>
              </w:rPr>
              <w:t>泥渣外售用于建筑材料，工艺废活性炭、空油桶、废机油、废银催化剂、实验室废液、废弃的含油抹布、劳保用品等危险废物委托有资质单位处置，脱盐水站废活性炭、脱盐水站废反渗透膜、生活垃圾委托环卫部门定期清运处置。</w:t>
            </w:r>
          </w:p>
          <w:p>
            <w:pPr>
              <w:widowControl/>
              <w:spacing w:line="240" w:lineRule="exact"/>
              <w:jc w:val="left"/>
              <w:rPr>
                <w:rFonts w:hint="eastAsia" w:ascii="仿宋_GB2312" w:hAnsi="仿宋_GB2312" w:eastAsia="仿宋_GB2312" w:cs="仿宋_GB2312"/>
                <w:color w:val="auto"/>
                <w:kern w:val="0"/>
                <w:sz w:val="20"/>
                <w:szCs w:val="20"/>
              </w:rPr>
            </w:pPr>
            <w:r>
              <w:rPr>
                <w:rFonts w:ascii="仿宋_GB2312" w:hAnsi="仿宋_GB2312" w:eastAsia="仿宋_GB2312" w:cs="仿宋_GB2312"/>
                <w:color w:val="auto"/>
                <w:kern w:val="0"/>
                <w:sz w:val="20"/>
                <w:szCs w:val="20"/>
              </w:rPr>
              <w:t>4</w:t>
            </w:r>
            <w:r>
              <w:rPr>
                <w:rFonts w:hint="eastAsia" w:ascii="仿宋_GB2312" w:hAnsi="仿宋_GB2312" w:eastAsia="仿宋_GB2312" w:cs="仿宋_GB2312"/>
                <w:color w:val="auto"/>
                <w:kern w:val="0"/>
                <w:sz w:val="20"/>
                <w:szCs w:val="20"/>
              </w:rPr>
              <w:t>、噪声：企业采取室内安装、基础减振、平衡安装等措施后，满足《工业企业厂界环境噪声排放标准》（GB12348-2008）3类标准要求。</w:t>
            </w:r>
          </w:p>
          <w:p>
            <w:pPr>
              <w:widowControl/>
              <w:spacing w:line="240" w:lineRule="exact"/>
              <w:jc w:val="left"/>
              <w:rPr>
                <w:rFonts w:ascii="仿宋_GB2312" w:hAnsi="仿宋_GB2312" w:eastAsia="仿宋_GB2312" w:cs="仿宋_GB2312"/>
                <w:color w:val="auto"/>
                <w:sz w:val="20"/>
                <w:szCs w:val="22"/>
              </w:rPr>
            </w:pPr>
            <w:r>
              <w:rPr>
                <w:rFonts w:ascii="仿宋_GB2312" w:hAnsi="仿宋_GB2312" w:eastAsia="仿宋_GB2312" w:cs="仿宋_GB2312"/>
                <w:color w:val="auto"/>
                <w:kern w:val="0"/>
                <w:sz w:val="20"/>
                <w:szCs w:val="20"/>
              </w:rPr>
              <w:t>5</w:t>
            </w:r>
            <w:r>
              <w:rPr>
                <w:rFonts w:hint="eastAsia" w:ascii="仿宋_GB2312" w:hAnsi="仿宋_GB2312" w:eastAsia="仿宋_GB2312" w:cs="仿宋_GB2312"/>
                <w:color w:val="auto"/>
                <w:kern w:val="0"/>
                <w:sz w:val="20"/>
                <w:szCs w:val="20"/>
              </w:rPr>
              <w:t>、环境风险：</w:t>
            </w:r>
            <w:r>
              <w:rPr>
                <w:rFonts w:hint="eastAsia" w:ascii="仿宋_GB2312" w:hAnsi="仿宋_GB2312" w:eastAsia="仿宋_GB2312" w:cs="仿宋_GB2312"/>
                <w:color w:val="auto"/>
                <w:kern w:val="0"/>
                <w:sz w:val="20"/>
                <w:szCs w:val="20"/>
                <w:lang w:val="en-US" w:eastAsia="zh-CN"/>
              </w:rPr>
              <w:t>根据报告书分析，在建设单位严格落实环评提出的各项防范措施和应急预案后，其环境风险水平可以接受。</w:t>
            </w:r>
          </w:p>
        </w:tc>
        <w:tc>
          <w:tcPr>
            <w:tcW w:w="101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ascii="仿宋_GB2312" w:hAnsi="仿宋_GB2312" w:eastAsia="仿宋_GB2312" w:cs="仿宋_GB2312"/>
                <w:color w:val="auto"/>
                <w:sz w:val="20"/>
                <w:szCs w:val="22"/>
              </w:rPr>
            </w:pPr>
            <w:r>
              <w:rPr>
                <w:rFonts w:hint="eastAsia" w:ascii="仿宋_GB2312" w:hAnsi="仿宋_GB2312" w:eastAsia="仿宋_GB2312" w:cs="仿宋_GB2312"/>
                <w:color w:val="auto"/>
                <w:kern w:val="0"/>
                <w:sz w:val="20"/>
                <w:szCs w:val="20"/>
              </w:rPr>
              <w:t>采取网站公示、公告张贴、报纸刊登等方式开展公众参与工作。</w:t>
            </w:r>
          </w:p>
        </w:tc>
      </w:tr>
    </w:tbl>
    <w:p>
      <w:pPr>
        <w:spacing w:line="560" w:lineRule="exact"/>
        <w:rPr>
          <w:rFonts w:ascii="仿宋_GB2312" w:hAnsi="仿宋_GB2312" w:eastAsia="仿宋_GB2312" w:cs="仿宋_GB2312"/>
          <w:sz w:val="32"/>
          <w:szCs w:val="32"/>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589D19"/>
    <w:multiLevelType w:val="singleLevel"/>
    <w:tmpl w:val="CE589D19"/>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B6F0E"/>
    <w:rsid w:val="00156468"/>
    <w:rsid w:val="00172A27"/>
    <w:rsid w:val="00224FFB"/>
    <w:rsid w:val="00307141"/>
    <w:rsid w:val="00363299"/>
    <w:rsid w:val="00395B55"/>
    <w:rsid w:val="003B7937"/>
    <w:rsid w:val="003C2731"/>
    <w:rsid w:val="003C4B4B"/>
    <w:rsid w:val="003C6FAD"/>
    <w:rsid w:val="003F78AE"/>
    <w:rsid w:val="0047590A"/>
    <w:rsid w:val="0048355F"/>
    <w:rsid w:val="004D54A6"/>
    <w:rsid w:val="004D6A7A"/>
    <w:rsid w:val="0053326E"/>
    <w:rsid w:val="00542DF0"/>
    <w:rsid w:val="00557988"/>
    <w:rsid w:val="00647F3F"/>
    <w:rsid w:val="006E1E95"/>
    <w:rsid w:val="00760D64"/>
    <w:rsid w:val="007A1EAA"/>
    <w:rsid w:val="00807E1E"/>
    <w:rsid w:val="00817437"/>
    <w:rsid w:val="00894EB8"/>
    <w:rsid w:val="009376BA"/>
    <w:rsid w:val="009532C2"/>
    <w:rsid w:val="009B3658"/>
    <w:rsid w:val="009D6954"/>
    <w:rsid w:val="00A00E72"/>
    <w:rsid w:val="00A2698D"/>
    <w:rsid w:val="00A700EB"/>
    <w:rsid w:val="00AC07B5"/>
    <w:rsid w:val="00AC6AD6"/>
    <w:rsid w:val="00AD2CC9"/>
    <w:rsid w:val="00B37A63"/>
    <w:rsid w:val="00B87F96"/>
    <w:rsid w:val="00BE22D7"/>
    <w:rsid w:val="00C61F8B"/>
    <w:rsid w:val="00CE66F6"/>
    <w:rsid w:val="00CF5D57"/>
    <w:rsid w:val="00D55926"/>
    <w:rsid w:val="00D95DB6"/>
    <w:rsid w:val="00DD40FA"/>
    <w:rsid w:val="00E017A3"/>
    <w:rsid w:val="011C6D31"/>
    <w:rsid w:val="0181792D"/>
    <w:rsid w:val="0249163E"/>
    <w:rsid w:val="02811194"/>
    <w:rsid w:val="02CC6B39"/>
    <w:rsid w:val="03140CDB"/>
    <w:rsid w:val="038F3848"/>
    <w:rsid w:val="03B4385A"/>
    <w:rsid w:val="03D95A5D"/>
    <w:rsid w:val="03FB31DA"/>
    <w:rsid w:val="04056FE1"/>
    <w:rsid w:val="04200922"/>
    <w:rsid w:val="04300C3A"/>
    <w:rsid w:val="04486DE3"/>
    <w:rsid w:val="05042B98"/>
    <w:rsid w:val="05095632"/>
    <w:rsid w:val="051C3BB9"/>
    <w:rsid w:val="05340855"/>
    <w:rsid w:val="058A108B"/>
    <w:rsid w:val="05A71715"/>
    <w:rsid w:val="062F4F3E"/>
    <w:rsid w:val="06C90C77"/>
    <w:rsid w:val="06DB070C"/>
    <w:rsid w:val="0720189D"/>
    <w:rsid w:val="0785417A"/>
    <w:rsid w:val="07F84C28"/>
    <w:rsid w:val="0B2A61B3"/>
    <w:rsid w:val="0CA86FB1"/>
    <w:rsid w:val="0D9B02C2"/>
    <w:rsid w:val="0DFB3F48"/>
    <w:rsid w:val="0E7B5F08"/>
    <w:rsid w:val="0F3E7919"/>
    <w:rsid w:val="0F744CAA"/>
    <w:rsid w:val="10886BBE"/>
    <w:rsid w:val="109637E9"/>
    <w:rsid w:val="10AC6B58"/>
    <w:rsid w:val="12180A3F"/>
    <w:rsid w:val="127F4DB7"/>
    <w:rsid w:val="1338117B"/>
    <w:rsid w:val="13AE7BD6"/>
    <w:rsid w:val="142838D5"/>
    <w:rsid w:val="14C21F7D"/>
    <w:rsid w:val="162C7868"/>
    <w:rsid w:val="163415D8"/>
    <w:rsid w:val="164109D9"/>
    <w:rsid w:val="18335FD9"/>
    <w:rsid w:val="18345F32"/>
    <w:rsid w:val="1848265D"/>
    <w:rsid w:val="18CA1C3C"/>
    <w:rsid w:val="191E625F"/>
    <w:rsid w:val="19BE4605"/>
    <w:rsid w:val="1A4B3D2F"/>
    <w:rsid w:val="1A8935C1"/>
    <w:rsid w:val="1AFC4F1D"/>
    <w:rsid w:val="1B5C02E0"/>
    <w:rsid w:val="1B824D35"/>
    <w:rsid w:val="1BBB37CA"/>
    <w:rsid w:val="1BD1329A"/>
    <w:rsid w:val="1C105777"/>
    <w:rsid w:val="1C321BBE"/>
    <w:rsid w:val="1D1A6EDE"/>
    <w:rsid w:val="1E124D83"/>
    <w:rsid w:val="1E7A5535"/>
    <w:rsid w:val="1E9546A1"/>
    <w:rsid w:val="20780E90"/>
    <w:rsid w:val="20AE08E0"/>
    <w:rsid w:val="21796972"/>
    <w:rsid w:val="2182305F"/>
    <w:rsid w:val="227C7F85"/>
    <w:rsid w:val="22955A7E"/>
    <w:rsid w:val="237D09D1"/>
    <w:rsid w:val="23DF29A5"/>
    <w:rsid w:val="25C12A49"/>
    <w:rsid w:val="25CA083D"/>
    <w:rsid w:val="25E45EB6"/>
    <w:rsid w:val="26D16342"/>
    <w:rsid w:val="27413D51"/>
    <w:rsid w:val="27E465EF"/>
    <w:rsid w:val="28636BF6"/>
    <w:rsid w:val="29220E31"/>
    <w:rsid w:val="29980B54"/>
    <w:rsid w:val="2A013633"/>
    <w:rsid w:val="2A207455"/>
    <w:rsid w:val="2A6D3798"/>
    <w:rsid w:val="2A7D6669"/>
    <w:rsid w:val="2B7E5B77"/>
    <w:rsid w:val="2C28537C"/>
    <w:rsid w:val="2C413584"/>
    <w:rsid w:val="2CB7042C"/>
    <w:rsid w:val="2CD03720"/>
    <w:rsid w:val="2EAB31E7"/>
    <w:rsid w:val="2F9A4EB1"/>
    <w:rsid w:val="31BE5BC2"/>
    <w:rsid w:val="325A786D"/>
    <w:rsid w:val="351654DF"/>
    <w:rsid w:val="353343D0"/>
    <w:rsid w:val="35E43A27"/>
    <w:rsid w:val="36871829"/>
    <w:rsid w:val="37872920"/>
    <w:rsid w:val="37B35E9F"/>
    <w:rsid w:val="38005E18"/>
    <w:rsid w:val="3A695881"/>
    <w:rsid w:val="3B020430"/>
    <w:rsid w:val="3C80224B"/>
    <w:rsid w:val="3CA23D2B"/>
    <w:rsid w:val="3D9464F5"/>
    <w:rsid w:val="3EF810C9"/>
    <w:rsid w:val="3F7365B7"/>
    <w:rsid w:val="3FB743C8"/>
    <w:rsid w:val="40294391"/>
    <w:rsid w:val="408C31DA"/>
    <w:rsid w:val="40EA57E4"/>
    <w:rsid w:val="41CB1CCC"/>
    <w:rsid w:val="42EB03DB"/>
    <w:rsid w:val="43382B42"/>
    <w:rsid w:val="44245F07"/>
    <w:rsid w:val="442D3686"/>
    <w:rsid w:val="444A124C"/>
    <w:rsid w:val="4485441E"/>
    <w:rsid w:val="45114F0D"/>
    <w:rsid w:val="45706D63"/>
    <w:rsid w:val="4578451A"/>
    <w:rsid w:val="46A137C3"/>
    <w:rsid w:val="47292827"/>
    <w:rsid w:val="47A96952"/>
    <w:rsid w:val="47E77545"/>
    <w:rsid w:val="48791E44"/>
    <w:rsid w:val="49CE0505"/>
    <w:rsid w:val="49DF35BE"/>
    <w:rsid w:val="4AB22A50"/>
    <w:rsid w:val="4B1768BF"/>
    <w:rsid w:val="4B7440A1"/>
    <w:rsid w:val="4B907EDE"/>
    <w:rsid w:val="4D143AA1"/>
    <w:rsid w:val="4E400177"/>
    <w:rsid w:val="4EA417B1"/>
    <w:rsid w:val="4F052BC1"/>
    <w:rsid w:val="4F387512"/>
    <w:rsid w:val="4FB1369B"/>
    <w:rsid w:val="50292B19"/>
    <w:rsid w:val="507F4934"/>
    <w:rsid w:val="512974D3"/>
    <w:rsid w:val="541E61E6"/>
    <w:rsid w:val="551F58B0"/>
    <w:rsid w:val="5581575F"/>
    <w:rsid w:val="55E425D3"/>
    <w:rsid w:val="568D074F"/>
    <w:rsid w:val="576453E4"/>
    <w:rsid w:val="576A2A02"/>
    <w:rsid w:val="57E6678E"/>
    <w:rsid w:val="591C22E4"/>
    <w:rsid w:val="5AB61C4D"/>
    <w:rsid w:val="5B0E467A"/>
    <w:rsid w:val="5B4E3471"/>
    <w:rsid w:val="5E280FA0"/>
    <w:rsid w:val="5EBA117A"/>
    <w:rsid w:val="5ED92D1B"/>
    <w:rsid w:val="5F904CF2"/>
    <w:rsid w:val="5F9D2F1A"/>
    <w:rsid w:val="5FD526DE"/>
    <w:rsid w:val="5FFB6DB3"/>
    <w:rsid w:val="60D67161"/>
    <w:rsid w:val="61E514AD"/>
    <w:rsid w:val="627F4262"/>
    <w:rsid w:val="62F12AD4"/>
    <w:rsid w:val="634A3201"/>
    <w:rsid w:val="63DC141C"/>
    <w:rsid w:val="63E24196"/>
    <w:rsid w:val="64074FE4"/>
    <w:rsid w:val="658B7B5B"/>
    <w:rsid w:val="6675692A"/>
    <w:rsid w:val="66C513BA"/>
    <w:rsid w:val="66DE2853"/>
    <w:rsid w:val="67BF46B7"/>
    <w:rsid w:val="68707A0C"/>
    <w:rsid w:val="698807CD"/>
    <w:rsid w:val="6A0D0F40"/>
    <w:rsid w:val="6A407001"/>
    <w:rsid w:val="6A6C3B93"/>
    <w:rsid w:val="6A713933"/>
    <w:rsid w:val="6BBA5896"/>
    <w:rsid w:val="6CC67566"/>
    <w:rsid w:val="6D0D2449"/>
    <w:rsid w:val="6EC07078"/>
    <w:rsid w:val="70CA58CC"/>
    <w:rsid w:val="72144280"/>
    <w:rsid w:val="72FC761B"/>
    <w:rsid w:val="73066C42"/>
    <w:rsid w:val="734454B2"/>
    <w:rsid w:val="734E6240"/>
    <w:rsid w:val="73ED3040"/>
    <w:rsid w:val="74F614E0"/>
    <w:rsid w:val="7572370C"/>
    <w:rsid w:val="758C4F75"/>
    <w:rsid w:val="7652170A"/>
    <w:rsid w:val="786C1AEC"/>
    <w:rsid w:val="78F862D9"/>
    <w:rsid w:val="794B3C35"/>
    <w:rsid w:val="798974C1"/>
    <w:rsid w:val="79D03D19"/>
    <w:rsid w:val="79F541BD"/>
    <w:rsid w:val="7A100244"/>
    <w:rsid w:val="7B3E6634"/>
    <w:rsid w:val="7C0C07A7"/>
    <w:rsid w:val="7C4163C3"/>
    <w:rsid w:val="7C5A1945"/>
    <w:rsid w:val="7CB51C0D"/>
    <w:rsid w:val="7CD54276"/>
    <w:rsid w:val="7E4F6A04"/>
    <w:rsid w:val="7F104AAD"/>
    <w:rsid w:val="7FCA2F5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宋体"/>
      <w:sz w:val="24"/>
    </w:rPr>
  </w:style>
  <w:style w:type="paragraph" w:styleId="3">
    <w:name w:val="Body Text Indent"/>
    <w:basedOn w:val="1"/>
    <w:next w:val="1"/>
    <w:qFormat/>
    <w:uiPriority w:val="0"/>
    <w:pPr>
      <w:spacing w:after="120"/>
      <w:ind w:left="420" w:leftChars="200"/>
    </w:pPr>
  </w:style>
  <w:style w:type="paragraph" w:styleId="4">
    <w:name w:val="Normal (Web)"/>
    <w:basedOn w:val="1"/>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Hyperlink"/>
    <w:basedOn w:val="6"/>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149</Words>
  <Characters>851</Characters>
  <Lines>0</Lines>
  <Paragraphs>0</Paragraphs>
  <TotalTime>3</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LC</dc:creator>
  <cp:lastModifiedBy>qquser</cp:lastModifiedBy>
  <dcterms:modified xsi:type="dcterms:W3CDTF">2020-03-18T08:19:43Z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