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EB" w:rsidRDefault="005C5BEB" w:rsidP="00176E86">
      <w:pPr>
        <w:widowControl/>
        <w:adjustRightInd w:val="0"/>
        <w:snapToGrid w:val="0"/>
        <w:spacing w:line="560" w:lineRule="exact"/>
        <w:jc w:val="center"/>
        <w:rPr>
          <w:rFonts w:eastAsia="仿宋_GB2312"/>
          <w:sz w:val="36"/>
        </w:rPr>
      </w:pPr>
    </w:p>
    <w:p w:rsidR="005C5BEB" w:rsidRDefault="005C5BEB" w:rsidP="00176E86">
      <w:pPr>
        <w:pStyle w:val="BodyTextFirstIndent2"/>
        <w:spacing w:line="560" w:lineRule="exact"/>
        <w:ind w:left="31680"/>
      </w:pPr>
    </w:p>
    <w:p w:rsidR="005C5BEB" w:rsidRDefault="005C5BEB" w:rsidP="00176E86">
      <w:pPr>
        <w:widowControl/>
        <w:adjustRightInd w:val="0"/>
        <w:snapToGrid w:val="0"/>
        <w:spacing w:line="560" w:lineRule="exact"/>
        <w:jc w:val="center"/>
        <w:rPr>
          <w:rFonts w:eastAsia="仿宋_GB2312"/>
          <w:sz w:val="36"/>
        </w:rPr>
      </w:pPr>
    </w:p>
    <w:p w:rsidR="005C5BEB" w:rsidRDefault="005C5BEB" w:rsidP="00176E86">
      <w:pPr>
        <w:widowControl/>
        <w:adjustRightInd w:val="0"/>
        <w:snapToGrid w:val="0"/>
        <w:spacing w:line="560" w:lineRule="exact"/>
        <w:rPr>
          <w:rFonts w:ascii="仿宋_GB2312" w:eastAsia="仿宋_GB2312"/>
          <w:sz w:val="32"/>
        </w:rPr>
      </w:pPr>
    </w:p>
    <w:p w:rsidR="005C5BEB" w:rsidRDefault="005C5BEB" w:rsidP="00176E86">
      <w:pPr>
        <w:spacing w:line="560" w:lineRule="exact"/>
        <w:jc w:val="center"/>
        <w:rPr>
          <w:rFonts w:ascii="楷体" w:eastAsia="楷体" w:hAnsi="楷体" w:cs="楷体"/>
          <w:sz w:val="32"/>
          <w:szCs w:val="32"/>
        </w:rPr>
      </w:pPr>
      <w:r>
        <w:rPr>
          <w:rFonts w:ascii="楷体" w:eastAsia="楷体" w:hAnsi="楷体" w:cs="楷体" w:hint="eastAsia"/>
          <w:sz w:val="32"/>
          <w:szCs w:val="32"/>
        </w:rPr>
        <w:t>枣环许可字</w:t>
      </w:r>
      <w:r>
        <w:rPr>
          <w:rFonts w:ascii="楷体" w:eastAsia="楷体" w:hAnsi="楷体" w:cs="楷体"/>
          <w:sz w:val="32"/>
          <w:szCs w:val="32"/>
        </w:rPr>
        <w:t>[2021]49</w:t>
      </w:r>
      <w:r>
        <w:rPr>
          <w:rFonts w:ascii="楷体" w:eastAsia="楷体" w:hAnsi="楷体" w:cs="楷体" w:hint="eastAsia"/>
          <w:sz w:val="32"/>
          <w:szCs w:val="32"/>
        </w:rPr>
        <w:t>号</w:t>
      </w:r>
    </w:p>
    <w:p w:rsidR="005C5BEB" w:rsidRDefault="005C5BEB" w:rsidP="00176E86">
      <w:pPr>
        <w:pStyle w:val="BodyTextFirstIndent2"/>
        <w:spacing w:line="560" w:lineRule="exact"/>
        <w:ind w:left="31680"/>
      </w:pPr>
    </w:p>
    <w:p w:rsidR="005C5BEB" w:rsidRDefault="005C5BEB" w:rsidP="00176E86">
      <w:pPr>
        <w:spacing w:line="560" w:lineRule="exact"/>
      </w:pPr>
    </w:p>
    <w:p w:rsidR="005C5BEB" w:rsidRPr="00165061" w:rsidRDefault="005C5BEB" w:rsidP="00176E86">
      <w:pPr>
        <w:spacing w:line="620" w:lineRule="exact"/>
        <w:jc w:val="center"/>
        <w:rPr>
          <w:rFonts w:ascii="方正大标宋简体" w:eastAsia="方正大标宋简体" w:hAnsi="方正大标宋简体" w:cs="方正大标宋简体"/>
          <w:w w:val="90"/>
          <w:sz w:val="44"/>
          <w:szCs w:val="44"/>
        </w:rPr>
      </w:pPr>
      <w:r w:rsidRPr="00165061">
        <w:rPr>
          <w:rFonts w:ascii="方正大标宋简体" w:eastAsia="方正大标宋简体" w:hAnsi="方正大标宋简体" w:cs="方正大标宋简体" w:hint="eastAsia"/>
          <w:w w:val="90"/>
          <w:sz w:val="44"/>
          <w:szCs w:val="44"/>
        </w:rPr>
        <w:t>枣庄市生态环境局</w:t>
      </w:r>
    </w:p>
    <w:p w:rsidR="005C5BEB" w:rsidRPr="00165061" w:rsidRDefault="005C5BEB" w:rsidP="00176E86">
      <w:pPr>
        <w:spacing w:line="620" w:lineRule="exact"/>
        <w:jc w:val="center"/>
        <w:rPr>
          <w:rFonts w:ascii="方正大标宋简体" w:eastAsia="方正大标宋简体" w:hAnsi="方正大标宋简体" w:cs="方正大标宋简体"/>
          <w:w w:val="90"/>
          <w:sz w:val="44"/>
          <w:szCs w:val="44"/>
        </w:rPr>
      </w:pPr>
      <w:r w:rsidRPr="00165061">
        <w:rPr>
          <w:rFonts w:ascii="方正大标宋简体" w:eastAsia="方正大标宋简体" w:hAnsi="方正大标宋简体" w:cs="方正大标宋简体" w:hint="eastAsia"/>
          <w:w w:val="90"/>
          <w:sz w:val="44"/>
          <w:szCs w:val="44"/>
        </w:rPr>
        <w:t>关于山东康泓化学有限公司年产</w:t>
      </w:r>
      <w:r w:rsidRPr="00165061">
        <w:rPr>
          <w:rFonts w:ascii="方正大标宋简体" w:eastAsia="方正大标宋简体" w:hAnsi="方正大标宋简体" w:cs="方正大标宋简体"/>
          <w:w w:val="90"/>
          <w:sz w:val="44"/>
          <w:szCs w:val="44"/>
        </w:rPr>
        <w:t>1400</w:t>
      </w:r>
      <w:r w:rsidRPr="00165061">
        <w:rPr>
          <w:rFonts w:ascii="方正大标宋简体" w:eastAsia="方正大标宋简体" w:hAnsi="方正大标宋简体" w:cs="方正大标宋简体" w:hint="eastAsia"/>
          <w:w w:val="90"/>
          <w:sz w:val="44"/>
          <w:szCs w:val="44"/>
        </w:rPr>
        <w:t>吨</w:t>
      </w:r>
    </w:p>
    <w:p w:rsidR="005C5BEB" w:rsidRPr="00165061" w:rsidRDefault="005C5BEB" w:rsidP="00176E86">
      <w:pPr>
        <w:spacing w:line="620" w:lineRule="exact"/>
        <w:jc w:val="center"/>
        <w:rPr>
          <w:rFonts w:ascii="方正大标宋简体" w:eastAsia="方正大标宋简体" w:hAnsi="方正大标宋简体" w:cs="方正大标宋简体"/>
          <w:w w:val="90"/>
          <w:sz w:val="44"/>
          <w:szCs w:val="44"/>
        </w:rPr>
      </w:pPr>
      <w:r w:rsidRPr="00165061">
        <w:rPr>
          <w:rFonts w:ascii="方正大标宋简体" w:eastAsia="方正大标宋简体" w:hAnsi="方正大标宋简体" w:cs="方正大标宋简体" w:hint="eastAsia"/>
          <w:w w:val="90"/>
          <w:sz w:val="44"/>
          <w:szCs w:val="44"/>
        </w:rPr>
        <w:t>半导体关键新材料光刻胶及精细化工产品项目</w:t>
      </w:r>
    </w:p>
    <w:p w:rsidR="005C5BEB" w:rsidRPr="00165061" w:rsidRDefault="005C5BEB" w:rsidP="00176E86">
      <w:pPr>
        <w:spacing w:line="620" w:lineRule="exact"/>
        <w:jc w:val="center"/>
        <w:rPr>
          <w:rFonts w:ascii="方正大标宋简体" w:eastAsia="方正大标宋简体" w:hAnsi="方正大标宋简体" w:cs="方正大标宋简体"/>
          <w:w w:val="90"/>
          <w:sz w:val="44"/>
          <w:szCs w:val="44"/>
        </w:rPr>
      </w:pPr>
      <w:r w:rsidRPr="00165061">
        <w:rPr>
          <w:rFonts w:ascii="方正大标宋简体" w:eastAsia="方正大标宋简体" w:hAnsi="方正大标宋简体" w:cs="方正大标宋简体" w:hint="eastAsia"/>
          <w:w w:val="90"/>
          <w:sz w:val="44"/>
          <w:szCs w:val="44"/>
        </w:rPr>
        <w:t>环境影响报告书的批复</w:t>
      </w:r>
    </w:p>
    <w:p w:rsidR="005C5BEB" w:rsidRDefault="005C5BEB" w:rsidP="00176E86">
      <w:pPr>
        <w:spacing w:line="560" w:lineRule="exact"/>
        <w:rPr>
          <w:rFonts w:ascii="仿宋_GB2312" w:eastAsia="仿宋_GB2312" w:hAnsi="仿宋_GB2312" w:cs="仿宋_GB2312"/>
          <w:sz w:val="32"/>
          <w:szCs w:val="32"/>
        </w:rPr>
      </w:pPr>
    </w:p>
    <w:p w:rsidR="005C5BEB" w:rsidRDefault="005C5BEB" w:rsidP="00176E8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山东康泓化学有限公司：</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你公司报送的《山东康泓化学有限公司年产</w:t>
      </w:r>
      <w:r>
        <w:rPr>
          <w:rFonts w:ascii="仿宋_GB2312" w:eastAsia="仿宋_GB2312" w:hAnsi="仿宋_GB2312" w:cs="仿宋_GB2312"/>
          <w:sz w:val="32"/>
          <w:szCs w:val="32"/>
        </w:rPr>
        <w:t>1400</w:t>
      </w:r>
      <w:r>
        <w:rPr>
          <w:rFonts w:ascii="仿宋_GB2312" w:eastAsia="仿宋_GB2312" w:hAnsi="仿宋_GB2312" w:cs="仿宋_GB2312" w:hint="eastAsia"/>
          <w:sz w:val="32"/>
          <w:szCs w:val="32"/>
        </w:rPr>
        <w:t>吨半导体关键新材料光刻胶及精细化工产品项目环境影响报告书》收悉。经研究，批复如下：</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一、项目为新建，位于滕州市鲁南高科技化工园区尚贤路中段。项目占地面积约</w:t>
      </w:r>
      <w:smartTag w:uri="urn:schemas-microsoft-com:office:smarttags" w:element="chmetcnv">
        <w:smartTagPr>
          <w:attr w:name="TCSC" w:val="0"/>
          <w:attr w:name="NumberType" w:val="1"/>
          <w:attr w:name="Negative" w:val="False"/>
          <w:attr w:name="HasSpace" w:val="False"/>
          <w:attr w:name="SourceValue" w:val="72813.3"/>
          <w:attr w:name="UnitName" w:val="m2"/>
        </w:smartTagPr>
        <w:r>
          <w:rPr>
            <w:rFonts w:ascii="仿宋_GB2312" w:eastAsia="仿宋_GB2312" w:hAnsi="仿宋_GB2312" w:cs="仿宋_GB2312"/>
            <w:sz w:val="32"/>
            <w:szCs w:val="32"/>
          </w:rPr>
          <w:t>72813.3m</w:t>
        </w:r>
        <w:r w:rsidRPr="000E59AD">
          <w:rPr>
            <w:rFonts w:ascii="仿宋_GB2312" w:eastAsia="仿宋_GB2312" w:hAnsi="仿宋_GB2312" w:cs="仿宋_GB2312"/>
            <w:sz w:val="32"/>
            <w:szCs w:val="32"/>
            <w:vertAlign w:val="superscript"/>
          </w:rPr>
          <w:t>2</w:t>
        </w:r>
      </w:smartTag>
      <w:r>
        <w:rPr>
          <w:rFonts w:ascii="仿宋_GB2312" w:eastAsia="仿宋_GB2312" w:hAnsi="仿宋_GB2312" w:cs="仿宋_GB2312" w:hint="eastAsia"/>
          <w:sz w:val="32"/>
          <w:szCs w:val="32"/>
        </w:rPr>
        <w:t>，主要建设生产车间（车间一：为</w:t>
      </w:r>
      <w:r>
        <w:rPr>
          <w:rFonts w:ascii="仿宋_GB2312" w:eastAsia="仿宋_GB2312" w:hAnsi="仿宋_GB2312" w:cs="仿宋_GB2312"/>
          <w:sz w:val="32"/>
          <w:szCs w:val="32"/>
        </w:rPr>
        <w:t>NP-3</w:t>
      </w:r>
      <w:r>
        <w:rPr>
          <w:rFonts w:ascii="仿宋_GB2312" w:eastAsia="仿宋_GB2312" w:hAnsi="仿宋_GB2312" w:cs="仿宋_GB2312" w:hint="eastAsia"/>
          <w:sz w:val="32"/>
          <w:szCs w:val="32"/>
        </w:rPr>
        <w:t>生产车间，设</w:t>
      </w:r>
      <w:r>
        <w:rPr>
          <w:rFonts w:ascii="仿宋_GB2312" w:eastAsia="仿宋_GB2312" w:hAnsi="仿宋_GB2312" w:cs="仿宋_GB2312"/>
          <w:sz w:val="32"/>
          <w:szCs w:val="32"/>
        </w:rPr>
        <w:t>NP-3</w:t>
      </w:r>
      <w:r>
        <w:rPr>
          <w:rFonts w:ascii="仿宋_GB2312" w:eastAsia="仿宋_GB2312" w:hAnsi="仿宋_GB2312" w:cs="仿宋_GB2312" w:hint="eastAsia"/>
          <w:sz w:val="32"/>
          <w:szCs w:val="32"/>
        </w:rPr>
        <w:t>生产线，</w:t>
      </w:r>
      <w:r>
        <w:rPr>
          <w:rFonts w:ascii="仿宋_GB2312" w:eastAsia="仿宋_GB2312" w:hAnsi="仿宋_GB2312" w:cs="仿宋_GB2312"/>
          <w:sz w:val="32"/>
          <w:szCs w:val="32"/>
        </w:rPr>
        <w:t xml:space="preserve">NP-3 </w:t>
      </w:r>
      <w:r>
        <w:rPr>
          <w:rFonts w:ascii="仿宋_GB2312" w:eastAsia="仿宋_GB2312" w:hAnsi="仿宋_GB2312" w:cs="仿宋_GB2312" w:hint="eastAsia"/>
          <w:sz w:val="32"/>
          <w:szCs w:val="32"/>
        </w:rPr>
        <w:t>生产装置中醚化反应工序有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套反应装置和</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套后处理装置，酯交换反应工序有</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套反应装置和</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套蒸馏装置。车间二：</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为化妆品原料生产车间，设</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套氯苯甘醚生产装置、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套辛酰氧肟酸生产装置、</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套对羟基苯乙酮生产装置）、辅助工程仓库、罐区及其他配套公辅工程、环保工程等，其中建设</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个车间，车间一为</w:t>
      </w:r>
      <w:r>
        <w:rPr>
          <w:rFonts w:ascii="仿宋_GB2312" w:eastAsia="仿宋_GB2312" w:hAnsi="仿宋_GB2312" w:cs="仿宋_GB2312"/>
          <w:sz w:val="32"/>
          <w:szCs w:val="32"/>
        </w:rPr>
        <w:t>NP-3</w:t>
      </w:r>
      <w:r>
        <w:rPr>
          <w:rFonts w:ascii="仿宋_GB2312" w:eastAsia="仿宋_GB2312" w:hAnsi="仿宋_GB2312" w:cs="仿宋_GB2312" w:hint="eastAsia"/>
          <w:sz w:val="32"/>
          <w:szCs w:val="32"/>
        </w:rPr>
        <w:t>生产车间，车间二为化妆品原料（氯苯甘醚、辛酰氧肟酸、对羟基苯乙酮）生产车间。建成后年产光刻胶产品</w:t>
      </w:r>
      <w:r>
        <w:rPr>
          <w:rFonts w:ascii="仿宋_GB2312" w:eastAsia="仿宋_GB2312" w:hAnsi="仿宋_GB2312" w:cs="仿宋_GB2312"/>
          <w:sz w:val="32"/>
          <w:szCs w:val="32"/>
        </w:rPr>
        <w:t>NP-3 400</w:t>
      </w:r>
      <w:r>
        <w:rPr>
          <w:rFonts w:ascii="仿宋_GB2312" w:eastAsia="仿宋_GB2312" w:hAnsi="仿宋_GB2312" w:cs="仿宋_GB2312" w:hint="eastAsia"/>
          <w:sz w:val="32"/>
          <w:szCs w:val="32"/>
        </w:rPr>
        <w:t>吨，化妆品原料氯苯甘醚</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吨、辛酰氧肟酸</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吨、对羟基苯乙酮</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吨。</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在全面落实报告书提出的各项生态保护和污染防治措施后，对环境的不利影响可得到控制和缓解，我局从环保角度原则同意报告书中所列建设项目的性质、规模、地点、环境保护措施等。</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（二）严格落实大气治理措施。不含氯废气、污水处理站</w:t>
      </w:r>
      <w:r>
        <w:rPr>
          <w:rFonts w:ascii="仿宋_GB2312" w:eastAsia="仿宋_GB2312" w:hAnsi="仿宋_GB2312" w:cs="仿宋_GB2312"/>
          <w:sz w:val="32"/>
          <w:szCs w:val="32"/>
        </w:rPr>
        <w:t>PEIC</w:t>
      </w:r>
      <w:r>
        <w:rPr>
          <w:rFonts w:ascii="仿宋_GB2312" w:eastAsia="仿宋_GB2312" w:hAnsi="仿宋_GB2312" w:cs="仿宋_GB2312" w:hint="eastAsia"/>
          <w:sz w:val="32"/>
          <w:szCs w:val="32"/>
        </w:rPr>
        <w:t>厌氧反应器经三相分离器收集沼气通过管道经“</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碱洗塔</w:t>
      </w:r>
      <w:r>
        <w:rPr>
          <w:rFonts w:ascii="仿宋_GB2312" w:eastAsia="仿宋_GB2312" w:hAnsi="仿宋_GB2312" w:cs="仿宋_GB2312"/>
          <w:sz w:val="32"/>
          <w:szCs w:val="32"/>
        </w:rPr>
        <w:t>+RTO</w:t>
      </w:r>
      <w:r>
        <w:rPr>
          <w:rFonts w:ascii="仿宋_GB2312" w:eastAsia="仿宋_GB2312" w:hAnsi="仿宋_GB2312" w:cs="仿宋_GB2312" w:hint="eastAsia"/>
          <w:sz w:val="32"/>
          <w:szCs w:val="32"/>
        </w:rPr>
        <w:t>装置”处理后由</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仿宋_GB2312" w:eastAsia="仿宋_GB2312" w:hAnsi="仿宋_GB2312" w:cs="仿宋_GB2312"/>
            <w:sz w:val="32"/>
            <w:szCs w:val="32"/>
          </w:rPr>
          <w:t>25m</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排放；含氯废气、罐区和危废库废气、污水站产生的有机废气及氨、硫化氢等恶臭气体通过管道收集经“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碱洗塔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两级吸附解析装置”处理后由</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仿宋_GB2312" w:eastAsia="仿宋_GB2312" w:hAnsi="仿宋_GB2312" w:cs="仿宋_GB2312"/>
            <w:sz w:val="32"/>
            <w:szCs w:val="32"/>
          </w:rPr>
          <w:t>25m</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P2</w:t>
      </w:r>
      <w:r>
        <w:rPr>
          <w:rFonts w:ascii="仿宋_GB2312" w:eastAsia="仿宋_GB2312" w:hAnsi="仿宋_GB2312" w:cs="仿宋_GB2312" w:hint="eastAsia"/>
          <w:sz w:val="32"/>
          <w:szCs w:val="32"/>
        </w:rPr>
        <w:t>排放；车间投料粉尘经集气罩收集进入布袋除尘器处理后经</w:t>
      </w:r>
      <w:r>
        <w:rPr>
          <w:rFonts w:ascii="仿宋_GB2312" w:eastAsia="仿宋_GB2312" w:hAnsi="仿宋_GB2312" w:cs="仿宋_GB2312"/>
          <w:sz w:val="32"/>
          <w:szCs w:val="32"/>
        </w:rPr>
        <w:t>P3</w:t>
      </w:r>
      <w:r>
        <w:rPr>
          <w:rFonts w:ascii="仿宋_GB2312" w:eastAsia="仿宋_GB2312" w:hAnsi="仿宋_GB2312" w:cs="仿宋_GB2312" w:hint="eastAsia"/>
          <w:sz w:val="32"/>
          <w:szCs w:val="32"/>
        </w:rPr>
        <w:t>排气筒排放。</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颗粒物、氮氧化物排放浓度须符合《区域性大气污染物综合排放标准》（</w:t>
      </w:r>
      <w:r>
        <w:rPr>
          <w:rFonts w:ascii="仿宋_GB2312" w:eastAsia="仿宋_GB2312" w:hAnsi="仿宋_GB2312" w:cs="仿宋_GB2312"/>
          <w:sz w:val="32"/>
          <w:szCs w:val="32"/>
        </w:rPr>
        <w:t>DB37/2376-2019</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重点控制区排放浓度限值要求，排放速率须符合《大气污染物综合排放标准》（</w:t>
      </w:r>
      <w:r>
        <w:rPr>
          <w:rFonts w:ascii="仿宋_GB2312" w:eastAsia="仿宋_GB2312" w:hAnsi="仿宋_GB2312" w:cs="仿宋_GB2312"/>
          <w:sz w:val="32"/>
          <w:szCs w:val="32"/>
        </w:rPr>
        <w:t>GB16297-1996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二级标准要求。氯化氢排放浓度须符合《石油化学工业污染物排放标准》</w:t>
      </w:r>
      <w:r>
        <w:rPr>
          <w:rFonts w:ascii="仿宋_GB2312" w:eastAsia="仿宋_GB2312" w:hAnsi="仿宋_GB2312" w:cs="仿宋_GB2312"/>
          <w:sz w:val="32"/>
          <w:szCs w:val="32"/>
        </w:rPr>
        <w:t xml:space="preserve">(GB31571-2015) </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浓度限值、排放速率须符合《大气污染物综合排放标准》（</w:t>
      </w:r>
      <w:r>
        <w:rPr>
          <w:rFonts w:ascii="仿宋_GB2312" w:eastAsia="仿宋_GB2312" w:hAnsi="仿宋_GB2312" w:cs="仿宋_GB2312"/>
          <w:sz w:val="32"/>
          <w:szCs w:val="32"/>
        </w:rPr>
        <w:t>GB16297-1996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二级标准要求。氯化氢排放浓度和排放速率须符合《大气污染物综合排放标准》（</w:t>
      </w:r>
      <w:r>
        <w:rPr>
          <w:rFonts w:ascii="仿宋_GB2312" w:eastAsia="仿宋_GB2312" w:hAnsi="仿宋_GB2312" w:cs="仿宋_GB2312"/>
          <w:sz w:val="32"/>
          <w:szCs w:val="32"/>
        </w:rPr>
        <w:t>GB16297-1996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二级标准要求。有机废气中的甲苯、</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排放浓度和速率须符合《挥发性有机物排放标准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中Ⅱ时段浓度限值要求；甲醇、环氧氯丙烷、二氯甲烷、丙酮、酚类排放浓度须符合《挥发性有机物排放标准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排放限值要求。</w:t>
      </w:r>
      <w:r>
        <w:rPr>
          <w:rFonts w:ascii="仿宋_GB2312" w:eastAsia="仿宋_GB2312" w:hAnsi="仿宋_GB2312" w:cs="仿宋_GB2312"/>
          <w:sz w:val="32"/>
          <w:szCs w:val="32"/>
        </w:rPr>
        <w:t xml:space="preserve"> </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污水处理站废气须符合《有机化工企业污水处理厂（站）挥发性有机物及恶臭污染物排放标准》（</w:t>
      </w:r>
      <w:r>
        <w:rPr>
          <w:rFonts w:ascii="仿宋_GB2312" w:eastAsia="仿宋_GB2312" w:hAnsi="仿宋_GB2312" w:cs="仿宋_GB2312"/>
          <w:sz w:val="32"/>
          <w:szCs w:val="32"/>
        </w:rPr>
        <w:t>DB 37/3161-2018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要求。</w:t>
      </w:r>
      <w:r>
        <w:rPr>
          <w:rFonts w:ascii="仿宋_GB2312" w:eastAsia="仿宋_GB2312" w:hAnsi="仿宋_GB2312" w:cs="仿宋_GB2312"/>
          <w:sz w:val="32"/>
          <w:szCs w:val="32"/>
        </w:rPr>
        <w:t xml:space="preserve"> </w:t>
      </w:r>
    </w:p>
    <w:p w:rsidR="005C5BEB" w:rsidRDefault="005C5BEB" w:rsidP="00176E86">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落实报告书提出无组织排放措施。按照《石化企业泄漏检测与修复工作指南》的相关要求，建立</w:t>
      </w:r>
      <w:r>
        <w:rPr>
          <w:rFonts w:ascii="仿宋" w:eastAsia="仿宋" w:hAnsi="仿宋" w:cs="仿宋_GB2312"/>
          <w:sz w:val="32"/>
          <w:szCs w:val="32"/>
        </w:rPr>
        <w:t>LDAR</w:t>
      </w:r>
      <w:r>
        <w:rPr>
          <w:rFonts w:ascii="仿宋" w:eastAsia="仿宋" w:hAnsi="仿宋" w:cs="仿宋_GB2312" w:hint="eastAsia"/>
          <w:sz w:val="32"/>
          <w:szCs w:val="32"/>
        </w:rPr>
        <w:t>项目体系，各车间空间废气经过一级碱吸收塔处理后排放。厂界</w:t>
      </w:r>
      <w:r>
        <w:rPr>
          <w:rFonts w:ascii="仿宋" w:eastAsia="仿宋" w:hAnsi="仿宋" w:cs="仿宋_GB2312"/>
          <w:sz w:val="32"/>
          <w:szCs w:val="32"/>
        </w:rPr>
        <w:t>VOCs</w:t>
      </w:r>
      <w:r>
        <w:rPr>
          <w:rFonts w:ascii="仿宋" w:eastAsia="仿宋" w:hAnsi="仿宋" w:cs="仿宋_GB2312" w:hint="eastAsia"/>
          <w:sz w:val="32"/>
          <w:szCs w:val="32"/>
        </w:rPr>
        <w:t>、甲苯无组织排放浓度须符合《挥发性有机物排放标准</w:t>
      </w:r>
      <w:r>
        <w:rPr>
          <w:rFonts w:ascii="仿宋" w:eastAsia="仿宋" w:hAnsi="仿宋" w:cs="仿宋_GB2312"/>
          <w:sz w:val="32"/>
          <w:szCs w:val="32"/>
        </w:rPr>
        <w:t xml:space="preserve"> </w:t>
      </w:r>
      <w:r>
        <w:rPr>
          <w:rFonts w:ascii="仿宋" w:eastAsia="仿宋" w:hAnsi="仿宋" w:cs="仿宋_GB2312" w:hint="eastAsia"/>
          <w:sz w:val="32"/>
          <w:szCs w:val="32"/>
        </w:rPr>
        <w:t>第</w:t>
      </w:r>
      <w:r>
        <w:rPr>
          <w:rFonts w:ascii="仿宋" w:eastAsia="仿宋" w:hAnsi="仿宋" w:cs="仿宋_GB2312"/>
          <w:sz w:val="32"/>
          <w:szCs w:val="32"/>
        </w:rPr>
        <w:t>6</w:t>
      </w:r>
      <w:r>
        <w:rPr>
          <w:rFonts w:ascii="仿宋" w:eastAsia="仿宋" w:hAnsi="仿宋" w:cs="仿宋_GB2312" w:hint="eastAsia"/>
          <w:sz w:val="32"/>
          <w:szCs w:val="32"/>
        </w:rPr>
        <w:t>部分：有机化工行业》（</w:t>
      </w:r>
      <w:r>
        <w:rPr>
          <w:rFonts w:ascii="仿宋" w:eastAsia="仿宋" w:hAnsi="仿宋" w:cs="仿宋_GB2312"/>
          <w:sz w:val="32"/>
          <w:szCs w:val="32"/>
        </w:rPr>
        <w:t>DB37/2801.6-2018</w:t>
      </w:r>
      <w:r>
        <w:rPr>
          <w:rFonts w:ascii="仿宋" w:eastAsia="仿宋" w:hAnsi="仿宋" w:cs="仿宋_GB2312" w:hint="eastAsia"/>
          <w:sz w:val="32"/>
          <w:szCs w:val="32"/>
        </w:rPr>
        <w:t>）表</w:t>
      </w:r>
      <w:r>
        <w:rPr>
          <w:rFonts w:ascii="仿宋" w:eastAsia="仿宋" w:hAnsi="仿宋" w:cs="仿宋_GB2312"/>
          <w:sz w:val="32"/>
          <w:szCs w:val="32"/>
        </w:rPr>
        <w:t>3</w:t>
      </w:r>
      <w:r>
        <w:rPr>
          <w:rFonts w:ascii="仿宋" w:eastAsia="仿宋" w:hAnsi="仿宋" w:cs="仿宋_GB2312" w:hint="eastAsia"/>
          <w:sz w:val="32"/>
          <w:szCs w:val="32"/>
        </w:rPr>
        <w:t>浓度限值要求；硫化氢、氨、臭气浓度须符合《恶臭污染物排放标准》（</w:t>
      </w:r>
      <w:r>
        <w:rPr>
          <w:rFonts w:ascii="仿宋" w:eastAsia="仿宋" w:hAnsi="仿宋" w:cs="仿宋_GB2312"/>
          <w:sz w:val="32"/>
          <w:szCs w:val="32"/>
        </w:rPr>
        <w:t>GB 14554-93</w:t>
      </w:r>
      <w:r>
        <w:rPr>
          <w:rFonts w:ascii="仿宋" w:eastAsia="仿宋" w:hAnsi="仿宋" w:cs="仿宋_GB2312" w:hint="eastAsia"/>
          <w:sz w:val="32"/>
          <w:szCs w:val="32"/>
        </w:rPr>
        <w:t>）表</w:t>
      </w:r>
      <w:r>
        <w:rPr>
          <w:rFonts w:ascii="仿宋" w:eastAsia="仿宋" w:hAnsi="仿宋" w:cs="仿宋_GB2312"/>
          <w:sz w:val="32"/>
          <w:szCs w:val="32"/>
        </w:rPr>
        <w:t>1</w:t>
      </w:r>
      <w:r>
        <w:rPr>
          <w:rFonts w:ascii="仿宋" w:eastAsia="仿宋" w:hAnsi="仿宋" w:cs="仿宋_GB2312" w:hint="eastAsia"/>
          <w:sz w:val="32"/>
          <w:szCs w:val="32"/>
        </w:rPr>
        <w:t>二级新扩改建厂界标准值要求；颗粒物须符合《大气污染物综合排放标准》（</w:t>
      </w:r>
      <w:r>
        <w:rPr>
          <w:rFonts w:ascii="仿宋" w:eastAsia="仿宋" w:hAnsi="仿宋" w:cs="仿宋_GB2312"/>
          <w:sz w:val="32"/>
          <w:szCs w:val="32"/>
        </w:rPr>
        <w:t>GB16297-1996</w:t>
      </w:r>
      <w:r>
        <w:rPr>
          <w:rFonts w:ascii="仿宋" w:eastAsia="仿宋" w:hAnsi="仿宋" w:cs="仿宋_GB2312" w:hint="eastAsia"/>
          <w:sz w:val="32"/>
          <w:szCs w:val="32"/>
        </w:rPr>
        <w:t>）表</w:t>
      </w:r>
      <w:r>
        <w:rPr>
          <w:rFonts w:ascii="仿宋" w:eastAsia="仿宋" w:hAnsi="仿宋" w:cs="仿宋_GB2312"/>
          <w:sz w:val="32"/>
          <w:szCs w:val="32"/>
        </w:rPr>
        <w:t>2</w:t>
      </w:r>
      <w:r>
        <w:rPr>
          <w:rFonts w:ascii="仿宋" w:eastAsia="仿宋" w:hAnsi="仿宋" w:cs="仿宋_GB2312" w:hint="eastAsia"/>
          <w:sz w:val="32"/>
          <w:szCs w:val="32"/>
        </w:rPr>
        <w:t>浓度限值要求。</w:t>
      </w:r>
    </w:p>
    <w:p w:rsidR="005C5BEB" w:rsidRDefault="005C5BEB" w:rsidP="00176E86">
      <w:pPr>
        <w:spacing w:line="56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厂区内无组织</w:t>
      </w:r>
      <w:r>
        <w:rPr>
          <w:rFonts w:ascii="仿宋" w:eastAsia="仿宋" w:hAnsi="仿宋" w:cs="仿宋_GB2312"/>
          <w:sz w:val="32"/>
          <w:szCs w:val="32"/>
        </w:rPr>
        <w:t>VOCs</w:t>
      </w:r>
      <w:r>
        <w:rPr>
          <w:rFonts w:ascii="仿宋" w:eastAsia="仿宋" w:hAnsi="仿宋" w:cs="仿宋_GB2312" w:hint="eastAsia"/>
          <w:sz w:val="32"/>
          <w:szCs w:val="32"/>
        </w:rPr>
        <w:t>须符合《挥发性有机物无组织排放控制标准》（</w:t>
      </w:r>
      <w:r>
        <w:rPr>
          <w:rFonts w:ascii="仿宋" w:eastAsia="仿宋" w:hAnsi="仿宋" w:cs="仿宋_GB2312"/>
          <w:sz w:val="32"/>
          <w:szCs w:val="32"/>
        </w:rPr>
        <w:t>GB 37822-2019</w:t>
      </w:r>
      <w:r>
        <w:rPr>
          <w:rFonts w:ascii="仿宋" w:eastAsia="仿宋" w:hAnsi="仿宋" w:cs="仿宋_GB2312" w:hint="eastAsia"/>
          <w:sz w:val="32"/>
          <w:szCs w:val="32"/>
        </w:rPr>
        <w:t>）附录</w:t>
      </w:r>
      <w:r>
        <w:rPr>
          <w:rFonts w:ascii="仿宋" w:eastAsia="仿宋" w:hAnsi="仿宋" w:cs="仿宋_GB2312"/>
          <w:sz w:val="32"/>
          <w:szCs w:val="32"/>
        </w:rPr>
        <w:t>A</w:t>
      </w:r>
      <w:r>
        <w:rPr>
          <w:rFonts w:ascii="仿宋" w:eastAsia="仿宋" w:hAnsi="仿宋" w:cs="仿宋_GB2312" w:hint="eastAsia"/>
          <w:sz w:val="32"/>
          <w:szCs w:val="32"/>
        </w:rPr>
        <w:t>表</w:t>
      </w:r>
      <w:r>
        <w:rPr>
          <w:rFonts w:ascii="仿宋" w:eastAsia="仿宋" w:hAnsi="仿宋" w:cs="仿宋_GB2312"/>
          <w:sz w:val="32"/>
          <w:szCs w:val="32"/>
        </w:rPr>
        <w:t>A.1</w:t>
      </w:r>
      <w:r>
        <w:rPr>
          <w:rFonts w:ascii="仿宋" w:eastAsia="仿宋" w:hAnsi="仿宋" w:cs="仿宋_GB2312" w:hint="eastAsia"/>
          <w:sz w:val="32"/>
          <w:szCs w:val="32"/>
        </w:rPr>
        <w:t>厂区内</w:t>
      </w:r>
      <w:r>
        <w:rPr>
          <w:rFonts w:ascii="仿宋" w:eastAsia="仿宋" w:hAnsi="仿宋" w:cs="仿宋_GB2312"/>
          <w:sz w:val="32"/>
          <w:szCs w:val="32"/>
        </w:rPr>
        <w:t>VOCs</w:t>
      </w:r>
      <w:r>
        <w:rPr>
          <w:rFonts w:ascii="仿宋" w:eastAsia="仿宋" w:hAnsi="仿宋" w:cs="仿宋_GB2312" w:hint="eastAsia"/>
          <w:sz w:val="32"/>
          <w:szCs w:val="32"/>
        </w:rPr>
        <w:t>无组织排放限值要求。</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严格落实水污染防治措施。根据“雨污分流、清污分流、一水多用”的原则建设给排水及污水处理系统，进一步提高水的回用率，减少新鲜水用量和废水产生量。车间工艺废水以及废气处理系统废水先经预处理单元处理后进入厂区污水处理站高浓废水调节池，经“</w:t>
      </w:r>
      <w:r>
        <w:rPr>
          <w:rFonts w:ascii="仿宋_GB2312" w:eastAsia="仿宋_GB2312" w:hAnsi="仿宋_GB2312" w:cs="仿宋_GB2312"/>
          <w:sz w:val="32"/>
          <w:szCs w:val="32"/>
        </w:rPr>
        <w:t>TPY-</w:t>
      </w:r>
      <w:r>
        <w:rPr>
          <w:rFonts w:ascii="仿宋_GB2312" w:eastAsia="仿宋_GB2312" w:hAnsi="仿宋_GB2312" w:cs="仿宋_GB2312" w:hint="eastAsia"/>
          <w:sz w:val="32"/>
          <w:szCs w:val="32"/>
        </w:rPr>
        <w:t>电催化氧化反应”处理后与设备冲洗废水、地面冲洗废水、循环排污水、脱盐浓水、初期雨水及生活污水等低浓度废水一起进入综合调节池，再经“综合调节池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配水井</w:t>
      </w:r>
      <w:r>
        <w:rPr>
          <w:rFonts w:ascii="仿宋_GB2312" w:eastAsia="仿宋_GB2312" w:hAnsi="仿宋_GB2312" w:cs="仿宋_GB2312"/>
          <w:sz w:val="32"/>
          <w:szCs w:val="32"/>
        </w:rPr>
        <w:t>+PEIC</w:t>
      </w:r>
      <w:r>
        <w:rPr>
          <w:rFonts w:ascii="仿宋_GB2312" w:eastAsia="仿宋_GB2312" w:hAnsi="仿宋_GB2312" w:cs="仿宋_GB2312" w:hint="eastAsia"/>
          <w:sz w:val="32"/>
          <w:szCs w:val="32"/>
        </w:rPr>
        <w:t>厌氧反应器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厌沉池</w:t>
      </w:r>
      <w:r>
        <w:rPr>
          <w:rFonts w:ascii="仿宋_GB2312" w:eastAsia="仿宋_GB2312" w:hAnsi="仿宋_GB2312" w:cs="仿宋_GB2312"/>
          <w:sz w:val="32"/>
          <w:szCs w:val="32"/>
        </w:rPr>
        <w:t>+A/O</w:t>
      </w:r>
      <w:r>
        <w:rPr>
          <w:rFonts w:ascii="仿宋_GB2312" w:eastAsia="仿宋_GB2312" w:hAnsi="仿宋_GB2312" w:cs="仿宋_GB2312" w:hint="eastAsia"/>
          <w:sz w:val="32"/>
          <w:szCs w:val="32"/>
        </w:rPr>
        <w:t>活性污泥池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二沉池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絮凝反应池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絮凝沉淀池”工艺进行处理符合《污水排入城镇下水道水质标准》（</w:t>
      </w:r>
      <w:r>
        <w:rPr>
          <w:rFonts w:ascii="仿宋_GB2312" w:eastAsia="仿宋_GB2312" w:hAnsi="仿宋_GB2312" w:cs="仿宋_GB2312"/>
          <w:sz w:val="32"/>
          <w:szCs w:val="32"/>
        </w:rPr>
        <w:t>GB/T31962-2015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A </w:t>
      </w:r>
      <w:r>
        <w:rPr>
          <w:rFonts w:ascii="仿宋_GB2312" w:eastAsia="仿宋_GB2312" w:hAnsi="仿宋_GB2312" w:cs="仿宋_GB2312" w:hint="eastAsia"/>
          <w:sz w:val="32"/>
          <w:szCs w:val="32"/>
        </w:rPr>
        <w:t>等级、《石油化学工业污染物排放标准》</w:t>
      </w:r>
      <w:r>
        <w:rPr>
          <w:rFonts w:ascii="仿宋_GB2312" w:eastAsia="仿宋_GB2312" w:hAnsi="仿宋_GB2312" w:cs="仿宋_GB2312"/>
          <w:sz w:val="32"/>
          <w:szCs w:val="32"/>
        </w:rPr>
        <w:t>(GB31571-2015)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排放限值及园区污水处理厂的接管要求后排入园区污水处理厂处理。</w:t>
      </w:r>
    </w:p>
    <w:p w:rsidR="005C5BEB" w:rsidRDefault="005C5BEB" w:rsidP="00176E86">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（四）严格落实土壤和地下水污染防治措施。按照“源头防控、分区防治、污染监控、应急响应”的原则进行地下水污染防治，</w:t>
      </w:r>
      <w:r>
        <w:rPr>
          <w:rStyle w:val="NormalCharacter"/>
          <w:rFonts w:ascii="仿宋_GB2312" w:eastAsia="仿宋_GB2312" w:hAnsi="仿宋_GB2312" w:cs="仿宋_GB2312" w:hint="eastAsia"/>
          <w:color w:val="000000"/>
          <w:sz w:val="32"/>
          <w:szCs w:val="32"/>
        </w:rPr>
        <w:t>强化厂区防漏及事故废水应急收集处理</w:t>
      </w:r>
      <w:r>
        <w:rPr>
          <w:rFonts w:ascii="仿宋_GB2312" w:eastAsia="仿宋_GB2312" w:hAnsi="仿宋_GB2312" w:cs="仿宋_GB2312" w:hint="eastAsia"/>
          <w:color w:val="000000"/>
          <w:sz w:val="32"/>
          <w:szCs w:val="32"/>
        </w:rPr>
        <w:t>。严格按照《石油化工工程防渗技术规范》（</w:t>
      </w:r>
      <w:r>
        <w:rPr>
          <w:rFonts w:ascii="仿宋_GB2312" w:eastAsia="仿宋_GB2312" w:hAnsi="仿宋_GB2312" w:cs="仿宋_GB2312"/>
          <w:color w:val="000000"/>
          <w:sz w:val="32"/>
          <w:szCs w:val="32"/>
        </w:rPr>
        <w:t>GB/T 50934-2013</w:t>
      </w:r>
      <w:r>
        <w:rPr>
          <w:rFonts w:ascii="仿宋_GB2312" w:eastAsia="仿宋_GB2312" w:hAnsi="仿宋_GB2312" w:cs="仿宋_GB2312" w:hint="eastAsia"/>
          <w:color w:val="000000"/>
          <w:sz w:val="32"/>
          <w:szCs w:val="32"/>
        </w:rPr>
        <w:t>）的要求，对重点污染防治区、一般污染防治区采取分区防渗措施。管线敷设尽量“可视化”。加强防渗设施的日常维护，对出现损害的防渗设施应及时修复和加固，确保防渗设施牢固安全。加强隐蔽工程泄漏检测，一旦发现泄漏，应立即采取补救措施，防止污染土壤和地下水。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（五）严格落实噪声污染防治措施。优化厂区平面布置，采取隔声、减振、隔振等降噪措施。厂界噪声须符合《工业企业厂界环境噪声排放标准》（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类功能标准要求。</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固体废物污染防治措施。根据国家和地方的有关规定，按照“减量化、资源化、无害化”原则，对固体废物进行分类收集、处理和处置，确保不造成二次污染。生活垃圾由环卫部门定期清运；一般工业废物外售处理；危险废物暂存于危废暂存间，定期委托有资质单位进行清运处置。</w:t>
      </w:r>
      <w:r>
        <w:rPr>
          <w:rFonts w:ascii="仿宋_GB2312" w:eastAsia="仿宋_GB2312" w:hAnsi="仿宋_GB2312" w:cs="仿宋_GB2312" w:hint="eastAsia"/>
          <w:color w:val="000000"/>
          <w:sz w:val="32"/>
          <w:szCs w:val="32"/>
        </w:rPr>
        <w:t>一般固废的贮存和处置按照《一般工业固体废物贮存、处置场污染控制标准》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及其修改单等要求；危险废物贮存和处置须符合《危险废物贮存污染控制标准》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及修改单等要求。</w:t>
      </w:r>
    </w:p>
    <w:p w:rsidR="005C5BEB" w:rsidRDefault="005C5BEB" w:rsidP="00176E86">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（七）</w:t>
      </w:r>
      <w:r>
        <w:rPr>
          <w:rStyle w:val="NormalCharacter"/>
          <w:rFonts w:ascii="仿宋" w:eastAsia="仿宋" w:hAnsi="仿宋" w:cs="仿宋" w:hint="eastAsia"/>
          <w:bCs/>
          <w:sz w:val="32"/>
          <w:szCs w:val="32"/>
        </w:rPr>
        <w:t>健全环境管理体系</w:t>
      </w:r>
      <w:r>
        <w:rPr>
          <w:rStyle w:val="NormalCharacter"/>
          <w:rFonts w:ascii="仿宋" w:eastAsia="仿宋" w:hAnsi="仿宋" w:hint="eastAsia"/>
          <w:color w:val="000000"/>
          <w:sz w:val="32"/>
          <w:szCs w:val="32"/>
        </w:rPr>
        <w:t>。</w:t>
      </w:r>
      <w:r>
        <w:rPr>
          <w:rStyle w:val="NormalCharacter"/>
          <w:rFonts w:ascii="仿宋_GB2312" w:eastAsia="仿宋_GB2312" w:hAnsi="仿宋_GB2312" w:hint="eastAsia"/>
          <w:color w:val="000000"/>
          <w:sz w:val="32"/>
          <w:szCs w:val="32"/>
        </w:rPr>
        <w:t>按照相关要求在规定位置设置规范的污染物排放口、监测口，并设立标志牌。严格根据相关规定强化落实环境管理及监测计划，安装</w:t>
      </w:r>
      <w:r>
        <w:rPr>
          <w:rStyle w:val="NormalCharacter"/>
          <w:rFonts w:ascii="仿宋_GB2312" w:eastAsia="仿宋_GB2312" w:hAnsi="仿宋_GB2312" w:hint="eastAsia"/>
          <w:sz w:val="32"/>
          <w:szCs w:val="32"/>
        </w:rPr>
        <w:t>污染物（含</w:t>
      </w:r>
      <w:r>
        <w:rPr>
          <w:rStyle w:val="NormalCharacter"/>
          <w:rFonts w:ascii="仿宋_GB2312" w:eastAsia="仿宋_GB2312" w:hAnsi="仿宋_GB2312"/>
          <w:color w:val="000000"/>
          <w:sz w:val="32"/>
          <w:szCs w:val="32"/>
        </w:rPr>
        <w:t>VOCs</w:t>
      </w:r>
      <w:r>
        <w:rPr>
          <w:rStyle w:val="NormalCharacter"/>
          <w:rFonts w:ascii="仿宋_GB2312" w:eastAsia="仿宋_GB2312" w:hAnsi="仿宋_GB2312" w:hint="eastAsia"/>
          <w:color w:val="000000"/>
          <w:sz w:val="32"/>
          <w:szCs w:val="32"/>
        </w:rPr>
        <w:t>）自动监控设备。加强厂区</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无组织排放监控，按照《挥发性有机物无组织排放控制标准》（</w:t>
      </w:r>
      <w:r>
        <w:rPr>
          <w:rStyle w:val="NormalCharacter"/>
          <w:rFonts w:ascii="仿宋_GB2312" w:eastAsia="仿宋_GB2312" w:hAnsi="仿宋_GB2312"/>
          <w:color w:val="000000"/>
          <w:sz w:val="32"/>
          <w:szCs w:val="32"/>
        </w:rPr>
        <w:t>GB37822-2019</w:t>
      </w:r>
      <w:r>
        <w:rPr>
          <w:rStyle w:val="NormalCharacter"/>
          <w:rFonts w:ascii="仿宋_GB2312" w:eastAsia="仿宋_GB2312" w:hAnsi="仿宋_GB2312" w:hint="eastAsia"/>
          <w:color w:val="000000"/>
          <w:sz w:val="32"/>
          <w:szCs w:val="32"/>
        </w:rPr>
        <w:t>）规定，在厂区安装</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无组织排放自动监控设备。自动监控设备均须按要求与生态环境部门联网。</w:t>
      </w:r>
      <w:r>
        <w:rPr>
          <w:rStyle w:val="NormalCharacter"/>
          <w:rFonts w:ascii="仿宋" w:eastAsia="仿宋" w:hAnsi="仿宋" w:hint="eastAsia"/>
          <w:color w:val="000000"/>
          <w:sz w:val="32"/>
          <w:szCs w:val="32"/>
        </w:rPr>
        <w:t>严格实施清洁生产。</w:t>
      </w:r>
      <w:r>
        <w:rPr>
          <w:rStyle w:val="NormalCharacter"/>
          <w:rFonts w:ascii="仿宋" w:eastAsia="仿宋" w:hAnsi="仿宋" w:hint="eastAsia"/>
          <w:sz w:val="32"/>
          <w:szCs w:val="32"/>
        </w:rPr>
        <w:t>严格按照国家环境保护相关法律法规以及排污许可证申请与核发技术规范要求申请排污许可证，不得无证排污或不按证排污，同时应做好排污许可证执行报告等相关工作。</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（八）严格落实环境风险防范措施。</w:t>
      </w:r>
      <w:r>
        <w:rPr>
          <w:rStyle w:val="NormalCharacter"/>
          <w:rFonts w:ascii="仿宋_GB2312" w:eastAsia="仿宋_GB2312" w:hAnsi="仿宋_GB2312" w:hint="eastAsia"/>
          <w:color w:val="000000"/>
          <w:sz w:val="32"/>
          <w:szCs w:val="32"/>
        </w:rPr>
        <w:t>加强生产运行中的全程风险管理，强化</w:t>
      </w:r>
      <w:r>
        <w:rPr>
          <w:rFonts w:ascii="仿宋_GB2312" w:eastAsia="仿宋_GB2312" w:hAnsi="仿宋_GB2312" w:cs="仿宋_GB2312" w:hint="eastAsia"/>
          <w:sz w:val="32"/>
          <w:szCs w:val="32"/>
        </w:rPr>
        <w:t>化工物料及危险化学品的储存、输送和使用管理，加强危险废物收集、贮存和出厂转移环节的环境管理和风险防范。按规范设置自动监测、报警、紧急切断及紧急停车系统，以及防火、防爆、防中毒等事故处理系统。配备足够的应急发电设施，确保紧急情况下应急设备可有效使用。按规范选择材料等级，保证防腐能力和设备长周期运行需要。按照“单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厂区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园区”水环境风险防控体系要求设置事故废水收集和应急储存设施。厂区内装置、罐区设置围堰、防火堤，设置足够容积的事故水池，确保事故水可自流进入所在区域的事故水池。完善突发环境事件应急预案和受影响区域内人员应急疏散方案，配备足够的应急队伍、设备和物资，建立项目与区域的环境风险监控预警体系，制定环境应急监测方案。按照分类管理、分级响应、区域联动的原则，做好项目与园区、滕州市等突发环境事件联防联控工作，制定突发环境事件应急预案并定期开展应急演练，提升区域环境风险防范能力，有效防控区域环境风险。一旦发生突发环境事件，立即启动应急预案，采取有效措施控制、减轻或消除对环境的污染。</w:t>
      </w:r>
    </w:p>
    <w:p w:rsidR="005C5BEB" w:rsidRDefault="005C5BEB" w:rsidP="00176E86">
      <w:pPr>
        <w:spacing w:line="560" w:lineRule="exact"/>
        <w:ind w:firstLineChars="200" w:firstLine="31680"/>
        <w:rPr>
          <w:rFonts w:ascii="仿宋_GB2312" w:eastAsia="仿宋_GB2312" w:hAnsi="Times New Roman"/>
          <w:sz w:val="32"/>
          <w:szCs w:val="32"/>
        </w:rPr>
      </w:pPr>
      <w:r>
        <w:rPr>
          <w:rFonts w:ascii="仿宋_GB2312" w:eastAsia="仿宋_GB2312" w:hAnsi="仿宋_GB2312" w:cs="仿宋_GB2312" w:hint="eastAsia"/>
          <w:color w:val="000000"/>
          <w:sz w:val="32"/>
          <w:szCs w:val="32"/>
        </w:rPr>
        <w:t>（九）项目建成后，</w:t>
      </w:r>
      <w:r w:rsidRPr="000E29DC">
        <w:rPr>
          <w:rFonts w:ascii="仿宋_GB2312" w:eastAsia="仿宋_GB2312" w:hAnsi="Times New Roman" w:hint="eastAsia"/>
          <w:color w:val="000000"/>
          <w:sz w:val="32"/>
          <w:szCs w:val="32"/>
        </w:rPr>
        <w:t>颗粒物、氮氧化物、</w:t>
      </w:r>
      <w:r w:rsidRPr="000E29DC">
        <w:rPr>
          <w:rFonts w:ascii="仿宋_GB2312" w:eastAsia="仿宋_GB2312" w:hAnsi="Times New Roman"/>
          <w:color w:val="000000"/>
          <w:sz w:val="32"/>
          <w:szCs w:val="32"/>
        </w:rPr>
        <w:t>VOCs</w:t>
      </w:r>
      <w:r w:rsidRPr="000E29DC">
        <w:rPr>
          <w:rFonts w:ascii="仿宋_GB2312" w:eastAsia="仿宋_GB2312" w:hAnsi="Times New Roman" w:hint="eastAsia"/>
          <w:color w:val="000000"/>
          <w:sz w:val="32"/>
          <w:szCs w:val="32"/>
        </w:rPr>
        <w:t>、</w:t>
      </w:r>
      <w:r w:rsidRPr="000E29DC">
        <w:rPr>
          <w:rFonts w:ascii="仿宋_GB2312" w:eastAsia="仿宋_GB2312" w:hAnsi="Times New Roman"/>
          <w:color w:val="000000"/>
          <w:sz w:val="32"/>
          <w:szCs w:val="32"/>
        </w:rPr>
        <w:t>COD</w:t>
      </w:r>
      <w:r w:rsidRPr="000E29DC">
        <w:rPr>
          <w:rFonts w:ascii="仿宋_GB2312" w:eastAsia="仿宋_GB2312" w:hAnsi="Times New Roman" w:hint="eastAsia"/>
          <w:color w:val="000000"/>
          <w:sz w:val="32"/>
          <w:szCs w:val="32"/>
        </w:rPr>
        <w:t>、氨氮量排放量应控制在</w:t>
      </w:r>
      <w:r w:rsidRPr="000E29DC">
        <w:rPr>
          <w:rFonts w:ascii="仿宋_GB2312" w:eastAsia="仿宋_GB2312" w:hAnsi="Times New Roman"/>
          <w:color w:val="000000"/>
          <w:sz w:val="32"/>
          <w:szCs w:val="32"/>
        </w:rPr>
        <w:t>0.15t/a</w:t>
      </w:r>
      <w:r w:rsidRPr="000E29DC">
        <w:rPr>
          <w:rFonts w:ascii="仿宋_GB2312" w:eastAsia="仿宋_GB2312" w:hAnsi="Times New Roman" w:hint="eastAsia"/>
          <w:color w:val="000000"/>
          <w:sz w:val="32"/>
          <w:szCs w:val="32"/>
        </w:rPr>
        <w:t>、</w:t>
      </w:r>
      <w:r w:rsidRPr="000E29DC">
        <w:rPr>
          <w:rFonts w:ascii="仿宋_GB2312" w:eastAsia="仿宋_GB2312" w:hAnsi="Times New Roman"/>
          <w:color w:val="000000"/>
          <w:sz w:val="32"/>
          <w:szCs w:val="32"/>
        </w:rPr>
        <w:t xml:space="preserve">4.32t/a </w:t>
      </w:r>
      <w:r w:rsidRPr="000E29DC">
        <w:rPr>
          <w:rFonts w:ascii="仿宋_GB2312" w:eastAsia="仿宋_GB2312" w:hAnsi="Times New Roman" w:hint="eastAsia"/>
          <w:color w:val="000000"/>
          <w:sz w:val="32"/>
          <w:szCs w:val="32"/>
        </w:rPr>
        <w:t>、</w:t>
      </w:r>
      <w:r w:rsidRPr="000E29DC">
        <w:rPr>
          <w:rFonts w:ascii="仿宋_GB2312" w:eastAsia="仿宋_GB2312" w:hAnsi="Times New Roman"/>
          <w:color w:val="000000"/>
          <w:sz w:val="32"/>
          <w:szCs w:val="32"/>
        </w:rPr>
        <w:t>2.87t/a</w:t>
      </w:r>
      <w:r w:rsidRPr="000E29DC">
        <w:rPr>
          <w:rFonts w:ascii="仿宋_GB2312" w:eastAsia="仿宋_GB2312" w:hAnsi="Times New Roman" w:hint="eastAsia"/>
          <w:color w:val="000000"/>
          <w:sz w:val="32"/>
          <w:szCs w:val="32"/>
        </w:rPr>
        <w:t>、</w:t>
      </w:r>
      <w:r w:rsidRPr="000E29DC">
        <w:rPr>
          <w:rFonts w:ascii="仿宋_GB2312" w:eastAsia="仿宋_GB2312" w:hAnsi="Times New Roman"/>
          <w:color w:val="000000"/>
          <w:sz w:val="32"/>
          <w:szCs w:val="32"/>
        </w:rPr>
        <w:t>1.15t/a</w:t>
      </w:r>
      <w:r w:rsidRPr="000E29DC">
        <w:rPr>
          <w:rFonts w:ascii="仿宋_GB2312" w:eastAsia="仿宋_GB2312" w:hAnsi="Times New Roman" w:hint="eastAsia"/>
          <w:color w:val="000000"/>
          <w:sz w:val="32"/>
          <w:szCs w:val="32"/>
        </w:rPr>
        <w:t>、</w:t>
      </w:r>
      <w:r w:rsidRPr="000E29DC">
        <w:rPr>
          <w:rFonts w:ascii="仿宋_GB2312" w:eastAsia="仿宋_GB2312" w:hAnsi="Times New Roman"/>
          <w:color w:val="000000"/>
          <w:sz w:val="32"/>
          <w:szCs w:val="32"/>
        </w:rPr>
        <w:t>0.11t/a</w:t>
      </w:r>
      <w:r w:rsidRPr="000E29DC">
        <w:rPr>
          <w:rFonts w:ascii="仿宋_GB2312" w:eastAsia="仿宋_GB2312" w:hAnsi="Times New Roman" w:hint="eastAsia"/>
          <w:sz w:val="32"/>
          <w:szCs w:val="32"/>
        </w:rPr>
        <w:t>以内。</w:t>
      </w:r>
    </w:p>
    <w:p w:rsidR="005C5BEB" w:rsidRDefault="005C5BEB" w:rsidP="00176E86">
      <w:pPr>
        <w:spacing w:line="560" w:lineRule="exact"/>
        <w:ind w:firstLineChars="200" w:firstLine="31680"/>
        <w:rPr>
          <w:rStyle w:val="NormalCharacter"/>
          <w:rFonts w:ascii="仿宋_GB2312" w:eastAsia="仿宋_GB2312" w:hAnsi="仿宋_GB2312"/>
          <w:color w:val="000000"/>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000000"/>
          <w:sz w:val="32"/>
          <w:szCs w:val="32"/>
        </w:rPr>
        <w:t>强化环境信息公开与公众参与机制。在项目施工和运营过程中，按规定发布企业环境保护信息，自觉接受社会监督。建立畅通的公众参与渠道，加强宣传与沟通工作，及时解决公众反映的环境问题，满足公众合理的环境保护要求</w:t>
      </w:r>
      <w:r>
        <w:rPr>
          <w:rStyle w:val="NormalCharacter"/>
          <w:rFonts w:ascii="仿宋_GB2312" w:eastAsia="仿宋_GB2312" w:hAnsi="仿宋_GB2312" w:hint="eastAsia"/>
          <w:color w:val="000000"/>
          <w:sz w:val="32"/>
          <w:szCs w:val="32"/>
        </w:rPr>
        <w:t>。</w:t>
      </w:r>
    </w:p>
    <w:p w:rsidR="005C5BEB" w:rsidRDefault="005C5BEB" w:rsidP="00176E86">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相关要求，该项目采取拆除活动时及服务期满后需开展完成相应的风险评估和修复工作等。</w:t>
      </w:r>
    </w:p>
    <w:p w:rsidR="005C5BEB" w:rsidRDefault="005C5BEB" w:rsidP="00176E86">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5C5BEB" w:rsidRDefault="005C5BEB" w:rsidP="00176E86">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5C5BEB" w:rsidRDefault="005C5BEB" w:rsidP="00176E86">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个工作日内，将批准后的环境影响报告书送枣庄市生态环境滕州分局及枣庄市生态环境保护综合执法支队，并按规定接受各级生态环境部门的监督检查。</w:t>
      </w:r>
    </w:p>
    <w:p w:rsidR="005C5BEB" w:rsidRDefault="005C5BEB" w:rsidP="00176E8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rsidR="005C5BEB" w:rsidRDefault="005C5BEB" w:rsidP="00176E86">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5C5BEB" w:rsidRDefault="005C5BEB" w:rsidP="0042465B">
      <w:pPr>
        <w:pStyle w:val="BodyText1I2"/>
        <w:ind w:left="31680" w:firstLine="31680"/>
      </w:pPr>
    </w:p>
    <w:p w:rsidR="005C5BEB" w:rsidRPr="0042465B" w:rsidRDefault="005C5BEB" w:rsidP="0042465B"/>
    <w:p w:rsidR="005C5BEB" w:rsidRDefault="005C5BEB" w:rsidP="00176E86">
      <w:pPr>
        <w:spacing w:line="560" w:lineRule="exact"/>
        <w:ind w:firstLineChars="1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5C5BEB" w:rsidRDefault="005C5BEB" w:rsidP="00176E86">
      <w:pPr>
        <w:spacing w:line="560" w:lineRule="exact"/>
        <w:ind w:firstLineChars="1700" w:firstLine="31680"/>
      </w:pPr>
      <w:smartTag w:uri="urn:schemas-microsoft-com:office:smarttags" w:element="chsdate">
        <w:smartTagPr>
          <w:attr w:name="IsROCDate" w:val="False"/>
          <w:attr w:name="IsLunarDate" w:val="False"/>
          <w:attr w:name="Day" w:val="8"/>
          <w:attr w:name="Month" w:val="6"/>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smartTag>
    </w:p>
    <w:p w:rsidR="005C5BEB" w:rsidRDefault="005C5BEB" w:rsidP="00176E86">
      <w:pPr>
        <w:spacing w:line="560" w:lineRule="exact"/>
      </w:pPr>
    </w:p>
    <w:p w:rsidR="005C5BEB" w:rsidRDefault="005C5BEB" w:rsidP="00176E86">
      <w:pPr>
        <w:spacing w:line="560" w:lineRule="exact"/>
      </w:pPr>
    </w:p>
    <w:p w:rsidR="005C5BEB" w:rsidRDefault="005C5BEB" w:rsidP="0042465B">
      <w:pPr>
        <w:pStyle w:val="BodyText1I2"/>
        <w:ind w:left="31680" w:firstLine="31680"/>
      </w:pPr>
    </w:p>
    <w:p w:rsidR="005C5BEB" w:rsidRPr="0042465B" w:rsidRDefault="005C5BEB" w:rsidP="0042465B"/>
    <w:p w:rsidR="005C5BEB" w:rsidRDefault="005C5BEB" w:rsidP="00176E86">
      <w:pPr>
        <w:pStyle w:val="BodyText1I2"/>
        <w:ind w:left="31680" w:firstLine="31680"/>
      </w:pPr>
    </w:p>
    <w:p w:rsidR="005C5BEB" w:rsidRDefault="005C5BEB" w:rsidP="00176E86"/>
    <w:p w:rsidR="005C5BEB" w:rsidRDefault="005C5BEB" w:rsidP="00176E86">
      <w:pPr>
        <w:pStyle w:val="BodyText1I2"/>
        <w:ind w:left="31680" w:firstLine="31680"/>
      </w:pPr>
    </w:p>
    <w:p w:rsidR="005C5BEB" w:rsidRDefault="005C5BEB" w:rsidP="00176E86"/>
    <w:p w:rsidR="005C5BEB" w:rsidRDefault="005C5BEB" w:rsidP="00176E86">
      <w:pPr>
        <w:pStyle w:val="BodyText1I2"/>
        <w:ind w:left="31680" w:firstLine="31680"/>
      </w:pPr>
    </w:p>
    <w:p w:rsidR="005C5BEB" w:rsidRDefault="005C5BEB" w:rsidP="00176E86"/>
    <w:p w:rsidR="005C5BEB" w:rsidRDefault="005C5BEB" w:rsidP="00176E86">
      <w:pPr>
        <w:pStyle w:val="BodyText1I2"/>
        <w:ind w:left="31680" w:firstLine="31680"/>
      </w:pPr>
    </w:p>
    <w:p w:rsidR="005C5BEB" w:rsidRDefault="005C5BEB" w:rsidP="00176E86"/>
    <w:p w:rsidR="005C5BEB" w:rsidRDefault="005C5BEB" w:rsidP="00176E86">
      <w:pPr>
        <w:pStyle w:val="BodyText1I2"/>
        <w:ind w:left="31680" w:firstLine="31680"/>
      </w:pPr>
    </w:p>
    <w:p w:rsidR="005C5BEB" w:rsidRDefault="005C5BEB" w:rsidP="00176E86"/>
    <w:p w:rsidR="005C5BEB" w:rsidRDefault="005C5BEB" w:rsidP="00176E86">
      <w:pPr>
        <w:pStyle w:val="BodyText1I2"/>
        <w:ind w:left="31680" w:firstLine="31680"/>
      </w:pPr>
    </w:p>
    <w:p w:rsidR="005C5BEB" w:rsidRPr="00176E86" w:rsidRDefault="005C5BEB" w:rsidP="00176E86"/>
    <w:p w:rsidR="005C5BEB" w:rsidRDefault="005C5BEB" w:rsidP="00176E86">
      <w:pPr>
        <w:spacing w:line="56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5C5BEB" w:rsidRPr="00CB0B56">
        <w:trPr>
          <w:trHeight w:val="405"/>
        </w:trPr>
        <w:tc>
          <w:tcPr>
            <w:tcW w:w="8904" w:type="dxa"/>
            <w:tcBorders>
              <w:left w:val="nil"/>
              <w:right w:val="nil"/>
            </w:tcBorders>
          </w:tcPr>
          <w:p w:rsidR="005C5BEB" w:rsidRDefault="005C5BEB" w:rsidP="005C5BEB">
            <w:pPr>
              <w:spacing w:line="560" w:lineRule="exact"/>
              <w:ind w:left="31680" w:hangingChars="300" w:firstLine="31680"/>
              <w:rPr>
                <w:rFonts w:ascii="仿宋_GB2312" w:eastAsia="仿宋_GB2312" w:hAnsi="仿宋_GB2312" w:cs="仿宋_GB2312"/>
                <w:color w:val="000000"/>
                <w:sz w:val="28"/>
                <w:szCs w:val="28"/>
              </w:rPr>
            </w:pPr>
            <w:r w:rsidRPr="00CB0B56">
              <w:rPr>
                <w:rFonts w:ascii="仿宋_GB2312" w:eastAsia="仿宋_GB2312" w:hAnsi="仿宋" w:hint="eastAsia"/>
                <w:color w:val="000000"/>
                <w:sz w:val="28"/>
                <w:szCs w:val="28"/>
              </w:rPr>
              <w:t>抄送：市生态环境保护综合执法支队、滕州分局</w:t>
            </w:r>
          </w:p>
        </w:tc>
      </w:tr>
      <w:tr w:rsidR="005C5BEB" w:rsidRPr="00CB0B56">
        <w:trPr>
          <w:trHeight w:val="405"/>
        </w:trPr>
        <w:tc>
          <w:tcPr>
            <w:tcW w:w="8904" w:type="dxa"/>
            <w:tcBorders>
              <w:left w:val="nil"/>
              <w:right w:val="nil"/>
            </w:tcBorders>
          </w:tcPr>
          <w:p w:rsidR="005C5BEB" w:rsidRDefault="005C5BEB" w:rsidP="00176E86">
            <w:pPr>
              <w:spacing w:line="5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w:t>
            </w:r>
            <w:smartTag w:uri="urn:schemas-microsoft-com:office:smarttags" w:element="chsdate">
              <w:smartTagPr>
                <w:attr w:name="IsROCDate" w:val="False"/>
                <w:attr w:name="IsLunarDate" w:val="False"/>
                <w:attr w:name="Day" w:val="8"/>
                <w:attr w:name="Month" w:val="6"/>
                <w:attr w:name="Year" w:val="2021"/>
              </w:smartTagPr>
              <w:r>
                <w:rPr>
                  <w:rFonts w:ascii="仿宋_GB2312" w:eastAsia="仿宋_GB2312" w:hAnsi="仿宋_GB2312" w:cs="仿宋_GB2312"/>
                  <w:color w:val="000000"/>
                  <w:sz w:val="28"/>
                  <w:szCs w:val="28"/>
                </w:rPr>
                <w:t>2021</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8</w:t>
              </w:r>
              <w:r>
                <w:rPr>
                  <w:rFonts w:ascii="仿宋_GB2312" w:eastAsia="仿宋_GB2312" w:hAnsi="仿宋_GB2312" w:cs="仿宋_GB2312" w:hint="eastAsia"/>
                  <w:color w:val="000000"/>
                  <w:sz w:val="28"/>
                  <w:szCs w:val="28"/>
                </w:rPr>
                <w:t>日</w:t>
              </w:r>
            </w:smartTag>
            <w:r>
              <w:rPr>
                <w:rFonts w:ascii="仿宋_GB2312" w:eastAsia="仿宋_GB2312" w:hAnsi="仿宋_GB2312" w:cs="仿宋_GB2312" w:hint="eastAsia"/>
                <w:color w:val="000000"/>
                <w:sz w:val="28"/>
                <w:szCs w:val="28"/>
              </w:rPr>
              <w:t>印发</w:t>
            </w:r>
          </w:p>
        </w:tc>
      </w:tr>
    </w:tbl>
    <w:p w:rsidR="005C5BEB" w:rsidRDefault="005C5BEB" w:rsidP="00176E86">
      <w:pPr>
        <w:spacing w:line="56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5C5BEB" w:rsidSect="00176E86">
      <w:headerReference w:type="default" r:id="rId6"/>
      <w:footerReference w:type="default" r:id="rId7"/>
      <w:pgSz w:w="11906" w:h="16838" w:code="9"/>
      <w:pgMar w:top="1440" w:right="1588" w:bottom="1440"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BEB" w:rsidRDefault="005C5BEB">
      <w:r>
        <w:separator/>
      </w:r>
    </w:p>
  </w:endnote>
  <w:endnote w:type="continuationSeparator" w:id="0">
    <w:p w:rsidR="005C5BEB" w:rsidRDefault="005C5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EB" w:rsidRDefault="005C5BEB">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C5BEB" w:rsidRDefault="005C5BEB">
                <w:pPr>
                  <w:pStyle w:val="Footer"/>
                </w:pPr>
                <w:fldSimple w:instr=" PAGE  \* MERGEFORMAT ">
                  <w:r>
                    <w:rPr>
                      <w:noProof/>
                    </w:rPr>
                    <w:t>- 2 -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BEB" w:rsidRDefault="005C5BEB">
      <w:r>
        <w:separator/>
      </w:r>
    </w:p>
  </w:footnote>
  <w:footnote w:type="continuationSeparator" w:id="0">
    <w:p w:rsidR="005C5BEB" w:rsidRDefault="005C5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EB" w:rsidRDefault="005C5BE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E29DC"/>
    <w:rsid w:val="000E59AD"/>
    <w:rsid w:val="00165061"/>
    <w:rsid w:val="00176E86"/>
    <w:rsid w:val="00280E39"/>
    <w:rsid w:val="0042465B"/>
    <w:rsid w:val="004716FD"/>
    <w:rsid w:val="004C6B28"/>
    <w:rsid w:val="004F1F71"/>
    <w:rsid w:val="005C5BEB"/>
    <w:rsid w:val="00610B2B"/>
    <w:rsid w:val="006C5AA4"/>
    <w:rsid w:val="007077F9"/>
    <w:rsid w:val="007279A9"/>
    <w:rsid w:val="00734994"/>
    <w:rsid w:val="007A0A5A"/>
    <w:rsid w:val="008B2EE3"/>
    <w:rsid w:val="009E7776"/>
    <w:rsid w:val="00A56705"/>
    <w:rsid w:val="00AC6C4E"/>
    <w:rsid w:val="00AF7D12"/>
    <w:rsid w:val="00BB7583"/>
    <w:rsid w:val="00CA0D4D"/>
    <w:rsid w:val="00CB0B56"/>
    <w:rsid w:val="00DC6F1C"/>
    <w:rsid w:val="00DD257E"/>
    <w:rsid w:val="00E95301"/>
    <w:rsid w:val="00F837E8"/>
    <w:rsid w:val="00FE3A77"/>
    <w:rsid w:val="010A078D"/>
    <w:rsid w:val="01191B64"/>
    <w:rsid w:val="01256FAF"/>
    <w:rsid w:val="013B61AC"/>
    <w:rsid w:val="014E3A83"/>
    <w:rsid w:val="01A52B9E"/>
    <w:rsid w:val="01AB535B"/>
    <w:rsid w:val="01CF7E92"/>
    <w:rsid w:val="02060A6D"/>
    <w:rsid w:val="023704B1"/>
    <w:rsid w:val="02A90961"/>
    <w:rsid w:val="02C31F17"/>
    <w:rsid w:val="030A54FD"/>
    <w:rsid w:val="030E106D"/>
    <w:rsid w:val="0337691D"/>
    <w:rsid w:val="0339717A"/>
    <w:rsid w:val="034A0C43"/>
    <w:rsid w:val="03555800"/>
    <w:rsid w:val="03564296"/>
    <w:rsid w:val="03570EAD"/>
    <w:rsid w:val="03690F87"/>
    <w:rsid w:val="03AB38C6"/>
    <w:rsid w:val="056C17D1"/>
    <w:rsid w:val="069475BB"/>
    <w:rsid w:val="071E3427"/>
    <w:rsid w:val="07404B42"/>
    <w:rsid w:val="078336F6"/>
    <w:rsid w:val="07B37298"/>
    <w:rsid w:val="07B96B7B"/>
    <w:rsid w:val="081E35C2"/>
    <w:rsid w:val="0826385C"/>
    <w:rsid w:val="08A16500"/>
    <w:rsid w:val="08A50EDD"/>
    <w:rsid w:val="08BE1DD9"/>
    <w:rsid w:val="08CE639A"/>
    <w:rsid w:val="08D22B58"/>
    <w:rsid w:val="095B77B6"/>
    <w:rsid w:val="097F4FCE"/>
    <w:rsid w:val="098E235A"/>
    <w:rsid w:val="0A210042"/>
    <w:rsid w:val="0A267726"/>
    <w:rsid w:val="0A3F3630"/>
    <w:rsid w:val="0A4A2731"/>
    <w:rsid w:val="0A4F4FA5"/>
    <w:rsid w:val="0A517E52"/>
    <w:rsid w:val="0A5B60F6"/>
    <w:rsid w:val="0A6864A2"/>
    <w:rsid w:val="0A8E090E"/>
    <w:rsid w:val="0AC80989"/>
    <w:rsid w:val="0B4F04CE"/>
    <w:rsid w:val="0B8E6C03"/>
    <w:rsid w:val="0C145705"/>
    <w:rsid w:val="0C951FB4"/>
    <w:rsid w:val="0CAB008B"/>
    <w:rsid w:val="0D480407"/>
    <w:rsid w:val="0DBE03D4"/>
    <w:rsid w:val="0DD9207D"/>
    <w:rsid w:val="0E22761B"/>
    <w:rsid w:val="0E9F79C9"/>
    <w:rsid w:val="0EBF4030"/>
    <w:rsid w:val="0ED4346E"/>
    <w:rsid w:val="0EDC7A16"/>
    <w:rsid w:val="0F341AAC"/>
    <w:rsid w:val="0F9C5C0A"/>
    <w:rsid w:val="100A55F8"/>
    <w:rsid w:val="105F0062"/>
    <w:rsid w:val="10B82698"/>
    <w:rsid w:val="10B915FF"/>
    <w:rsid w:val="10C177D2"/>
    <w:rsid w:val="10E403C6"/>
    <w:rsid w:val="10E828D4"/>
    <w:rsid w:val="10F53D6A"/>
    <w:rsid w:val="112C0111"/>
    <w:rsid w:val="119B1CF6"/>
    <w:rsid w:val="11A110D0"/>
    <w:rsid w:val="120122A4"/>
    <w:rsid w:val="124A19D9"/>
    <w:rsid w:val="13463461"/>
    <w:rsid w:val="135278BD"/>
    <w:rsid w:val="13606A9B"/>
    <w:rsid w:val="137409AD"/>
    <w:rsid w:val="141F294E"/>
    <w:rsid w:val="142C3751"/>
    <w:rsid w:val="14B367AF"/>
    <w:rsid w:val="15011DED"/>
    <w:rsid w:val="152A362F"/>
    <w:rsid w:val="15886580"/>
    <w:rsid w:val="16096437"/>
    <w:rsid w:val="161E6BB2"/>
    <w:rsid w:val="16251A2C"/>
    <w:rsid w:val="168D485C"/>
    <w:rsid w:val="16E95AB7"/>
    <w:rsid w:val="17B54B5C"/>
    <w:rsid w:val="17BD65AA"/>
    <w:rsid w:val="17F6662C"/>
    <w:rsid w:val="17FD0CE6"/>
    <w:rsid w:val="189175E9"/>
    <w:rsid w:val="189F72BE"/>
    <w:rsid w:val="18E256D1"/>
    <w:rsid w:val="18FD7D6F"/>
    <w:rsid w:val="19642A7C"/>
    <w:rsid w:val="1AC74523"/>
    <w:rsid w:val="1B076474"/>
    <w:rsid w:val="1B8A1E6B"/>
    <w:rsid w:val="1B9D655B"/>
    <w:rsid w:val="1BB15126"/>
    <w:rsid w:val="1BCB6512"/>
    <w:rsid w:val="1C254882"/>
    <w:rsid w:val="1C2E1411"/>
    <w:rsid w:val="1C314946"/>
    <w:rsid w:val="1C4C4CE5"/>
    <w:rsid w:val="1D56032D"/>
    <w:rsid w:val="1D846222"/>
    <w:rsid w:val="1D9E5EF9"/>
    <w:rsid w:val="1DFC4A59"/>
    <w:rsid w:val="1EB62EA5"/>
    <w:rsid w:val="1EF0286B"/>
    <w:rsid w:val="1F3C7078"/>
    <w:rsid w:val="1F9828F5"/>
    <w:rsid w:val="208F1953"/>
    <w:rsid w:val="20B603FD"/>
    <w:rsid w:val="20C87D15"/>
    <w:rsid w:val="213D14E5"/>
    <w:rsid w:val="215332B8"/>
    <w:rsid w:val="2187585B"/>
    <w:rsid w:val="21A6217C"/>
    <w:rsid w:val="21D03C14"/>
    <w:rsid w:val="22523571"/>
    <w:rsid w:val="225F3AA1"/>
    <w:rsid w:val="228346CB"/>
    <w:rsid w:val="228A1E52"/>
    <w:rsid w:val="22F418A1"/>
    <w:rsid w:val="234E3C80"/>
    <w:rsid w:val="237304B8"/>
    <w:rsid w:val="23A11B2B"/>
    <w:rsid w:val="242B420C"/>
    <w:rsid w:val="243857FD"/>
    <w:rsid w:val="24440CCE"/>
    <w:rsid w:val="24606379"/>
    <w:rsid w:val="24830DA0"/>
    <w:rsid w:val="24AF253B"/>
    <w:rsid w:val="24B87FBC"/>
    <w:rsid w:val="24CF6B4B"/>
    <w:rsid w:val="24F57407"/>
    <w:rsid w:val="25032176"/>
    <w:rsid w:val="25440F67"/>
    <w:rsid w:val="25831131"/>
    <w:rsid w:val="259A391D"/>
    <w:rsid w:val="25CE7808"/>
    <w:rsid w:val="25E31E66"/>
    <w:rsid w:val="263D6B01"/>
    <w:rsid w:val="26484690"/>
    <w:rsid w:val="26911353"/>
    <w:rsid w:val="269B6F3F"/>
    <w:rsid w:val="26F34F7F"/>
    <w:rsid w:val="26F94B34"/>
    <w:rsid w:val="270D283D"/>
    <w:rsid w:val="278834C3"/>
    <w:rsid w:val="27A02083"/>
    <w:rsid w:val="27B02FBD"/>
    <w:rsid w:val="28893551"/>
    <w:rsid w:val="28E86B31"/>
    <w:rsid w:val="28FD01A7"/>
    <w:rsid w:val="29520CA4"/>
    <w:rsid w:val="2A3C25D1"/>
    <w:rsid w:val="2A7431A6"/>
    <w:rsid w:val="2A805624"/>
    <w:rsid w:val="2AB64968"/>
    <w:rsid w:val="2AC4072B"/>
    <w:rsid w:val="2B55003B"/>
    <w:rsid w:val="2BCE6ACF"/>
    <w:rsid w:val="2BF11F18"/>
    <w:rsid w:val="2C0716FA"/>
    <w:rsid w:val="2C3F5288"/>
    <w:rsid w:val="2C7A419D"/>
    <w:rsid w:val="2C921B1D"/>
    <w:rsid w:val="2CB50EEC"/>
    <w:rsid w:val="2CF936BF"/>
    <w:rsid w:val="2D2A70E0"/>
    <w:rsid w:val="2D4D0627"/>
    <w:rsid w:val="2D5E12BD"/>
    <w:rsid w:val="2DC52B6E"/>
    <w:rsid w:val="2DE168A5"/>
    <w:rsid w:val="2DE21969"/>
    <w:rsid w:val="2DE722D1"/>
    <w:rsid w:val="2E967338"/>
    <w:rsid w:val="2EB62EEF"/>
    <w:rsid w:val="2EBF0167"/>
    <w:rsid w:val="2F155A89"/>
    <w:rsid w:val="2F931AE9"/>
    <w:rsid w:val="2FB10B1B"/>
    <w:rsid w:val="2FB26F2D"/>
    <w:rsid w:val="2FE91085"/>
    <w:rsid w:val="2FF42935"/>
    <w:rsid w:val="30277275"/>
    <w:rsid w:val="30BD092C"/>
    <w:rsid w:val="30EB02C0"/>
    <w:rsid w:val="31AF4906"/>
    <w:rsid w:val="329C4631"/>
    <w:rsid w:val="32A65FC8"/>
    <w:rsid w:val="33270C79"/>
    <w:rsid w:val="332D1F26"/>
    <w:rsid w:val="336023F7"/>
    <w:rsid w:val="336A6EAA"/>
    <w:rsid w:val="33707300"/>
    <w:rsid w:val="33C55D00"/>
    <w:rsid w:val="33C77B8E"/>
    <w:rsid w:val="34695242"/>
    <w:rsid w:val="34817513"/>
    <w:rsid w:val="348C3715"/>
    <w:rsid w:val="34B41D84"/>
    <w:rsid w:val="350C59AC"/>
    <w:rsid w:val="356A0381"/>
    <w:rsid w:val="3601040F"/>
    <w:rsid w:val="360828F2"/>
    <w:rsid w:val="36232AAA"/>
    <w:rsid w:val="3641343C"/>
    <w:rsid w:val="36645E28"/>
    <w:rsid w:val="36864274"/>
    <w:rsid w:val="3697113F"/>
    <w:rsid w:val="36B73F61"/>
    <w:rsid w:val="377935AE"/>
    <w:rsid w:val="37871297"/>
    <w:rsid w:val="37A13208"/>
    <w:rsid w:val="37A41DBB"/>
    <w:rsid w:val="386045CB"/>
    <w:rsid w:val="38892448"/>
    <w:rsid w:val="38F96371"/>
    <w:rsid w:val="39022BA6"/>
    <w:rsid w:val="39C973E4"/>
    <w:rsid w:val="3A040DDA"/>
    <w:rsid w:val="3A052C47"/>
    <w:rsid w:val="3A922221"/>
    <w:rsid w:val="3ACC65D2"/>
    <w:rsid w:val="3ADC7B0D"/>
    <w:rsid w:val="3AE1427B"/>
    <w:rsid w:val="3B053DD0"/>
    <w:rsid w:val="3B4D6F62"/>
    <w:rsid w:val="3B793464"/>
    <w:rsid w:val="3B80455E"/>
    <w:rsid w:val="3C1C7136"/>
    <w:rsid w:val="3C4F7A92"/>
    <w:rsid w:val="3C9C00E2"/>
    <w:rsid w:val="3CAD6178"/>
    <w:rsid w:val="3CB61618"/>
    <w:rsid w:val="3D623460"/>
    <w:rsid w:val="3E1C3B69"/>
    <w:rsid w:val="3E584B3A"/>
    <w:rsid w:val="3E73586D"/>
    <w:rsid w:val="3F2B1868"/>
    <w:rsid w:val="3F2B5E73"/>
    <w:rsid w:val="3F413C97"/>
    <w:rsid w:val="3F457D63"/>
    <w:rsid w:val="3F7056C2"/>
    <w:rsid w:val="3FE81FF0"/>
    <w:rsid w:val="4035436D"/>
    <w:rsid w:val="405917AC"/>
    <w:rsid w:val="407A2601"/>
    <w:rsid w:val="409D18C0"/>
    <w:rsid w:val="40A5681F"/>
    <w:rsid w:val="40B12383"/>
    <w:rsid w:val="40C115B3"/>
    <w:rsid w:val="4139261F"/>
    <w:rsid w:val="41411894"/>
    <w:rsid w:val="4147598C"/>
    <w:rsid w:val="417320D1"/>
    <w:rsid w:val="41BC2A03"/>
    <w:rsid w:val="41CB70B0"/>
    <w:rsid w:val="41D3389C"/>
    <w:rsid w:val="42093736"/>
    <w:rsid w:val="42281807"/>
    <w:rsid w:val="424E0B67"/>
    <w:rsid w:val="42760914"/>
    <w:rsid w:val="427C0FC3"/>
    <w:rsid w:val="42AE2F1A"/>
    <w:rsid w:val="42B84FA6"/>
    <w:rsid w:val="42D22DF8"/>
    <w:rsid w:val="42D91AF8"/>
    <w:rsid w:val="43084BD5"/>
    <w:rsid w:val="43FA0E78"/>
    <w:rsid w:val="43FE3DF0"/>
    <w:rsid w:val="442065EB"/>
    <w:rsid w:val="44E27CF3"/>
    <w:rsid w:val="45011D3A"/>
    <w:rsid w:val="45256C59"/>
    <w:rsid w:val="454256D2"/>
    <w:rsid w:val="454406F7"/>
    <w:rsid w:val="4573144D"/>
    <w:rsid w:val="4584368F"/>
    <w:rsid w:val="460657A3"/>
    <w:rsid w:val="461E333F"/>
    <w:rsid w:val="46976B18"/>
    <w:rsid w:val="46D014B1"/>
    <w:rsid w:val="471840F7"/>
    <w:rsid w:val="473107F7"/>
    <w:rsid w:val="473166CE"/>
    <w:rsid w:val="478D6EBC"/>
    <w:rsid w:val="488E26BF"/>
    <w:rsid w:val="48D0048C"/>
    <w:rsid w:val="490D189C"/>
    <w:rsid w:val="491201B5"/>
    <w:rsid w:val="492F448A"/>
    <w:rsid w:val="497A3E26"/>
    <w:rsid w:val="49B06AFD"/>
    <w:rsid w:val="49B462CC"/>
    <w:rsid w:val="49CF6B9E"/>
    <w:rsid w:val="49F5724D"/>
    <w:rsid w:val="4A1250B2"/>
    <w:rsid w:val="4B5B7762"/>
    <w:rsid w:val="4BB048CE"/>
    <w:rsid w:val="4BB937BC"/>
    <w:rsid w:val="4BC20D18"/>
    <w:rsid w:val="4BD04A0B"/>
    <w:rsid w:val="4BE62195"/>
    <w:rsid w:val="4BE72993"/>
    <w:rsid w:val="4BEA33F0"/>
    <w:rsid w:val="4C784A1B"/>
    <w:rsid w:val="4D182F16"/>
    <w:rsid w:val="4DD03C5C"/>
    <w:rsid w:val="4DEC299C"/>
    <w:rsid w:val="4E696695"/>
    <w:rsid w:val="4EB94E6F"/>
    <w:rsid w:val="4EBC2593"/>
    <w:rsid w:val="4EF047CA"/>
    <w:rsid w:val="4F862A5C"/>
    <w:rsid w:val="50323D5B"/>
    <w:rsid w:val="50837A03"/>
    <w:rsid w:val="510F238B"/>
    <w:rsid w:val="51466BC6"/>
    <w:rsid w:val="515B55F7"/>
    <w:rsid w:val="51F11816"/>
    <w:rsid w:val="51F50EDB"/>
    <w:rsid w:val="52062C64"/>
    <w:rsid w:val="5207312A"/>
    <w:rsid w:val="526A5EE5"/>
    <w:rsid w:val="52880007"/>
    <w:rsid w:val="52E2116F"/>
    <w:rsid w:val="530010D8"/>
    <w:rsid w:val="53A76615"/>
    <w:rsid w:val="54001A60"/>
    <w:rsid w:val="545720DB"/>
    <w:rsid w:val="545911F1"/>
    <w:rsid w:val="54C6451C"/>
    <w:rsid w:val="55CA13D9"/>
    <w:rsid w:val="55CF0A9C"/>
    <w:rsid w:val="55F310F1"/>
    <w:rsid w:val="569C157A"/>
    <w:rsid w:val="56A5407E"/>
    <w:rsid w:val="56B74B6F"/>
    <w:rsid w:val="56D91010"/>
    <w:rsid w:val="56DE2FF6"/>
    <w:rsid w:val="572F13B8"/>
    <w:rsid w:val="575444C6"/>
    <w:rsid w:val="579057EF"/>
    <w:rsid w:val="57AD0597"/>
    <w:rsid w:val="57E125A4"/>
    <w:rsid w:val="58255327"/>
    <w:rsid w:val="5826630A"/>
    <w:rsid w:val="58E1703D"/>
    <w:rsid w:val="58F1028E"/>
    <w:rsid w:val="5969224D"/>
    <w:rsid w:val="59A84878"/>
    <w:rsid w:val="59CF658F"/>
    <w:rsid w:val="59E72905"/>
    <w:rsid w:val="5A2120FA"/>
    <w:rsid w:val="5AAF10AD"/>
    <w:rsid w:val="5B2707F8"/>
    <w:rsid w:val="5B455075"/>
    <w:rsid w:val="5BA07879"/>
    <w:rsid w:val="5C2B1FF7"/>
    <w:rsid w:val="5C5E5418"/>
    <w:rsid w:val="5C616192"/>
    <w:rsid w:val="5CB85C04"/>
    <w:rsid w:val="5D2469E8"/>
    <w:rsid w:val="5D506FD0"/>
    <w:rsid w:val="5D7347A6"/>
    <w:rsid w:val="5DA702F1"/>
    <w:rsid w:val="5DD81DAB"/>
    <w:rsid w:val="5DFB2BFE"/>
    <w:rsid w:val="5E055F42"/>
    <w:rsid w:val="5F1A4547"/>
    <w:rsid w:val="5F8140FE"/>
    <w:rsid w:val="60440355"/>
    <w:rsid w:val="60986E1A"/>
    <w:rsid w:val="609E5A0E"/>
    <w:rsid w:val="61072BD1"/>
    <w:rsid w:val="6138506D"/>
    <w:rsid w:val="614C4DE1"/>
    <w:rsid w:val="615031FF"/>
    <w:rsid w:val="61B1091E"/>
    <w:rsid w:val="61E95BDB"/>
    <w:rsid w:val="61EE0C09"/>
    <w:rsid w:val="623F1A36"/>
    <w:rsid w:val="62580345"/>
    <w:rsid w:val="62580E89"/>
    <w:rsid w:val="62865FB8"/>
    <w:rsid w:val="62F82619"/>
    <w:rsid w:val="62FB2E96"/>
    <w:rsid w:val="6358335F"/>
    <w:rsid w:val="635A5BDF"/>
    <w:rsid w:val="64364C59"/>
    <w:rsid w:val="6447734F"/>
    <w:rsid w:val="645D4EFC"/>
    <w:rsid w:val="64A07A56"/>
    <w:rsid w:val="64A215F3"/>
    <w:rsid w:val="64D13250"/>
    <w:rsid w:val="64F56302"/>
    <w:rsid w:val="652A177C"/>
    <w:rsid w:val="65752925"/>
    <w:rsid w:val="65B93DB5"/>
    <w:rsid w:val="65BF20E9"/>
    <w:rsid w:val="65C13B51"/>
    <w:rsid w:val="65FD7D74"/>
    <w:rsid w:val="66131D30"/>
    <w:rsid w:val="66487F5A"/>
    <w:rsid w:val="666A79DC"/>
    <w:rsid w:val="667D1B6F"/>
    <w:rsid w:val="668F6CAC"/>
    <w:rsid w:val="66B36085"/>
    <w:rsid w:val="66BF63B8"/>
    <w:rsid w:val="66DF154B"/>
    <w:rsid w:val="66F200DD"/>
    <w:rsid w:val="693E1DC2"/>
    <w:rsid w:val="69DD4BE3"/>
    <w:rsid w:val="69E74463"/>
    <w:rsid w:val="69F53BDE"/>
    <w:rsid w:val="6A1E344F"/>
    <w:rsid w:val="6A527A05"/>
    <w:rsid w:val="6A550003"/>
    <w:rsid w:val="6A7843A8"/>
    <w:rsid w:val="6A7E165E"/>
    <w:rsid w:val="6ABA6495"/>
    <w:rsid w:val="6B1861B7"/>
    <w:rsid w:val="6B2B5E8B"/>
    <w:rsid w:val="6B932D7C"/>
    <w:rsid w:val="6BA4053E"/>
    <w:rsid w:val="6C6B2012"/>
    <w:rsid w:val="6C800C79"/>
    <w:rsid w:val="6CB32C22"/>
    <w:rsid w:val="6CF70457"/>
    <w:rsid w:val="6D197D81"/>
    <w:rsid w:val="6D2154CC"/>
    <w:rsid w:val="6D7A6531"/>
    <w:rsid w:val="6D9F3B28"/>
    <w:rsid w:val="6DA368FB"/>
    <w:rsid w:val="6DCF7C85"/>
    <w:rsid w:val="6E287EA4"/>
    <w:rsid w:val="6E4E250B"/>
    <w:rsid w:val="6E8F7D7B"/>
    <w:rsid w:val="6EF91CA7"/>
    <w:rsid w:val="6F885749"/>
    <w:rsid w:val="6FD73905"/>
    <w:rsid w:val="700D45F6"/>
    <w:rsid w:val="70996316"/>
    <w:rsid w:val="70A64A8A"/>
    <w:rsid w:val="70C50493"/>
    <w:rsid w:val="70D47882"/>
    <w:rsid w:val="70DC1555"/>
    <w:rsid w:val="70E021C1"/>
    <w:rsid w:val="70E0431B"/>
    <w:rsid w:val="71224AC2"/>
    <w:rsid w:val="7135443B"/>
    <w:rsid w:val="71520A79"/>
    <w:rsid w:val="71AD0E51"/>
    <w:rsid w:val="71C77C4F"/>
    <w:rsid w:val="71FF3132"/>
    <w:rsid w:val="72DD1708"/>
    <w:rsid w:val="732105D8"/>
    <w:rsid w:val="73275B06"/>
    <w:rsid w:val="73687E23"/>
    <w:rsid w:val="74297D09"/>
    <w:rsid w:val="74673D7E"/>
    <w:rsid w:val="747343D2"/>
    <w:rsid w:val="748E5156"/>
    <w:rsid w:val="74EB6EE7"/>
    <w:rsid w:val="74F630C7"/>
    <w:rsid w:val="750B38BC"/>
    <w:rsid w:val="759C3885"/>
    <w:rsid w:val="75D15FEE"/>
    <w:rsid w:val="75E46D10"/>
    <w:rsid w:val="75F04FC4"/>
    <w:rsid w:val="760657C5"/>
    <w:rsid w:val="76185C74"/>
    <w:rsid w:val="774301EC"/>
    <w:rsid w:val="77E362C3"/>
    <w:rsid w:val="78012542"/>
    <w:rsid w:val="78466E7C"/>
    <w:rsid w:val="78466EF1"/>
    <w:rsid w:val="78B215F4"/>
    <w:rsid w:val="79224AAB"/>
    <w:rsid w:val="797F3D94"/>
    <w:rsid w:val="79875185"/>
    <w:rsid w:val="7A3248A6"/>
    <w:rsid w:val="7AB126FB"/>
    <w:rsid w:val="7BAA07E9"/>
    <w:rsid w:val="7BDB32F2"/>
    <w:rsid w:val="7C0D251B"/>
    <w:rsid w:val="7C396181"/>
    <w:rsid w:val="7C8D6BB2"/>
    <w:rsid w:val="7C8F7DCA"/>
    <w:rsid w:val="7CC03CAC"/>
    <w:rsid w:val="7CCE0A28"/>
    <w:rsid w:val="7D1B2ED4"/>
    <w:rsid w:val="7D307705"/>
    <w:rsid w:val="7D71107E"/>
    <w:rsid w:val="7DA52AE4"/>
    <w:rsid w:val="7DA70F4C"/>
    <w:rsid w:val="7DCE0D7A"/>
    <w:rsid w:val="7EDE514A"/>
    <w:rsid w:val="7F202B61"/>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1I2"/>
    <w:qFormat/>
    <w:rsid w:val="0073499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Normal"/>
    <w:uiPriority w:val="99"/>
    <w:rsid w:val="00734994"/>
    <w:pPr>
      <w:spacing w:after="120" w:line="240" w:lineRule="auto"/>
      <w:ind w:leftChars="200" w:left="420" w:firstLineChars="200" w:firstLine="420"/>
    </w:pPr>
    <w:rPr>
      <w:sz w:val="21"/>
    </w:rPr>
  </w:style>
  <w:style w:type="paragraph" w:customStyle="1" w:styleId="BodyTextIndent">
    <w:name w:val="BodyTextIndent"/>
    <w:basedOn w:val="Normal"/>
    <w:next w:val="Header"/>
    <w:uiPriority w:val="99"/>
    <w:rsid w:val="00734994"/>
    <w:pPr>
      <w:spacing w:line="460" w:lineRule="atLeast"/>
      <w:ind w:firstLine="284"/>
      <w:textAlignment w:val="baseline"/>
    </w:pPr>
    <w:rPr>
      <w:spacing w:val="36"/>
      <w:sz w:val="24"/>
    </w:rPr>
  </w:style>
  <w:style w:type="paragraph" w:styleId="Header">
    <w:name w:val="header"/>
    <w:basedOn w:val="Normal"/>
    <w:next w:val="UserStyle8"/>
    <w:link w:val="HeaderChar"/>
    <w:uiPriority w:val="99"/>
    <w:rsid w:val="0073499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customStyle="1" w:styleId="UserStyle8">
    <w:name w:val="UserStyle_8"/>
    <w:basedOn w:val="UserStyle9"/>
    <w:uiPriority w:val="99"/>
    <w:rsid w:val="00734994"/>
    <w:pPr>
      <w:spacing w:line="240" w:lineRule="auto"/>
      <w:ind w:rightChars="-50" w:right="-140" w:firstLineChars="588" w:firstLine="1653"/>
    </w:pPr>
    <w:rPr>
      <w:b/>
      <w:bCs/>
    </w:rPr>
  </w:style>
  <w:style w:type="paragraph" w:customStyle="1" w:styleId="UserStyle9">
    <w:name w:val="UserStyle_9"/>
    <w:basedOn w:val="Normal"/>
    <w:next w:val="Normal"/>
    <w:uiPriority w:val="99"/>
    <w:rsid w:val="00734994"/>
    <w:pPr>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734994"/>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BodyTextIndent0">
    <w:name w:val="Body Text Indent"/>
    <w:basedOn w:val="Normal"/>
    <w:next w:val="Header"/>
    <w:link w:val="BodyTextIndentChar"/>
    <w:uiPriority w:val="99"/>
    <w:rsid w:val="00734994"/>
    <w:pPr>
      <w:spacing w:after="120"/>
      <w:ind w:leftChars="200" w:left="420"/>
    </w:pPr>
    <w:rPr>
      <w:rFonts w:ascii="Times New Roman" w:hAnsi="Times New Roman"/>
    </w:rPr>
  </w:style>
  <w:style w:type="character" w:customStyle="1" w:styleId="BodyTextIndentChar">
    <w:name w:val="Body Text Indent Char"/>
    <w:basedOn w:val="DefaultParagraphFont"/>
    <w:link w:val="BodyTextIndent0"/>
    <w:uiPriority w:val="99"/>
    <w:semiHidden/>
    <w:locked/>
    <w:rPr>
      <w:rFonts w:ascii="Calibri" w:hAnsi="Calibri" w:cs="Times New Roman"/>
      <w:sz w:val="24"/>
      <w:szCs w:val="24"/>
    </w:rPr>
  </w:style>
  <w:style w:type="paragraph" w:styleId="Footer">
    <w:name w:val="footer"/>
    <w:basedOn w:val="Normal"/>
    <w:link w:val="FooterChar"/>
    <w:uiPriority w:val="99"/>
    <w:rsid w:val="0073499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BodyTextIndent3">
    <w:name w:val="Body Text Indent 3"/>
    <w:basedOn w:val="Normal"/>
    <w:link w:val="BodyTextIndent3Char"/>
    <w:uiPriority w:val="99"/>
    <w:rsid w:val="00734994"/>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locked/>
    <w:rPr>
      <w:rFonts w:ascii="Calibri" w:hAnsi="Calibri" w:cs="Times New Roman"/>
      <w:sz w:val="16"/>
      <w:szCs w:val="16"/>
    </w:rPr>
  </w:style>
  <w:style w:type="paragraph" w:styleId="BodyTextFirstIndent">
    <w:name w:val="Body Text First Indent"/>
    <w:basedOn w:val="BodyText"/>
    <w:link w:val="BodyTextFirstIndentChar"/>
    <w:uiPriority w:val="99"/>
    <w:rsid w:val="00734994"/>
    <w:pPr>
      <w:ind w:firstLineChars="100" w:firstLine="420"/>
    </w:pPr>
  </w:style>
  <w:style w:type="character" w:customStyle="1" w:styleId="BodyTextFirstIndentChar">
    <w:name w:val="Body Text First Indent Char"/>
    <w:basedOn w:val="BodyTextChar"/>
    <w:link w:val="BodyTextFirstIndent"/>
    <w:uiPriority w:val="99"/>
    <w:semiHidden/>
    <w:locked/>
  </w:style>
  <w:style w:type="paragraph" w:styleId="BodyTextFirstIndent2">
    <w:name w:val="Body Text First Indent 2"/>
    <w:basedOn w:val="BodyTextIndent0"/>
    <w:next w:val="Normal"/>
    <w:link w:val="BodyTextFirstIndent2Char"/>
    <w:uiPriority w:val="99"/>
    <w:rsid w:val="00734994"/>
    <w:pPr>
      <w:spacing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locked/>
  </w:style>
  <w:style w:type="character" w:styleId="PageNumber">
    <w:name w:val="page number"/>
    <w:basedOn w:val="DefaultParagraphFont"/>
    <w:uiPriority w:val="99"/>
    <w:rsid w:val="00734994"/>
    <w:rPr>
      <w:rFonts w:cs="Times New Roman"/>
    </w:rPr>
  </w:style>
  <w:style w:type="paragraph" w:customStyle="1" w:styleId="5">
    <w:name w:val="样式5"/>
    <w:basedOn w:val="1"/>
    <w:uiPriority w:val="99"/>
    <w:rsid w:val="00734994"/>
    <w:pPr>
      <w:adjustRightInd/>
      <w:spacing w:line="240" w:lineRule="auto"/>
      <w:ind w:rightChars="-50" w:right="-140" w:firstLineChars="588" w:firstLine="1653"/>
    </w:pPr>
    <w:rPr>
      <w:b/>
      <w:bCs/>
    </w:rPr>
  </w:style>
  <w:style w:type="paragraph" w:customStyle="1" w:styleId="1">
    <w:name w:val="正文1"/>
    <w:basedOn w:val="Normal"/>
    <w:next w:val="Normal"/>
    <w:uiPriority w:val="99"/>
    <w:rsid w:val="00734994"/>
    <w:pPr>
      <w:adjustRightInd w:val="0"/>
      <w:spacing w:line="480" w:lineRule="atLeast"/>
      <w:textAlignment w:val="baseline"/>
    </w:pPr>
    <w:rPr>
      <w:rFonts w:ascii="宋体" w:hAnsi="Tms Rmn"/>
      <w:kern w:val="0"/>
      <w:sz w:val="28"/>
      <w:szCs w:val="20"/>
    </w:rPr>
  </w:style>
  <w:style w:type="paragraph" w:customStyle="1" w:styleId="15">
    <w:name w:val="样式 正文文本缩进 + 行距: 1.5 倍行距"/>
    <w:basedOn w:val="10"/>
    <w:uiPriority w:val="99"/>
    <w:rsid w:val="00734994"/>
    <w:pPr>
      <w:spacing w:after="120"/>
      <w:ind w:leftChars="32" w:left="90" w:firstLineChars="200" w:firstLine="560"/>
    </w:pPr>
    <w:rPr>
      <w:rFonts w:cs="宋体"/>
      <w:sz w:val="24"/>
    </w:rPr>
  </w:style>
  <w:style w:type="paragraph" w:customStyle="1" w:styleId="10">
    <w:name w:val="正文文本缩进1"/>
    <w:basedOn w:val="Normal"/>
    <w:next w:val="15"/>
    <w:uiPriority w:val="99"/>
    <w:rsid w:val="00734994"/>
    <w:pPr>
      <w:spacing w:line="360" w:lineRule="auto"/>
      <w:ind w:firstLine="420"/>
    </w:pPr>
    <w:rPr>
      <w:rFonts w:ascii="Times New Roman" w:hAnsi="Times New Roman"/>
      <w:szCs w:val="20"/>
    </w:rPr>
  </w:style>
  <w:style w:type="paragraph" w:customStyle="1" w:styleId="11">
    <w:name w:val="报告书正文样式1"/>
    <w:basedOn w:val="a"/>
    <w:uiPriority w:val="99"/>
    <w:rsid w:val="00734994"/>
    <w:pPr>
      <w:spacing w:line="360" w:lineRule="auto"/>
    </w:pPr>
    <w:rPr>
      <w:rFonts w:ascii="Arial" w:hAnsi="Arial" w:cs="Arial"/>
      <w:szCs w:val="24"/>
    </w:rPr>
  </w:style>
  <w:style w:type="paragraph" w:customStyle="1" w:styleId="a">
    <w:name w:val="报告书正文"/>
    <w:basedOn w:val="Normal"/>
    <w:uiPriority w:val="99"/>
    <w:rsid w:val="00734994"/>
    <w:pPr>
      <w:adjustRightInd w:val="0"/>
      <w:snapToGrid w:val="0"/>
      <w:spacing w:line="360" w:lineRule="atLeast"/>
      <w:ind w:firstLine="425"/>
      <w:textAlignment w:val="baseline"/>
    </w:pPr>
    <w:rPr>
      <w:rFonts w:ascii="Times New Roman" w:hAnsi="Times New Roman"/>
      <w:sz w:val="24"/>
      <w:szCs w:val="20"/>
    </w:rPr>
  </w:style>
  <w:style w:type="character" w:customStyle="1" w:styleId="NormalCharacter">
    <w:name w:val="NormalCharacter"/>
    <w:uiPriority w:val="99"/>
    <w:rsid w:val="00734994"/>
    <w:rPr>
      <w:rFonts w:ascii="Calibri" w:eastAsia="宋体" w:hAnsi="Calibri"/>
      <w:kern w:val="2"/>
      <w:sz w:val="24"/>
      <w:lang w:val="en-US" w:eastAsia="zh-CN"/>
    </w:rPr>
  </w:style>
  <w:style w:type="character" w:styleId="CommentReference">
    <w:name w:val="annotation reference"/>
    <w:basedOn w:val="DefaultParagraphFont"/>
    <w:uiPriority w:val="99"/>
    <w:rsid w:val="00DC6F1C"/>
    <w:rPr>
      <w:rFonts w:cs="Times New Roman"/>
      <w:sz w:val="21"/>
      <w:szCs w:val="21"/>
    </w:rPr>
  </w:style>
  <w:style w:type="paragraph" w:styleId="CommentText">
    <w:name w:val="annotation text"/>
    <w:basedOn w:val="Normal"/>
    <w:link w:val="CommentTextChar"/>
    <w:uiPriority w:val="99"/>
    <w:semiHidden/>
    <w:rsid w:val="00DC6F1C"/>
    <w:pPr>
      <w:jc w:val="left"/>
    </w:pPr>
  </w:style>
  <w:style w:type="character" w:customStyle="1" w:styleId="CommentTextChar">
    <w:name w:val="Comment Text Char"/>
    <w:basedOn w:val="DefaultParagraphFont"/>
    <w:link w:val="CommentText"/>
    <w:uiPriority w:val="99"/>
    <w:semiHidden/>
    <w:locked/>
    <w:rsid w:val="00DC6F1C"/>
    <w:rPr>
      <w:rFonts w:ascii="Calibri" w:eastAsia="宋体" w:hAnsi="Calibri" w:cs="Times New Roman"/>
      <w:kern w:val="2"/>
      <w:sz w:val="24"/>
      <w:szCs w:val="24"/>
    </w:rPr>
  </w:style>
  <w:style w:type="paragraph" w:styleId="CommentSubject">
    <w:name w:val="annotation subject"/>
    <w:basedOn w:val="CommentText"/>
    <w:next w:val="CommentText"/>
    <w:link w:val="CommentSubjectChar"/>
    <w:uiPriority w:val="99"/>
    <w:rsid w:val="00DC6F1C"/>
    <w:rPr>
      <w:b/>
      <w:bCs/>
    </w:rPr>
  </w:style>
  <w:style w:type="character" w:customStyle="1" w:styleId="CommentSubjectChar">
    <w:name w:val="Comment Subject Char"/>
    <w:basedOn w:val="CommentTextChar"/>
    <w:link w:val="CommentSubject"/>
    <w:uiPriority w:val="99"/>
    <w:locked/>
    <w:rsid w:val="00DC6F1C"/>
    <w:rPr>
      <w:b/>
      <w:bCs/>
    </w:rPr>
  </w:style>
  <w:style w:type="paragraph" w:styleId="BalloonText">
    <w:name w:val="Balloon Text"/>
    <w:basedOn w:val="Normal"/>
    <w:link w:val="BalloonTextChar"/>
    <w:uiPriority w:val="99"/>
    <w:semiHidden/>
    <w:rsid w:val="004C6B28"/>
    <w:rPr>
      <w:sz w:val="18"/>
      <w:szCs w:val="18"/>
    </w:rPr>
  </w:style>
  <w:style w:type="character" w:customStyle="1" w:styleId="BalloonTextChar">
    <w:name w:val="Balloon Text Char"/>
    <w:basedOn w:val="DefaultParagraphFont"/>
    <w:link w:val="BalloonText"/>
    <w:uiPriority w:val="99"/>
    <w:semiHidden/>
    <w:locked/>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650</Words>
  <Characters>3709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4</cp:revision>
  <cp:lastPrinted>2021-06-07T07:52:00Z</cp:lastPrinted>
  <dcterms:created xsi:type="dcterms:W3CDTF">2021-06-07T07:52:00Z</dcterms:created>
  <dcterms:modified xsi:type="dcterms:W3CDTF">2021-06-07T07:56:00Z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EC057158AE7D4AF0800212D005A71895</vt:lpwstr>
  </property>
</Properties>
</file>