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07" w:rsidRDefault="007A7B07">
      <w:pPr>
        <w:widowControl/>
        <w:adjustRightInd w:val="0"/>
        <w:snapToGrid w:val="0"/>
        <w:spacing w:line="620" w:lineRule="exact"/>
        <w:jc w:val="center"/>
        <w:rPr>
          <w:rFonts w:eastAsia="仿宋_GB2312"/>
          <w:sz w:val="36"/>
        </w:rPr>
      </w:pPr>
    </w:p>
    <w:p w:rsidR="007A7B07" w:rsidRDefault="007A7B07" w:rsidP="009F3BDD">
      <w:pPr>
        <w:pStyle w:val="BodyTextFirstIndent2"/>
        <w:spacing w:line="620" w:lineRule="exact"/>
        <w:ind w:left="31680"/>
      </w:pPr>
    </w:p>
    <w:p w:rsidR="007A7B07" w:rsidRDefault="007A7B07">
      <w:pPr>
        <w:widowControl/>
        <w:adjustRightInd w:val="0"/>
        <w:snapToGrid w:val="0"/>
        <w:spacing w:line="620" w:lineRule="exact"/>
        <w:jc w:val="center"/>
        <w:rPr>
          <w:rFonts w:eastAsia="仿宋_GB2312"/>
          <w:sz w:val="36"/>
        </w:rPr>
      </w:pPr>
    </w:p>
    <w:p w:rsidR="007A7B07" w:rsidRDefault="007A7B07">
      <w:pPr>
        <w:widowControl/>
        <w:adjustRightInd w:val="0"/>
        <w:snapToGrid w:val="0"/>
        <w:spacing w:line="620" w:lineRule="exact"/>
        <w:jc w:val="center"/>
        <w:rPr>
          <w:rFonts w:eastAsia="仿宋_GB2312"/>
          <w:sz w:val="36"/>
        </w:rPr>
      </w:pPr>
    </w:p>
    <w:p w:rsidR="007A7B07" w:rsidRDefault="007A7B07">
      <w:pPr>
        <w:widowControl/>
        <w:adjustRightInd w:val="0"/>
        <w:snapToGrid w:val="0"/>
        <w:spacing w:line="620" w:lineRule="exact"/>
        <w:rPr>
          <w:rFonts w:ascii="仿宋_GB2312" w:eastAsia="仿宋_GB2312"/>
          <w:sz w:val="32"/>
        </w:rPr>
      </w:pPr>
    </w:p>
    <w:p w:rsidR="007A7B07" w:rsidRDefault="007A7B07">
      <w:pPr>
        <w:spacing w:line="620" w:lineRule="exact"/>
        <w:jc w:val="center"/>
        <w:rPr>
          <w:rFonts w:ascii="楷体" w:eastAsia="楷体" w:hAnsi="楷体" w:cs="楷体"/>
          <w:sz w:val="32"/>
          <w:szCs w:val="32"/>
        </w:rPr>
      </w:pPr>
      <w:r>
        <w:rPr>
          <w:rFonts w:ascii="楷体" w:eastAsia="楷体" w:hAnsi="楷体" w:cs="楷体" w:hint="eastAsia"/>
          <w:sz w:val="32"/>
          <w:szCs w:val="32"/>
        </w:rPr>
        <w:t>枣环许可字</w:t>
      </w:r>
      <w:r>
        <w:rPr>
          <w:rFonts w:ascii="楷体" w:eastAsia="楷体" w:hAnsi="楷体" w:cs="楷体"/>
          <w:sz w:val="32"/>
          <w:szCs w:val="32"/>
        </w:rPr>
        <w:t>[2021]42</w:t>
      </w:r>
      <w:r>
        <w:rPr>
          <w:rFonts w:ascii="楷体" w:eastAsia="楷体" w:hAnsi="楷体" w:cs="楷体" w:hint="eastAsia"/>
          <w:sz w:val="32"/>
          <w:szCs w:val="32"/>
        </w:rPr>
        <w:t>号</w:t>
      </w:r>
    </w:p>
    <w:p w:rsidR="007A7B07" w:rsidRDefault="007A7B07" w:rsidP="009F3BDD">
      <w:pPr>
        <w:pStyle w:val="BodyTextFirstIndent2"/>
        <w:spacing w:line="620" w:lineRule="exact"/>
        <w:ind w:left="31680"/>
      </w:pPr>
    </w:p>
    <w:p w:rsidR="007A7B07" w:rsidRDefault="007A7B07">
      <w:pPr>
        <w:spacing w:line="620" w:lineRule="exact"/>
      </w:pPr>
    </w:p>
    <w:p w:rsidR="007A7B07" w:rsidRPr="007D5313" w:rsidRDefault="007A7B07">
      <w:pPr>
        <w:spacing w:line="620" w:lineRule="exact"/>
        <w:jc w:val="center"/>
        <w:rPr>
          <w:rFonts w:ascii="方正大标宋简体" w:eastAsia="方正大标宋简体" w:hAnsi="方正大标宋简体" w:cs="方正大标宋简体"/>
          <w:sz w:val="44"/>
          <w:szCs w:val="44"/>
        </w:rPr>
      </w:pPr>
      <w:r w:rsidRPr="007D5313">
        <w:rPr>
          <w:rFonts w:ascii="方正大标宋简体" w:eastAsia="方正大标宋简体" w:hAnsi="方正大标宋简体" w:cs="方正大标宋简体" w:hint="eastAsia"/>
          <w:sz w:val="44"/>
          <w:szCs w:val="44"/>
        </w:rPr>
        <w:t>枣庄市生态环境局</w:t>
      </w:r>
    </w:p>
    <w:p w:rsidR="007A7B07" w:rsidRPr="007D5313" w:rsidRDefault="007A7B07">
      <w:pPr>
        <w:spacing w:line="620" w:lineRule="exact"/>
        <w:jc w:val="center"/>
        <w:rPr>
          <w:rFonts w:ascii="方正大标宋简体" w:eastAsia="方正大标宋简体" w:hAnsi="方正大标宋简体" w:cs="方正大标宋简体"/>
          <w:sz w:val="44"/>
          <w:szCs w:val="44"/>
        </w:rPr>
      </w:pPr>
      <w:r w:rsidRPr="007D5313">
        <w:rPr>
          <w:rFonts w:ascii="方正大标宋简体" w:eastAsia="方正大标宋简体" w:hAnsi="方正大标宋简体" w:cs="方正大标宋简体" w:hint="eastAsia"/>
          <w:sz w:val="44"/>
          <w:szCs w:val="44"/>
        </w:rPr>
        <w:t>关于新东方新材料（滕州）有限公司</w:t>
      </w:r>
    </w:p>
    <w:p w:rsidR="007A7B07" w:rsidRPr="007D5313" w:rsidRDefault="007A7B07">
      <w:pPr>
        <w:spacing w:line="620" w:lineRule="exact"/>
        <w:jc w:val="center"/>
        <w:rPr>
          <w:rFonts w:ascii="方正大标宋简体" w:eastAsia="方正大标宋简体" w:hAnsi="方正大标宋简体" w:cs="方正大标宋简体"/>
          <w:sz w:val="44"/>
          <w:szCs w:val="44"/>
        </w:rPr>
      </w:pPr>
      <w:r w:rsidRPr="007D5313">
        <w:rPr>
          <w:rFonts w:ascii="方正大标宋简体" w:eastAsia="方正大标宋简体" w:hAnsi="方正大标宋简体" w:cs="方正大标宋简体" w:hint="eastAsia"/>
          <w:sz w:val="44"/>
          <w:szCs w:val="44"/>
        </w:rPr>
        <w:t>年产</w:t>
      </w:r>
      <w:r w:rsidRPr="007D5313">
        <w:rPr>
          <w:rFonts w:ascii="方正大标宋简体" w:eastAsia="方正大标宋简体" w:hAnsi="方正大标宋简体" w:cs="方正大标宋简体"/>
          <w:sz w:val="44"/>
          <w:szCs w:val="44"/>
        </w:rPr>
        <w:t>3</w:t>
      </w:r>
      <w:r w:rsidRPr="007D5313">
        <w:rPr>
          <w:rFonts w:ascii="方正大标宋简体" w:eastAsia="方正大标宋简体" w:hAnsi="方正大标宋简体" w:cs="方正大标宋简体" w:hint="eastAsia"/>
          <w:sz w:val="44"/>
          <w:szCs w:val="44"/>
        </w:rPr>
        <w:t>万吨环保型包装油墨等项目（一期）</w:t>
      </w:r>
    </w:p>
    <w:p w:rsidR="007A7B07" w:rsidRPr="007D5313" w:rsidRDefault="007A7B07">
      <w:pPr>
        <w:spacing w:line="620" w:lineRule="exact"/>
        <w:jc w:val="center"/>
        <w:rPr>
          <w:rFonts w:ascii="方正大标宋简体" w:eastAsia="方正大标宋简体" w:hAnsi="方正大标宋简体" w:cs="方正大标宋简体"/>
          <w:sz w:val="44"/>
          <w:szCs w:val="44"/>
        </w:rPr>
      </w:pPr>
      <w:r w:rsidRPr="007D5313">
        <w:rPr>
          <w:rFonts w:ascii="方正大标宋简体" w:eastAsia="方正大标宋简体" w:hAnsi="方正大标宋简体" w:cs="方正大标宋简体" w:hint="eastAsia"/>
          <w:sz w:val="44"/>
          <w:szCs w:val="44"/>
        </w:rPr>
        <w:t>环境影响报告书的批复</w:t>
      </w:r>
    </w:p>
    <w:p w:rsidR="007A7B07" w:rsidRDefault="007A7B07">
      <w:pPr>
        <w:spacing w:line="620" w:lineRule="exact"/>
        <w:rPr>
          <w:rFonts w:ascii="仿宋_GB2312" w:eastAsia="仿宋_GB2312" w:hAnsi="仿宋_GB2312" w:cs="仿宋_GB2312"/>
          <w:sz w:val="32"/>
          <w:szCs w:val="32"/>
        </w:rPr>
      </w:pPr>
    </w:p>
    <w:p w:rsidR="007A7B07" w:rsidRDefault="007A7B07">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新东方新材料（滕州）有限公司：</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你公司报送的《新东方新材料（滕州）有限公司年产</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万吨环保型包装油墨、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万吨聚氨酯胶粘剂建设项目（一期）环境影响报告书》收悉。经研究，批复如下：</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一、项目为新建，位于滕州市鲁南高科技化工园区杨套路南</w:t>
      </w:r>
      <w:r>
        <w:rPr>
          <w:rFonts w:ascii="仿宋_GB2312" w:eastAsia="仿宋_GB2312" w:hAnsi="仿宋_GB2312" w:cs="仿宋_GB2312"/>
          <w:sz w:val="32"/>
          <w:szCs w:val="32"/>
        </w:rPr>
        <w:t>39</w:t>
      </w:r>
      <w:r>
        <w:rPr>
          <w:rFonts w:ascii="仿宋_GB2312" w:eastAsia="仿宋_GB2312" w:hAnsi="仿宋_GB2312" w:cs="仿宋_GB2312" w:hint="eastAsia"/>
          <w:sz w:val="32"/>
          <w:szCs w:val="32"/>
        </w:rPr>
        <w:t>号。一期主要建设包括主体工程（环保型无苯无酮油墨：共设</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条连接料（聚氨酯树脂）中间体生产线，与改进型聚氨酯胶粘剂共用生产线部分设备（聚酯釜、预聚体釜），不同时生产；共设</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条油墨生产线，包括</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条光油生产线、</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条白墨生产线、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条黄墨生产线、</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条红墨生产线、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条黑墨生产线、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条蓝墨生产线、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条群青生产线、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条绿墨生产线，生产规模为年产</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万吨环保型无苯无酮油墨。改进型聚氨酯胶粘剂：共设</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条改进型聚氨酯胶粘剂主剂生产线，与连接料（聚氨酯树脂）中间体共用生产线部分设备（聚酯釜、预聚体釜），不同时生产，生产规模为年产</w:t>
      </w:r>
      <w:r>
        <w:rPr>
          <w:rFonts w:ascii="仿宋_GB2312" w:eastAsia="仿宋_GB2312" w:hAnsi="仿宋_GB2312" w:cs="仿宋_GB2312"/>
          <w:sz w:val="32"/>
          <w:szCs w:val="32"/>
        </w:rPr>
        <w:t>0.90</w:t>
      </w:r>
      <w:r>
        <w:rPr>
          <w:rFonts w:ascii="仿宋_GB2312" w:eastAsia="仿宋_GB2312" w:hAnsi="仿宋_GB2312" w:cs="仿宋_GB2312" w:hint="eastAsia"/>
          <w:sz w:val="32"/>
          <w:szCs w:val="32"/>
        </w:rPr>
        <w:t>万吨改进型聚氨酯胶粘剂主剂；设置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条固化剂分装生产线，固化剂为外购，经分装后，与主剂搭配外售，生产规模为年产</w:t>
      </w:r>
      <w:r>
        <w:rPr>
          <w:rFonts w:ascii="仿宋_GB2312" w:eastAsia="仿宋_GB2312" w:hAnsi="仿宋_GB2312" w:cs="仿宋_GB2312"/>
          <w:sz w:val="32"/>
          <w:szCs w:val="32"/>
        </w:rPr>
        <w:t>0.18</w:t>
      </w:r>
      <w:r>
        <w:rPr>
          <w:rFonts w:ascii="仿宋_GB2312" w:eastAsia="仿宋_GB2312" w:hAnsi="仿宋_GB2312" w:cs="仿宋_GB2312" w:hint="eastAsia"/>
          <w:sz w:val="32"/>
          <w:szCs w:val="32"/>
        </w:rPr>
        <w:t>万吨改进型聚氨酯胶粘剂固化剂）、辅助工程（公用工程车间、控制中心等）、储运工程（仓库、原料罐区等）、公用工程（供水、排水、供气、供电等）、环保工程（废气治理、废水治理、固体废物处置、噪声治理等）等。一期项目建成后，可年产</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万吨环保型无苯无酮油墨、</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万吨改进型聚氨酯胶粘剂（其中包含</w:t>
      </w:r>
      <w:r>
        <w:rPr>
          <w:rFonts w:ascii="仿宋_GB2312" w:eastAsia="仿宋_GB2312" w:hAnsi="仿宋_GB2312" w:cs="仿宋_GB2312"/>
          <w:sz w:val="32"/>
          <w:szCs w:val="32"/>
        </w:rPr>
        <w:t>0.90</w:t>
      </w:r>
      <w:r>
        <w:rPr>
          <w:rFonts w:ascii="仿宋_GB2312" w:eastAsia="仿宋_GB2312" w:hAnsi="仿宋_GB2312" w:cs="仿宋_GB2312" w:hint="eastAsia"/>
          <w:sz w:val="32"/>
          <w:szCs w:val="32"/>
        </w:rPr>
        <w:t>万吨主剂、</w:t>
      </w:r>
      <w:r>
        <w:rPr>
          <w:rFonts w:ascii="仿宋_GB2312" w:eastAsia="仿宋_GB2312" w:hAnsi="仿宋_GB2312" w:cs="仿宋_GB2312"/>
          <w:sz w:val="32"/>
          <w:szCs w:val="32"/>
        </w:rPr>
        <w:t>0.18</w:t>
      </w:r>
      <w:r>
        <w:rPr>
          <w:rFonts w:ascii="仿宋_GB2312" w:eastAsia="仿宋_GB2312" w:hAnsi="仿宋_GB2312" w:cs="仿宋_GB2312" w:hint="eastAsia"/>
          <w:sz w:val="32"/>
          <w:szCs w:val="32"/>
        </w:rPr>
        <w:t>万吨固化剂）。项目总投资</w:t>
      </w:r>
      <w:r>
        <w:rPr>
          <w:rFonts w:ascii="仿宋_GB2312" w:eastAsia="仿宋_GB2312" w:hAnsi="仿宋_GB2312" w:cs="仿宋_GB2312"/>
          <w:sz w:val="32"/>
          <w:szCs w:val="32"/>
        </w:rPr>
        <w:t>44747.15</w:t>
      </w:r>
      <w:r>
        <w:rPr>
          <w:rFonts w:ascii="仿宋_GB2312" w:eastAsia="仿宋_GB2312" w:hAnsi="仿宋_GB2312" w:cs="仿宋_GB2312" w:hint="eastAsia"/>
          <w:sz w:val="32"/>
          <w:szCs w:val="32"/>
        </w:rPr>
        <w:t>万元，其中一期项目总投资</w:t>
      </w:r>
      <w:r>
        <w:rPr>
          <w:rFonts w:ascii="仿宋_GB2312" w:eastAsia="仿宋_GB2312" w:hAnsi="仿宋_GB2312" w:cs="仿宋_GB2312"/>
          <w:sz w:val="32"/>
          <w:szCs w:val="32"/>
        </w:rPr>
        <w:t>20000</w:t>
      </w:r>
      <w:r>
        <w:rPr>
          <w:rFonts w:ascii="仿宋_GB2312" w:eastAsia="仿宋_GB2312" w:hAnsi="仿宋_GB2312" w:cs="仿宋_GB2312" w:hint="eastAsia"/>
          <w:sz w:val="32"/>
          <w:szCs w:val="32"/>
        </w:rPr>
        <w:t>万元，环保投资</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万元，占总投资</w:t>
      </w:r>
      <w:r>
        <w:rPr>
          <w:rFonts w:ascii="仿宋_GB2312" w:eastAsia="仿宋_GB2312" w:hAnsi="仿宋_GB2312" w:cs="仿宋_GB2312"/>
          <w:sz w:val="32"/>
          <w:szCs w:val="32"/>
        </w:rPr>
        <w:t>2.50%</w:t>
      </w:r>
      <w:r>
        <w:rPr>
          <w:rFonts w:ascii="仿宋_GB2312" w:eastAsia="仿宋_GB2312" w:hAnsi="仿宋_GB2312" w:cs="仿宋_GB2312" w:hint="eastAsia"/>
          <w:sz w:val="32"/>
          <w:szCs w:val="32"/>
        </w:rPr>
        <w:t>。</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在全面落实报告书提出的各项生态保护和污染防治措施后，对环境的不利影响可得到控制和缓解，我局从环保角度原则同意报告书中所列建设项目的性质、规模、地点、环境保护措施等。</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（二）严格落实大气治理措施。车间投料有机废气、酯化不凝气、加成聚合不凝气、胺化不凝气、配料废气、研磨废气、调整废气、抽真空废气采用“水洗</w:t>
      </w:r>
      <w:r>
        <w:rPr>
          <w:rFonts w:ascii="仿宋_GB2312" w:eastAsia="仿宋_GB2312" w:hAnsi="仿宋_GB2312" w:cs="仿宋_GB2312"/>
          <w:sz w:val="32"/>
          <w:szCs w:val="32"/>
        </w:rPr>
        <w:t>+RCO</w:t>
      </w:r>
      <w:r>
        <w:rPr>
          <w:rFonts w:ascii="仿宋_GB2312" w:eastAsia="仿宋_GB2312" w:hAnsi="仿宋_GB2312" w:cs="仿宋_GB2312" w:hint="eastAsia"/>
          <w:sz w:val="32"/>
          <w:szCs w:val="32"/>
        </w:rPr>
        <w:t>催化燃烧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碱洗”处理后（抽真空废气先经两级冷凝处理）通过</w:t>
      </w:r>
      <w:smartTag w:uri="urn:schemas-microsoft-com:office:smarttags" w:element="chmetcnv">
        <w:smartTagPr>
          <w:attr w:name="TCSC" w:val="0"/>
          <w:attr w:name="NumberType" w:val="1"/>
          <w:attr w:name="Negative" w:val="False"/>
          <w:attr w:name="HasSpace" w:val="False"/>
          <w:attr w:name="SourceValue" w:val="23.5"/>
          <w:attr w:name="UnitName" w:val="m"/>
        </w:smartTagPr>
        <w:r>
          <w:rPr>
            <w:rFonts w:ascii="仿宋_GB2312" w:eastAsia="仿宋_GB2312" w:hAnsi="仿宋_GB2312" w:cs="仿宋_GB2312"/>
            <w:sz w:val="32"/>
            <w:szCs w:val="32"/>
          </w:rPr>
          <w:t>23.5m</w:t>
        </w:r>
      </w:smartTag>
      <w:r>
        <w:rPr>
          <w:rFonts w:ascii="仿宋_GB2312" w:eastAsia="仿宋_GB2312" w:hAnsi="仿宋_GB2312" w:cs="仿宋_GB2312" w:hint="eastAsia"/>
          <w:sz w:val="32"/>
          <w:szCs w:val="32"/>
        </w:rPr>
        <w:t>排气筒</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排放。外排</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、乙二醇、</w:t>
      </w:r>
      <w:r>
        <w:rPr>
          <w:rFonts w:ascii="仿宋_GB2312" w:eastAsia="仿宋_GB2312" w:hAnsi="仿宋_GB2312" w:cs="仿宋_GB2312"/>
          <w:sz w:val="32"/>
          <w:szCs w:val="32"/>
        </w:rPr>
        <w:t>MDI</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IPDI</w:t>
      </w:r>
      <w:r>
        <w:rPr>
          <w:rFonts w:ascii="仿宋_GB2312" w:eastAsia="仿宋_GB2312" w:hAnsi="仿宋_GB2312" w:cs="仿宋_GB2312" w:hint="eastAsia"/>
          <w:sz w:val="32"/>
          <w:szCs w:val="32"/>
        </w:rPr>
        <w:t>须符合《涂料、油墨及胶粘剂工业大气污染物排放标准》（</w:t>
      </w:r>
      <w:r>
        <w:rPr>
          <w:rFonts w:ascii="仿宋_GB2312" w:eastAsia="仿宋_GB2312" w:hAnsi="仿宋_GB2312" w:cs="仿宋_GB2312"/>
          <w:sz w:val="32"/>
          <w:szCs w:val="32"/>
        </w:rPr>
        <w:t>GB 37824-2019</w:t>
      </w:r>
      <w:r>
        <w:rPr>
          <w:rFonts w:ascii="仿宋_GB2312" w:eastAsia="仿宋_GB2312" w:hAnsi="仿宋_GB2312" w:cs="仿宋_GB2312" w:hint="eastAsia"/>
          <w:sz w:val="32"/>
          <w:szCs w:val="32"/>
        </w:rPr>
        <w:t>）、《挥发性有机物排放标准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 37/2801.6-2018</w:t>
      </w:r>
      <w:r>
        <w:rPr>
          <w:rFonts w:ascii="仿宋_GB2312" w:eastAsia="仿宋_GB2312" w:hAnsi="仿宋_GB2312" w:cs="仿宋_GB2312" w:hint="eastAsia"/>
          <w:sz w:val="32"/>
          <w:szCs w:val="32"/>
        </w:rPr>
        <w:t>）标准要求。</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车间投料粉尘采用“集气罩收集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布袋除尘器”处理后通过</w:t>
      </w:r>
      <w:smartTag w:uri="urn:schemas-microsoft-com:office:smarttags" w:element="chmetcnv">
        <w:smartTagPr>
          <w:attr w:name="TCSC" w:val="0"/>
          <w:attr w:name="NumberType" w:val="1"/>
          <w:attr w:name="Negative" w:val="False"/>
          <w:attr w:name="HasSpace" w:val="False"/>
          <w:attr w:name="SourceValue" w:val="23.5"/>
          <w:attr w:name="UnitName" w:val="m"/>
        </w:smartTagPr>
        <w:r>
          <w:rPr>
            <w:rFonts w:ascii="仿宋_GB2312" w:eastAsia="仿宋_GB2312" w:hAnsi="仿宋_GB2312" w:cs="仿宋_GB2312"/>
            <w:sz w:val="32"/>
            <w:szCs w:val="32"/>
          </w:rPr>
          <w:t>23.5m</w:t>
        </w:r>
      </w:smartTag>
      <w:r>
        <w:rPr>
          <w:rFonts w:ascii="仿宋_GB2312" w:eastAsia="仿宋_GB2312" w:hAnsi="仿宋_GB2312" w:cs="仿宋_GB2312" w:hint="eastAsia"/>
          <w:sz w:val="32"/>
          <w:szCs w:val="32"/>
        </w:rPr>
        <w:t>排气筒</w:t>
      </w:r>
      <w:r>
        <w:rPr>
          <w:rFonts w:ascii="仿宋_GB2312" w:eastAsia="仿宋_GB2312" w:hAnsi="仿宋_GB2312" w:cs="仿宋_GB2312"/>
          <w:sz w:val="32"/>
          <w:szCs w:val="32"/>
        </w:rPr>
        <w:t>P2</w:t>
      </w:r>
      <w:r>
        <w:rPr>
          <w:rFonts w:ascii="仿宋_GB2312" w:eastAsia="仿宋_GB2312" w:hAnsi="仿宋_GB2312" w:cs="仿宋_GB2312" w:hint="eastAsia"/>
          <w:sz w:val="32"/>
          <w:szCs w:val="32"/>
        </w:rPr>
        <w:t>排放。颗粒物有组织排放速率须符合《大气污染物综合排放标准》（</w:t>
      </w:r>
      <w:r>
        <w:rPr>
          <w:rFonts w:ascii="仿宋_GB2312" w:eastAsia="仿宋_GB2312" w:hAnsi="仿宋_GB2312" w:cs="仿宋_GB2312"/>
          <w:sz w:val="32"/>
          <w:szCs w:val="32"/>
        </w:rPr>
        <w:t>GB 16297-1996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中二级标准的要求，排放浓度须符合《区域性大气污染物综合排放标准》（</w:t>
      </w:r>
      <w:r>
        <w:rPr>
          <w:rFonts w:ascii="仿宋_GB2312" w:eastAsia="仿宋_GB2312" w:hAnsi="仿宋_GB2312" w:cs="仿宋_GB2312"/>
          <w:sz w:val="32"/>
          <w:szCs w:val="32"/>
        </w:rPr>
        <w:t>DB 37/2376-2019</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重点控制区要求。</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灌装废气、包装废气、固化剂分装废气、车间暂存罐呼吸废气、罐区呼吸废气、污水处理站废气、危废仓库废气采用“碱洗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两级活性炭吸附”处理后通过</w:t>
      </w:r>
      <w:smartTag w:uri="urn:schemas-microsoft-com:office:smarttags" w:element="chmetcnv">
        <w:smartTagPr>
          <w:attr w:name="TCSC" w:val="0"/>
          <w:attr w:name="NumberType" w:val="1"/>
          <w:attr w:name="Negative" w:val="False"/>
          <w:attr w:name="HasSpace" w:val="False"/>
          <w:attr w:name="SourceValue" w:val="23.5"/>
          <w:attr w:name="UnitName" w:val="m"/>
        </w:smartTagPr>
        <w:r>
          <w:rPr>
            <w:rFonts w:ascii="仿宋_GB2312" w:eastAsia="仿宋_GB2312" w:hAnsi="仿宋_GB2312" w:cs="仿宋_GB2312"/>
            <w:sz w:val="32"/>
            <w:szCs w:val="32"/>
          </w:rPr>
          <w:t>23.5m</w:t>
        </w:r>
      </w:smartTag>
      <w:r>
        <w:rPr>
          <w:rFonts w:ascii="仿宋_GB2312" w:eastAsia="仿宋_GB2312" w:hAnsi="仿宋_GB2312" w:cs="仿宋_GB2312" w:hint="eastAsia"/>
          <w:sz w:val="32"/>
          <w:szCs w:val="32"/>
        </w:rPr>
        <w:t>排气筒</w:t>
      </w:r>
      <w:r>
        <w:rPr>
          <w:rFonts w:ascii="仿宋_GB2312" w:eastAsia="仿宋_GB2312" w:hAnsi="仿宋_GB2312" w:cs="仿宋_GB2312"/>
          <w:sz w:val="32"/>
          <w:szCs w:val="32"/>
        </w:rPr>
        <w:t>P3</w:t>
      </w:r>
      <w:r>
        <w:rPr>
          <w:rFonts w:ascii="仿宋_GB2312" w:eastAsia="仿宋_GB2312" w:hAnsi="仿宋_GB2312" w:cs="仿宋_GB2312" w:hint="eastAsia"/>
          <w:sz w:val="32"/>
          <w:szCs w:val="32"/>
        </w:rPr>
        <w:t>排放。</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、乙二醇、</w:t>
      </w:r>
      <w:r>
        <w:rPr>
          <w:rFonts w:ascii="仿宋_GB2312" w:eastAsia="仿宋_GB2312" w:hAnsi="仿宋_GB2312" w:cs="仿宋_GB2312"/>
          <w:sz w:val="32"/>
          <w:szCs w:val="32"/>
        </w:rPr>
        <w:t>TDI</w:t>
      </w:r>
      <w:r>
        <w:rPr>
          <w:rFonts w:ascii="仿宋_GB2312" w:eastAsia="仿宋_GB2312" w:hAnsi="仿宋_GB2312" w:cs="仿宋_GB2312" w:hint="eastAsia"/>
          <w:sz w:val="32"/>
          <w:szCs w:val="32"/>
        </w:rPr>
        <w:t>须符合《涂料、油墨及胶粘剂工业大气污染物排放标准》（</w:t>
      </w:r>
      <w:r>
        <w:rPr>
          <w:rFonts w:ascii="仿宋_GB2312" w:eastAsia="仿宋_GB2312" w:hAnsi="仿宋_GB2312" w:cs="仿宋_GB2312"/>
          <w:sz w:val="32"/>
          <w:szCs w:val="32"/>
        </w:rPr>
        <w:t>GB 37824-2019</w:t>
      </w:r>
      <w:r>
        <w:rPr>
          <w:rFonts w:ascii="仿宋_GB2312" w:eastAsia="仿宋_GB2312" w:hAnsi="仿宋_GB2312" w:cs="仿宋_GB2312" w:hint="eastAsia"/>
          <w:sz w:val="32"/>
          <w:szCs w:val="32"/>
        </w:rPr>
        <w:t>）、《挥发性有机物排放标准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 37/2801.6-2018</w:t>
      </w:r>
      <w:r>
        <w:rPr>
          <w:rFonts w:ascii="仿宋_GB2312" w:eastAsia="仿宋_GB2312" w:hAnsi="仿宋_GB2312" w:cs="仿宋_GB2312" w:hint="eastAsia"/>
          <w:sz w:val="32"/>
          <w:szCs w:val="32"/>
        </w:rPr>
        <w:t>）、《有机化工企业污水处理厂（站）挥发性有机物及恶臭污染物排放标准》（</w:t>
      </w:r>
      <w:r>
        <w:rPr>
          <w:rFonts w:ascii="仿宋_GB2312" w:eastAsia="仿宋_GB2312" w:hAnsi="仿宋_GB2312" w:cs="仿宋_GB2312"/>
          <w:sz w:val="32"/>
          <w:szCs w:val="32"/>
        </w:rPr>
        <w:t>DB 37/3161-2018</w:t>
      </w:r>
      <w:r>
        <w:rPr>
          <w:rFonts w:ascii="仿宋_GB2312" w:eastAsia="仿宋_GB2312" w:hAnsi="仿宋_GB2312" w:cs="仿宋_GB2312" w:hint="eastAsia"/>
          <w:sz w:val="32"/>
          <w:szCs w:val="32"/>
        </w:rPr>
        <w:t>）要求，氨、硫化氢、臭气浓度须符合《有机化工企业污水处理厂（站）挥发性有机物及恶臭污染物排放标准》（</w:t>
      </w:r>
      <w:r>
        <w:rPr>
          <w:rFonts w:ascii="仿宋_GB2312" w:eastAsia="仿宋_GB2312" w:hAnsi="仿宋_GB2312" w:cs="仿宋_GB2312"/>
          <w:sz w:val="32"/>
          <w:szCs w:val="32"/>
        </w:rPr>
        <w:t>DB 37/3161-2018</w:t>
      </w:r>
      <w:r>
        <w:rPr>
          <w:rFonts w:ascii="仿宋_GB2312" w:eastAsia="仿宋_GB2312" w:hAnsi="仿宋_GB2312" w:cs="仿宋_GB2312" w:hint="eastAsia"/>
          <w:sz w:val="32"/>
          <w:szCs w:val="32"/>
        </w:rPr>
        <w:t>）要求。</w:t>
      </w:r>
    </w:p>
    <w:p w:rsidR="007A7B07" w:rsidRDefault="007A7B07" w:rsidP="009F3BDD">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落实报告书提出无组织排放措施。项目采用定期进行</w:t>
      </w:r>
      <w:r>
        <w:rPr>
          <w:rFonts w:ascii="仿宋" w:eastAsia="仿宋" w:hAnsi="仿宋" w:cs="仿宋_GB2312"/>
          <w:sz w:val="32"/>
          <w:szCs w:val="32"/>
        </w:rPr>
        <w:t>LDAR</w:t>
      </w:r>
      <w:r>
        <w:rPr>
          <w:rFonts w:ascii="仿宋" w:eastAsia="仿宋" w:hAnsi="仿宋" w:cs="仿宋_GB2312" w:hint="eastAsia"/>
          <w:sz w:val="32"/>
          <w:szCs w:val="32"/>
        </w:rPr>
        <w:t>检测，储罐采用氮封、水封措施，装卸区采用液下装载、气液平衡管处理，减少无组织废气排放。生产车间外排放浓度须符合《挥发性有机物无组织排放控制标准》（</w:t>
      </w:r>
      <w:r>
        <w:rPr>
          <w:rFonts w:ascii="仿宋" w:eastAsia="仿宋" w:hAnsi="仿宋" w:cs="仿宋_GB2312"/>
          <w:sz w:val="32"/>
          <w:szCs w:val="32"/>
        </w:rPr>
        <w:t>GB 37822-2019</w:t>
      </w:r>
      <w:r>
        <w:rPr>
          <w:rFonts w:ascii="仿宋" w:eastAsia="仿宋" w:hAnsi="仿宋" w:cs="仿宋_GB2312" w:hint="eastAsia"/>
          <w:sz w:val="32"/>
          <w:szCs w:val="32"/>
        </w:rPr>
        <w:t>）附录</w:t>
      </w:r>
      <w:r>
        <w:rPr>
          <w:rFonts w:ascii="仿宋" w:eastAsia="仿宋" w:hAnsi="仿宋" w:cs="仿宋_GB2312"/>
          <w:sz w:val="32"/>
          <w:szCs w:val="32"/>
        </w:rPr>
        <w:t>A</w:t>
      </w:r>
      <w:r>
        <w:rPr>
          <w:rFonts w:ascii="仿宋" w:eastAsia="仿宋" w:hAnsi="仿宋" w:cs="仿宋_GB2312" w:hint="eastAsia"/>
          <w:sz w:val="32"/>
          <w:szCs w:val="32"/>
        </w:rPr>
        <w:t>要求，厂界浓度须符合《挥发性有机物排放标准第</w:t>
      </w:r>
      <w:r>
        <w:rPr>
          <w:rFonts w:ascii="仿宋" w:eastAsia="仿宋" w:hAnsi="仿宋" w:cs="仿宋_GB2312"/>
          <w:sz w:val="32"/>
          <w:szCs w:val="32"/>
        </w:rPr>
        <w:t>6</w:t>
      </w:r>
      <w:r>
        <w:rPr>
          <w:rFonts w:ascii="仿宋" w:eastAsia="仿宋" w:hAnsi="仿宋" w:cs="仿宋_GB2312" w:hint="eastAsia"/>
          <w:sz w:val="32"/>
          <w:szCs w:val="32"/>
        </w:rPr>
        <w:t>部分：有机化工行业》（</w:t>
      </w:r>
      <w:r>
        <w:rPr>
          <w:rFonts w:ascii="仿宋" w:eastAsia="仿宋" w:hAnsi="仿宋" w:cs="仿宋_GB2312"/>
          <w:sz w:val="32"/>
          <w:szCs w:val="32"/>
        </w:rPr>
        <w:t>DB 37/2801.6-2018</w:t>
      </w:r>
      <w:r>
        <w:rPr>
          <w:rFonts w:ascii="仿宋" w:eastAsia="仿宋" w:hAnsi="仿宋" w:cs="仿宋_GB2312" w:hint="eastAsia"/>
          <w:sz w:val="32"/>
          <w:szCs w:val="32"/>
        </w:rPr>
        <w:t>），颗粒物厂界浓度须符合《大气污染物综合排放标准》（</w:t>
      </w:r>
      <w:r>
        <w:rPr>
          <w:rFonts w:ascii="仿宋" w:eastAsia="仿宋" w:hAnsi="仿宋" w:cs="仿宋_GB2312"/>
          <w:sz w:val="32"/>
          <w:szCs w:val="32"/>
        </w:rPr>
        <w:t>GB 16297-1996</w:t>
      </w:r>
      <w:r>
        <w:rPr>
          <w:rFonts w:ascii="仿宋" w:eastAsia="仿宋" w:hAnsi="仿宋" w:cs="仿宋_GB2312" w:hint="eastAsia"/>
          <w:sz w:val="32"/>
          <w:szCs w:val="32"/>
        </w:rPr>
        <w:t>）</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严格落实水污染防治措施。根据“雨污分流、清污分流、一水多用”的原则建设给排水及污水处理系统，进一步提高水的回用率，减少新鲜水用量和废水产生量。项目生产废水、循环系统废水、车间地面冲洗废水、化验室废水、废气处理装置排水、生活污水混合后进入厂区污水处理站采用“水解酸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一次沉淀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好氧处理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二次沉淀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混凝气浮”的处理工艺处理符合《油墨工业水污染物排放标准》（</w:t>
      </w:r>
      <w:r>
        <w:rPr>
          <w:rFonts w:ascii="仿宋_GB2312" w:eastAsia="仿宋_GB2312" w:hAnsi="仿宋_GB2312" w:cs="仿宋_GB2312"/>
          <w:sz w:val="32"/>
          <w:szCs w:val="32"/>
        </w:rPr>
        <w:t>GB 25463-2010</w:t>
      </w:r>
      <w:r>
        <w:rPr>
          <w:rFonts w:ascii="仿宋_GB2312" w:eastAsia="仿宋_GB2312" w:hAnsi="仿宋_GB2312" w:cs="仿宋_GB2312" w:hint="eastAsia"/>
          <w:sz w:val="32"/>
          <w:szCs w:val="32"/>
        </w:rPr>
        <w:t>）、《污水排入城镇下水道水质标准》（</w:t>
      </w:r>
      <w:r>
        <w:rPr>
          <w:rFonts w:ascii="仿宋_GB2312" w:eastAsia="仿宋_GB2312" w:hAnsi="仿宋_GB2312" w:cs="仿宋_GB2312"/>
          <w:sz w:val="32"/>
          <w:szCs w:val="32"/>
        </w:rPr>
        <w:t>GB/T 31962-2015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级标准和银河水务（滕州木石）有限公司进水水质要求后排入银河水务（滕州木石）有限公司进行深度处理。</w:t>
      </w:r>
    </w:p>
    <w:p w:rsidR="007A7B07" w:rsidRDefault="007A7B07" w:rsidP="009F3BDD">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（四）严格落实土壤和地下水污染防治措施。按照“源头防控、分区防治、污染监控、应急响应”的原则进行地下水污染防治，</w:t>
      </w:r>
      <w:r>
        <w:rPr>
          <w:rStyle w:val="NormalCharacter"/>
          <w:rFonts w:ascii="仿宋_GB2312" w:eastAsia="仿宋_GB2312" w:hAnsi="仿宋_GB2312" w:cs="仿宋_GB2312" w:hint="eastAsia"/>
          <w:color w:val="000000"/>
          <w:sz w:val="32"/>
          <w:szCs w:val="32"/>
        </w:rPr>
        <w:t>强化厂区防漏及事故废水应急收集处理</w:t>
      </w:r>
      <w:r>
        <w:rPr>
          <w:rFonts w:ascii="仿宋_GB2312" w:eastAsia="仿宋_GB2312" w:hAnsi="仿宋_GB2312" w:cs="仿宋_GB2312" w:hint="eastAsia"/>
          <w:color w:val="000000"/>
          <w:sz w:val="32"/>
          <w:szCs w:val="32"/>
        </w:rPr>
        <w:t>。严格按照《石油化工工程防渗技术规范》（</w:t>
      </w:r>
      <w:r>
        <w:rPr>
          <w:rFonts w:ascii="仿宋_GB2312" w:eastAsia="仿宋_GB2312" w:hAnsi="仿宋_GB2312" w:cs="仿宋_GB2312"/>
          <w:color w:val="000000"/>
          <w:sz w:val="32"/>
          <w:szCs w:val="32"/>
        </w:rPr>
        <w:t>GB/T 50934-2013</w:t>
      </w:r>
      <w:r>
        <w:rPr>
          <w:rFonts w:ascii="仿宋_GB2312" w:eastAsia="仿宋_GB2312" w:hAnsi="仿宋_GB2312" w:cs="仿宋_GB2312" w:hint="eastAsia"/>
          <w:color w:val="000000"/>
          <w:sz w:val="32"/>
          <w:szCs w:val="32"/>
        </w:rPr>
        <w:t>）的要求，对重点污染防治区、一般污染防治区采取分区防渗措施。管线敷设尽量“可视化”。加强防渗设施的日常维护，对出现损害的防渗设施应及时修复和加固，确保防渗设施牢固安全。加强隐蔽工程泄漏检测，一旦发现泄漏，应立即采取补救措施，防止污染土壤和地下水。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（五）严格落实噪声污染防治措施。优化厂区平面布置，采取选用低噪声设备、基础减振、隔声等降噪措施。厂界噪声须符合《工业企业厂界环境噪声排放标准》（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类功能要求。</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固体废物污染防治措施。根据国家和地方的有关规定，按照“减量化、资源化、无害化”原则，对固体废物进行分类收集、处理和处置，确保不造成二次污染。生活垃圾由环卫部门清运。废母液、检测废样、废试剂、废渣、袋式除尘器收集粉尘、废布袋、废滤网、废包装物、废活性炭、废机油、废导热油、废催化剂、废冷凝液、污泥定期委托有资质单位进行处置。</w:t>
      </w:r>
      <w:r>
        <w:rPr>
          <w:rFonts w:ascii="仿宋_GB2312" w:eastAsia="仿宋_GB2312" w:hAnsi="仿宋_GB2312" w:cs="仿宋_GB2312" w:hint="eastAsia"/>
          <w:color w:val="000000"/>
          <w:sz w:val="32"/>
          <w:szCs w:val="32"/>
        </w:rPr>
        <w:t>一般固废的贮存和处置按照《一般工业固体废物贮存、处置场污染控制标准》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及其修改单等要求；危险废物贮存和处置须符合《危险废物贮存污染控制标准》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及修改单等要求。</w:t>
      </w:r>
    </w:p>
    <w:p w:rsidR="007A7B07" w:rsidRDefault="007A7B07" w:rsidP="009F3BDD">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（七）</w:t>
      </w:r>
      <w:r>
        <w:rPr>
          <w:rStyle w:val="NormalCharacter"/>
          <w:rFonts w:ascii="仿宋" w:eastAsia="仿宋" w:hAnsi="仿宋" w:cs="仿宋" w:hint="eastAsia"/>
          <w:bCs/>
          <w:sz w:val="32"/>
          <w:szCs w:val="32"/>
        </w:rPr>
        <w:t>健全环境管理体系</w:t>
      </w:r>
      <w:r>
        <w:rPr>
          <w:rStyle w:val="NormalCharacter"/>
          <w:rFonts w:ascii="仿宋" w:eastAsia="仿宋" w:hAnsi="仿宋" w:hint="eastAsia"/>
          <w:color w:val="000000"/>
          <w:sz w:val="32"/>
          <w:szCs w:val="32"/>
        </w:rPr>
        <w:t>。</w:t>
      </w:r>
      <w:r>
        <w:rPr>
          <w:rStyle w:val="NormalCharacter"/>
          <w:rFonts w:ascii="仿宋_GB2312" w:eastAsia="仿宋_GB2312" w:hAnsi="仿宋_GB2312" w:hint="eastAsia"/>
          <w:color w:val="000000"/>
          <w:sz w:val="32"/>
          <w:szCs w:val="32"/>
        </w:rPr>
        <w:t>按照相关要求在规定位置设置规范的污染物排放口、监测口，并设立标志牌。严格根据相关规定强化落实环境管理及监测计划，安装</w:t>
      </w:r>
      <w:r>
        <w:rPr>
          <w:rStyle w:val="NormalCharacter"/>
          <w:rFonts w:ascii="仿宋_GB2312" w:eastAsia="仿宋_GB2312" w:hAnsi="仿宋_GB2312" w:hint="eastAsia"/>
          <w:sz w:val="32"/>
          <w:szCs w:val="32"/>
        </w:rPr>
        <w:t>污染物（含</w:t>
      </w:r>
      <w:r>
        <w:rPr>
          <w:rStyle w:val="NormalCharacter"/>
          <w:rFonts w:ascii="仿宋_GB2312" w:eastAsia="仿宋_GB2312" w:hAnsi="仿宋_GB2312"/>
          <w:color w:val="000000"/>
          <w:sz w:val="32"/>
          <w:szCs w:val="32"/>
        </w:rPr>
        <w:t>VOCs</w:t>
      </w:r>
      <w:r>
        <w:rPr>
          <w:rStyle w:val="NormalCharacter"/>
          <w:rFonts w:ascii="仿宋_GB2312" w:eastAsia="仿宋_GB2312" w:hAnsi="仿宋_GB2312" w:hint="eastAsia"/>
          <w:color w:val="000000"/>
          <w:sz w:val="32"/>
          <w:szCs w:val="32"/>
        </w:rPr>
        <w:t>）自动监控设备。加强厂区</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无组织排放监控，按照《挥发性有机物无组织排放控制标准》（</w:t>
      </w:r>
      <w:r>
        <w:rPr>
          <w:rStyle w:val="NormalCharacter"/>
          <w:rFonts w:ascii="仿宋_GB2312" w:eastAsia="仿宋_GB2312" w:hAnsi="仿宋_GB2312"/>
          <w:color w:val="000000"/>
          <w:sz w:val="32"/>
          <w:szCs w:val="32"/>
        </w:rPr>
        <w:t>GB37822-2019</w:t>
      </w:r>
      <w:r>
        <w:rPr>
          <w:rStyle w:val="NormalCharacter"/>
          <w:rFonts w:ascii="仿宋_GB2312" w:eastAsia="仿宋_GB2312" w:hAnsi="仿宋_GB2312" w:hint="eastAsia"/>
          <w:color w:val="000000"/>
          <w:sz w:val="32"/>
          <w:szCs w:val="32"/>
        </w:rPr>
        <w:t>）规定，在厂区安装</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无组织排放自动监控设备。自动监控设备均须按要求与生态环境部门联网。</w:t>
      </w:r>
      <w:r>
        <w:rPr>
          <w:rStyle w:val="NormalCharacter"/>
          <w:rFonts w:ascii="仿宋" w:eastAsia="仿宋" w:hAnsi="仿宋" w:hint="eastAsia"/>
          <w:color w:val="000000"/>
          <w:sz w:val="32"/>
          <w:szCs w:val="32"/>
        </w:rPr>
        <w:t>严格实施清洁生产。</w:t>
      </w:r>
      <w:r>
        <w:rPr>
          <w:rStyle w:val="NormalCharacter"/>
          <w:rFonts w:ascii="仿宋" w:eastAsia="仿宋" w:hAnsi="仿宋" w:hint="eastAsia"/>
          <w:sz w:val="32"/>
          <w:szCs w:val="32"/>
        </w:rPr>
        <w:t>严格按照国家环境保护相关法律法规以及排污许可证申请与核发技术规范要求申请排污许可证，不得无证排污或不按证排污，同时应做好排污许可证执行报告等相关工作。</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（八）严格落实环境风险防范措施。</w:t>
      </w:r>
      <w:r>
        <w:rPr>
          <w:rStyle w:val="NormalCharacter"/>
          <w:rFonts w:ascii="仿宋_GB2312" w:eastAsia="仿宋_GB2312" w:hAnsi="仿宋_GB2312" w:hint="eastAsia"/>
          <w:color w:val="000000"/>
          <w:sz w:val="32"/>
          <w:szCs w:val="32"/>
        </w:rPr>
        <w:t>加强生产运行中的全程风险管理，强化</w:t>
      </w:r>
      <w:r>
        <w:rPr>
          <w:rFonts w:ascii="仿宋_GB2312" w:eastAsia="仿宋_GB2312" w:hAnsi="仿宋_GB2312" w:cs="仿宋_GB2312" w:hint="eastAsia"/>
          <w:sz w:val="32"/>
          <w:szCs w:val="32"/>
        </w:rPr>
        <w:t>化工物料及危险化学品的储存、输送和使用管理，加强危险废物收集、贮存和出厂转移环节的环境管理和风险防范。按规范设置自动监测、报警、紧急切断及紧急停车系统，以及防火、防爆、防中毒等事故处理系统。配备足够的应急发电设施，确保紧急情况下应急设备可有效使用。按规范选择材料等级，保证防腐能力和设备长周期运行需要。按照“单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厂区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园区”水环境风险防控体系要求设置事故废水收集和应急储存设施。厂区内装置、罐区设置围堰、防火堤，设置足够容积的事故水池，确保事故水可自流进入所在区域的事故水池。完善突发环境事件应急预案和受影响区域内人员应急疏散方案，配备足够的应急队伍、设备和物资，建立项目与区域的环境风险监控预警体系，制定环境应急监测方案。按照分类管理、分级响应、区域联动的原则，做好项目与园区、滕州市等突发环境事件联防联控工作，制定突发环境事件应急预案并定期开展应急演练，提升区域环境风险防范能力，有效防控区域环境风险。一旦发生突发环境事件，立即启动应急预案，采取有效措施控制、减轻或消除对环境的污染。</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（九）项目建成后，</w:t>
      </w:r>
      <w:r w:rsidRPr="00FA6C42">
        <w:rPr>
          <w:rFonts w:ascii="仿宋_GB2312" w:eastAsia="仿宋_GB2312" w:hAnsi="仿宋_GB2312" w:cs="仿宋_GB2312" w:hint="eastAsia"/>
          <w:sz w:val="32"/>
          <w:szCs w:val="32"/>
        </w:rPr>
        <w:t>颗粒物、</w:t>
      </w:r>
      <w:r w:rsidRPr="00FA6C42">
        <w:rPr>
          <w:rFonts w:ascii="仿宋_GB2312" w:eastAsia="仿宋_GB2312" w:hAnsi="仿宋_GB2312" w:cs="仿宋_GB2312"/>
          <w:sz w:val="32"/>
          <w:szCs w:val="32"/>
        </w:rPr>
        <w:t>VOCs</w:t>
      </w:r>
      <w:r>
        <w:rPr>
          <w:rFonts w:ascii="仿宋_GB2312" w:eastAsia="仿宋_GB2312" w:hAnsi="仿宋_GB2312" w:cs="仿宋_GB2312" w:hint="eastAsia"/>
          <w:color w:val="000000"/>
          <w:sz w:val="32"/>
          <w:szCs w:val="32"/>
        </w:rPr>
        <w:t>排放量应控制在</w:t>
      </w:r>
      <w:r>
        <w:rPr>
          <w:rFonts w:ascii="仿宋" w:eastAsia="仿宋" w:hAnsi="仿宋" w:cs="仿宋"/>
          <w:color w:val="000000"/>
          <w:sz w:val="28"/>
          <w:szCs w:val="28"/>
        </w:rPr>
        <w:t>0.0156t/a</w:t>
      </w:r>
      <w:r>
        <w:rPr>
          <w:rFonts w:ascii="仿宋" w:eastAsia="仿宋" w:hAnsi="仿宋" w:cs="仿宋" w:hint="eastAsia"/>
          <w:color w:val="000000"/>
          <w:sz w:val="28"/>
          <w:szCs w:val="28"/>
        </w:rPr>
        <w:t>、</w:t>
      </w:r>
      <w:r>
        <w:rPr>
          <w:rFonts w:ascii="仿宋" w:eastAsia="仿宋" w:hAnsi="仿宋" w:cs="仿宋"/>
          <w:color w:val="000000"/>
          <w:sz w:val="28"/>
          <w:szCs w:val="28"/>
        </w:rPr>
        <w:t>0.58t/a</w:t>
      </w:r>
      <w:r>
        <w:rPr>
          <w:rFonts w:ascii="仿宋_GB2312" w:eastAsia="仿宋_GB2312" w:hAnsi="仿宋_GB2312" w:cs="仿宋_GB2312" w:hint="eastAsia"/>
          <w:sz w:val="32"/>
          <w:szCs w:val="32"/>
        </w:rPr>
        <w:t>以内。</w:t>
      </w:r>
    </w:p>
    <w:p w:rsidR="007A7B07" w:rsidRDefault="007A7B07" w:rsidP="009F3BDD">
      <w:pPr>
        <w:spacing w:line="620" w:lineRule="exact"/>
        <w:ind w:firstLineChars="200" w:firstLine="31680"/>
        <w:rPr>
          <w:rStyle w:val="NormalCharacter"/>
          <w:rFonts w:ascii="仿宋_GB2312" w:eastAsia="仿宋_GB2312" w:hAnsi="仿宋_GB2312"/>
          <w:color w:val="000000"/>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000000"/>
          <w:sz w:val="32"/>
          <w:szCs w:val="32"/>
        </w:rPr>
        <w:t>强化环境信息公开与公众参与机制。在项目施工和运营过程中，按规定发布企业环境保护信息，自觉接受社会监督。建立畅通的公众参与渠道，加强宣传与沟通工作，及时解决公众反映的环境问题，满足公众合理的环境保护要求</w:t>
      </w:r>
      <w:r>
        <w:rPr>
          <w:rStyle w:val="NormalCharacter"/>
          <w:rFonts w:ascii="仿宋_GB2312" w:eastAsia="仿宋_GB2312" w:hAnsi="仿宋_GB2312" w:hint="eastAsia"/>
          <w:color w:val="000000"/>
          <w:sz w:val="32"/>
          <w:szCs w:val="32"/>
        </w:rPr>
        <w:t>。</w:t>
      </w:r>
    </w:p>
    <w:p w:rsidR="007A7B07" w:rsidRDefault="007A7B07" w:rsidP="009F3BDD">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相关要求，该项目采取拆除活动时及服务期满后需开展完成相应的风险评估和修复工作等。</w:t>
      </w:r>
    </w:p>
    <w:p w:rsidR="007A7B07" w:rsidRDefault="007A7B07" w:rsidP="009F3BDD">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7A7B07" w:rsidRDefault="007A7B07" w:rsidP="009F3BDD">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7A7B07" w:rsidRDefault="007A7B07" w:rsidP="009F3BDD">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个工作日内，将批准后的环境影响报告书送枣庄市生态环境滕州分局及枣庄市生态环境保护综合执法支队，并按规定接受各级生态环境部门的监督检查。</w:t>
      </w:r>
    </w:p>
    <w:p w:rsidR="007A7B07" w:rsidRDefault="007A7B07" w:rsidP="009F3BDD">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rsidR="007A7B07" w:rsidRDefault="007A7B07" w:rsidP="009F3BDD">
      <w:pPr>
        <w:pStyle w:val="BodyTextFirstIndent2"/>
        <w:spacing w:line="620" w:lineRule="exact"/>
        <w:ind w:left="31680"/>
      </w:pPr>
    </w:p>
    <w:p w:rsidR="007A7B07" w:rsidRDefault="007A7B07">
      <w:pPr>
        <w:spacing w:line="620" w:lineRule="exact"/>
      </w:pPr>
      <w:r>
        <w:rPr>
          <w:rFonts w:ascii="仿宋_GB2312" w:eastAsia="仿宋_GB2312" w:hAnsi="仿宋_GB2312" w:cs="仿宋_GB2312"/>
          <w:sz w:val="32"/>
          <w:szCs w:val="32"/>
        </w:rPr>
        <w:t xml:space="preserve"> </w:t>
      </w:r>
    </w:p>
    <w:p w:rsidR="007A7B07" w:rsidRDefault="007A7B07" w:rsidP="009F3BDD">
      <w:pPr>
        <w:spacing w:line="620" w:lineRule="exact"/>
        <w:ind w:firstLineChars="1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7A7B07" w:rsidRDefault="007A7B07" w:rsidP="009F3BDD">
      <w:pPr>
        <w:spacing w:line="620" w:lineRule="exact"/>
        <w:ind w:firstLineChars="1650" w:firstLine="31680"/>
      </w:pPr>
      <w:smartTag w:uri="urn:schemas-microsoft-com:office:smarttags" w:element="chsdate">
        <w:smartTagPr>
          <w:attr w:name="IsROCDate" w:val="False"/>
          <w:attr w:name="IsLunarDate" w:val="False"/>
          <w:attr w:name="Day" w:val="18"/>
          <w:attr w:name="Month" w:val="5"/>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smartTag>
      <w:bookmarkStart w:id="0" w:name="_GoBack"/>
      <w:bookmarkEnd w:id="0"/>
    </w:p>
    <w:p w:rsidR="007A7B07" w:rsidRDefault="007A7B07">
      <w:pPr>
        <w:spacing w:line="620" w:lineRule="exact"/>
      </w:pPr>
    </w:p>
    <w:p w:rsidR="007A7B07" w:rsidRDefault="007A7B07"/>
    <w:p w:rsidR="007A7B07" w:rsidRDefault="007A7B07">
      <w:pPr>
        <w:spacing w:line="40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7A7B07" w:rsidRPr="006B522E">
        <w:trPr>
          <w:trHeight w:val="405"/>
        </w:trPr>
        <w:tc>
          <w:tcPr>
            <w:tcW w:w="8904" w:type="dxa"/>
            <w:tcBorders>
              <w:left w:val="nil"/>
              <w:right w:val="nil"/>
            </w:tcBorders>
          </w:tcPr>
          <w:p w:rsidR="007A7B07" w:rsidRDefault="007A7B07" w:rsidP="007A7B07">
            <w:pPr>
              <w:spacing w:line="400" w:lineRule="exact"/>
              <w:ind w:left="31680" w:hangingChars="300" w:firstLine="31680"/>
              <w:rPr>
                <w:rFonts w:ascii="仿宋_GB2312" w:eastAsia="仿宋_GB2312" w:hAnsi="仿宋_GB2312" w:cs="仿宋_GB2312"/>
                <w:color w:val="000000"/>
                <w:sz w:val="28"/>
                <w:szCs w:val="28"/>
              </w:rPr>
            </w:pPr>
            <w:r w:rsidRPr="006B522E">
              <w:rPr>
                <w:rFonts w:ascii="仿宋_GB2312" w:eastAsia="仿宋_GB2312" w:hAnsi="仿宋" w:hint="eastAsia"/>
                <w:color w:val="000000"/>
                <w:sz w:val="28"/>
                <w:szCs w:val="28"/>
              </w:rPr>
              <w:t>抄送：市生态环境保护综合执法支队、滕州分局</w:t>
            </w:r>
          </w:p>
        </w:tc>
      </w:tr>
      <w:tr w:rsidR="007A7B07" w:rsidRPr="006B522E">
        <w:trPr>
          <w:trHeight w:val="405"/>
        </w:trPr>
        <w:tc>
          <w:tcPr>
            <w:tcW w:w="8904" w:type="dxa"/>
            <w:tcBorders>
              <w:left w:val="nil"/>
              <w:right w:val="nil"/>
            </w:tcBorders>
          </w:tcPr>
          <w:p w:rsidR="007A7B07" w:rsidRDefault="007A7B07">
            <w:pPr>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w:t>
            </w:r>
            <w:smartTag w:uri="urn:schemas-microsoft-com:office:smarttags" w:element="chsdate">
              <w:smartTagPr>
                <w:attr w:name="IsROCDate" w:val="False"/>
                <w:attr w:name="IsLunarDate" w:val="False"/>
                <w:attr w:name="Day" w:val="18"/>
                <w:attr w:name="Month" w:val="5"/>
                <w:attr w:name="Year" w:val="2021"/>
              </w:smartTagPr>
              <w:r>
                <w:rPr>
                  <w:rFonts w:ascii="仿宋_GB2312" w:eastAsia="仿宋_GB2312" w:hAnsi="仿宋_GB2312" w:cs="仿宋_GB2312"/>
                  <w:color w:val="000000"/>
                  <w:sz w:val="28"/>
                  <w:szCs w:val="28"/>
                </w:rPr>
                <w:t>2021</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18</w:t>
              </w:r>
              <w:r>
                <w:rPr>
                  <w:rFonts w:ascii="仿宋_GB2312" w:eastAsia="仿宋_GB2312" w:hAnsi="仿宋_GB2312" w:cs="仿宋_GB2312" w:hint="eastAsia"/>
                  <w:color w:val="000000"/>
                  <w:sz w:val="28"/>
                  <w:szCs w:val="28"/>
                </w:rPr>
                <w:t>日</w:t>
              </w:r>
            </w:smartTag>
            <w:r>
              <w:rPr>
                <w:rFonts w:ascii="仿宋_GB2312" w:eastAsia="仿宋_GB2312" w:hAnsi="仿宋_GB2312" w:cs="仿宋_GB2312" w:hint="eastAsia"/>
                <w:color w:val="000000"/>
                <w:sz w:val="28"/>
                <w:szCs w:val="28"/>
              </w:rPr>
              <w:t>印发</w:t>
            </w:r>
          </w:p>
        </w:tc>
      </w:tr>
    </w:tbl>
    <w:p w:rsidR="007A7B07" w:rsidRDefault="007A7B07">
      <w:pPr>
        <w:spacing w:line="40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7A7B07" w:rsidSect="00C855FB">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B07" w:rsidRDefault="007A7B07" w:rsidP="00C855FB">
      <w:r>
        <w:separator/>
      </w:r>
    </w:p>
  </w:endnote>
  <w:endnote w:type="continuationSeparator" w:id="0">
    <w:p w:rsidR="007A7B07" w:rsidRDefault="007A7B07" w:rsidP="00C85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07" w:rsidRDefault="007A7B0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A7B07" w:rsidRDefault="007A7B07">
                <w:pPr>
                  <w:pStyle w:val="Footer"/>
                </w:pPr>
                <w:fldSimple w:instr=" PAGE  \* MERGEFORMAT ">
                  <w:r>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B07" w:rsidRDefault="007A7B07" w:rsidP="00C855FB">
      <w:r>
        <w:separator/>
      </w:r>
    </w:p>
  </w:footnote>
  <w:footnote w:type="continuationSeparator" w:id="0">
    <w:p w:rsidR="007A7B07" w:rsidRDefault="007A7B07" w:rsidP="00C85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07" w:rsidRDefault="007A7B0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73617"/>
    <w:rsid w:val="003B2582"/>
    <w:rsid w:val="005D3730"/>
    <w:rsid w:val="00610B2B"/>
    <w:rsid w:val="00634457"/>
    <w:rsid w:val="006B522E"/>
    <w:rsid w:val="007077F9"/>
    <w:rsid w:val="00711675"/>
    <w:rsid w:val="007279A9"/>
    <w:rsid w:val="007A7B07"/>
    <w:rsid w:val="007D5313"/>
    <w:rsid w:val="009C69B7"/>
    <w:rsid w:val="009F3BDD"/>
    <w:rsid w:val="00A02E08"/>
    <w:rsid w:val="00AB3FB6"/>
    <w:rsid w:val="00AF7D12"/>
    <w:rsid w:val="00C855FB"/>
    <w:rsid w:val="00DD257E"/>
    <w:rsid w:val="00ED23C8"/>
    <w:rsid w:val="00F9442F"/>
    <w:rsid w:val="00F970BE"/>
    <w:rsid w:val="00FA6C42"/>
    <w:rsid w:val="00FE3A77"/>
    <w:rsid w:val="010A078D"/>
    <w:rsid w:val="01191B64"/>
    <w:rsid w:val="01256FAF"/>
    <w:rsid w:val="013B61AC"/>
    <w:rsid w:val="014E3A83"/>
    <w:rsid w:val="01A52B9E"/>
    <w:rsid w:val="01AB535B"/>
    <w:rsid w:val="01CF7E92"/>
    <w:rsid w:val="02060A6D"/>
    <w:rsid w:val="023704B1"/>
    <w:rsid w:val="02A90961"/>
    <w:rsid w:val="02C31F17"/>
    <w:rsid w:val="030A54FD"/>
    <w:rsid w:val="030E106D"/>
    <w:rsid w:val="0339717A"/>
    <w:rsid w:val="034A0C43"/>
    <w:rsid w:val="03555800"/>
    <w:rsid w:val="03564296"/>
    <w:rsid w:val="03570EAD"/>
    <w:rsid w:val="03690F87"/>
    <w:rsid w:val="03AB38C6"/>
    <w:rsid w:val="056C17D1"/>
    <w:rsid w:val="069475BB"/>
    <w:rsid w:val="071E3427"/>
    <w:rsid w:val="07404B42"/>
    <w:rsid w:val="078336F6"/>
    <w:rsid w:val="07B37298"/>
    <w:rsid w:val="07B96B7B"/>
    <w:rsid w:val="081E35C2"/>
    <w:rsid w:val="0826385C"/>
    <w:rsid w:val="08A16500"/>
    <w:rsid w:val="08BE1DD9"/>
    <w:rsid w:val="08CE639A"/>
    <w:rsid w:val="08D22B58"/>
    <w:rsid w:val="095B77B6"/>
    <w:rsid w:val="097F4FCE"/>
    <w:rsid w:val="098E235A"/>
    <w:rsid w:val="0A210042"/>
    <w:rsid w:val="0A267726"/>
    <w:rsid w:val="0A3F3630"/>
    <w:rsid w:val="0A4A2731"/>
    <w:rsid w:val="0A4F4FA5"/>
    <w:rsid w:val="0A517E52"/>
    <w:rsid w:val="0A5B60F6"/>
    <w:rsid w:val="0A6864A2"/>
    <w:rsid w:val="0A8E090E"/>
    <w:rsid w:val="0AC80989"/>
    <w:rsid w:val="0B4F04CE"/>
    <w:rsid w:val="0B8E6C03"/>
    <w:rsid w:val="0C145705"/>
    <w:rsid w:val="0C951FB4"/>
    <w:rsid w:val="0CAB008B"/>
    <w:rsid w:val="0D480407"/>
    <w:rsid w:val="0DBE03D4"/>
    <w:rsid w:val="0DD9207D"/>
    <w:rsid w:val="0E22761B"/>
    <w:rsid w:val="0E9F79C9"/>
    <w:rsid w:val="0EBF4030"/>
    <w:rsid w:val="0ED4346E"/>
    <w:rsid w:val="0EDC7A16"/>
    <w:rsid w:val="0F341AAC"/>
    <w:rsid w:val="0F9C5C0A"/>
    <w:rsid w:val="100A55F8"/>
    <w:rsid w:val="105F0062"/>
    <w:rsid w:val="10B82698"/>
    <w:rsid w:val="10B915FF"/>
    <w:rsid w:val="10C177D2"/>
    <w:rsid w:val="10E403C6"/>
    <w:rsid w:val="10E828D4"/>
    <w:rsid w:val="10F53D6A"/>
    <w:rsid w:val="112C0111"/>
    <w:rsid w:val="119B1CF6"/>
    <w:rsid w:val="11A110D0"/>
    <w:rsid w:val="120122A4"/>
    <w:rsid w:val="124A19D9"/>
    <w:rsid w:val="135278BD"/>
    <w:rsid w:val="13606A9B"/>
    <w:rsid w:val="137409AD"/>
    <w:rsid w:val="141F294E"/>
    <w:rsid w:val="142C3751"/>
    <w:rsid w:val="14B367AF"/>
    <w:rsid w:val="15011DED"/>
    <w:rsid w:val="152A362F"/>
    <w:rsid w:val="15886580"/>
    <w:rsid w:val="16096437"/>
    <w:rsid w:val="161E6BB2"/>
    <w:rsid w:val="16251A2C"/>
    <w:rsid w:val="168D485C"/>
    <w:rsid w:val="16E95AB7"/>
    <w:rsid w:val="17B54B5C"/>
    <w:rsid w:val="17BD65AA"/>
    <w:rsid w:val="17F6662C"/>
    <w:rsid w:val="17FD0CE6"/>
    <w:rsid w:val="189175E9"/>
    <w:rsid w:val="189F72BE"/>
    <w:rsid w:val="18E256D1"/>
    <w:rsid w:val="18FD7D6F"/>
    <w:rsid w:val="19642A7C"/>
    <w:rsid w:val="1AC74523"/>
    <w:rsid w:val="1B076474"/>
    <w:rsid w:val="1B8A1E6B"/>
    <w:rsid w:val="1B9D655B"/>
    <w:rsid w:val="1BB15126"/>
    <w:rsid w:val="1BCB6512"/>
    <w:rsid w:val="1C254882"/>
    <w:rsid w:val="1C2E1411"/>
    <w:rsid w:val="1C314946"/>
    <w:rsid w:val="1C4C4CE5"/>
    <w:rsid w:val="1D56032D"/>
    <w:rsid w:val="1D846222"/>
    <w:rsid w:val="1D9E5EF9"/>
    <w:rsid w:val="1DFC4A59"/>
    <w:rsid w:val="1EB62EA5"/>
    <w:rsid w:val="1F3C7078"/>
    <w:rsid w:val="1F9828F5"/>
    <w:rsid w:val="208F1953"/>
    <w:rsid w:val="20B603FD"/>
    <w:rsid w:val="20C87D15"/>
    <w:rsid w:val="213D14E5"/>
    <w:rsid w:val="215332B8"/>
    <w:rsid w:val="2187585B"/>
    <w:rsid w:val="21A6217C"/>
    <w:rsid w:val="21D03C14"/>
    <w:rsid w:val="22523571"/>
    <w:rsid w:val="225F3AA1"/>
    <w:rsid w:val="228346CB"/>
    <w:rsid w:val="228A1E52"/>
    <w:rsid w:val="22F418A1"/>
    <w:rsid w:val="234E3C80"/>
    <w:rsid w:val="237304B8"/>
    <w:rsid w:val="23A11B2B"/>
    <w:rsid w:val="242B420C"/>
    <w:rsid w:val="243857FD"/>
    <w:rsid w:val="24440CCE"/>
    <w:rsid w:val="24606379"/>
    <w:rsid w:val="24830DA0"/>
    <w:rsid w:val="24AF253B"/>
    <w:rsid w:val="24B87FBC"/>
    <w:rsid w:val="24CF6B4B"/>
    <w:rsid w:val="24F57407"/>
    <w:rsid w:val="25032176"/>
    <w:rsid w:val="25440F67"/>
    <w:rsid w:val="259A391D"/>
    <w:rsid w:val="25CE7808"/>
    <w:rsid w:val="25E31E66"/>
    <w:rsid w:val="263D6B01"/>
    <w:rsid w:val="26484690"/>
    <w:rsid w:val="26911353"/>
    <w:rsid w:val="269B6F3F"/>
    <w:rsid w:val="26F34F7F"/>
    <w:rsid w:val="26F94B34"/>
    <w:rsid w:val="270D283D"/>
    <w:rsid w:val="278834C3"/>
    <w:rsid w:val="27A02083"/>
    <w:rsid w:val="27B02FBD"/>
    <w:rsid w:val="28893551"/>
    <w:rsid w:val="28E86B31"/>
    <w:rsid w:val="28FD01A7"/>
    <w:rsid w:val="29520CA4"/>
    <w:rsid w:val="2A3C25D1"/>
    <w:rsid w:val="2A7431A6"/>
    <w:rsid w:val="2A805624"/>
    <w:rsid w:val="2AB64968"/>
    <w:rsid w:val="2B55003B"/>
    <w:rsid w:val="2BCE6ACF"/>
    <w:rsid w:val="2BF11F18"/>
    <w:rsid w:val="2C0716FA"/>
    <w:rsid w:val="2C3F5288"/>
    <w:rsid w:val="2C7A419D"/>
    <w:rsid w:val="2C921B1D"/>
    <w:rsid w:val="2CB50EEC"/>
    <w:rsid w:val="2CF936BF"/>
    <w:rsid w:val="2D2A70E0"/>
    <w:rsid w:val="2D5E12BD"/>
    <w:rsid w:val="2DE168A5"/>
    <w:rsid w:val="2DE21969"/>
    <w:rsid w:val="2DE722D1"/>
    <w:rsid w:val="2E967338"/>
    <w:rsid w:val="2EB62EEF"/>
    <w:rsid w:val="2EBF0167"/>
    <w:rsid w:val="2F155A89"/>
    <w:rsid w:val="2F931AE9"/>
    <w:rsid w:val="2FB10B1B"/>
    <w:rsid w:val="2FB26F2D"/>
    <w:rsid w:val="2FE91085"/>
    <w:rsid w:val="2FF42935"/>
    <w:rsid w:val="30277275"/>
    <w:rsid w:val="30BD092C"/>
    <w:rsid w:val="329C4631"/>
    <w:rsid w:val="32A65FC8"/>
    <w:rsid w:val="33270C79"/>
    <w:rsid w:val="332D1F26"/>
    <w:rsid w:val="336023F7"/>
    <w:rsid w:val="336A6EAA"/>
    <w:rsid w:val="33707300"/>
    <w:rsid w:val="33C55D00"/>
    <w:rsid w:val="33C77B8E"/>
    <w:rsid w:val="34695242"/>
    <w:rsid w:val="348C3715"/>
    <w:rsid w:val="34B41D84"/>
    <w:rsid w:val="350C59AC"/>
    <w:rsid w:val="356A0381"/>
    <w:rsid w:val="3601040F"/>
    <w:rsid w:val="360828F2"/>
    <w:rsid w:val="36232AAA"/>
    <w:rsid w:val="3641343C"/>
    <w:rsid w:val="36645E28"/>
    <w:rsid w:val="36864274"/>
    <w:rsid w:val="3697113F"/>
    <w:rsid w:val="36B73F61"/>
    <w:rsid w:val="377935AE"/>
    <w:rsid w:val="37871297"/>
    <w:rsid w:val="37A13208"/>
    <w:rsid w:val="37A41DBB"/>
    <w:rsid w:val="386045CB"/>
    <w:rsid w:val="38892448"/>
    <w:rsid w:val="38F96371"/>
    <w:rsid w:val="39022BA6"/>
    <w:rsid w:val="39C973E4"/>
    <w:rsid w:val="3A040DDA"/>
    <w:rsid w:val="3A052C47"/>
    <w:rsid w:val="3A922221"/>
    <w:rsid w:val="3ACC65D2"/>
    <w:rsid w:val="3ADC7B0D"/>
    <w:rsid w:val="3AE1427B"/>
    <w:rsid w:val="3B053DD0"/>
    <w:rsid w:val="3B4D6F62"/>
    <w:rsid w:val="3B793464"/>
    <w:rsid w:val="3B80455E"/>
    <w:rsid w:val="3C4F7A92"/>
    <w:rsid w:val="3C9C00E2"/>
    <w:rsid w:val="3CAD6178"/>
    <w:rsid w:val="3CB61618"/>
    <w:rsid w:val="3D623460"/>
    <w:rsid w:val="3E1C3B69"/>
    <w:rsid w:val="3E584B3A"/>
    <w:rsid w:val="3E73586D"/>
    <w:rsid w:val="3F2B1868"/>
    <w:rsid w:val="3F2B5E73"/>
    <w:rsid w:val="3F413C97"/>
    <w:rsid w:val="3F457D63"/>
    <w:rsid w:val="3F7056C2"/>
    <w:rsid w:val="3FE81FF0"/>
    <w:rsid w:val="4035436D"/>
    <w:rsid w:val="405917AC"/>
    <w:rsid w:val="407A2601"/>
    <w:rsid w:val="409D18C0"/>
    <w:rsid w:val="40A5681F"/>
    <w:rsid w:val="40B12383"/>
    <w:rsid w:val="40C115B3"/>
    <w:rsid w:val="4139261F"/>
    <w:rsid w:val="41411894"/>
    <w:rsid w:val="4147598C"/>
    <w:rsid w:val="417320D1"/>
    <w:rsid w:val="41BC2A03"/>
    <w:rsid w:val="41CB70B0"/>
    <w:rsid w:val="41D3389C"/>
    <w:rsid w:val="42093736"/>
    <w:rsid w:val="424E0B67"/>
    <w:rsid w:val="42760914"/>
    <w:rsid w:val="427C0FC3"/>
    <w:rsid w:val="42AE2F1A"/>
    <w:rsid w:val="42B84FA6"/>
    <w:rsid w:val="42D22DF8"/>
    <w:rsid w:val="42D91AF8"/>
    <w:rsid w:val="43084BD5"/>
    <w:rsid w:val="43FA0E78"/>
    <w:rsid w:val="43FE3DF0"/>
    <w:rsid w:val="442065EB"/>
    <w:rsid w:val="44E27CF3"/>
    <w:rsid w:val="45256C59"/>
    <w:rsid w:val="454256D2"/>
    <w:rsid w:val="454406F7"/>
    <w:rsid w:val="4573144D"/>
    <w:rsid w:val="4584368F"/>
    <w:rsid w:val="460657A3"/>
    <w:rsid w:val="461E333F"/>
    <w:rsid w:val="46976B18"/>
    <w:rsid w:val="46D014B1"/>
    <w:rsid w:val="471840F7"/>
    <w:rsid w:val="473107F7"/>
    <w:rsid w:val="473166CE"/>
    <w:rsid w:val="478D6EBC"/>
    <w:rsid w:val="488E26BF"/>
    <w:rsid w:val="48D0048C"/>
    <w:rsid w:val="490D189C"/>
    <w:rsid w:val="491201B5"/>
    <w:rsid w:val="492F448A"/>
    <w:rsid w:val="497A3E26"/>
    <w:rsid w:val="49B06AFD"/>
    <w:rsid w:val="49B462CC"/>
    <w:rsid w:val="49CF6B9E"/>
    <w:rsid w:val="49F5724D"/>
    <w:rsid w:val="4A1250B2"/>
    <w:rsid w:val="4B5B7762"/>
    <w:rsid w:val="4BB048CE"/>
    <w:rsid w:val="4BB937BC"/>
    <w:rsid w:val="4BC20D18"/>
    <w:rsid w:val="4BD04A0B"/>
    <w:rsid w:val="4BE62195"/>
    <w:rsid w:val="4BE72993"/>
    <w:rsid w:val="4BEA33F0"/>
    <w:rsid w:val="4C784A1B"/>
    <w:rsid w:val="4D182F16"/>
    <w:rsid w:val="4DD03C5C"/>
    <w:rsid w:val="4DEC299C"/>
    <w:rsid w:val="4E696695"/>
    <w:rsid w:val="4EB94E6F"/>
    <w:rsid w:val="4EBC2593"/>
    <w:rsid w:val="4EF047CA"/>
    <w:rsid w:val="50323D5B"/>
    <w:rsid w:val="50837A03"/>
    <w:rsid w:val="510F238B"/>
    <w:rsid w:val="51466BC6"/>
    <w:rsid w:val="515B55F7"/>
    <w:rsid w:val="51F11816"/>
    <w:rsid w:val="51F50EDB"/>
    <w:rsid w:val="52062C64"/>
    <w:rsid w:val="5207312A"/>
    <w:rsid w:val="526A5EE5"/>
    <w:rsid w:val="52880007"/>
    <w:rsid w:val="52E2116F"/>
    <w:rsid w:val="530010D8"/>
    <w:rsid w:val="53A76615"/>
    <w:rsid w:val="54001A60"/>
    <w:rsid w:val="545720DB"/>
    <w:rsid w:val="545911F1"/>
    <w:rsid w:val="54C6451C"/>
    <w:rsid w:val="55CA13D9"/>
    <w:rsid w:val="55CF0A9C"/>
    <w:rsid w:val="55F310F1"/>
    <w:rsid w:val="569C157A"/>
    <w:rsid w:val="56B74B6F"/>
    <w:rsid w:val="56D91010"/>
    <w:rsid w:val="56DE2FF6"/>
    <w:rsid w:val="572F13B8"/>
    <w:rsid w:val="579057EF"/>
    <w:rsid w:val="57AD0597"/>
    <w:rsid w:val="57E125A4"/>
    <w:rsid w:val="58255327"/>
    <w:rsid w:val="5826630A"/>
    <w:rsid w:val="58E1703D"/>
    <w:rsid w:val="58F1028E"/>
    <w:rsid w:val="5969224D"/>
    <w:rsid w:val="59A84878"/>
    <w:rsid w:val="59CF658F"/>
    <w:rsid w:val="59E72905"/>
    <w:rsid w:val="5A2120FA"/>
    <w:rsid w:val="5AAF10AD"/>
    <w:rsid w:val="5B2707F8"/>
    <w:rsid w:val="5B455075"/>
    <w:rsid w:val="5BA07879"/>
    <w:rsid w:val="5C2B1FF7"/>
    <w:rsid w:val="5C5E5418"/>
    <w:rsid w:val="5C616192"/>
    <w:rsid w:val="5CB85C04"/>
    <w:rsid w:val="5D2469E8"/>
    <w:rsid w:val="5D506FD0"/>
    <w:rsid w:val="5D7347A6"/>
    <w:rsid w:val="5DA702F1"/>
    <w:rsid w:val="5DD81DAB"/>
    <w:rsid w:val="5DFB2BFE"/>
    <w:rsid w:val="5E055F42"/>
    <w:rsid w:val="5F1A4547"/>
    <w:rsid w:val="5F8140FE"/>
    <w:rsid w:val="60440355"/>
    <w:rsid w:val="60986E1A"/>
    <w:rsid w:val="609E5A0E"/>
    <w:rsid w:val="61072BD1"/>
    <w:rsid w:val="614C4DE1"/>
    <w:rsid w:val="615031FF"/>
    <w:rsid w:val="61B1091E"/>
    <w:rsid w:val="61EE0C09"/>
    <w:rsid w:val="623F1A36"/>
    <w:rsid w:val="62580345"/>
    <w:rsid w:val="62580E89"/>
    <w:rsid w:val="62865FB8"/>
    <w:rsid w:val="62F82619"/>
    <w:rsid w:val="62FB2E96"/>
    <w:rsid w:val="6358335F"/>
    <w:rsid w:val="635A5BDF"/>
    <w:rsid w:val="64364C59"/>
    <w:rsid w:val="6447734F"/>
    <w:rsid w:val="645D4EFC"/>
    <w:rsid w:val="64A215F3"/>
    <w:rsid w:val="64D13250"/>
    <w:rsid w:val="64F56302"/>
    <w:rsid w:val="652A177C"/>
    <w:rsid w:val="65752925"/>
    <w:rsid w:val="65B93DB5"/>
    <w:rsid w:val="65BF20E9"/>
    <w:rsid w:val="65C13B51"/>
    <w:rsid w:val="65FD7D74"/>
    <w:rsid w:val="66131D30"/>
    <w:rsid w:val="666A79DC"/>
    <w:rsid w:val="667D1B6F"/>
    <w:rsid w:val="668F6CAC"/>
    <w:rsid w:val="66B36085"/>
    <w:rsid w:val="66BF63B8"/>
    <w:rsid w:val="66DF154B"/>
    <w:rsid w:val="66F200DD"/>
    <w:rsid w:val="693E1DC2"/>
    <w:rsid w:val="69DD4BE3"/>
    <w:rsid w:val="69E74463"/>
    <w:rsid w:val="69F53BDE"/>
    <w:rsid w:val="6A1E344F"/>
    <w:rsid w:val="6A527A05"/>
    <w:rsid w:val="6A550003"/>
    <w:rsid w:val="6A7843A8"/>
    <w:rsid w:val="6A7E165E"/>
    <w:rsid w:val="6ABA6495"/>
    <w:rsid w:val="6B1861B7"/>
    <w:rsid w:val="6B2B5E8B"/>
    <w:rsid w:val="6B932D7C"/>
    <w:rsid w:val="6BA4053E"/>
    <w:rsid w:val="6C6B2012"/>
    <w:rsid w:val="6C800C79"/>
    <w:rsid w:val="6CB32C22"/>
    <w:rsid w:val="6CF70457"/>
    <w:rsid w:val="6D197D81"/>
    <w:rsid w:val="6D2154CC"/>
    <w:rsid w:val="6D7A6531"/>
    <w:rsid w:val="6D9F3B28"/>
    <w:rsid w:val="6DA368FB"/>
    <w:rsid w:val="6DCF7C85"/>
    <w:rsid w:val="6E287EA4"/>
    <w:rsid w:val="6E4E250B"/>
    <w:rsid w:val="6E8F7D7B"/>
    <w:rsid w:val="6EF91CA7"/>
    <w:rsid w:val="6F885749"/>
    <w:rsid w:val="6FD73905"/>
    <w:rsid w:val="700D45F6"/>
    <w:rsid w:val="70996316"/>
    <w:rsid w:val="70A64A8A"/>
    <w:rsid w:val="70C50493"/>
    <w:rsid w:val="70D47882"/>
    <w:rsid w:val="70DC1555"/>
    <w:rsid w:val="70E021C1"/>
    <w:rsid w:val="70E0431B"/>
    <w:rsid w:val="71224AC2"/>
    <w:rsid w:val="7135443B"/>
    <w:rsid w:val="71520A79"/>
    <w:rsid w:val="71AD0E51"/>
    <w:rsid w:val="71C77C4F"/>
    <w:rsid w:val="71FF3132"/>
    <w:rsid w:val="72DD1708"/>
    <w:rsid w:val="732105D8"/>
    <w:rsid w:val="73275B06"/>
    <w:rsid w:val="73687E23"/>
    <w:rsid w:val="74297D09"/>
    <w:rsid w:val="74673D7E"/>
    <w:rsid w:val="747343D2"/>
    <w:rsid w:val="748E5156"/>
    <w:rsid w:val="74EB6EE7"/>
    <w:rsid w:val="74F630C7"/>
    <w:rsid w:val="750B38BC"/>
    <w:rsid w:val="759C3885"/>
    <w:rsid w:val="75D15FEE"/>
    <w:rsid w:val="75E46D10"/>
    <w:rsid w:val="75F04FC4"/>
    <w:rsid w:val="760657C5"/>
    <w:rsid w:val="76185C74"/>
    <w:rsid w:val="774301EC"/>
    <w:rsid w:val="77E362C3"/>
    <w:rsid w:val="78012542"/>
    <w:rsid w:val="78466E7C"/>
    <w:rsid w:val="78466EF1"/>
    <w:rsid w:val="78B215F4"/>
    <w:rsid w:val="79224AAB"/>
    <w:rsid w:val="797F3D94"/>
    <w:rsid w:val="79875185"/>
    <w:rsid w:val="7AB126FB"/>
    <w:rsid w:val="7BAA07E9"/>
    <w:rsid w:val="7BDB32F2"/>
    <w:rsid w:val="7C0D251B"/>
    <w:rsid w:val="7C396181"/>
    <w:rsid w:val="7C8D6BB2"/>
    <w:rsid w:val="7C8F7DCA"/>
    <w:rsid w:val="7CC03CAC"/>
    <w:rsid w:val="7CCE0A28"/>
    <w:rsid w:val="7D1B2ED4"/>
    <w:rsid w:val="7D307705"/>
    <w:rsid w:val="7D71107E"/>
    <w:rsid w:val="7DA52AE4"/>
    <w:rsid w:val="7DA70F4C"/>
    <w:rsid w:val="7DCE0D7A"/>
    <w:rsid w:val="7EDE514A"/>
    <w:rsid w:val="7F202B61"/>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1I2"/>
    <w:qFormat/>
    <w:rsid w:val="00C855F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Normal"/>
    <w:uiPriority w:val="99"/>
    <w:rsid w:val="00C855FB"/>
    <w:pPr>
      <w:spacing w:after="120" w:line="240" w:lineRule="auto"/>
      <w:ind w:leftChars="200" w:left="420" w:firstLineChars="200" w:firstLine="420"/>
    </w:pPr>
    <w:rPr>
      <w:sz w:val="21"/>
    </w:rPr>
  </w:style>
  <w:style w:type="paragraph" w:customStyle="1" w:styleId="BodyTextIndent">
    <w:name w:val="BodyTextIndent"/>
    <w:basedOn w:val="Normal"/>
    <w:next w:val="Header"/>
    <w:uiPriority w:val="99"/>
    <w:rsid w:val="00C855FB"/>
    <w:pPr>
      <w:spacing w:line="460" w:lineRule="atLeast"/>
      <w:ind w:firstLine="284"/>
      <w:textAlignment w:val="baseline"/>
    </w:pPr>
    <w:rPr>
      <w:spacing w:val="36"/>
      <w:sz w:val="24"/>
    </w:rPr>
  </w:style>
  <w:style w:type="paragraph" w:styleId="Header">
    <w:name w:val="header"/>
    <w:basedOn w:val="Normal"/>
    <w:next w:val="UserStyle8"/>
    <w:link w:val="HeaderChar"/>
    <w:uiPriority w:val="99"/>
    <w:rsid w:val="00C855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customStyle="1" w:styleId="UserStyle8">
    <w:name w:val="UserStyle_8"/>
    <w:basedOn w:val="UserStyle9"/>
    <w:uiPriority w:val="99"/>
    <w:rsid w:val="00C855FB"/>
    <w:pPr>
      <w:spacing w:line="240" w:lineRule="auto"/>
      <w:ind w:rightChars="-50" w:right="-140" w:firstLineChars="588" w:firstLine="1653"/>
    </w:pPr>
    <w:rPr>
      <w:b/>
      <w:bCs/>
    </w:rPr>
  </w:style>
  <w:style w:type="paragraph" w:customStyle="1" w:styleId="UserStyle9">
    <w:name w:val="UserStyle_9"/>
    <w:basedOn w:val="Normal"/>
    <w:next w:val="Normal"/>
    <w:uiPriority w:val="99"/>
    <w:rsid w:val="00C855FB"/>
    <w:pPr>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C855FB"/>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BodyTextIndent0">
    <w:name w:val="Body Text Indent"/>
    <w:basedOn w:val="Normal"/>
    <w:next w:val="Header"/>
    <w:link w:val="BodyTextIndentChar"/>
    <w:uiPriority w:val="99"/>
    <w:rsid w:val="00C855FB"/>
    <w:pPr>
      <w:ind w:leftChars="200" w:left="420"/>
    </w:pPr>
    <w:rPr>
      <w:rFonts w:ascii="Times New Roman" w:hAnsi="Times New Roman"/>
    </w:rPr>
  </w:style>
  <w:style w:type="character" w:customStyle="1" w:styleId="BodyTextIndentChar">
    <w:name w:val="Body Text Indent Char"/>
    <w:basedOn w:val="DefaultParagraphFont"/>
    <w:link w:val="BodyTextIndent0"/>
    <w:uiPriority w:val="99"/>
    <w:semiHidden/>
    <w:locked/>
    <w:rPr>
      <w:rFonts w:ascii="Calibri" w:hAnsi="Calibri" w:cs="Times New Roman"/>
      <w:sz w:val="24"/>
      <w:szCs w:val="24"/>
    </w:rPr>
  </w:style>
  <w:style w:type="paragraph" w:styleId="Footer">
    <w:name w:val="footer"/>
    <w:basedOn w:val="Normal"/>
    <w:link w:val="FooterChar"/>
    <w:uiPriority w:val="99"/>
    <w:rsid w:val="00C855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BodyTextIndent3">
    <w:name w:val="Body Text Indent 3"/>
    <w:basedOn w:val="Normal"/>
    <w:link w:val="BodyTextIndent3Char"/>
    <w:uiPriority w:val="99"/>
    <w:rsid w:val="00C855FB"/>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locked/>
    <w:rPr>
      <w:rFonts w:ascii="Calibri" w:hAnsi="Calibri" w:cs="Times New Roman"/>
      <w:sz w:val="16"/>
      <w:szCs w:val="16"/>
    </w:rPr>
  </w:style>
  <w:style w:type="paragraph" w:styleId="BodyTextFirstIndent">
    <w:name w:val="Body Text First Indent"/>
    <w:basedOn w:val="BodyText"/>
    <w:link w:val="BodyTextFirstIndentChar"/>
    <w:uiPriority w:val="99"/>
    <w:rsid w:val="00C855FB"/>
    <w:pPr>
      <w:ind w:firstLineChars="100" w:firstLine="420"/>
    </w:pPr>
  </w:style>
  <w:style w:type="character" w:customStyle="1" w:styleId="BodyTextFirstIndentChar">
    <w:name w:val="Body Text First Indent Char"/>
    <w:basedOn w:val="BodyTextChar"/>
    <w:link w:val="BodyTextFirstIndent"/>
    <w:uiPriority w:val="99"/>
    <w:semiHidden/>
    <w:locked/>
  </w:style>
  <w:style w:type="paragraph" w:styleId="BodyTextFirstIndent2">
    <w:name w:val="Body Text First Indent 2"/>
    <w:basedOn w:val="BodyTextIndent0"/>
    <w:next w:val="Normal"/>
    <w:link w:val="BodyTextFirstIndent2Char"/>
    <w:uiPriority w:val="99"/>
    <w:rsid w:val="00C855FB"/>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locked/>
  </w:style>
  <w:style w:type="character" w:styleId="PageNumber">
    <w:name w:val="page number"/>
    <w:basedOn w:val="DefaultParagraphFont"/>
    <w:uiPriority w:val="99"/>
    <w:rsid w:val="00C855FB"/>
    <w:rPr>
      <w:rFonts w:cs="Times New Roman"/>
    </w:rPr>
  </w:style>
  <w:style w:type="paragraph" w:customStyle="1" w:styleId="5">
    <w:name w:val="样式5"/>
    <w:basedOn w:val="1"/>
    <w:uiPriority w:val="99"/>
    <w:rsid w:val="00C855FB"/>
    <w:pPr>
      <w:adjustRightInd/>
      <w:spacing w:line="240" w:lineRule="auto"/>
      <w:ind w:rightChars="-50" w:right="-140" w:firstLineChars="588" w:firstLine="1653"/>
    </w:pPr>
    <w:rPr>
      <w:b/>
      <w:bCs/>
    </w:rPr>
  </w:style>
  <w:style w:type="paragraph" w:customStyle="1" w:styleId="1">
    <w:name w:val="正文1"/>
    <w:basedOn w:val="Normal"/>
    <w:next w:val="Normal"/>
    <w:uiPriority w:val="99"/>
    <w:rsid w:val="00C855FB"/>
    <w:pPr>
      <w:adjustRightInd w:val="0"/>
      <w:spacing w:line="480" w:lineRule="atLeast"/>
      <w:textAlignment w:val="baseline"/>
    </w:pPr>
    <w:rPr>
      <w:rFonts w:ascii="宋体" w:hAnsi="Tms Rmn"/>
      <w:kern w:val="0"/>
      <w:sz w:val="28"/>
      <w:szCs w:val="20"/>
    </w:rPr>
  </w:style>
  <w:style w:type="paragraph" w:customStyle="1" w:styleId="15">
    <w:name w:val="样式 正文文本缩进 + 行距: 1.5 倍行距"/>
    <w:basedOn w:val="BodyTextIndent1"/>
    <w:uiPriority w:val="99"/>
    <w:rsid w:val="00C855FB"/>
    <w:pPr>
      <w:ind w:leftChars="32" w:left="90" w:firstLineChars="200" w:firstLine="560"/>
    </w:pPr>
    <w:rPr>
      <w:rFonts w:cs="宋体"/>
      <w:sz w:val="24"/>
    </w:rPr>
  </w:style>
  <w:style w:type="paragraph" w:customStyle="1" w:styleId="BodyTextIndent1">
    <w:name w:val="Body Text Indent1"/>
    <w:basedOn w:val="Normal"/>
    <w:next w:val="15"/>
    <w:uiPriority w:val="99"/>
    <w:rsid w:val="00C855FB"/>
    <w:pPr>
      <w:spacing w:line="360" w:lineRule="auto"/>
      <w:ind w:firstLine="420"/>
    </w:pPr>
    <w:rPr>
      <w:rFonts w:ascii="Times New Roman" w:hAnsi="Times New Roman"/>
      <w:szCs w:val="20"/>
    </w:rPr>
  </w:style>
  <w:style w:type="paragraph" w:customStyle="1" w:styleId="10">
    <w:name w:val="报告书正文样式1"/>
    <w:basedOn w:val="a"/>
    <w:uiPriority w:val="99"/>
    <w:rsid w:val="00C855FB"/>
    <w:pPr>
      <w:spacing w:line="360" w:lineRule="auto"/>
    </w:pPr>
    <w:rPr>
      <w:rFonts w:ascii="Arial" w:hAnsi="Arial" w:cs="Arial"/>
      <w:szCs w:val="24"/>
    </w:rPr>
  </w:style>
  <w:style w:type="paragraph" w:customStyle="1" w:styleId="a">
    <w:name w:val="报告书正文"/>
    <w:basedOn w:val="Normal"/>
    <w:uiPriority w:val="99"/>
    <w:rsid w:val="00C855FB"/>
    <w:pPr>
      <w:adjustRightInd w:val="0"/>
      <w:snapToGrid w:val="0"/>
      <w:spacing w:line="360" w:lineRule="atLeast"/>
      <w:ind w:firstLine="425"/>
      <w:textAlignment w:val="baseline"/>
    </w:pPr>
    <w:rPr>
      <w:rFonts w:ascii="Times New Roman" w:hAnsi="Times New Roman"/>
      <w:sz w:val="24"/>
      <w:szCs w:val="20"/>
    </w:rPr>
  </w:style>
  <w:style w:type="character" w:customStyle="1" w:styleId="NormalCharacter">
    <w:name w:val="NormalCharacter"/>
    <w:uiPriority w:val="99"/>
    <w:rsid w:val="00C855FB"/>
    <w:rPr>
      <w:rFonts w:ascii="Calibri" w:eastAsia="宋体" w:hAnsi="Calibri"/>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9</Pages>
  <Words>663</Words>
  <Characters>3783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8</cp:revision>
  <cp:lastPrinted>2020-11-25T06:45:00Z</cp:lastPrinted>
  <dcterms:created xsi:type="dcterms:W3CDTF">2021-05-18T03:18:00Z</dcterms:created>
  <dcterms:modified xsi:type="dcterms:W3CDTF">2021-05-18T07:06:00Z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9992BC4F7AD6497F94559183DC0422C7</vt:lpwstr>
  </property>
</Properties>
</file>