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rPr>
      </w:pPr>
    </w:p>
    <w:p>
      <w:pPr>
        <w:pStyle w:val="2"/>
        <w:spacing w:line="580" w:lineRule="exact"/>
        <w:ind w:left="640"/>
        <w:rPr>
          <w:rFonts w:hint="default" w:ascii="Times New Roman" w:hAnsi="Times New Roman" w:cs="Times New Roman"/>
        </w:rPr>
      </w:pPr>
    </w:p>
    <w:p>
      <w:pPr>
        <w:pStyle w:val="2"/>
        <w:spacing w:line="580" w:lineRule="exact"/>
        <w:ind w:left="640"/>
        <w:rPr>
          <w:rFonts w:hint="default" w:ascii="Times New Roman" w:hAnsi="Times New Roman" w:cs="Times New Roman"/>
        </w:rPr>
      </w:pPr>
    </w:p>
    <w:p>
      <w:pPr>
        <w:rPr>
          <w:rFonts w:hint="default" w:ascii="Times New Roman" w:hAnsi="Times New Roman" w:cs="Times New Roman"/>
        </w:rPr>
      </w:pPr>
    </w:p>
    <w:p>
      <w:pPr>
        <w:pStyle w:val="2"/>
        <w:spacing w:line="58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w w:val="97"/>
        </w:rPr>
      </w:pPr>
      <w:r>
        <w:rPr>
          <w:rFonts w:hint="default" w:ascii="Times New Roman" w:hAnsi="Times New Roman" w:eastAsia="楷体" w:cs="Times New Roman"/>
          <w:w w:val="97"/>
        </w:rPr>
        <w:t>枣环许可字</w:t>
      </w:r>
      <w:r>
        <w:rPr>
          <w:rFonts w:hint="default" w:ascii="Times New Roman" w:hAnsi="Times New Roman" w:eastAsia="楷体" w:cs="Times New Roman"/>
          <w:w w:val="97"/>
          <w:lang w:eastAsia="zh-CN"/>
        </w:rPr>
        <w:t>〔</w:t>
      </w:r>
      <w:r>
        <w:rPr>
          <w:rFonts w:hint="default" w:ascii="Times New Roman" w:hAnsi="Times New Roman" w:eastAsia="楷体" w:cs="Times New Roman"/>
          <w:w w:val="97"/>
        </w:rPr>
        <w:t>202</w:t>
      </w:r>
      <w:r>
        <w:rPr>
          <w:rFonts w:hint="default" w:ascii="Times New Roman" w:hAnsi="Times New Roman" w:eastAsia="楷体" w:cs="Times New Roman"/>
          <w:w w:val="97"/>
          <w:lang w:val="en-US" w:eastAsia="zh-CN"/>
        </w:rPr>
        <w:t>2</w:t>
      </w:r>
      <w:r>
        <w:rPr>
          <w:rFonts w:hint="default" w:ascii="Times New Roman" w:hAnsi="Times New Roman" w:eastAsia="楷体" w:cs="Times New Roman"/>
          <w:w w:val="97"/>
          <w:lang w:eastAsia="zh-CN"/>
        </w:rPr>
        <w:t>〕</w:t>
      </w:r>
      <w:r>
        <w:rPr>
          <w:rFonts w:hint="default" w:ascii="Times New Roman" w:hAnsi="Times New Roman" w:eastAsia="楷体" w:cs="Times New Roman"/>
          <w:w w:val="97"/>
          <w:lang w:val="en-US" w:eastAsia="zh-CN"/>
        </w:rPr>
        <w:t>3</w:t>
      </w:r>
      <w:r>
        <w:rPr>
          <w:rFonts w:hint="eastAsia" w:eastAsia="楷体" w:cs="Times New Roman"/>
          <w:w w:val="97"/>
          <w:lang w:val="en-US" w:eastAsia="zh-CN"/>
        </w:rPr>
        <w:t>8</w:t>
      </w:r>
      <w:r>
        <w:rPr>
          <w:rFonts w:hint="default" w:ascii="Times New Roman" w:hAnsi="Times New Roman" w:eastAsia="楷体" w:cs="Times New Roman"/>
          <w:w w:val="97"/>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000000"/>
        </w:rPr>
      </w:pPr>
    </w:p>
    <w:p>
      <w:pPr>
        <w:spacing w:line="620" w:lineRule="exact"/>
        <w:jc w:val="center"/>
        <w:rPr>
          <w:rFonts w:eastAsia="方正大标宋简体"/>
          <w:color w:val="000000"/>
          <w:sz w:val="44"/>
          <w:szCs w:val="44"/>
        </w:rPr>
      </w:pPr>
      <w:r>
        <w:rPr>
          <w:rFonts w:eastAsia="方正大标宋简体"/>
          <w:color w:val="000000"/>
          <w:sz w:val="44"/>
          <w:szCs w:val="44"/>
        </w:rPr>
        <w:t>枣庄市生态环境局</w:t>
      </w:r>
    </w:p>
    <w:p>
      <w:pPr>
        <w:spacing w:line="620" w:lineRule="exact"/>
        <w:jc w:val="center"/>
        <w:rPr>
          <w:rFonts w:eastAsia="方正大标宋简体"/>
          <w:color w:val="000000"/>
          <w:sz w:val="44"/>
          <w:szCs w:val="44"/>
        </w:rPr>
      </w:pPr>
      <w:r>
        <w:rPr>
          <w:rFonts w:eastAsia="方正大标宋简体"/>
          <w:color w:val="000000"/>
          <w:sz w:val="44"/>
          <w:szCs w:val="44"/>
        </w:rPr>
        <w:t>关于兖矿鲁南化工有限公司</w:t>
      </w:r>
      <w:r>
        <w:rPr>
          <w:rFonts w:eastAsia="方正大标宋简体"/>
          <w:color w:val="auto"/>
          <w:sz w:val="44"/>
          <w:szCs w:val="44"/>
        </w:rPr>
        <w:t>含</w:t>
      </w:r>
      <w:r>
        <w:rPr>
          <w:rFonts w:eastAsia="方正大标宋简体"/>
          <w:color w:val="000000"/>
          <w:sz w:val="44"/>
          <w:szCs w:val="44"/>
        </w:rPr>
        <w:t>贵金属废料</w:t>
      </w:r>
    </w:p>
    <w:p>
      <w:pPr>
        <w:spacing w:line="620" w:lineRule="exact"/>
        <w:jc w:val="center"/>
        <w:rPr>
          <w:rFonts w:eastAsia="方正大标宋简体"/>
          <w:color w:val="000000"/>
          <w:sz w:val="44"/>
          <w:szCs w:val="44"/>
        </w:rPr>
      </w:pPr>
      <w:r>
        <w:rPr>
          <w:rFonts w:eastAsia="方正大标宋简体"/>
          <w:color w:val="000000"/>
          <w:sz w:val="44"/>
          <w:szCs w:val="44"/>
        </w:rPr>
        <w:t>回收处理技术研发与应用项目</w:t>
      </w:r>
      <w:r>
        <w:rPr>
          <w:rFonts w:hint="eastAsia" w:eastAsia="方正大标宋简体"/>
          <w:color w:val="000000"/>
          <w:sz w:val="44"/>
          <w:szCs w:val="44"/>
        </w:rPr>
        <w:t>（一期）</w:t>
      </w:r>
    </w:p>
    <w:p>
      <w:pPr>
        <w:spacing w:line="620" w:lineRule="exact"/>
        <w:jc w:val="center"/>
        <w:rPr>
          <w:rFonts w:eastAsia="方正大标宋简体"/>
          <w:color w:val="000000"/>
          <w:sz w:val="44"/>
          <w:szCs w:val="44"/>
        </w:rPr>
      </w:pPr>
      <w:r>
        <w:rPr>
          <w:rFonts w:eastAsia="方正大标宋简体"/>
          <w:color w:val="000000"/>
          <w:sz w:val="44"/>
          <w:szCs w:val="44"/>
        </w:rPr>
        <w:t>环境影响报告书的批复</w:t>
      </w:r>
    </w:p>
    <w:p>
      <w:pPr>
        <w:spacing w:line="620" w:lineRule="exact"/>
        <w:rPr>
          <w:rFonts w:eastAsia="仿宋_GB2312"/>
          <w:color w:val="000000"/>
        </w:rPr>
      </w:pPr>
    </w:p>
    <w:p>
      <w:pPr>
        <w:spacing w:line="620" w:lineRule="exact"/>
        <w:jc w:val="left"/>
        <w:rPr>
          <w:rFonts w:eastAsia="仿宋_GB2312"/>
          <w:color w:val="000000"/>
        </w:rPr>
      </w:pPr>
      <w:r>
        <w:rPr>
          <w:rFonts w:eastAsia="仿宋_GB2312"/>
          <w:color w:val="000000"/>
        </w:rPr>
        <w:t xml:space="preserve">兖矿鲁南化工有限公司： </w:t>
      </w:r>
    </w:p>
    <w:p>
      <w:pPr>
        <w:spacing w:line="620" w:lineRule="exact"/>
        <w:ind w:firstLine="640" w:firstLineChars="200"/>
        <w:rPr>
          <w:rFonts w:eastAsia="仿宋_GB2312"/>
          <w:color w:val="000000"/>
        </w:rPr>
      </w:pPr>
      <w:r>
        <w:rPr>
          <w:rFonts w:eastAsia="仿宋_GB2312"/>
          <w:color w:val="000000"/>
        </w:rPr>
        <w:t>你公司报送的《兖矿鲁南化工有限公司含贵金属废料回收处理技术研发与应用项目</w:t>
      </w:r>
      <w:r>
        <w:rPr>
          <w:rFonts w:hint="eastAsia" w:eastAsia="仿宋_GB2312"/>
          <w:color w:val="000000"/>
        </w:rPr>
        <w:t>（一期）</w:t>
      </w:r>
      <w:r>
        <w:rPr>
          <w:rFonts w:eastAsia="仿宋_GB2312"/>
          <w:color w:val="000000"/>
        </w:rPr>
        <w:t>环境影响报告书》收悉。经研究，批复如下：</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一、项目属于新建，位于兖矿鲁南化工有限公司厂区内。主要建设主体工程（</w:t>
      </w:r>
      <w:r>
        <w:rPr>
          <w:rFonts w:hint="eastAsia" w:ascii="Times New Roman" w:hAnsi="Times New Roman" w:eastAsia="仿宋_GB2312" w:cs="Times New Roman"/>
          <w:color w:val="000000"/>
          <w:sz w:val="32"/>
          <w:szCs w:val="32"/>
        </w:rPr>
        <w:t>新建</w:t>
      </w:r>
      <w:r>
        <w:rPr>
          <w:rFonts w:ascii="Times New Roman" w:hAnsi="Times New Roman" w:eastAsia="仿宋_GB2312" w:cs="Times New Roman"/>
          <w:color w:val="000000"/>
          <w:sz w:val="32"/>
          <w:szCs w:val="32"/>
        </w:rPr>
        <w:t>焙烧车间，</w:t>
      </w:r>
      <w:r>
        <w:rPr>
          <w:rFonts w:hint="eastAsia" w:ascii="Times New Roman" w:hAnsi="Times New Roman" w:eastAsia="仿宋_GB2312" w:cs="Times New Roman"/>
          <w:color w:val="000000"/>
          <w:sz w:val="32"/>
          <w:szCs w:val="32"/>
        </w:rPr>
        <w:t>内设焙烧系统、配料间</w:t>
      </w:r>
      <w:r>
        <w:rPr>
          <w:rFonts w:ascii="Times New Roman" w:hAnsi="Times New Roman" w:eastAsia="仿宋_GB2312" w:cs="Times New Roman"/>
          <w:color w:val="000000"/>
          <w:sz w:val="32"/>
          <w:szCs w:val="32"/>
        </w:rPr>
        <w:t>）、辅助工程</w:t>
      </w:r>
      <w:r>
        <w:rPr>
          <w:rFonts w:hint="eastAsia" w:ascii="Times New Roman" w:hAnsi="Times New Roman" w:eastAsia="仿宋_GB2312" w:cs="Times New Roman"/>
          <w:color w:val="000000"/>
          <w:sz w:val="32"/>
          <w:szCs w:val="32"/>
        </w:rPr>
        <w:t>（新建机柜间、配电室）</w:t>
      </w:r>
      <w:r>
        <w:rPr>
          <w:rFonts w:ascii="Times New Roman" w:hAnsi="Times New Roman" w:eastAsia="仿宋_GB2312" w:cs="Times New Roman"/>
          <w:color w:val="000000"/>
          <w:sz w:val="32"/>
          <w:szCs w:val="32"/>
        </w:rPr>
        <w:t>、环保工程等。主要包括</w:t>
      </w:r>
      <w:r>
        <w:rPr>
          <w:rFonts w:hint="eastAsia" w:ascii="Times New Roman" w:hAnsi="Times New Roman" w:eastAsia="仿宋_GB2312" w:cs="Times New Roman"/>
          <w:color w:val="000000"/>
          <w:sz w:val="32"/>
          <w:szCs w:val="32"/>
        </w:rPr>
        <w:t>配料系统、</w:t>
      </w:r>
      <w:r>
        <w:rPr>
          <w:rFonts w:ascii="Times New Roman" w:hAnsi="Times New Roman" w:eastAsia="仿宋_GB2312" w:cs="Times New Roman"/>
          <w:color w:val="000000"/>
          <w:sz w:val="32"/>
          <w:szCs w:val="32"/>
        </w:rPr>
        <w:t>焙烧进料系统、废气处理系统等，其他公辅设施均依托厂区现有装置。</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全面落实报告书提出的各项生态保护、污染防治及环境风险防范措施后，污染物可达标排放。从生态环境部门角度，我局原则同意环境影响报告书中所列建设项目的地点、工艺和拟采取的环境保护措施进行建设和运营。</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二、项目设计、建设和运行管理中应重点做好以下工作 </w:t>
      </w:r>
    </w:p>
    <w:p>
      <w:pPr>
        <w:spacing w:line="620" w:lineRule="exact"/>
        <w:ind w:firstLine="640" w:firstLineChars="200"/>
        <w:rPr>
          <w:rFonts w:eastAsia="仿宋_GB2312"/>
          <w:color w:val="000000"/>
        </w:rPr>
      </w:pPr>
      <w:r>
        <w:rPr>
          <w:rFonts w:eastAsia="仿宋_GB2312"/>
          <w:color w:val="000000"/>
        </w:rPr>
        <w:t>（一）加强施工环境管理。严格制定扬尘防治方案，采取有效治理措施，将施工扬尘影响降至最小。加强施工期噪声管理，合理安排施工时间，降低设备声级。施工过程中产生的建筑垃圾要严格实行定点堆放，并及时清运处理。加强施工污水的排放管理和生态环境及土壤保护措施。</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（二）强化大气污染防治措施。焚烧炉尾气经高温除尘+二燃室+SNCR+急冷+两级碱喷淋+活性炭吸附</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SCR脱硝处理后通过36.5m高排气筒排放，其中颗粒物、氮氧化物、二氧化硫排放浓度须符合《区域性大气污染物综合排放标准》（DB37/2376-2019）表1重点控制区排放限值要求；二噁英、CO</w:t>
      </w:r>
      <w:r>
        <w:rPr>
          <w:rFonts w:hint="eastAsia" w:ascii="Times New Roman" w:hAnsi="Times New Roman" w:eastAsia="仿宋_GB2312" w:cs="Times New Roman"/>
          <w:color w:val="000000"/>
          <w:sz w:val="32"/>
          <w:szCs w:val="32"/>
        </w:rPr>
        <w:t>、HF及</w:t>
      </w:r>
      <w:r>
        <w:rPr>
          <w:rFonts w:ascii="Times New Roman" w:hAnsi="Times New Roman" w:eastAsia="仿宋_GB2312" w:cs="Times New Roman"/>
          <w:color w:val="000000"/>
          <w:sz w:val="32"/>
          <w:szCs w:val="32"/>
        </w:rPr>
        <w:t>其他污染物排放浓度满足《危险废物焚烧污染控制标准》（GB18484-2020）表3排放限值要求。</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严格落实报告书提出的无组织排放措施。开展泄漏检测与修复（LDAR）工作。厂界无组织废气浓度</w:t>
      </w:r>
      <w:r>
        <w:rPr>
          <w:rFonts w:hint="eastAsia" w:ascii="Times New Roman" w:hAnsi="Times New Roman" w:eastAsia="仿宋_GB2312" w:cs="Times New Roman"/>
          <w:color w:val="000000"/>
          <w:sz w:val="32"/>
          <w:szCs w:val="32"/>
        </w:rPr>
        <w:t>须符合</w:t>
      </w:r>
      <w:r>
        <w:rPr>
          <w:rFonts w:ascii="Times New Roman" w:hAnsi="Times New Roman" w:eastAsia="仿宋_GB2312" w:cs="Times New Roman"/>
          <w:color w:val="000000"/>
          <w:sz w:val="32"/>
          <w:szCs w:val="32"/>
        </w:rPr>
        <w:t>《挥发性有机物排放标准 第</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部分：</w:t>
      </w:r>
      <w:r>
        <w:rPr>
          <w:rFonts w:hint="eastAsia" w:ascii="Times New Roman" w:hAnsi="Times New Roman" w:eastAsia="仿宋_GB2312" w:cs="Times New Roman"/>
          <w:color w:val="000000"/>
          <w:sz w:val="32"/>
          <w:szCs w:val="32"/>
        </w:rPr>
        <w:t>其他</w:t>
      </w:r>
      <w:r>
        <w:rPr>
          <w:rFonts w:ascii="Times New Roman" w:hAnsi="Times New Roman" w:eastAsia="仿宋_GB2312" w:cs="Times New Roman"/>
          <w:color w:val="000000"/>
          <w:sz w:val="32"/>
          <w:szCs w:val="32"/>
        </w:rPr>
        <w:t>行业》（DB37/2801.</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-2018）相关要求。</w:t>
      </w:r>
    </w:p>
    <w:p>
      <w:pPr>
        <w:pStyle w:val="39"/>
        <w:spacing w:line="620" w:lineRule="exact"/>
        <w:ind w:firstLine="640"/>
        <w:jc w:val="left"/>
        <w:rPr>
          <w:rFonts w:eastAsia="仿宋_GB2312"/>
          <w:color w:val="000000"/>
          <w:sz w:val="32"/>
          <w:szCs w:val="32"/>
        </w:rPr>
      </w:pPr>
      <w:r>
        <w:rPr>
          <w:rFonts w:eastAsia="仿宋_GB2312"/>
          <w:color w:val="000000"/>
          <w:sz w:val="32"/>
          <w:szCs w:val="32"/>
        </w:rPr>
        <w:t>（三）严格落实水污染防治措施。</w:t>
      </w:r>
      <w:r>
        <w:rPr>
          <w:rFonts w:hint="eastAsia" w:ascii="仿宋_GB2312" w:hAnsi="仿宋_GB2312" w:eastAsia="仿宋_GB2312" w:cs="仿宋_GB2312"/>
          <w:sz w:val="32"/>
          <w:szCs w:val="32"/>
        </w:rPr>
        <w:t>按照“雨污分流、清污分流、污污分流”原则完善厂区排水系统。</w:t>
      </w:r>
      <w:r>
        <w:rPr>
          <w:rFonts w:eastAsia="仿宋_GB2312"/>
          <w:color w:val="000000"/>
          <w:sz w:val="32"/>
          <w:szCs w:val="32"/>
        </w:rPr>
        <w:t>项目废水排入鲁化污水处理厂处理符合《流域水污染物综合排放标准 第1部分：南四湖东平湖流域》(DB37/3416.1-2018)表2一般保护区域标准要求后，排入小沂河。</w:t>
      </w:r>
    </w:p>
    <w:p>
      <w:pPr>
        <w:spacing w:line="620" w:lineRule="exact"/>
        <w:ind w:firstLine="640" w:firstLineChars="200"/>
        <w:rPr>
          <w:rFonts w:eastAsia="仿宋_GB2312"/>
          <w:color w:val="000000"/>
        </w:rPr>
      </w:pPr>
      <w:r>
        <w:rPr>
          <w:rFonts w:eastAsia="仿宋_GB2312"/>
          <w:color w:val="000000"/>
        </w:rPr>
        <w:t>（四）严格落实土壤和地下水污染防治措施。按照“源头防控、分区防治、污染监控、应急响应”的原则进行地下水污染防治，</w:t>
      </w:r>
      <w:r>
        <w:rPr>
          <w:rStyle w:val="27"/>
          <w:rFonts w:eastAsia="仿宋_GB2312"/>
          <w:color w:val="000000"/>
        </w:rPr>
        <w:t>强化厂区防漏及事故废水应急收集处理</w:t>
      </w:r>
      <w:r>
        <w:rPr>
          <w:rFonts w:eastAsia="仿宋_GB2312"/>
          <w:color w:val="000000"/>
        </w:rPr>
        <w:t>。加强防渗设施的日常维护，对出现损害的防渗设施应及时修复和加固，确保防渗设施牢固安全。建立完善的土壤和地下水监测制度。根据重点污染防治区平面布置、地下水流向，合理设置土壤和地下水监测井，严格落实土壤和地下水监测计划。一旦出现土壤或地下水污染，立即启动应急预案和应急措施，减少对土壤和地下水的不利环境影响。</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（五）严格落实噪声污染防治措施。采取设隔音、为设备增加减振基础等措施后，厂界噪声须符合《工业企业厂界环境噪声排放标准》(GB12348–2008)中3类功能区的要求。 </w:t>
      </w:r>
    </w:p>
    <w:p>
      <w:pPr>
        <w:pStyle w:val="30"/>
        <w:tabs>
          <w:tab w:val="left" w:pos="3030"/>
        </w:tabs>
        <w:spacing w:line="6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（六）严格落实固体废物分类处置措施。炉渣、飞灰、废活性炭、废耐火砖、底泥、废布袋、废催化剂交由有资质单位处置</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 xml:space="preserve">一般工业固体废物贮存场所等须符合《一般工业固体废物贮存和填埋污染控制标准》（GB18599-2020）要求。严格落实危险废物处置要求，危废暂存间须符合《危险废物贮存污染控制标准》(GB18597-2001)及修改单标准要求。 </w:t>
      </w:r>
    </w:p>
    <w:p>
      <w:pPr>
        <w:spacing w:line="620" w:lineRule="exact"/>
        <w:ind w:firstLine="640" w:firstLineChars="200"/>
        <w:rPr>
          <w:rFonts w:eastAsia="仿宋_GB2312"/>
          <w:color w:val="000000"/>
        </w:rPr>
      </w:pPr>
      <w:r>
        <w:rPr>
          <w:rFonts w:eastAsia="仿宋_GB2312"/>
          <w:color w:val="000000"/>
        </w:rPr>
        <w:t>（七）健全环境管理制度。按照相关要求设置规范的污染物排放口</w:t>
      </w:r>
      <w:r>
        <w:rPr>
          <w:rFonts w:eastAsia="仿宋_GB2312"/>
          <w:color w:val="000000"/>
          <w:kern w:val="0"/>
          <w:lang w:val="zh-CN"/>
        </w:rPr>
        <w:t>和监测口</w:t>
      </w:r>
      <w:r>
        <w:rPr>
          <w:rFonts w:eastAsia="仿宋_GB2312"/>
          <w:color w:val="000000"/>
        </w:rPr>
        <w:t>，排气筒须按照规范要求设置永久采样孔、安装采样监测平台，并设立标志牌。落实环境监测计划，发现异常情况，及时采取相关措施并向当地生态环境部门报告。严格按照国家环境保护相关法律法规以及排污许可证申请与核发技术规范要求申请排污许可证，不得无证排污或不按证排污，同时应做好排污许可证执行报告等相关工作。采用先进的生产工艺、技术和设备，全面贯彻清洁生产理念，采取有效的污染物治理与废物综合利用措施，确保满足清洁生产的要求。</w:t>
      </w:r>
    </w:p>
    <w:p>
      <w:pPr>
        <w:spacing w:line="620" w:lineRule="exact"/>
        <w:ind w:firstLine="640" w:firstLineChars="200"/>
        <w:rPr>
          <w:rFonts w:eastAsia="仿宋_GB2312"/>
          <w:color w:val="000000"/>
        </w:rPr>
      </w:pPr>
      <w:r>
        <w:rPr>
          <w:rFonts w:eastAsia="仿宋_GB2312"/>
          <w:color w:val="000000"/>
        </w:rPr>
        <w:t>（八）强化环境风险防范和应急措施。</w:t>
      </w:r>
      <w:r>
        <w:rPr>
          <w:rStyle w:val="27"/>
          <w:rFonts w:eastAsia="仿宋_GB2312"/>
          <w:color w:val="000000"/>
        </w:rPr>
        <w:t>加强生产运行中的全程风险管理</w:t>
      </w:r>
      <w:r>
        <w:rPr>
          <w:rFonts w:eastAsia="仿宋_GB2312"/>
          <w:color w:val="000000"/>
        </w:rPr>
        <w:t>。按照</w:t>
      </w:r>
      <w:r>
        <w:rPr>
          <w:rFonts w:hint="eastAsia" w:eastAsia="仿宋_GB2312"/>
          <w:color w:val="000000"/>
        </w:rPr>
        <w:t>“</w:t>
      </w:r>
      <w:r>
        <w:rPr>
          <w:rFonts w:eastAsia="仿宋_GB2312"/>
          <w:color w:val="000000"/>
        </w:rPr>
        <w:t>单元—厂区—园区</w:t>
      </w:r>
      <w:r>
        <w:rPr>
          <w:rFonts w:hint="eastAsia" w:eastAsia="仿宋_GB2312"/>
          <w:color w:val="000000"/>
        </w:rPr>
        <w:t>”</w:t>
      </w:r>
      <w:r>
        <w:rPr>
          <w:rFonts w:eastAsia="仿宋_GB2312"/>
          <w:color w:val="000000"/>
        </w:rPr>
        <w:t>水环境风险防控体系要求设置事故废水收集和应急储存设施。厂区内设置足够容积的事故水池，确保事故水可自流进入所在区域的事故水池。完善突发环境事件应急预案和受影响区域内人员应急疏散方案，配备足够的应急队伍、设备和物资，建立项目与区域的环境风险监控预警体系，制定环境应急监测方案。定期开展应急演练，提升区域环境风险防范能力，有效防控区域环境风险。按照分类管理、分级响应、区域联动的原则，做好项目与园区、区域等突发环境事件联防联控工作。一旦发生突发环境事件，立即启动应急预案，采取有效措施控制、减轻或消除对环境的污染。</w:t>
      </w:r>
    </w:p>
    <w:p>
      <w:pPr>
        <w:spacing w:line="620" w:lineRule="exact"/>
        <w:ind w:firstLine="640" w:firstLineChars="200"/>
        <w:rPr>
          <w:rFonts w:eastAsia="仿宋_GB2312"/>
          <w:color w:val="000000"/>
        </w:rPr>
      </w:pPr>
      <w:r>
        <w:rPr>
          <w:rFonts w:eastAsia="仿宋_GB2312"/>
          <w:bCs/>
          <w:color w:val="000000"/>
        </w:rPr>
        <w:t>（九）</w:t>
      </w:r>
      <w:r>
        <w:rPr>
          <w:rFonts w:eastAsia="仿宋_GB2312"/>
          <w:color w:val="000000"/>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7"/>
          <w:rFonts w:eastAsia="仿宋_GB2312"/>
          <w:color w:val="000000"/>
        </w:rPr>
        <w:t>。</w:t>
      </w:r>
      <w:r>
        <w:rPr>
          <w:rFonts w:eastAsia="仿宋_GB2312"/>
          <w:color w:val="000000"/>
        </w:rPr>
        <w:t xml:space="preserve"> </w:t>
      </w:r>
    </w:p>
    <w:p>
      <w:pPr>
        <w:pStyle w:val="15"/>
        <w:spacing w:line="620" w:lineRule="exact"/>
        <w:ind w:firstLine="640" w:firstLineChars="200"/>
        <w:rPr>
          <w:rFonts w:eastAsia="仿宋_GB2312"/>
          <w:color w:val="000000"/>
        </w:rPr>
      </w:pPr>
      <w:r>
        <w:rPr>
          <w:rFonts w:eastAsia="仿宋_GB2312"/>
          <w:color w:val="000000"/>
        </w:rPr>
        <w:t>三、你公司必须严格执行配套建设的环境保护设施与主体项目同时设计、同时施工、同时投入使用的“三同时”制度，落实各项环境保护措施。项目建成后，须按规定程序实施竣工环境保护验收（前述环保措施未落实前，不得通过验收和投入生产）。项目建设运行中应遵循环评报告书相关要求，该项目采取拆除活动时及服务期满后需开展完成相应的风险评估和修复工作等。</w:t>
      </w:r>
    </w:p>
    <w:p>
      <w:pPr>
        <w:pStyle w:val="15"/>
        <w:spacing w:line="620" w:lineRule="exact"/>
        <w:ind w:firstLine="640" w:firstLineChars="200"/>
        <w:rPr>
          <w:rFonts w:eastAsia="仿宋_GB2312"/>
          <w:color w:val="000000"/>
        </w:rPr>
      </w:pPr>
      <w:r>
        <w:rPr>
          <w:rFonts w:eastAsia="仿宋_GB2312"/>
          <w:color w:val="000000"/>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spacing w:line="620" w:lineRule="exact"/>
        <w:ind w:firstLine="640" w:firstLineChars="200"/>
        <w:rPr>
          <w:rFonts w:eastAsia="仿宋_GB2312"/>
          <w:color w:val="000000"/>
        </w:rPr>
      </w:pPr>
      <w:r>
        <w:rPr>
          <w:rFonts w:eastAsia="仿宋_GB2312"/>
          <w:color w:val="000000"/>
        </w:rPr>
        <w:t xml:space="preserve">五、由枣庄市生态环境局滕州分局和枣庄市生态环境保护综合执法支队负责该项目的“三同时”监督检查和日常管理工作。 </w:t>
      </w:r>
    </w:p>
    <w:p>
      <w:pPr>
        <w:spacing w:line="620" w:lineRule="exact"/>
        <w:ind w:firstLine="640" w:firstLineChars="200"/>
        <w:jc w:val="left"/>
        <w:rPr>
          <w:rFonts w:eastAsia="仿宋_GB2312"/>
          <w:color w:val="000000"/>
        </w:rPr>
      </w:pPr>
      <w:r>
        <w:rPr>
          <w:rFonts w:eastAsia="仿宋_GB2312"/>
          <w:color w:val="000000"/>
        </w:rPr>
        <w:t xml:space="preserve">六、你公司应在接到本批复后10个工作日内，将批准后的环境影响报告书送枣庄市生态环境局滕州分局，并按规定接受各级生态环境部门的监督检查。 </w:t>
      </w:r>
    </w:p>
    <w:p>
      <w:pPr>
        <w:pStyle w:val="2"/>
        <w:spacing w:line="620" w:lineRule="exact"/>
        <w:ind w:left="0" w:leftChars="0" w:firstLine="0"/>
        <w:rPr>
          <w:rFonts w:eastAsia="仿宋_GB2312"/>
          <w:color w:val="000000"/>
          <w:sz w:val="32"/>
        </w:rPr>
      </w:pPr>
      <w:r>
        <w:rPr>
          <w:rFonts w:eastAsia="仿宋_GB2312"/>
          <w:color w:val="000000"/>
          <w:sz w:val="32"/>
        </w:rPr>
        <w:t xml:space="preserve">    七、如有符合《中华人民共和国行政许可法》第七十八条“行政许可申请人隐瞒有关情况或者提供虚假材料申请行政许可，行政机关应不予受理或者不予行政许可情形”或不符合相关法律法规规定要求的，本批复自始自然作废。</w:t>
      </w:r>
    </w:p>
    <w:p>
      <w:pPr>
        <w:pStyle w:val="2"/>
        <w:keepNext w:val="0"/>
        <w:keepLines w:val="0"/>
        <w:pageBreakBefore w:val="0"/>
        <w:widowControl w:val="0"/>
        <w:kinsoku/>
        <w:wordWrap/>
        <w:overflowPunct/>
        <w:topLinePunct w:val="0"/>
        <w:autoSpaceDE/>
        <w:autoSpaceDN/>
        <w:bidi w:val="0"/>
        <w:adjustRightInd/>
        <w:snapToGrid/>
        <w:spacing w:line="620" w:lineRule="exact"/>
        <w:ind w:left="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p>
    <w:p>
      <w:pPr>
        <w:spacing w:line="580" w:lineRule="exact"/>
        <w:ind w:firstLine="4960" w:firstLineChars="1550"/>
        <w:rPr>
          <w:rFonts w:eastAsia="仿宋_GB2312"/>
        </w:rPr>
      </w:pPr>
      <w:r>
        <w:rPr>
          <w:rFonts w:eastAsia="仿宋_GB2312"/>
        </w:rPr>
        <w:t>枣庄市生态环境局</w:t>
      </w:r>
    </w:p>
    <w:p>
      <w:pPr>
        <w:spacing w:line="580" w:lineRule="exact"/>
        <w:ind w:firstLine="5120" w:firstLineChars="1600"/>
      </w:pPr>
      <w:r>
        <w:rPr>
          <w:rFonts w:eastAsia="仿宋_GB2312"/>
        </w:rPr>
        <w:t>2022年</w:t>
      </w:r>
      <w:r>
        <w:rPr>
          <w:rFonts w:hint="eastAsia" w:eastAsia="仿宋_GB2312"/>
          <w:lang w:val="en-US" w:eastAsia="zh-CN"/>
        </w:rPr>
        <w:t>4</w:t>
      </w:r>
      <w:r>
        <w:rPr>
          <w:rFonts w:eastAsia="仿宋_GB2312"/>
        </w:rPr>
        <w:t>月</w:t>
      </w:r>
      <w:r>
        <w:rPr>
          <w:rFonts w:hint="eastAsia" w:eastAsia="仿宋_GB2312"/>
          <w:lang w:val="en-US" w:eastAsia="zh-CN"/>
        </w:rPr>
        <w:t>1</w:t>
      </w:r>
      <w:r>
        <w:rPr>
          <w:rFonts w:eastAsia="仿宋_GB2312"/>
        </w:rPr>
        <w:t>日</w:t>
      </w:r>
    </w:p>
    <w:p>
      <w:pPr>
        <w:pStyle w:val="2"/>
        <w:ind w:left="640"/>
      </w:pPr>
    </w:p>
    <w:p/>
    <w:p>
      <w:pPr>
        <w:pStyle w:val="2"/>
        <w:ind w:left="640"/>
      </w:pPr>
    </w:p>
    <w:p/>
    <w:p>
      <w:pPr>
        <w:pStyle w:val="2"/>
        <w:ind w:left="640"/>
      </w:pPr>
    </w:p>
    <w:p/>
    <w:p>
      <w:pPr>
        <w:pStyle w:val="2"/>
        <w:ind w:left="0" w:leftChars="0" w:firstLine="0" w:firstLineChars="0"/>
      </w:pPr>
    </w:p>
    <w:p/>
    <w:p>
      <w:bookmarkStart w:id="0" w:name="_GoBack"/>
      <w:bookmarkEnd w:id="0"/>
    </w:p>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eastAsia="仿宋_GB2312"/>
          <w:color w:val="000000"/>
          <w:sz w:val="28"/>
          <w:szCs w:val="28"/>
        </w:rPr>
      </w:pPr>
      <w:r>
        <w:rPr>
          <w:rFonts w:eastAsia="仿宋_GB2312"/>
          <w:color w:val="000000"/>
          <w:sz w:val="28"/>
          <w:szCs w:val="28"/>
        </w:rPr>
        <w:t>主题词：环境影响评价  报告书  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360" w:lineRule="exact"/>
              <w:ind w:left="900" w:hanging="840" w:hangingChars="300"/>
              <w:textAlignment w:val="auto"/>
              <w:rPr>
                <w:rFonts w:eastAsia="仿宋_GB2312"/>
                <w:color w:val="000000"/>
                <w:sz w:val="28"/>
                <w:szCs w:val="28"/>
              </w:rPr>
            </w:pPr>
            <w:r>
              <w:rPr>
                <w:rFonts w:eastAsia="仿宋_GB2312"/>
                <w:color w:val="000000"/>
                <w:sz w:val="28"/>
                <w:szCs w:val="28"/>
              </w:rPr>
              <w:t>抄送：市生态环境保护综合执法支队、滕州分局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eastAsia="仿宋_GB2312"/>
                <w:color w:val="000000"/>
                <w:sz w:val="28"/>
                <w:szCs w:val="28"/>
              </w:rPr>
            </w:pPr>
            <w:r>
              <w:rPr>
                <w:rFonts w:eastAsia="仿宋_GB2312"/>
                <w:color w:val="000000"/>
                <w:sz w:val="28"/>
                <w:szCs w:val="28"/>
              </w:rPr>
              <w:t xml:space="preserve">枣庄市生态环境局办公室              </w:t>
            </w:r>
            <w:r>
              <w:rPr>
                <w:rFonts w:hint="eastAsia" w:eastAsia="仿宋_GB2312"/>
                <w:color w:val="000000"/>
                <w:sz w:val="28"/>
                <w:szCs w:val="28"/>
                <w:lang w:val="en-US" w:eastAsia="zh-CN"/>
              </w:rPr>
              <w:t xml:space="preserve">     </w:t>
            </w:r>
            <w:r>
              <w:rPr>
                <w:rFonts w:eastAsia="仿宋_GB2312"/>
                <w:color w:val="000000"/>
                <w:sz w:val="28"/>
                <w:szCs w:val="28"/>
              </w:rPr>
              <w:t xml:space="preserve">  2022年</w:t>
            </w:r>
            <w:r>
              <w:rPr>
                <w:rFonts w:hint="eastAsia" w:eastAsia="仿宋_GB2312"/>
                <w:color w:val="000000"/>
                <w:sz w:val="28"/>
                <w:szCs w:val="28"/>
                <w:lang w:val="en-US" w:eastAsia="zh-CN"/>
              </w:rPr>
              <w:t>4</w:t>
            </w:r>
            <w:r>
              <w:rPr>
                <w:rFonts w:eastAsia="仿宋_GB2312"/>
                <w:color w:val="000000"/>
                <w:sz w:val="28"/>
                <w:szCs w:val="28"/>
              </w:rPr>
              <w:t>月</w:t>
            </w:r>
            <w:r>
              <w:rPr>
                <w:rFonts w:hint="eastAsia" w:eastAsia="仿宋_GB2312"/>
                <w:color w:val="000000"/>
                <w:sz w:val="28"/>
                <w:szCs w:val="28"/>
                <w:lang w:val="en-US" w:eastAsia="zh-CN"/>
              </w:rPr>
              <w:t>1</w:t>
            </w:r>
            <w:r>
              <w:rPr>
                <w:rFonts w:eastAsia="仿宋_GB2312"/>
                <w:color w:val="000000"/>
                <w:sz w:val="28"/>
                <w:szCs w:val="28"/>
              </w:rPr>
              <w:t>日印发</w:t>
            </w:r>
          </w:p>
        </w:tc>
      </w:tr>
    </w:tbl>
    <w:p>
      <w:pPr>
        <w:keepNext w:val="0"/>
        <w:keepLines w:val="0"/>
        <w:pageBreakBefore w:val="0"/>
        <w:widowControl w:val="0"/>
        <w:tabs>
          <w:tab w:val="left" w:pos="1989"/>
          <w:tab w:val="left" w:pos="6840"/>
          <w:tab w:val="left" w:pos="8280"/>
        </w:tabs>
        <w:kinsoku/>
        <w:wordWrap/>
        <w:overflowPunct/>
        <w:topLinePunct w:val="0"/>
        <w:autoSpaceDE/>
        <w:autoSpaceDN/>
        <w:bidi w:val="0"/>
        <w:adjustRightInd/>
        <w:snapToGrid/>
        <w:spacing w:line="360" w:lineRule="exact"/>
        <w:jc w:val="right"/>
        <w:textAlignment w:val="auto"/>
        <w:rPr>
          <w:sz w:val="28"/>
          <w:szCs w:val="28"/>
        </w:rPr>
      </w:pPr>
      <w:r>
        <w:rPr>
          <w:rFonts w:eastAsia="仿宋_GB2312"/>
          <w:color w:val="000000"/>
          <w:sz w:val="28"/>
          <w:szCs w:val="28"/>
        </w:rPr>
        <w:t xml:space="preserve"> （共印10份）</w:t>
      </w:r>
    </w:p>
    <w:sectPr>
      <w:headerReference r:id="rId3" w:type="default"/>
      <w:footerReference r:id="rId4" w:type="default"/>
      <w:footerReference r:id="rId5" w:type="even"/>
      <w:pgSz w:w="11906" w:h="16838"/>
      <w:pgMar w:top="1928" w:right="1474"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Style w:val="18"/>
                    <w:sz w:val="24"/>
                    <w:szCs w:val="24"/>
                  </w:rPr>
                </w:pPr>
                <w:r>
                  <w:rPr>
                    <w:rStyle w:val="18"/>
                    <w:sz w:val="24"/>
                    <w:szCs w:val="24"/>
                  </w:rPr>
                  <w:t xml:space="preserve">— </w:t>
                </w:r>
                <w:r>
                  <w:rPr>
                    <w:rStyle w:val="18"/>
                    <w:sz w:val="24"/>
                    <w:szCs w:val="24"/>
                  </w:rPr>
                  <w:fldChar w:fldCharType="begin"/>
                </w:r>
                <w:r>
                  <w:rPr>
                    <w:rStyle w:val="18"/>
                    <w:sz w:val="24"/>
                    <w:szCs w:val="24"/>
                  </w:rPr>
                  <w:instrText xml:space="preserve"> PAGE  \* MERGEFORMAT </w:instrText>
                </w:r>
                <w:r>
                  <w:rPr>
                    <w:rStyle w:val="18"/>
                    <w:sz w:val="24"/>
                    <w:szCs w:val="24"/>
                  </w:rPr>
                  <w:fldChar w:fldCharType="separate"/>
                </w:r>
                <w:r>
                  <w:rPr>
                    <w:rStyle w:val="18"/>
                    <w:sz w:val="24"/>
                    <w:szCs w:val="24"/>
                  </w:rPr>
                  <w:t>- 1 -</w:t>
                </w:r>
                <w:r>
                  <w:rPr>
                    <w:rStyle w:val="18"/>
                    <w:sz w:val="24"/>
                    <w:szCs w:val="24"/>
                  </w:rPr>
                  <w:fldChar w:fldCharType="end"/>
                </w:r>
                <w:r>
                  <w:rPr>
                    <w:rStyle w:val="18"/>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2"/>
  </w:compat>
  <w:rsids>
    <w:rsidRoot w:val="00172A27"/>
    <w:rsid w:val="00024677"/>
    <w:rsid w:val="000F32CF"/>
    <w:rsid w:val="00172A27"/>
    <w:rsid w:val="00270CDE"/>
    <w:rsid w:val="00390C1B"/>
    <w:rsid w:val="003D1496"/>
    <w:rsid w:val="00442D00"/>
    <w:rsid w:val="005A1B16"/>
    <w:rsid w:val="005A3FA3"/>
    <w:rsid w:val="005B0F4A"/>
    <w:rsid w:val="007B5352"/>
    <w:rsid w:val="00857887"/>
    <w:rsid w:val="00943FE8"/>
    <w:rsid w:val="009C72C7"/>
    <w:rsid w:val="009F64F0"/>
    <w:rsid w:val="00A10B1F"/>
    <w:rsid w:val="00B17077"/>
    <w:rsid w:val="00B32EB3"/>
    <w:rsid w:val="00B62329"/>
    <w:rsid w:val="00BD4015"/>
    <w:rsid w:val="00C328C8"/>
    <w:rsid w:val="00D5663B"/>
    <w:rsid w:val="00FA1420"/>
    <w:rsid w:val="025C2B26"/>
    <w:rsid w:val="029459BF"/>
    <w:rsid w:val="03271FFD"/>
    <w:rsid w:val="04667CA1"/>
    <w:rsid w:val="04A75109"/>
    <w:rsid w:val="04B44DD9"/>
    <w:rsid w:val="05940989"/>
    <w:rsid w:val="05E2740E"/>
    <w:rsid w:val="06027688"/>
    <w:rsid w:val="06570A9B"/>
    <w:rsid w:val="076F56A3"/>
    <w:rsid w:val="078F3860"/>
    <w:rsid w:val="07FC05BB"/>
    <w:rsid w:val="07FF90B9"/>
    <w:rsid w:val="08447F6D"/>
    <w:rsid w:val="094B5DD0"/>
    <w:rsid w:val="096C09E8"/>
    <w:rsid w:val="098E00C0"/>
    <w:rsid w:val="09EB55DE"/>
    <w:rsid w:val="0BD15EED"/>
    <w:rsid w:val="0BE21D2A"/>
    <w:rsid w:val="0BFEF3C5"/>
    <w:rsid w:val="0CA32079"/>
    <w:rsid w:val="0D0B7502"/>
    <w:rsid w:val="0D0C75AA"/>
    <w:rsid w:val="0D2275C6"/>
    <w:rsid w:val="0D8452BF"/>
    <w:rsid w:val="0DE61AB8"/>
    <w:rsid w:val="0E4A279F"/>
    <w:rsid w:val="0E9C6544"/>
    <w:rsid w:val="0EB94CB5"/>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BFFDCA4"/>
    <w:rsid w:val="1C742734"/>
    <w:rsid w:val="1D7C7B1E"/>
    <w:rsid w:val="1D8B0DB6"/>
    <w:rsid w:val="1DA4037F"/>
    <w:rsid w:val="1DF3668C"/>
    <w:rsid w:val="1EC62458"/>
    <w:rsid w:val="1F5A78A4"/>
    <w:rsid w:val="1FE96ED7"/>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C07804"/>
    <w:rsid w:val="29242F92"/>
    <w:rsid w:val="2A1E3EA9"/>
    <w:rsid w:val="2A4372D3"/>
    <w:rsid w:val="2A862F5B"/>
    <w:rsid w:val="2AE10176"/>
    <w:rsid w:val="2B287CC0"/>
    <w:rsid w:val="2C9F1A7A"/>
    <w:rsid w:val="2CB83751"/>
    <w:rsid w:val="2CC35146"/>
    <w:rsid w:val="2CE51E7C"/>
    <w:rsid w:val="2E102318"/>
    <w:rsid w:val="2E144B70"/>
    <w:rsid w:val="2EB52114"/>
    <w:rsid w:val="2EFF5631"/>
    <w:rsid w:val="2F5A677B"/>
    <w:rsid w:val="2FF64284"/>
    <w:rsid w:val="3054546B"/>
    <w:rsid w:val="31534ACC"/>
    <w:rsid w:val="31846766"/>
    <w:rsid w:val="318C3401"/>
    <w:rsid w:val="31F97B06"/>
    <w:rsid w:val="325355C3"/>
    <w:rsid w:val="3322137D"/>
    <w:rsid w:val="338A27B8"/>
    <w:rsid w:val="33AC0A39"/>
    <w:rsid w:val="33DD7E4D"/>
    <w:rsid w:val="33FB4A48"/>
    <w:rsid w:val="34CA3AE5"/>
    <w:rsid w:val="34F82151"/>
    <w:rsid w:val="35FE6BC7"/>
    <w:rsid w:val="3671626C"/>
    <w:rsid w:val="36F34C00"/>
    <w:rsid w:val="37724F2B"/>
    <w:rsid w:val="3798389B"/>
    <w:rsid w:val="37D16482"/>
    <w:rsid w:val="37FF17D1"/>
    <w:rsid w:val="38A4257E"/>
    <w:rsid w:val="39B1734A"/>
    <w:rsid w:val="39E12F92"/>
    <w:rsid w:val="3AAE2002"/>
    <w:rsid w:val="3ABA306E"/>
    <w:rsid w:val="3AF50A07"/>
    <w:rsid w:val="3B4D624B"/>
    <w:rsid w:val="3BC7254A"/>
    <w:rsid w:val="3C9A3604"/>
    <w:rsid w:val="3D1A2271"/>
    <w:rsid w:val="3D4FC456"/>
    <w:rsid w:val="3D6B698F"/>
    <w:rsid w:val="3DFFF255"/>
    <w:rsid w:val="3E696745"/>
    <w:rsid w:val="3EA17051"/>
    <w:rsid w:val="3EBF94D2"/>
    <w:rsid w:val="3EC225AA"/>
    <w:rsid w:val="3F043E14"/>
    <w:rsid w:val="3F2A691E"/>
    <w:rsid w:val="3F2F2B9A"/>
    <w:rsid w:val="3F37C153"/>
    <w:rsid w:val="3F731C46"/>
    <w:rsid w:val="3F9EE81D"/>
    <w:rsid w:val="3FBAA0FE"/>
    <w:rsid w:val="3FBBE484"/>
    <w:rsid w:val="3FF45CDA"/>
    <w:rsid w:val="3FF783F9"/>
    <w:rsid w:val="3FFFA053"/>
    <w:rsid w:val="3FFFCE31"/>
    <w:rsid w:val="40677146"/>
    <w:rsid w:val="409E6964"/>
    <w:rsid w:val="40C47EEF"/>
    <w:rsid w:val="40F55820"/>
    <w:rsid w:val="40FD6D36"/>
    <w:rsid w:val="42E20ACC"/>
    <w:rsid w:val="434837C4"/>
    <w:rsid w:val="449E1301"/>
    <w:rsid w:val="44CD2C40"/>
    <w:rsid w:val="44FF657E"/>
    <w:rsid w:val="45527FA2"/>
    <w:rsid w:val="46C9616F"/>
    <w:rsid w:val="471F908B"/>
    <w:rsid w:val="47D73114"/>
    <w:rsid w:val="47D947DB"/>
    <w:rsid w:val="48617FC9"/>
    <w:rsid w:val="487E4D09"/>
    <w:rsid w:val="48D37898"/>
    <w:rsid w:val="4921070A"/>
    <w:rsid w:val="496E58DF"/>
    <w:rsid w:val="49F02BF7"/>
    <w:rsid w:val="4A000BA0"/>
    <w:rsid w:val="4ACF32F2"/>
    <w:rsid w:val="4AF20754"/>
    <w:rsid w:val="4AF63520"/>
    <w:rsid w:val="4D440D11"/>
    <w:rsid w:val="4DEC1974"/>
    <w:rsid w:val="4EB22EE8"/>
    <w:rsid w:val="4EC454F9"/>
    <w:rsid w:val="4EFF0093"/>
    <w:rsid w:val="4FC7EA9E"/>
    <w:rsid w:val="4FDF1043"/>
    <w:rsid w:val="4FEFB4F1"/>
    <w:rsid w:val="4FFE18D6"/>
    <w:rsid w:val="50866C94"/>
    <w:rsid w:val="51616637"/>
    <w:rsid w:val="516612F6"/>
    <w:rsid w:val="523B3D27"/>
    <w:rsid w:val="52646B10"/>
    <w:rsid w:val="52CA7A93"/>
    <w:rsid w:val="530A105A"/>
    <w:rsid w:val="53156752"/>
    <w:rsid w:val="5323168F"/>
    <w:rsid w:val="532C2F82"/>
    <w:rsid w:val="532F38BC"/>
    <w:rsid w:val="537A5B9B"/>
    <w:rsid w:val="53BF44F1"/>
    <w:rsid w:val="54197219"/>
    <w:rsid w:val="547B55F1"/>
    <w:rsid w:val="549FAA77"/>
    <w:rsid w:val="54F07FFA"/>
    <w:rsid w:val="54F5359F"/>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EA5D26"/>
    <w:rsid w:val="5AA8510C"/>
    <w:rsid w:val="5ACE2F9B"/>
    <w:rsid w:val="5B1946DF"/>
    <w:rsid w:val="5B7F61E3"/>
    <w:rsid w:val="5B9F6627"/>
    <w:rsid w:val="5BB13AE8"/>
    <w:rsid w:val="5BF117A0"/>
    <w:rsid w:val="5C3E1353"/>
    <w:rsid w:val="5C620FDB"/>
    <w:rsid w:val="5D1D3CE9"/>
    <w:rsid w:val="5DA10C79"/>
    <w:rsid w:val="5DE7728E"/>
    <w:rsid w:val="5E426DAA"/>
    <w:rsid w:val="5E857380"/>
    <w:rsid w:val="5EBC49F5"/>
    <w:rsid w:val="5EFB6C43"/>
    <w:rsid w:val="5F77F8FA"/>
    <w:rsid w:val="5F814478"/>
    <w:rsid w:val="5F97286F"/>
    <w:rsid w:val="5FEF263E"/>
    <w:rsid w:val="61313C78"/>
    <w:rsid w:val="61571C63"/>
    <w:rsid w:val="61573C78"/>
    <w:rsid w:val="619A7C04"/>
    <w:rsid w:val="61C66672"/>
    <w:rsid w:val="61DA1280"/>
    <w:rsid w:val="62056AD7"/>
    <w:rsid w:val="62227F6A"/>
    <w:rsid w:val="627833DE"/>
    <w:rsid w:val="62DB2B71"/>
    <w:rsid w:val="63E1330F"/>
    <w:rsid w:val="64AF43D7"/>
    <w:rsid w:val="64F92008"/>
    <w:rsid w:val="65D64AF1"/>
    <w:rsid w:val="65E73B71"/>
    <w:rsid w:val="663B29A4"/>
    <w:rsid w:val="664A5F3A"/>
    <w:rsid w:val="670C1B3E"/>
    <w:rsid w:val="675353DE"/>
    <w:rsid w:val="677ED80C"/>
    <w:rsid w:val="67AB3EDE"/>
    <w:rsid w:val="67D76634"/>
    <w:rsid w:val="68225A75"/>
    <w:rsid w:val="682C6BA5"/>
    <w:rsid w:val="68C905A1"/>
    <w:rsid w:val="68F44B5C"/>
    <w:rsid w:val="694C3255"/>
    <w:rsid w:val="696A13FB"/>
    <w:rsid w:val="696B222C"/>
    <w:rsid w:val="698226A4"/>
    <w:rsid w:val="69BA0E9E"/>
    <w:rsid w:val="69D173FF"/>
    <w:rsid w:val="6AC20A7D"/>
    <w:rsid w:val="6BB890BD"/>
    <w:rsid w:val="6BB9FAE5"/>
    <w:rsid w:val="6BC404F0"/>
    <w:rsid w:val="6BDC1F0E"/>
    <w:rsid w:val="6BDFFE15"/>
    <w:rsid w:val="6BFE5BB2"/>
    <w:rsid w:val="6C7432F2"/>
    <w:rsid w:val="6CE9027A"/>
    <w:rsid w:val="6D3A5CC5"/>
    <w:rsid w:val="6E284ACB"/>
    <w:rsid w:val="6E7B8CE1"/>
    <w:rsid w:val="6ECF444B"/>
    <w:rsid w:val="6EFA2CE9"/>
    <w:rsid w:val="6EFD7F34"/>
    <w:rsid w:val="6EFEAACB"/>
    <w:rsid w:val="6F057A1E"/>
    <w:rsid w:val="6F7040D8"/>
    <w:rsid w:val="6F8B3834"/>
    <w:rsid w:val="6FEBAFBC"/>
    <w:rsid w:val="6FEEB931"/>
    <w:rsid w:val="6FF6544E"/>
    <w:rsid w:val="6FFB2B1D"/>
    <w:rsid w:val="6FFF0C2A"/>
    <w:rsid w:val="71720090"/>
    <w:rsid w:val="71DE62ED"/>
    <w:rsid w:val="721A7397"/>
    <w:rsid w:val="72612CD4"/>
    <w:rsid w:val="726D868B"/>
    <w:rsid w:val="72AB102C"/>
    <w:rsid w:val="72B01342"/>
    <w:rsid w:val="72F618F0"/>
    <w:rsid w:val="73135EE5"/>
    <w:rsid w:val="73211F18"/>
    <w:rsid w:val="735662C8"/>
    <w:rsid w:val="73E8235D"/>
    <w:rsid w:val="749E0916"/>
    <w:rsid w:val="74DC4C6D"/>
    <w:rsid w:val="758D0746"/>
    <w:rsid w:val="75A0144E"/>
    <w:rsid w:val="75FBF3FC"/>
    <w:rsid w:val="76701595"/>
    <w:rsid w:val="767D1D57"/>
    <w:rsid w:val="76BFDB12"/>
    <w:rsid w:val="76FB5003"/>
    <w:rsid w:val="77123D51"/>
    <w:rsid w:val="7737395C"/>
    <w:rsid w:val="773F33C4"/>
    <w:rsid w:val="77732AC2"/>
    <w:rsid w:val="777F2FFC"/>
    <w:rsid w:val="77AB042F"/>
    <w:rsid w:val="77EF86AE"/>
    <w:rsid w:val="77FA2909"/>
    <w:rsid w:val="77FBB10C"/>
    <w:rsid w:val="77FEBCBE"/>
    <w:rsid w:val="77FFCD63"/>
    <w:rsid w:val="78C24056"/>
    <w:rsid w:val="78DA2EA9"/>
    <w:rsid w:val="79C01C24"/>
    <w:rsid w:val="79DF9E7C"/>
    <w:rsid w:val="79EF8F15"/>
    <w:rsid w:val="7A9F6A83"/>
    <w:rsid w:val="7ABF4CE6"/>
    <w:rsid w:val="7AD92753"/>
    <w:rsid w:val="7AEA486C"/>
    <w:rsid w:val="7AFB75A0"/>
    <w:rsid w:val="7BB787BC"/>
    <w:rsid w:val="7BBD05CC"/>
    <w:rsid w:val="7BBF2789"/>
    <w:rsid w:val="7BEFAD4B"/>
    <w:rsid w:val="7BFADCF8"/>
    <w:rsid w:val="7BFF0EA6"/>
    <w:rsid w:val="7CEF4AB6"/>
    <w:rsid w:val="7D063248"/>
    <w:rsid w:val="7D30DD4A"/>
    <w:rsid w:val="7D525D7C"/>
    <w:rsid w:val="7D59184E"/>
    <w:rsid w:val="7D5E5F15"/>
    <w:rsid w:val="7D7B8F7F"/>
    <w:rsid w:val="7D8C529A"/>
    <w:rsid w:val="7DF45AA4"/>
    <w:rsid w:val="7DF6A253"/>
    <w:rsid w:val="7DF7CDFA"/>
    <w:rsid w:val="7E2C750A"/>
    <w:rsid w:val="7E734B6C"/>
    <w:rsid w:val="7E7D42AA"/>
    <w:rsid w:val="7E9853D0"/>
    <w:rsid w:val="7ED70E43"/>
    <w:rsid w:val="7EEE9423"/>
    <w:rsid w:val="7F2F6E38"/>
    <w:rsid w:val="7F3824FC"/>
    <w:rsid w:val="7F585270"/>
    <w:rsid w:val="7F7F462D"/>
    <w:rsid w:val="7F9A4AFD"/>
    <w:rsid w:val="7FD678A3"/>
    <w:rsid w:val="7FE94E50"/>
    <w:rsid w:val="7FED3AE5"/>
    <w:rsid w:val="7FFB93CA"/>
    <w:rsid w:val="7FFD5248"/>
    <w:rsid w:val="7FFF2252"/>
    <w:rsid w:val="95FEC1C4"/>
    <w:rsid w:val="9D45BB38"/>
    <w:rsid w:val="9DFA3C8D"/>
    <w:rsid w:val="9F73B232"/>
    <w:rsid w:val="9FFFBFF4"/>
    <w:rsid w:val="A7ADDC78"/>
    <w:rsid w:val="A7B4FE04"/>
    <w:rsid w:val="AAD9929A"/>
    <w:rsid w:val="AFF3E16E"/>
    <w:rsid w:val="AFF712AC"/>
    <w:rsid w:val="AFFB8A00"/>
    <w:rsid w:val="B3F316DF"/>
    <w:rsid w:val="B6FDEA49"/>
    <w:rsid w:val="B77E6C0B"/>
    <w:rsid w:val="B797BA1C"/>
    <w:rsid w:val="B7BFA034"/>
    <w:rsid w:val="B7C2EFC9"/>
    <w:rsid w:val="B7FF9D0C"/>
    <w:rsid w:val="B9EFF0F1"/>
    <w:rsid w:val="BB4B0E87"/>
    <w:rsid w:val="BB5B2330"/>
    <w:rsid w:val="BBDF5320"/>
    <w:rsid w:val="BCF7B01E"/>
    <w:rsid w:val="BCF976BD"/>
    <w:rsid w:val="BDE5662C"/>
    <w:rsid w:val="BF36D048"/>
    <w:rsid w:val="BFB7AB31"/>
    <w:rsid w:val="BFFE53B4"/>
    <w:rsid w:val="BFFF84C8"/>
    <w:rsid w:val="C6F7E866"/>
    <w:rsid w:val="CAFDADBE"/>
    <w:rsid w:val="CCAEA054"/>
    <w:rsid w:val="CFDF6E21"/>
    <w:rsid w:val="CFF64FCF"/>
    <w:rsid w:val="D15DE91A"/>
    <w:rsid w:val="D174FDE8"/>
    <w:rsid w:val="D1FFF584"/>
    <w:rsid w:val="D57FB589"/>
    <w:rsid w:val="D5FF3DBE"/>
    <w:rsid w:val="D5FF8B0A"/>
    <w:rsid w:val="D67FE771"/>
    <w:rsid w:val="D7E983FF"/>
    <w:rsid w:val="D8CF872E"/>
    <w:rsid w:val="DB5FABC1"/>
    <w:rsid w:val="DBDFF1C0"/>
    <w:rsid w:val="DCF7F45E"/>
    <w:rsid w:val="DDBFDE5D"/>
    <w:rsid w:val="DF5F3B05"/>
    <w:rsid w:val="E3FD4D5B"/>
    <w:rsid w:val="E47368C8"/>
    <w:rsid w:val="E672326A"/>
    <w:rsid w:val="E6BBB6A3"/>
    <w:rsid w:val="E6BE8AB7"/>
    <w:rsid w:val="E7BB907E"/>
    <w:rsid w:val="E8DAC67F"/>
    <w:rsid w:val="E957BF82"/>
    <w:rsid w:val="EBD5F73D"/>
    <w:rsid w:val="EBFD841A"/>
    <w:rsid w:val="EC50C94E"/>
    <w:rsid w:val="EDB33895"/>
    <w:rsid w:val="EE26ADCB"/>
    <w:rsid w:val="EF37F4E2"/>
    <w:rsid w:val="EFB2C2E7"/>
    <w:rsid w:val="EFBCEB91"/>
    <w:rsid w:val="EFDD554E"/>
    <w:rsid w:val="EFFFA9AC"/>
    <w:rsid w:val="F1595000"/>
    <w:rsid w:val="F1FCBD6C"/>
    <w:rsid w:val="F3730244"/>
    <w:rsid w:val="F37FBC8D"/>
    <w:rsid w:val="F3FDD338"/>
    <w:rsid w:val="F57ACD26"/>
    <w:rsid w:val="F5F22EB7"/>
    <w:rsid w:val="F6753C28"/>
    <w:rsid w:val="F6F9CC09"/>
    <w:rsid w:val="F6FFDC46"/>
    <w:rsid w:val="F7BB905D"/>
    <w:rsid w:val="F7DFD5D0"/>
    <w:rsid w:val="F9968E6B"/>
    <w:rsid w:val="F9FA3AD5"/>
    <w:rsid w:val="FA5EC977"/>
    <w:rsid w:val="FA6FD43B"/>
    <w:rsid w:val="FB4EED0D"/>
    <w:rsid w:val="FB7F2042"/>
    <w:rsid w:val="FBBF1013"/>
    <w:rsid w:val="FBBFCEE1"/>
    <w:rsid w:val="FBF9EB9F"/>
    <w:rsid w:val="FC576A0D"/>
    <w:rsid w:val="FD3BB213"/>
    <w:rsid w:val="FD7E460E"/>
    <w:rsid w:val="FDF9C832"/>
    <w:rsid w:val="FDFE7B0A"/>
    <w:rsid w:val="FDFF6A5C"/>
    <w:rsid w:val="FE7E1FE8"/>
    <w:rsid w:val="FEB32BC9"/>
    <w:rsid w:val="FF056A06"/>
    <w:rsid w:val="FF3BE222"/>
    <w:rsid w:val="FF3FAC63"/>
    <w:rsid w:val="FF6705B6"/>
    <w:rsid w:val="FF7A3B64"/>
    <w:rsid w:val="FF7F5600"/>
    <w:rsid w:val="FF7F6C2F"/>
    <w:rsid w:val="FFAE4B53"/>
    <w:rsid w:val="FFAFEB29"/>
    <w:rsid w:val="FFBEA172"/>
    <w:rsid w:val="FFD53605"/>
    <w:rsid w:val="FFDF7F0B"/>
    <w:rsid w:val="FFEE76F4"/>
    <w:rsid w:val="FFF392BF"/>
    <w:rsid w:val="FFFADD44"/>
    <w:rsid w:val="FFFB3B1B"/>
    <w:rsid w:val="FFFBBF50"/>
    <w:rsid w:val="FFFBCDD0"/>
    <w:rsid w:val="FFFF9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sz w:val="24"/>
    </w:rPr>
  </w:style>
  <w:style w:type="paragraph" w:styleId="3">
    <w:name w:val="Body Text Indent"/>
    <w:basedOn w:val="1"/>
    <w:next w:val="4"/>
    <w:qFormat/>
    <w:uiPriority w:val="0"/>
    <w:pPr>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pPr>
    <w:rPr>
      <w:b/>
      <w:bCs/>
    </w:rPr>
  </w:style>
  <w:style w:type="paragraph" w:customStyle="1" w:styleId="6">
    <w:name w:val="UserStyle_9"/>
    <w:basedOn w:val="1"/>
    <w:next w:val="1"/>
    <w:qFormat/>
    <w:uiPriority w:val="0"/>
    <w:pPr>
      <w:spacing w:line="480" w:lineRule="atLeast"/>
      <w:textAlignment w:val="baseline"/>
    </w:pPr>
    <w:rPr>
      <w:rFonts w:ascii="宋体" w:hAnsi="Tms Rmn"/>
      <w:kern w:val="0"/>
      <w:sz w:val="28"/>
      <w:szCs w:val="20"/>
    </w:rPr>
  </w:style>
  <w:style w:type="paragraph" w:styleId="7">
    <w:name w:val="annotation text"/>
    <w:basedOn w:val="1"/>
    <w:link w:val="20"/>
    <w:semiHidden/>
    <w:qFormat/>
    <w:uiPriority w:val="0"/>
    <w:pPr>
      <w:jc w:val="left"/>
    </w:pPr>
  </w:style>
  <w:style w:type="paragraph" w:styleId="8">
    <w:name w:val="Body Text"/>
    <w:basedOn w:val="1"/>
    <w:link w:val="21"/>
    <w:qFormat/>
    <w:uiPriority w:val="0"/>
  </w:style>
  <w:style w:type="paragraph" w:styleId="9">
    <w:name w:val="Date"/>
    <w:basedOn w:val="1"/>
    <w:next w:val="1"/>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Indent 3"/>
    <w:basedOn w:val="1"/>
    <w:qFormat/>
    <w:uiPriority w:val="0"/>
    <w:pPr>
      <w:spacing w:line="540" w:lineRule="exact"/>
      <w:ind w:firstLine="640" w:firstLineChars="200"/>
    </w:pPr>
    <w:rPr>
      <w:rFonts w:ascii="仿宋_GB2312" w:eastAsia="仿宋_GB2312"/>
    </w:rPr>
  </w:style>
  <w:style w:type="paragraph" w:styleId="13">
    <w:name w:val="Normal (Web)"/>
    <w:basedOn w:val="1"/>
    <w:qFormat/>
    <w:uiPriority w:val="0"/>
    <w:pPr>
      <w:widowControl/>
      <w:spacing w:beforeAutospacing="1" w:afterAutospacing="1"/>
      <w:jc w:val="left"/>
    </w:pPr>
    <w:rPr>
      <w:rFonts w:ascii="宋体" w:hAnsi="宋体"/>
      <w:color w:val="000000"/>
      <w:kern w:val="0"/>
      <w:sz w:val="24"/>
      <w:szCs w:val="20"/>
    </w:rPr>
  </w:style>
  <w:style w:type="paragraph" w:styleId="14">
    <w:name w:val="annotation subject"/>
    <w:basedOn w:val="7"/>
    <w:next w:val="7"/>
    <w:link w:val="23"/>
    <w:qFormat/>
    <w:uiPriority w:val="0"/>
    <w:rPr>
      <w:b/>
      <w:bCs/>
    </w:rPr>
  </w:style>
  <w:style w:type="paragraph" w:styleId="15">
    <w:name w:val="Body Text First Indent"/>
    <w:basedOn w:val="8"/>
    <w:link w:val="24"/>
    <w:qFormat/>
    <w:uiPriority w:val="0"/>
    <w:pPr>
      <w:ind w:firstLine="420" w:firstLineChars="100"/>
    </w:pPr>
  </w:style>
  <w:style w:type="character" w:styleId="18">
    <w:name w:val="page number"/>
    <w:qFormat/>
    <w:uiPriority w:val="0"/>
  </w:style>
  <w:style w:type="character" w:styleId="19">
    <w:name w:val="annotation reference"/>
    <w:qFormat/>
    <w:uiPriority w:val="0"/>
    <w:rPr>
      <w:sz w:val="21"/>
      <w:szCs w:val="21"/>
    </w:rPr>
  </w:style>
  <w:style w:type="character" w:customStyle="1" w:styleId="20">
    <w:name w:val="批注文字 Char"/>
    <w:link w:val="7"/>
    <w:semiHidden/>
    <w:qFormat/>
    <w:uiPriority w:val="0"/>
    <w:rPr>
      <w:kern w:val="2"/>
      <w:sz w:val="32"/>
      <w:szCs w:val="32"/>
    </w:rPr>
  </w:style>
  <w:style w:type="character" w:customStyle="1" w:styleId="21">
    <w:name w:val="正文文本 Char"/>
    <w:link w:val="8"/>
    <w:qFormat/>
    <w:uiPriority w:val="0"/>
    <w:rPr>
      <w:kern w:val="2"/>
      <w:sz w:val="32"/>
      <w:szCs w:val="32"/>
    </w:rPr>
  </w:style>
  <w:style w:type="character" w:customStyle="1" w:styleId="22">
    <w:name w:val="批注框文本 Char"/>
    <w:link w:val="10"/>
    <w:qFormat/>
    <w:uiPriority w:val="0"/>
    <w:rPr>
      <w:kern w:val="2"/>
      <w:sz w:val="18"/>
      <w:szCs w:val="18"/>
    </w:rPr>
  </w:style>
  <w:style w:type="character" w:customStyle="1" w:styleId="23">
    <w:name w:val="批注主题 Char"/>
    <w:link w:val="14"/>
    <w:qFormat/>
    <w:uiPriority w:val="0"/>
    <w:rPr>
      <w:b/>
      <w:bCs/>
      <w:kern w:val="2"/>
      <w:sz w:val="32"/>
      <w:szCs w:val="32"/>
    </w:rPr>
  </w:style>
  <w:style w:type="character" w:customStyle="1" w:styleId="24">
    <w:name w:val="正文首行缩进 Char"/>
    <w:link w:val="15"/>
    <w:qFormat/>
    <w:uiPriority w:val="0"/>
  </w:style>
  <w:style w:type="paragraph" w:customStyle="1" w:styleId="25">
    <w:name w:val="BodyText1I2"/>
    <w:basedOn w:val="26"/>
    <w:next w:val="1"/>
    <w:qFormat/>
    <w:uiPriority w:val="0"/>
    <w:pPr>
      <w:spacing w:after="120" w:line="240" w:lineRule="auto"/>
      <w:ind w:left="420" w:leftChars="200" w:firstLine="420" w:firstLineChars="200"/>
    </w:pPr>
    <w:rPr>
      <w:sz w:val="21"/>
      <w:szCs w:val="24"/>
    </w:rPr>
  </w:style>
  <w:style w:type="paragraph" w:customStyle="1" w:styleId="26">
    <w:name w:val="BodyTextIndent"/>
    <w:basedOn w:val="1"/>
    <w:next w:val="4"/>
    <w:qFormat/>
    <w:uiPriority w:val="0"/>
    <w:pPr>
      <w:spacing w:line="460" w:lineRule="atLeast"/>
      <w:ind w:firstLine="284"/>
      <w:textAlignment w:val="baseline"/>
    </w:pPr>
    <w:rPr>
      <w:spacing w:val="36"/>
      <w:sz w:val="24"/>
    </w:rPr>
  </w:style>
  <w:style w:type="character" w:customStyle="1" w:styleId="27">
    <w:name w:val="NormalCharacter"/>
    <w:qFormat/>
    <w:uiPriority w:val="0"/>
    <w:rPr>
      <w:kern w:val="2"/>
      <w:sz w:val="32"/>
      <w:szCs w:val="32"/>
      <w:lang w:val="en-US" w:eastAsia="zh-CN" w:bidi="ar-SA"/>
    </w:rPr>
  </w:style>
  <w:style w:type="paragraph" w:customStyle="1" w:styleId="28">
    <w:name w:val="默认段落字体 Para Char Char Char Char"/>
    <w:basedOn w:val="1"/>
    <w:qFormat/>
    <w:uiPriority w:val="0"/>
    <w:rPr>
      <w:sz w:val="21"/>
      <w:szCs w:val="24"/>
    </w:rPr>
  </w:style>
  <w:style w:type="paragraph" w:customStyle="1" w:styleId="29">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0">
    <w:name w:val="报告书正文样式1"/>
    <w:basedOn w:val="31"/>
    <w:qFormat/>
    <w:uiPriority w:val="0"/>
    <w:pPr>
      <w:spacing w:line="360" w:lineRule="auto"/>
    </w:pPr>
    <w:rPr>
      <w:rFonts w:ascii="Arial" w:hAnsi="Arial" w:cs="Arial"/>
      <w:szCs w:val="24"/>
    </w:rPr>
  </w:style>
  <w:style w:type="paragraph" w:customStyle="1" w:styleId="31">
    <w:name w:val="报告书正文"/>
    <w:basedOn w:val="1"/>
    <w:qFormat/>
    <w:uiPriority w:val="0"/>
    <w:pPr>
      <w:adjustRightInd w:val="0"/>
      <w:snapToGrid w:val="0"/>
      <w:spacing w:line="360" w:lineRule="atLeast"/>
      <w:ind w:firstLine="425"/>
      <w:textAlignment w:val="baseline"/>
    </w:pPr>
    <w:rPr>
      <w:sz w:val="24"/>
      <w:szCs w:val="20"/>
    </w:rPr>
  </w:style>
  <w:style w:type="paragraph" w:customStyle="1" w:styleId="32">
    <w:name w:val="样式5"/>
    <w:basedOn w:val="8"/>
    <w:next w:val="33"/>
    <w:qFormat/>
    <w:uiPriority w:val="0"/>
    <w:pPr>
      <w:ind w:right="-140" w:rightChars="-50" w:firstLine="1653" w:firstLineChars="588"/>
    </w:pPr>
    <w:rPr>
      <w:b/>
      <w:bCs/>
    </w:rPr>
  </w:style>
  <w:style w:type="paragraph" w:customStyle="1" w:styleId="33">
    <w:name w:val="图框文字"/>
    <w:basedOn w:val="1"/>
    <w:qFormat/>
    <w:uiPriority w:val="0"/>
    <w:pPr>
      <w:jc w:val="center"/>
      <w:textAlignment w:val="center"/>
    </w:pPr>
  </w:style>
  <w:style w:type="paragraph" w:customStyle="1" w:styleId="34">
    <w:name w:val="_Style 247"/>
    <w:basedOn w:val="1"/>
    <w:qFormat/>
    <w:uiPriority w:val="0"/>
  </w:style>
  <w:style w:type="paragraph" w:customStyle="1" w:styleId="35">
    <w:name w:val="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Pages>
  <Words>412</Words>
  <Characters>2353</Characters>
  <Lines>19</Lines>
  <Paragraphs>5</Paragraphs>
  <TotalTime>17</TotalTime>
  <ScaleCrop>false</ScaleCrop>
  <LinksUpToDate>false</LinksUpToDate>
  <CharactersWithSpaces>2760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2021-07-30T21:24:00Z</dcterms:created>
  <dc:creator>微软用户</dc:creator>
  <cp:lastModifiedBy>user</cp:lastModifiedBy>
  <cp:lastPrinted>2022-03-21T14:34:00Z</cp:lastPrinted>
  <dcterms:modified xsi:type="dcterms:W3CDTF">2022-03-31T09:53:36Z</dcterms:modified>
  <dc:title>枣环行审字[2012]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20FC0A0FEFB7472688FF5EA67F78CFE6</vt:lpwstr>
  </property>
</Properties>
</file>