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rPr>
      </w:pPr>
    </w:p>
    <w:p>
      <w:pPr>
        <w:pStyle w:val="2"/>
        <w:keepNext w:val="0"/>
        <w:keepLines w:val="0"/>
        <w:pageBreakBefore w:val="0"/>
        <w:widowControl w:val="0"/>
        <w:kinsoku/>
        <w:wordWrap/>
        <w:overflowPunct/>
        <w:topLinePunct w:val="0"/>
        <w:autoSpaceDE/>
        <w:autoSpaceDN/>
        <w:bidi w:val="0"/>
        <w:adjustRightInd/>
        <w:snapToGrid/>
        <w:spacing w:line="620" w:lineRule="exact"/>
        <w:ind w:left="64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620" w:lineRule="exact"/>
        <w:ind w:left="64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620" w:lineRule="exact"/>
        <w:ind w:left="64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w w:val="97"/>
          <w:sz w:val="32"/>
          <w:szCs w:val="32"/>
        </w:rPr>
      </w:pPr>
      <w:r>
        <w:rPr>
          <w:rFonts w:hint="default" w:ascii="Times New Roman" w:hAnsi="Times New Roman" w:eastAsia="楷体" w:cs="Times New Roman"/>
          <w:w w:val="97"/>
          <w:sz w:val="32"/>
          <w:szCs w:val="32"/>
        </w:rPr>
        <w:t>枣环许可字</w:t>
      </w:r>
      <w:r>
        <w:rPr>
          <w:rFonts w:hint="default" w:ascii="Times New Roman" w:hAnsi="Times New Roman" w:eastAsia="楷体" w:cs="Times New Roman"/>
          <w:w w:val="97"/>
          <w:sz w:val="32"/>
          <w:szCs w:val="32"/>
          <w:lang w:eastAsia="zh-CN"/>
        </w:rPr>
        <w:t>〔</w:t>
      </w:r>
      <w:r>
        <w:rPr>
          <w:rFonts w:hint="default" w:ascii="Times New Roman" w:hAnsi="Times New Roman" w:eastAsia="楷体" w:cs="Times New Roman"/>
          <w:w w:val="97"/>
          <w:sz w:val="32"/>
          <w:szCs w:val="32"/>
        </w:rPr>
        <w:t>202</w:t>
      </w:r>
      <w:r>
        <w:rPr>
          <w:rFonts w:hint="default" w:ascii="Times New Roman" w:hAnsi="Times New Roman" w:eastAsia="楷体" w:cs="Times New Roman"/>
          <w:w w:val="97"/>
          <w:sz w:val="32"/>
          <w:szCs w:val="32"/>
          <w:lang w:val="en-US" w:eastAsia="zh-CN"/>
        </w:rPr>
        <w:t>2</w:t>
      </w:r>
      <w:r>
        <w:rPr>
          <w:rFonts w:hint="default" w:ascii="Times New Roman" w:hAnsi="Times New Roman" w:eastAsia="楷体" w:cs="Times New Roman"/>
          <w:w w:val="97"/>
          <w:sz w:val="32"/>
          <w:szCs w:val="32"/>
          <w:lang w:eastAsia="zh-CN"/>
        </w:rPr>
        <w:t>〕</w:t>
      </w:r>
      <w:r>
        <w:rPr>
          <w:rFonts w:hint="default" w:ascii="Times New Roman" w:hAnsi="Times New Roman" w:eastAsia="楷体" w:cs="Times New Roman"/>
          <w:w w:val="97"/>
          <w:sz w:val="32"/>
          <w:szCs w:val="32"/>
          <w:lang w:val="en-US" w:eastAsia="zh-CN"/>
        </w:rPr>
        <w:t>45</w:t>
      </w:r>
      <w:r>
        <w:rPr>
          <w:rFonts w:hint="default" w:ascii="Times New Roman" w:hAnsi="Times New Roman" w:eastAsia="楷体" w:cs="Times New Roman"/>
          <w:w w:val="97"/>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color w:val="000000"/>
        </w:rPr>
      </w:pP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p>
    <w:p>
      <w:pPr>
        <w:widowControl w:val="0"/>
        <w:wordWrap/>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枣庄市生态环境局</w:t>
      </w:r>
    </w:p>
    <w:p>
      <w:pPr>
        <w:widowControl w:val="0"/>
        <w:wordWrap/>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关于海木动物保健品（山东）有限公司</w:t>
      </w:r>
    </w:p>
    <w:p>
      <w:pPr>
        <w:widowControl w:val="0"/>
        <w:wordWrap/>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动物生物制品GMP产业基地项目</w:t>
      </w:r>
    </w:p>
    <w:p>
      <w:pPr>
        <w:widowControl w:val="0"/>
        <w:wordWrap/>
        <w:spacing w:line="620" w:lineRule="exact"/>
        <w:jc w:val="center"/>
        <w:rPr>
          <w:rFonts w:hint="default" w:ascii="Times New Roman" w:hAnsi="Times New Roman" w:eastAsia="方正大标宋简体" w:cs="Times New Roman"/>
          <w:color w:val="000000"/>
          <w:w w:val="90"/>
          <w:sz w:val="44"/>
          <w:szCs w:val="44"/>
        </w:rPr>
      </w:pPr>
      <w:r>
        <w:rPr>
          <w:rFonts w:hint="default" w:ascii="Times New Roman" w:hAnsi="Times New Roman" w:eastAsia="方正大标宋简体" w:cs="Times New Roman"/>
          <w:color w:val="000000"/>
          <w:sz w:val="44"/>
          <w:szCs w:val="44"/>
        </w:rPr>
        <w:t>环境影响报告书的批复</w:t>
      </w:r>
    </w:p>
    <w:p>
      <w:pPr>
        <w:widowControl w:val="0"/>
        <w:wordWrap/>
        <w:spacing w:line="620" w:lineRule="exact"/>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autoSpaceDE/>
        <w:autoSpaceDN/>
        <w:bidi w:val="0"/>
        <w:spacing w:line="580" w:lineRule="exact"/>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海木动物保健品（山东）有限公司： </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你公司报送的《海木动物保健品（山东）有限公司动物生物制品GMP产业基地项目环境影响报告书》收悉。经研究，批复如下：</w:t>
      </w:r>
    </w:p>
    <w:p>
      <w:pPr>
        <w:pStyle w:val="25"/>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项目属于新建，位于市中区汇泉西路67-8号（枣庄经济开发区鲁南大健康产业创新创业孵化中心内）。</w:t>
      </w:r>
      <w:r>
        <w:rPr>
          <w:rFonts w:hint="default" w:ascii="Times New Roman" w:hAnsi="Times New Roman" w:eastAsia="仿宋_GB2312" w:cs="Times New Roman"/>
          <w:spacing w:val="0"/>
          <w:sz w:val="32"/>
          <w:szCs w:val="32"/>
          <w:lang w:eastAsia="zh-CN"/>
        </w:rPr>
        <w:t>主要建设主体工程（生产车间：灭活疫苗车间、活疫苗车间、动力区、生产辅助区；检验动物房：一层中动物房、二层小动物房、动力区、排烟机房、</w:t>
      </w:r>
      <w:r>
        <w:rPr>
          <w:rFonts w:hint="default" w:ascii="Times New Roman" w:hAnsi="Times New Roman" w:eastAsia="仿宋_GB2312" w:cs="Times New Roman"/>
          <w:color w:val="auto"/>
          <w:spacing w:val="0"/>
          <w:sz w:val="32"/>
          <w:szCs w:val="32"/>
          <w:lang w:eastAsia="zh-CN"/>
        </w:rPr>
        <w:t>地下</w:t>
      </w:r>
      <w:r>
        <w:rPr>
          <w:rFonts w:hint="default" w:ascii="Times New Roman" w:hAnsi="Times New Roman" w:eastAsia="仿宋_GB2312" w:cs="Times New Roman"/>
          <w:color w:val="auto"/>
          <w:spacing w:val="0"/>
          <w:sz w:val="32"/>
          <w:szCs w:val="32"/>
          <w:lang w:val="en-US" w:eastAsia="zh-CN"/>
        </w:rPr>
        <w:t>污水处理设施</w:t>
      </w:r>
      <w:r>
        <w:rPr>
          <w:rFonts w:hint="default" w:ascii="Times New Roman" w:hAnsi="Times New Roman" w:eastAsia="仿宋_GB2312" w:cs="Times New Roman"/>
          <w:spacing w:val="0"/>
          <w:sz w:val="32"/>
          <w:szCs w:val="32"/>
          <w:lang w:eastAsia="zh-CN"/>
        </w:rPr>
        <w:t>），配套建设辅助工程、储运工程、公用工程、环保工程。主要为动物疫苗生产，建成后年产7.13亿头份</w:t>
      </w:r>
      <w:r>
        <w:rPr>
          <w:rFonts w:hint="default" w:ascii="Times New Roman" w:hAnsi="Times New Roman" w:eastAsia="仿宋_GB2312" w:cs="Times New Roman"/>
          <w:color w:val="000000"/>
          <w:sz w:val="32"/>
          <w:szCs w:val="32"/>
        </w:rPr>
        <w:t>。</w:t>
      </w:r>
    </w:p>
    <w:p>
      <w:pPr>
        <w:pStyle w:val="25"/>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根据报告书结论，</w:t>
      </w:r>
      <w:r>
        <w:rPr>
          <w:rFonts w:hint="default" w:ascii="Times New Roman" w:hAnsi="Times New Roman" w:eastAsia="仿宋_GB2312" w:cs="Times New Roman"/>
          <w:color w:val="000000"/>
          <w:sz w:val="32"/>
          <w:szCs w:val="32"/>
        </w:rPr>
        <w:t>在全面落实报告书提出的各项</w:t>
      </w:r>
      <w:r>
        <w:rPr>
          <w:rFonts w:hint="default" w:ascii="Times New Roman" w:hAnsi="Times New Roman" w:eastAsia="仿宋_GB2312" w:cs="Times New Roman"/>
          <w:color w:val="000000"/>
          <w:sz w:val="32"/>
          <w:szCs w:val="32"/>
          <w:lang w:eastAsia="zh-CN"/>
        </w:rPr>
        <w:t>污染防治和环境风险防范措施，并确保各类污染物稳定达标排放且符合总量控制要求的前提下，</w:t>
      </w:r>
      <w:r>
        <w:rPr>
          <w:rFonts w:hint="default" w:ascii="Times New Roman" w:hAnsi="Times New Roman" w:eastAsia="仿宋_GB2312" w:cs="Times New Roman"/>
          <w:color w:val="000000"/>
          <w:sz w:val="32"/>
          <w:szCs w:val="32"/>
        </w:rPr>
        <w:t>从</w:t>
      </w:r>
      <w:r>
        <w:rPr>
          <w:rFonts w:hint="default" w:ascii="Times New Roman" w:hAnsi="Times New Roman" w:eastAsia="仿宋_GB2312" w:cs="Times New Roman"/>
          <w:color w:val="000000"/>
          <w:sz w:val="32"/>
          <w:szCs w:val="32"/>
          <w:lang w:eastAsia="zh-CN"/>
        </w:rPr>
        <w:t>生态环境部门</w:t>
      </w:r>
      <w:r>
        <w:rPr>
          <w:rFonts w:hint="default" w:ascii="Times New Roman" w:hAnsi="Times New Roman" w:eastAsia="仿宋_GB2312" w:cs="Times New Roman"/>
          <w:color w:val="000000"/>
          <w:sz w:val="32"/>
          <w:szCs w:val="32"/>
        </w:rPr>
        <w:t>角度，我局原则同意环境影响报告书中所列建设项目的地点、工艺和拟采取的环境保护措施进行建设和</w:t>
      </w:r>
      <w:r>
        <w:rPr>
          <w:rFonts w:hint="default" w:ascii="Times New Roman" w:hAnsi="Times New Roman" w:eastAsia="仿宋_GB2312" w:cs="Times New Roman"/>
          <w:color w:val="000000"/>
          <w:sz w:val="32"/>
          <w:szCs w:val="32"/>
          <w:lang w:eastAsia="zh-CN"/>
        </w:rPr>
        <w:t>运营</w:t>
      </w:r>
      <w:r>
        <w:rPr>
          <w:rFonts w:hint="default" w:ascii="Times New Roman" w:hAnsi="Times New Roman" w:eastAsia="仿宋_GB2312" w:cs="Times New Roman"/>
          <w:color w:val="000000"/>
          <w:sz w:val="32"/>
          <w:szCs w:val="32"/>
        </w:rPr>
        <w:t>。</w:t>
      </w:r>
    </w:p>
    <w:p>
      <w:pPr>
        <w:pStyle w:val="25"/>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keepNext w:val="0"/>
        <w:keepLines w:val="0"/>
        <w:pageBreakBefore w:val="0"/>
        <w:widowControl w:val="0"/>
        <w:kinsoku/>
        <w:wordWrap/>
        <w:overflowPunct/>
        <w:topLinePunct w:val="0"/>
        <w:autoSpaceDE/>
        <w:autoSpaceDN/>
        <w:bidi w:val="0"/>
        <w:snapToGrid/>
        <w:spacing w:before="0" w:line="580" w:lineRule="exact"/>
        <w:ind w:left="0" w:leftChars="0" w:right="0" w:firstLine="640" w:firstLineChars="200"/>
        <w:textAlignment w:val="auto"/>
        <w:outlineLvl w:val="9"/>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rPr>
        <w:t>（二）强化大气污染防治措施。因所在区域蒸汽管网未铺设完善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项目配置3台5t/h台天然气蒸汽锅炉</w:t>
      </w:r>
      <w:r>
        <w:rPr>
          <w:rFonts w:hint="default" w:ascii="Times New Roman" w:hAnsi="Times New Roman" w:eastAsia="仿宋_GB2312" w:cs="Times New Roman"/>
          <w:color w:val="000000"/>
          <w:sz w:val="32"/>
          <w:szCs w:val="32"/>
          <w:lang w:eastAsia="zh-CN"/>
        </w:rPr>
        <w:t>，待</w:t>
      </w:r>
      <w:r>
        <w:rPr>
          <w:rFonts w:hint="default" w:ascii="Times New Roman" w:hAnsi="Times New Roman" w:eastAsia="仿宋_GB2312" w:cs="Times New Roman"/>
          <w:color w:val="000000"/>
          <w:sz w:val="32"/>
          <w:szCs w:val="32"/>
        </w:rPr>
        <w:t>所在区域蒸汽管网铺设完善</w:t>
      </w:r>
      <w:r>
        <w:rPr>
          <w:rFonts w:hint="default" w:ascii="Times New Roman" w:hAnsi="Times New Roman" w:eastAsia="仿宋_GB2312" w:cs="Times New Roman"/>
          <w:color w:val="000000"/>
          <w:sz w:val="32"/>
          <w:szCs w:val="32"/>
          <w:lang w:eastAsia="zh-CN"/>
        </w:rPr>
        <w:t>之日起</w:t>
      </w:r>
      <w:r>
        <w:rPr>
          <w:rFonts w:hint="default" w:ascii="Times New Roman" w:hAnsi="Times New Roman" w:eastAsia="仿宋_GB2312" w:cs="Times New Roman"/>
          <w:color w:val="000000"/>
          <w:sz w:val="32"/>
          <w:szCs w:val="32"/>
          <w:lang w:val="en-US" w:eastAsia="zh-CN"/>
        </w:rPr>
        <w:t>30日内</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3台5t/h台天然气蒸汽锅炉</w:t>
      </w:r>
      <w:r>
        <w:rPr>
          <w:rFonts w:hint="default" w:ascii="Times New Roman" w:hAnsi="Times New Roman" w:eastAsia="仿宋_GB2312" w:cs="Times New Roman"/>
          <w:color w:val="000000"/>
          <w:sz w:val="32"/>
          <w:szCs w:val="32"/>
          <w:lang w:eastAsia="zh-CN"/>
        </w:rPr>
        <w:t>应转为备用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天然气燃烧废气</w:t>
      </w:r>
      <w:r>
        <w:rPr>
          <w:rFonts w:hint="default" w:ascii="Times New Roman" w:hAnsi="Times New Roman" w:eastAsia="仿宋_GB2312" w:cs="Times New Roman"/>
          <w:spacing w:val="0"/>
          <w:sz w:val="32"/>
          <w:szCs w:val="32"/>
          <w:lang w:eastAsia="zh-CN"/>
        </w:rPr>
        <w:t>低氮燃烧符合《锅炉大气污染物排放标》（DB37/2374—2018）表2中重点控制区标准后</w:t>
      </w:r>
      <w:r>
        <w:rPr>
          <w:rFonts w:hint="default" w:ascii="Times New Roman" w:hAnsi="Times New Roman" w:eastAsia="仿宋_GB2312" w:cs="Times New Roman"/>
          <w:color w:val="000000"/>
          <w:sz w:val="32"/>
          <w:szCs w:val="32"/>
          <w:highlight w:val="none"/>
        </w:rPr>
        <w:t>经15m高排气筒H1排放</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snapToGrid/>
        <w:spacing w:before="0" w:line="580" w:lineRule="exact"/>
        <w:ind w:left="0" w:leftChars="0" w:right="0" w:firstLine="640" w:firstLineChars="200"/>
        <w:textAlignment w:val="auto"/>
        <w:outlineLvl w:val="9"/>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000000"/>
          <w:sz w:val="32"/>
          <w:szCs w:val="32"/>
          <w:highlight w:val="none"/>
        </w:rPr>
        <w:t>污水处理站废气</w:t>
      </w:r>
      <w:r>
        <w:rPr>
          <w:rFonts w:hint="default" w:ascii="Times New Roman" w:hAnsi="Times New Roman" w:eastAsia="仿宋_GB2312" w:cs="Times New Roman"/>
          <w:color w:val="000000"/>
          <w:sz w:val="32"/>
          <w:szCs w:val="32"/>
          <w:highlight w:val="none"/>
          <w:lang w:eastAsia="zh-CN"/>
        </w:rPr>
        <w:t>与</w:t>
      </w:r>
      <w:r>
        <w:rPr>
          <w:rFonts w:hint="default" w:ascii="Times New Roman" w:hAnsi="Times New Roman" w:eastAsia="仿宋_GB2312" w:cs="Times New Roman"/>
          <w:color w:val="000000"/>
          <w:sz w:val="32"/>
          <w:szCs w:val="32"/>
          <w:highlight w:val="none"/>
        </w:rPr>
        <w:t>攻毒动物房废气经初处理</w:t>
      </w:r>
      <w:r>
        <w:rPr>
          <w:rFonts w:hint="default" w:ascii="Times New Roman" w:hAnsi="Times New Roman" w:eastAsia="仿宋_GB2312" w:cs="Times New Roman"/>
          <w:color w:val="000000"/>
          <w:sz w:val="32"/>
          <w:szCs w:val="32"/>
          <w:highlight w:val="none"/>
          <w:lang w:eastAsia="zh-CN"/>
        </w:rPr>
        <w:t>后</w:t>
      </w:r>
      <w:r>
        <w:rPr>
          <w:rFonts w:hint="default" w:ascii="Times New Roman" w:hAnsi="Times New Roman" w:eastAsia="仿宋_GB2312" w:cs="Times New Roman"/>
          <w:color w:val="000000"/>
          <w:sz w:val="32"/>
          <w:szCs w:val="32"/>
          <w:highlight w:val="none"/>
        </w:rPr>
        <w:t>，由15m排气筒H2高空排放</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细菌活疫苗生产线和细菌灭活生产线发酵废气经处理</w:t>
      </w:r>
      <w:r>
        <w:rPr>
          <w:rFonts w:hint="default" w:ascii="Times New Roman" w:hAnsi="Times New Roman" w:eastAsia="仿宋_GB2312" w:cs="Times New Roman"/>
          <w:color w:val="000000"/>
          <w:sz w:val="32"/>
          <w:szCs w:val="32"/>
          <w:highlight w:val="none"/>
          <w:lang w:eastAsia="zh-CN"/>
        </w:rPr>
        <w:t>后</w:t>
      </w:r>
      <w:r>
        <w:rPr>
          <w:rFonts w:hint="default" w:ascii="Times New Roman" w:hAnsi="Times New Roman" w:eastAsia="仿宋_GB2312" w:cs="Times New Roman"/>
          <w:color w:val="000000"/>
          <w:sz w:val="32"/>
          <w:szCs w:val="32"/>
          <w:highlight w:val="none"/>
        </w:rPr>
        <w:t>通</w:t>
      </w:r>
      <w:r>
        <w:rPr>
          <w:rFonts w:hint="default" w:ascii="Times New Roman" w:hAnsi="Times New Roman" w:eastAsia="仿宋_GB2312" w:cs="Times New Roman"/>
          <w:color w:val="auto"/>
          <w:sz w:val="32"/>
          <w:szCs w:val="32"/>
          <w:highlight w:val="none"/>
        </w:rPr>
        <w:t>过15m排气筒H</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排放。</w:t>
      </w:r>
      <w:r>
        <w:rPr>
          <w:rFonts w:hint="default" w:ascii="Times New Roman" w:hAnsi="Times New Roman" w:eastAsia="仿宋_GB2312" w:cs="Times New Roman"/>
          <w:color w:val="auto"/>
          <w:spacing w:val="0"/>
          <w:sz w:val="32"/>
          <w:szCs w:val="32"/>
          <w:lang w:eastAsia="zh-CN"/>
        </w:rPr>
        <w:t>污水处理站、动物房硫化氢、氨、臭气浓度排放须符合《有机化工企业污水处理厂（站）挥发性有机物及恶臭污染物排放标准》（DB37/3161-2018）表1中标准。</w:t>
      </w:r>
      <w:r>
        <w:rPr>
          <w:rFonts w:hint="default" w:ascii="Times New Roman" w:hAnsi="Times New Roman" w:eastAsia="仿宋_GB2312" w:cs="Times New Roman"/>
          <w:color w:val="auto"/>
          <w:sz w:val="32"/>
          <w:szCs w:val="32"/>
          <w:highlight w:val="none"/>
        </w:rPr>
        <w:t>发酵</w:t>
      </w:r>
      <w:r>
        <w:rPr>
          <w:rFonts w:hint="default" w:ascii="Times New Roman" w:hAnsi="Times New Roman" w:eastAsia="仿宋_GB2312" w:cs="Times New Roman"/>
          <w:color w:val="auto"/>
          <w:sz w:val="32"/>
          <w:szCs w:val="32"/>
          <w:highlight w:val="none"/>
          <w:lang w:val="en-US" w:eastAsia="zh-CN"/>
        </w:rPr>
        <w:t>有机</w:t>
      </w:r>
      <w:r>
        <w:rPr>
          <w:rFonts w:hint="default" w:ascii="Times New Roman" w:hAnsi="Times New Roman" w:eastAsia="仿宋_GB2312" w:cs="Times New Roman"/>
          <w:color w:val="auto"/>
          <w:sz w:val="32"/>
          <w:szCs w:val="32"/>
          <w:highlight w:val="none"/>
        </w:rPr>
        <w:t>废气</w:t>
      </w:r>
      <w:r>
        <w:rPr>
          <w:rFonts w:hint="default" w:ascii="Times New Roman" w:hAnsi="Times New Roman" w:eastAsia="仿宋_GB2312" w:cs="Times New Roman"/>
          <w:color w:val="auto"/>
          <w:sz w:val="32"/>
          <w:szCs w:val="32"/>
          <w:highlight w:val="none"/>
          <w:lang w:eastAsia="zh-CN"/>
        </w:rPr>
        <w:t>须符合</w:t>
      </w:r>
      <w:r>
        <w:rPr>
          <w:rFonts w:hint="default" w:ascii="Times New Roman" w:hAnsi="Times New Roman" w:eastAsia="仿宋_GB2312" w:cs="Times New Roman"/>
          <w:color w:val="auto"/>
          <w:spacing w:val="0"/>
          <w:sz w:val="32"/>
          <w:szCs w:val="32"/>
          <w:lang w:eastAsia="zh-CN"/>
        </w:rPr>
        <w:t>《挥发性有机物排放标准  第6部分:有机化工行业》（DB37/2801.6-2018）表1有组织排放限值要求。</w:t>
      </w:r>
    </w:p>
    <w:p>
      <w:pPr>
        <w:pStyle w:val="25"/>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食堂油烟经油烟净化器处理</w:t>
      </w:r>
      <w:r>
        <w:rPr>
          <w:rFonts w:hint="default" w:ascii="Times New Roman" w:hAnsi="Times New Roman" w:eastAsia="仿宋_GB2312" w:cs="Times New Roman"/>
          <w:color w:val="000000"/>
          <w:sz w:val="32"/>
          <w:szCs w:val="32"/>
          <w:highlight w:val="none"/>
          <w:lang w:eastAsia="zh-CN"/>
        </w:rPr>
        <w:t>符合山东省</w:t>
      </w:r>
      <w:r>
        <w:rPr>
          <w:rFonts w:hint="default" w:ascii="Times New Roman" w:hAnsi="Times New Roman" w:eastAsia="仿宋_GB2312" w:cs="Times New Roman"/>
          <w:spacing w:val="0"/>
          <w:sz w:val="32"/>
          <w:szCs w:val="32"/>
          <w:lang w:eastAsia="zh-CN"/>
        </w:rPr>
        <w:t>《饮食油烟排放标准》（DB37/597-2006）表2中型灶头标准</w:t>
      </w:r>
      <w:r>
        <w:rPr>
          <w:rFonts w:hint="default" w:ascii="Times New Roman" w:hAnsi="Times New Roman" w:eastAsia="仿宋_GB2312" w:cs="Times New Roman"/>
          <w:color w:val="000000"/>
          <w:sz w:val="32"/>
          <w:szCs w:val="32"/>
          <w:highlight w:val="none"/>
        </w:rPr>
        <w:t>后经烟道高于建筑1.5m处排放。</w:t>
      </w:r>
    </w:p>
    <w:p>
      <w:pPr>
        <w:pStyle w:val="25"/>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严格</w:t>
      </w:r>
      <w:r>
        <w:rPr>
          <w:rFonts w:hint="default" w:ascii="Times New Roman" w:hAnsi="Times New Roman" w:eastAsia="仿宋_GB2312" w:cs="Times New Roman"/>
          <w:color w:val="000000"/>
          <w:sz w:val="32"/>
          <w:szCs w:val="32"/>
        </w:rPr>
        <w:t>落实报告书</w:t>
      </w:r>
      <w:r>
        <w:rPr>
          <w:rFonts w:hint="default" w:ascii="Times New Roman" w:hAnsi="Times New Roman" w:eastAsia="仿宋_GB2312" w:cs="Times New Roman"/>
          <w:color w:val="auto"/>
          <w:sz w:val="32"/>
          <w:szCs w:val="32"/>
        </w:rPr>
        <w:t>提出</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无组织排放措施。</w:t>
      </w:r>
      <w:r>
        <w:rPr>
          <w:rFonts w:hint="default" w:ascii="Times New Roman" w:hAnsi="Times New Roman" w:eastAsia="仿宋_GB2312" w:cs="Times New Roman"/>
          <w:color w:val="auto"/>
          <w:spacing w:val="0"/>
          <w:sz w:val="32"/>
          <w:szCs w:val="32"/>
          <w:lang w:eastAsia="zh-CN"/>
        </w:rPr>
        <w:t>通过采取加强绿化、加强恶臭污染源管理、加强设备维护等措施后，厂界NH</w:t>
      </w:r>
      <w:r>
        <w:rPr>
          <w:rFonts w:hint="default" w:ascii="Times New Roman" w:hAnsi="Times New Roman" w:eastAsia="仿宋_GB2312" w:cs="Times New Roman"/>
          <w:color w:val="auto"/>
          <w:spacing w:val="0"/>
          <w:sz w:val="32"/>
          <w:szCs w:val="32"/>
          <w:vertAlign w:val="subscript"/>
          <w:lang w:eastAsia="zh-CN"/>
        </w:rPr>
        <w:t>3</w:t>
      </w:r>
      <w:r>
        <w:rPr>
          <w:rFonts w:hint="default" w:ascii="Times New Roman" w:hAnsi="Times New Roman" w:eastAsia="仿宋_GB2312" w:cs="Times New Roman"/>
          <w:color w:val="auto"/>
          <w:spacing w:val="0"/>
          <w:sz w:val="32"/>
          <w:szCs w:val="32"/>
          <w:lang w:eastAsia="zh-CN"/>
        </w:rPr>
        <w:t>、H</w:t>
      </w:r>
      <w:r>
        <w:rPr>
          <w:rFonts w:hint="default" w:ascii="Times New Roman" w:hAnsi="Times New Roman" w:eastAsia="仿宋_GB2312" w:cs="Times New Roman"/>
          <w:color w:val="auto"/>
          <w:spacing w:val="0"/>
          <w:sz w:val="32"/>
          <w:szCs w:val="32"/>
          <w:vertAlign w:val="subscript"/>
          <w:lang w:eastAsia="zh-CN"/>
        </w:rPr>
        <w:t>2</w:t>
      </w:r>
      <w:r>
        <w:rPr>
          <w:rFonts w:hint="default" w:ascii="Times New Roman" w:hAnsi="Times New Roman" w:eastAsia="仿宋_GB2312" w:cs="Times New Roman"/>
          <w:color w:val="auto"/>
          <w:spacing w:val="0"/>
          <w:sz w:val="32"/>
          <w:szCs w:val="32"/>
          <w:lang w:eastAsia="zh-CN"/>
        </w:rPr>
        <w:t>S、臭气浓度满足《有机化工企业污水处理厂（站）挥发</w:t>
      </w:r>
      <w:r>
        <w:rPr>
          <w:rFonts w:hint="default" w:ascii="Times New Roman" w:hAnsi="Times New Roman" w:eastAsia="仿宋_GB2312" w:cs="Times New Roman"/>
          <w:spacing w:val="0"/>
          <w:sz w:val="32"/>
          <w:szCs w:val="32"/>
          <w:lang w:eastAsia="zh-CN"/>
        </w:rPr>
        <w:t>性有机物及恶臭污染物排放标准》（DB37/3161-2018）表2中标准，厂界NMHC满足《挥发性有机物排放标准 第6部分:有机化工行业》（DB37/2801.6-2018）表3中厂界排放限值。</w:t>
      </w:r>
    </w:p>
    <w:p>
      <w:pPr>
        <w:pStyle w:val="34"/>
        <w:keepNext w:val="0"/>
        <w:keepLines w:val="0"/>
        <w:pageBreakBefore w:val="0"/>
        <w:widowControl w:val="0"/>
        <w:kinsoku/>
        <w:wordWrap/>
        <w:overflowPunct/>
        <w:topLinePunct w:val="0"/>
        <w:autoSpaceDE/>
        <w:autoSpaceDN/>
        <w:bidi w:val="0"/>
        <w:spacing w:line="580" w:lineRule="exact"/>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（三）严格落实水污染防治措施。</w:t>
      </w:r>
      <w:r>
        <w:rPr>
          <w:rFonts w:hint="default" w:ascii="Times New Roman" w:hAnsi="Times New Roman" w:eastAsia="仿宋_GB2312" w:cs="Times New Roman"/>
          <w:sz w:val="32"/>
          <w:szCs w:val="32"/>
        </w:rPr>
        <w:t>按照“雨污分流、清污分流、污污分流”原则完善厂区排水系统。</w:t>
      </w:r>
      <w:r>
        <w:rPr>
          <w:rFonts w:hint="default" w:ascii="Times New Roman" w:hAnsi="Times New Roman" w:eastAsia="仿宋_GB2312" w:cs="Times New Roman"/>
          <w:b w:val="0"/>
          <w:bCs w:val="0"/>
          <w:sz w:val="32"/>
          <w:szCs w:val="32"/>
          <w:lang w:val="en-US" w:eastAsia="zh-CN"/>
        </w:rPr>
        <w:t>项目生产产生的活毒废水经灭活与一般生产废水排入厂区内污水处理厂处理后，与纯水制备、软水制备、注射用水制备废水、生活污水一并排入枣庄汇泉污水处理厂集中处理。厂区排水口水质须符合《污水排入城镇下水道水质标准》(GB/T31962-2015)标准要求。</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（四）严格落实土壤和地下水污染防治措施。按照“源头防控、分区防治、污染监控、应急响应”的原则进行地下水污染防治，</w:t>
      </w:r>
      <w:r>
        <w:rPr>
          <w:rStyle w:val="42"/>
          <w:rFonts w:hint="default" w:ascii="Times New Roman" w:hAnsi="Times New Roman" w:eastAsia="仿宋_GB2312" w:cs="Times New Roman"/>
          <w:color w:val="000000"/>
          <w:sz w:val="32"/>
          <w:szCs w:val="32"/>
        </w:rPr>
        <w:t>强化厂区防漏及事故废水应急收集处理</w:t>
      </w:r>
      <w:r>
        <w:rPr>
          <w:rFonts w:hint="default" w:ascii="Times New Roman" w:hAnsi="Times New Roman" w:eastAsia="仿宋_GB2312" w:cs="Times New Roman"/>
          <w:color w:val="000000"/>
          <w:sz w:val="32"/>
          <w:szCs w:val="32"/>
        </w:rPr>
        <w:t>。加强防渗设施的日常维护，对出现损害的防渗设施应及时修复和加固，确保防渗设施牢固安全。建立完善的土壤和地下水监测制度，合理设置土壤和地下水监测井，严格落实土壤和地下水监测计划。</w:t>
      </w:r>
    </w:p>
    <w:p>
      <w:pPr>
        <w:pStyle w:val="25"/>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rPr>
        <w:t>（五）严格落实噪声污染防治措施。厂界噪声须符合《工业企业厂界环境噪声排放标准》(GB12348–2008)中</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类功能区的要求。</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（七）健全环境管理制度。按照相关要求设置规范的污染物排放口</w:t>
      </w:r>
      <w:r>
        <w:rPr>
          <w:rFonts w:hint="default" w:ascii="Times New Roman" w:hAnsi="Times New Roman" w:eastAsia="仿宋_GB2312" w:cs="Times New Roman"/>
          <w:color w:val="000000"/>
          <w:kern w:val="0"/>
          <w:sz w:val="32"/>
          <w:szCs w:val="32"/>
          <w:lang w:val="zh-CN"/>
        </w:rPr>
        <w:t>和监测口</w:t>
      </w:r>
      <w:r>
        <w:rPr>
          <w:rFonts w:hint="default" w:ascii="Times New Roman" w:hAnsi="Times New Roman" w:eastAsia="仿宋_GB2312" w:cs="Times New Roman"/>
          <w:color w:val="000000"/>
          <w:sz w:val="32"/>
          <w:szCs w:val="32"/>
        </w:rPr>
        <w:t>，排气筒须按照规范要求设置永久采样孔、安装采样监测平台，并设立标志牌。落实环境监测计划，发现异常情况，及时采取相关措施并向当地生态环境部门报告。严格按照国家环境保护相关法律法规以及排污许可证申请与核发技术规范要求申请排污许可证，不得无证排污或不按证排污，同时应做好排污许可证执行报告等相关工作。采用先进的生产工艺、技术和设备，全面贯彻清洁生产理念，采取有效的污染物治理与废物综合利用措施，确保满足清洁生产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该项目运营后</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val="0"/>
          <w:bCs w:val="0"/>
          <w:sz w:val="32"/>
          <w:szCs w:val="32"/>
          <w:lang w:eastAsia="zh-CN"/>
        </w:rPr>
        <w:t>颗粒物、二氧化硫、氮氧化物、挥发性有机物</w:t>
      </w:r>
      <w:r>
        <w:rPr>
          <w:rFonts w:hint="default" w:ascii="Times New Roman" w:hAnsi="Times New Roman" w:eastAsia="仿宋_GB2312" w:cs="Times New Roman"/>
          <w:color w:val="000000"/>
          <w:sz w:val="32"/>
          <w:szCs w:val="32"/>
          <w:highlight w:val="none"/>
        </w:rPr>
        <w:t>排放总量应控制在</w:t>
      </w:r>
      <w:r>
        <w:rPr>
          <w:rFonts w:hint="default" w:ascii="Times New Roman" w:hAnsi="Times New Roman" w:eastAsia="仿宋_GB2312" w:cs="Times New Roman"/>
          <w:b w:val="0"/>
          <w:bCs w:val="0"/>
          <w:sz w:val="32"/>
          <w:szCs w:val="32"/>
          <w:lang w:eastAsia="zh-CN"/>
        </w:rPr>
        <w:t>0.222t/a、0.426t/a、1.483t/a、0.555t/a</w:t>
      </w:r>
      <w:r>
        <w:rPr>
          <w:rFonts w:hint="default" w:ascii="Times New Roman" w:hAnsi="Times New Roman" w:eastAsia="仿宋_GB2312" w:cs="Times New Roman"/>
          <w:sz w:val="32"/>
          <w:szCs w:val="32"/>
          <w:highlight w:val="none"/>
          <w:shd w:val="clear" w:color="040000" w:fill="auto"/>
          <w:lang w:eastAsia="zh-CN"/>
        </w:rPr>
        <w:t>以内。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）强化环境风险防范和应急措施。</w:t>
      </w:r>
      <w:r>
        <w:rPr>
          <w:rStyle w:val="42"/>
          <w:rFonts w:hint="default" w:ascii="Times New Roman" w:hAnsi="Times New Roman" w:eastAsia="仿宋_GB2312" w:cs="Times New Roman"/>
          <w:color w:val="000000"/>
          <w:sz w:val="32"/>
          <w:szCs w:val="32"/>
        </w:rPr>
        <w:t>加强生产运行中的全程风险管理</w:t>
      </w:r>
      <w:r>
        <w:rPr>
          <w:rFonts w:hint="default" w:ascii="Times New Roman" w:hAnsi="Times New Roman" w:eastAsia="仿宋_GB2312" w:cs="Times New Roman"/>
          <w:color w:val="000000"/>
          <w:sz w:val="32"/>
          <w:szCs w:val="32"/>
          <w:lang w:eastAsia="zh-CN"/>
        </w:rPr>
        <w:t>，严格落实有效的环境风险防范和应急措施，防范环境污染事故发生</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eastAsia="zh-CN"/>
        </w:rPr>
        <w:t>十</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42"/>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 xml:space="preserve"> </w:t>
      </w:r>
    </w:p>
    <w:p>
      <w:pPr>
        <w:pStyle w:val="10"/>
        <w:keepNext w:val="0"/>
        <w:keepLines w:val="0"/>
        <w:pageBreakBefore w:val="0"/>
        <w:widowControl w:val="0"/>
        <w:kinsoku/>
        <w:wordWrap/>
        <w:overflowPunct/>
        <w:topLinePunct w:val="0"/>
        <w:autoSpaceDE/>
        <w:autoSpaceDN/>
        <w:bidi w:val="0"/>
        <w:spacing w:after="0"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三、你公司必须严格执行配套建设的环境保护设施与主体</w:t>
      </w:r>
      <w:r>
        <w:rPr>
          <w:rFonts w:hint="default" w:ascii="Times New Roman" w:hAnsi="Times New Roman" w:eastAsia="仿宋_GB2312" w:cs="Times New Roman"/>
          <w:color w:val="000000"/>
          <w:sz w:val="32"/>
          <w:szCs w:val="32"/>
          <w:lang w:eastAsia="zh-CN"/>
        </w:rPr>
        <w:t>工程</w:t>
      </w:r>
      <w:r>
        <w:rPr>
          <w:rFonts w:hint="default" w:ascii="Times New Roman" w:hAnsi="Times New Roman" w:eastAsia="仿宋_GB2312" w:cs="Times New Roman"/>
          <w:color w:val="000000"/>
          <w:sz w:val="32"/>
          <w:szCs w:val="32"/>
        </w:rPr>
        <w:t>同时设计、同时施工、同时</w:t>
      </w:r>
      <w:r>
        <w:rPr>
          <w:rFonts w:hint="default" w:ascii="Times New Roman" w:hAnsi="Times New Roman" w:eastAsia="仿宋_GB2312" w:cs="Times New Roman"/>
          <w:color w:val="000000"/>
          <w:sz w:val="32"/>
          <w:szCs w:val="32"/>
          <w:lang w:eastAsia="zh-CN"/>
        </w:rPr>
        <w:t>投产</w:t>
      </w:r>
      <w:r>
        <w:rPr>
          <w:rFonts w:hint="default" w:ascii="Times New Roman" w:hAnsi="Times New Roman" w:eastAsia="仿宋_GB2312" w:cs="Times New Roman"/>
          <w:color w:val="000000"/>
          <w:sz w:val="32"/>
          <w:szCs w:val="32"/>
        </w:rPr>
        <w:t>使用的</w:t>
      </w:r>
      <w:r>
        <w:rPr>
          <w:rFonts w:hint="default" w:ascii="Times New Roman" w:hAnsi="Times New Roman" w:eastAsia="仿宋_GB2312" w:cs="Times New Roman"/>
          <w:color w:val="000000"/>
          <w:sz w:val="32"/>
          <w:szCs w:val="32"/>
          <w:lang w:eastAsia="zh-CN"/>
        </w:rPr>
        <w:t>环境保护</w:t>
      </w:r>
      <w:r>
        <w:rPr>
          <w:rFonts w:hint="default" w:ascii="Times New Roman" w:hAnsi="Times New Roman" w:eastAsia="仿宋_GB2312" w:cs="Times New Roman"/>
          <w:color w:val="000000"/>
          <w:sz w:val="32"/>
          <w:szCs w:val="32"/>
        </w:rPr>
        <w:t>“三同时”制度，落实各项环境保护措施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项目建成后，须按规定程序实施竣工环境保护验收（前述环保措施未落实前，不得通过验收</w:t>
      </w:r>
      <w:r>
        <w:rPr>
          <w:rFonts w:hint="default" w:ascii="Times New Roman" w:hAnsi="Times New Roman" w:eastAsia="仿宋_GB2312" w:cs="Times New Roman"/>
          <w:color w:val="000000"/>
          <w:sz w:val="32"/>
          <w:szCs w:val="32"/>
          <w:lang w:eastAsia="zh-CN"/>
        </w:rPr>
        <w:t>和投入生产</w:t>
      </w:r>
      <w:r>
        <w:rPr>
          <w:rFonts w:hint="default" w:ascii="Times New Roman" w:hAnsi="Times New Roman" w:eastAsia="仿宋_GB2312" w:cs="Times New Roman"/>
          <w:color w:val="000000"/>
          <w:sz w:val="32"/>
          <w:szCs w:val="32"/>
        </w:rPr>
        <w:t>）。项目建设运行中应遵循环评报告书相关要求，该项目采取拆除活动时及服务期满后需开展完成相应的风险评估和修复工作等。</w:t>
      </w:r>
    </w:p>
    <w:p>
      <w:pPr>
        <w:pStyle w:val="10"/>
        <w:keepNext w:val="0"/>
        <w:keepLines w:val="0"/>
        <w:pageBreakBefore w:val="0"/>
        <w:widowControl w:val="0"/>
        <w:kinsoku/>
        <w:wordWrap/>
        <w:overflowPunct/>
        <w:topLinePunct w:val="0"/>
        <w:autoSpaceDE/>
        <w:autoSpaceDN/>
        <w:bidi w:val="0"/>
        <w:spacing w:after="0"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四、环境影响报告书经批准后，项目的性质、规模、地点、生产工艺或者防治污染、防止生态破坏措施发生重大变动的，应当重新报批</w:t>
      </w:r>
      <w:r>
        <w:rPr>
          <w:rFonts w:hint="default" w:ascii="Times New Roman" w:hAnsi="Times New Roman" w:eastAsia="仿宋_GB2312" w:cs="Times New Roman"/>
          <w:color w:val="000000"/>
          <w:sz w:val="32"/>
          <w:szCs w:val="32"/>
          <w:lang w:eastAsia="zh-CN"/>
        </w:rPr>
        <w:t>环境影响评价文件</w:t>
      </w:r>
      <w:r>
        <w:rPr>
          <w:rFonts w:hint="default" w:ascii="Times New Roman" w:hAnsi="Times New Roman" w:eastAsia="仿宋_GB2312" w:cs="Times New Roman"/>
          <w:color w:val="000000"/>
          <w:sz w:val="32"/>
          <w:szCs w:val="32"/>
        </w:rPr>
        <w:t>。自环境影响报告书批复文件批准之日起，超过5年项目</w:t>
      </w:r>
      <w:r>
        <w:rPr>
          <w:rFonts w:hint="default" w:ascii="Times New Roman" w:hAnsi="Times New Roman" w:eastAsia="仿宋_GB2312" w:cs="Times New Roman"/>
          <w:color w:val="000000"/>
          <w:sz w:val="32"/>
          <w:szCs w:val="32"/>
          <w:lang w:eastAsia="zh-CN"/>
        </w:rPr>
        <w:t>方</w:t>
      </w:r>
      <w:r>
        <w:rPr>
          <w:rFonts w:hint="default" w:ascii="Times New Roman" w:hAnsi="Times New Roman" w:eastAsia="仿宋_GB2312" w:cs="Times New Roman"/>
          <w:color w:val="000000"/>
          <w:sz w:val="32"/>
          <w:szCs w:val="32"/>
        </w:rPr>
        <w:t>开工的，</w:t>
      </w:r>
      <w:r>
        <w:rPr>
          <w:rFonts w:hint="default" w:ascii="Times New Roman" w:hAnsi="Times New Roman" w:eastAsia="仿宋_GB2312" w:cs="Times New Roman"/>
          <w:color w:val="000000"/>
          <w:sz w:val="32"/>
          <w:szCs w:val="32"/>
          <w:lang w:eastAsia="zh-CN"/>
        </w:rPr>
        <w:t>环境影响评价文件应当报我局重新审核</w:t>
      </w:r>
      <w:r>
        <w:rPr>
          <w:rFonts w:hint="default" w:ascii="Times New Roman" w:hAnsi="Times New Roman" w:eastAsia="仿宋_GB2312" w:cs="Times New Roman"/>
          <w:color w:val="000000"/>
          <w:sz w:val="32"/>
          <w:szCs w:val="32"/>
        </w:rPr>
        <w:t xml:space="preserve">。如根据法律法规等相关规定需要进行更严格要求的，实行从严管理。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市中</w:t>
      </w:r>
      <w:r>
        <w:rPr>
          <w:rFonts w:hint="default" w:ascii="Times New Roman" w:hAnsi="Times New Roman" w:eastAsia="仿宋_GB2312" w:cs="Times New Roman"/>
          <w:color w:val="000000"/>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58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六、你公司应在接到本批复后10个工作日内，将批准后的环境影响报告书送枣庄市生态环境局</w:t>
      </w:r>
      <w:r>
        <w:rPr>
          <w:rFonts w:hint="default" w:ascii="Times New Roman" w:hAnsi="Times New Roman" w:eastAsia="仿宋_GB2312" w:cs="Times New Roman"/>
          <w:color w:val="000000"/>
          <w:sz w:val="32"/>
          <w:szCs w:val="32"/>
          <w:lang w:eastAsia="zh-CN"/>
        </w:rPr>
        <w:t>市中</w:t>
      </w:r>
      <w:r>
        <w:rPr>
          <w:rFonts w:hint="default" w:ascii="Times New Roman" w:hAnsi="Times New Roman" w:eastAsia="仿宋_GB2312" w:cs="Times New Roman"/>
          <w:color w:val="000000"/>
          <w:sz w:val="32"/>
          <w:szCs w:val="32"/>
        </w:rPr>
        <w:t xml:space="preserve">分局，并按规定接受各级生态环境部门的监督检查。 </w:t>
      </w:r>
    </w:p>
    <w:p>
      <w:pPr>
        <w:pStyle w:val="2"/>
        <w:keepNext w:val="0"/>
        <w:keepLines w:val="0"/>
        <w:pageBreakBefore w:val="0"/>
        <w:widowControl w:val="0"/>
        <w:kinsoku/>
        <w:wordWrap/>
        <w:overflowPunct/>
        <w:topLinePunct w:val="0"/>
        <w:autoSpaceDE/>
        <w:autoSpaceDN/>
        <w:bidi w:val="0"/>
        <w:spacing w:line="580" w:lineRule="exact"/>
        <w:ind w:left="0" w:leftChars="0" w:firstLine="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七、</w:t>
      </w:r>
      <w:r>
        <w:rPr>
          <w:rFonts w:hint="default" w:ascii="Times New Roman" w:hAnsi="Times New Roman" w:eastAsia="仿宋_GB2312" w:cs="Times New Roman"/>
          <w:color w:val="000000"/>
          <w:sz w:val="32"/>
          <w:szCs w:val="32"/>
          <w:lang w:eastAsia="zh-CN"/>
        </w:rPr>
        <w:t>项目须符合有关法律法规规定要求。</w:t>
      </w:r>
      <w:r>
        <w:rPr>
          <w:rFonts w:hint="default" w:ascii="Times New Roman" w:hAnsi="Times New Roman" w:eastAsia="仿宋_GB2312" w:cs="Times New Roman"/>
          <w:color w:val="000000"/>
          <w:sz w:val="32"/>
          <w:szCs w:val="32"/>
        </w:rPr>
        <w:t>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eastAsia="仿宋_GB2312" w:cs="Times New Roman"/>
          <w:sz w:val="32"/>
          <w:szCs w:val="32"/>
        </w:rPr>
      </w:pPr>
    </w:p>
    <w:p>
      <w:pPr>
        <w:pStyle w:val="13"/>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keepNext w:val="0"/>
        <w:keepLines w:val="0"/>
        <w:pageBreakBefore w:val="0"/>
        <w:widowControl w:val="0"/>
        <w:kinsoku/>
        <w:wordWrap/>
        <w:overflowPunct/>
        <w:topLinePunct w:val="0"/>
        <w:autoSpaceDE/>
        <w:autoSpaceDN/>
        <w:bidi w:val="0"/>
        <w:spacing w:line="580" w:lineRule="exact"/>
        <w:ind w:firstLine="4960" w:firstLineChars="1550"/>
        <w:rPr>
          <w:rFonts w:hint="default" w:ascii="Times New Roman" w:hAnsi="Times New Roman"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15</w:t>
      </w:r>
      <w:r>
        <w:rPr>
          <w:rFonts w:hint="default" w:ascii="Times New Roman" w:hAnsi="Times New Roman" w:eastAsia="仿宋_GB2312" w:cs="Times New Roman"/>
          <w:sz w:val="32"/>
          <w:szCs w:val="32"/>
        </w:rPr>
        <w:t>日</w:t>
      </w:r>
    </w:p>
    <w:p>
      <w:pPr>
        <w:pStyle w:val="13"/>
        <w:widowControl w:val="0"/>
        <w:wordWrap/>
        <w:spacing w:line="620" w:lineRule="exact"/>
        <w:rPr>
          <w:rFonts w:hint="default" w:ascii="Times New Roman" w:hAnsi="Times New Roman" w:cs="Times New Roman"/>
        </w:rPr>
      </w:pPr>
    </w:p>
    <w:p>
      <w:pPr>
        <w:widowControl w:val="0"/>
        <w:wordWrap/>
        <w:spacing w:line="620" w:lineRule="exact"/>
        <w:jc w:val="left"/>
        <w:rPr>
          <w:rFonts w:hint="default" w:ascii="Times New Roman" w:hAnsi="Times New Roman" w:eastAsia="仿宋_GB2312" w:cs="Times New Roman"/>
          <w:color w:val="000000"/>
          <w:sz w:val="30"/>
          <w:szCs w:val="30"/>
        </w:rPr>
      </w:pPr>
    </w:p>
    <w:p>
      <w:pPr>
        <w:pStyle w:val="13"/>
        <w:rPr>
          <w:rFonts w:hint="default" w:ascii="Times New Roman" w:hAnsi="Times New Roman" w:eastAsia="仿宋_GB2312" w:cs="Times New Roman"/>
          <w:color w:val="000000"/>
          <w:sz w:val="30"/>
          <w:szCs w:val="30"/>
        </w:rPr>
      </w:pPr>
    </w:p>
    <w:p>
      <w:pPr>
        <w:rPr>
          <w:rFonts w:hint="default" w:ascii="Times New Roman" w:hAnsi="Times New Roman" w:eastAsia="仿宋_GB2312" w:cs="Times New Roman"/>
          <w:color w:val="000000"/>
          <w:sz w:val="30"/>
          <w:szCs w:val="30"/>
        </w:rPr>
      </w:pPr>
    </w:p>
    <w:p>
      <w:pPr>
        <w:pStyle w:val="13"/>
        <w:rPr>
          <w:rFonts w:hint="default" w:ascii="Times New Roman" w:hAnsi="Times New Roman" w:eastAsia="仿宋_GB2312" w:cs="Times New Roman"/>
          <w:color w:val="000000"/>
          <w:sz w:val="30"/>
          <w:szCs w:val="30"/>
        </w:rPr>
      </w:pPr>
    </w:p>
    <w:p>
      <w:pPr>
        <w:spacing w:line="4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报告书  批复</w:t>
      </w:r>
    </w:p>
    <w:tbl>
      <w:tblPr>
        <w:tblStyle w:val="11"/>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vAlign w:val="top"/>
          </w:tcPr>
          <w:p>
            <w:pPr>
              <w:spacing w:line="420" w:lineRule="exact"/>
              <w:ind w:left="900" w:hanging="840" w:hangingChars="3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抄送：市生态环境保护综合执法支队、</w:t>
            </w:r>
            <w:r>
              <w:rPr>
                <w:rFonts w:hint="default" w:ascii="Times New Roman" w:hAnsi="Times New Roman" w:eastAsia="仿宋_GB2312" w:cs="Times New Roman"/>
                <w:color w:val="000000"/>
                <w:sz w:val="28"/>
                <w:szCs w:val="28"/>
                <w:lang w:eastAsia="zh-CN"/>
              </w:rPr>
              <w:t>市中</w:t>
            </w:r>
            <w:r>
              <w:rPr>
                <w:rFonts w:hint="default" w:ascii="Times New Roman" w:hAnsi="Times New Roman" w:eastAsia="仿宋_GB2312" w:cs="Times New Roman"/>
                <w:color w:val="000000"/>
                <w:sz w:val="28"/>
                <w:szCs w:val="28"/>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vAlign w:val="top"/>
          </w:tcPr>
          <w:p>
            <w:pPr>
              <w:spacing w:line="4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default" w:ascii="Times New Roman" w:hAnsi="Times New Roman" w:eastAsia="仿宋_GB2312" w:cs="Times New Roman"/>
                <w:color w:val="000000"/>
                <w:sz w:val="28"/>
                <w:szCs w:val="28"/>
                <w:lang w:val="en"/>
              </w:rPr>
              <w:t xml:space="preserve">     </w:t>
            </w:r>
            <w:r>
              <w:rPr>
                <w:rFonts w:hint="default" w:ascii="Times New Roman" w:hAnsi="Times New Roman" w:eastAsia="仿宋_GB2312" w:cs="Times New Roman"/>
                <w:color w:val="000000"/>
                <w:sz w:val="28"/>
                <w:szCs w:val="28"/>
              </w:rPr>
              <w:t>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
              </w:rPr>
              <w:t>15</w:t>
            </w:r>
            <w:r>
              <w:rPr>
                <w:rFonts w:hint="default" w:ascii="Times New Roman" w:hAnsi="Times New Roman" w:eastAsia="仿宋_GB2312" w:cs="Times New Roman"/>
                <w:color w:val="000000"/>
                <w:sz w:val="28"/>
                <w:szCs w:val="28"/>
              </w:rPr>
              <w:t>日印发</w:t>
            </w:r>
          </w:p>
        </w:tc>
      </w:tr>
    </w:tbl>
    <w:p>
      <w:pPr>
        <w:tabs>
          <w:tab w:val="left" w:pos="1989"/>
          <w:tab w:val="left" w:pos="6840"/>
          <w:tab w:val="left" w:pos="8280"/>
        </w:tabs>
        <w:spacing w:line="420" w:lineRule="exact"/>
        <w:jc w:val="right"/>
        <w:rPr>
          <w:rFonts w:hint="default" w:ascii="Times New Roman" w:hAnsi="Times New Roman" w:cs="Times New Roman"/>
          <w:sz w:val="28"/>
          <w:szCs w:val="28"/>
        </w:rPr>
      </w:pPr>
      <w:r>
        <w:rPr>
          <w:rFonts w:hint="default" w:ascii="Times New Roman" w:hAnsi="Times New Roman" w:eastAsia="仿宋_GB2312" w:cs="Times New Roman"/>
          <w:color w:val="000000"/>
          <w:sz w:val="28"/>
          <w:szCs w:val="28"/>
        </w:rPr>
        <w:t xml:space="preserve"> （共印10份）</w:t>
      </w:r>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Segoe Print"/>
    <w:panose1 w:val="02020603040505020304"/>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Style w:val="35"/>
                              <w:sz w:val="24"/>
                              <w:szCs w:val="24"/>
                            </w:rPr>
                          </w:pPr>
                          <w:r>
                            <w:rPr>
                              <w:rStyle w:val="35"/>
                              <w:sz w:val="24"/>
                              <w:szCs w:val="24"/>
                            </w:rPr>
                            <w:t xml:space="preserve">— </w:t>
                          </w:r>
                          <w:r>
                            <w:rPr>
                              <w:rStyle w:val="35"/>
                              <w:sz w:val="24"/>
                              <w:szCs w:val="24"/>
                            </w:rPr>
                            <w:fldChar w:fldCharType="begin"/>
                          </w:r>
                          <w:r>
                            <w:rPr>
                              <w:rStyle w:val="35"/>
                              <w:sz w:val="24"/>
                              <w:szCs w:val="24"/>
                            </w:rPr>
                            <w:instrText xml:space="preserve"> PAGE  \* MERGEFORMAT </w:instrText>
                          </w:r>
                          <w:r>
                            <w:rPr>
                              <w:rStyle w:val="35"/>
                              <w:sz w:val="24"/>
                              <w:szCs w:val="24"/>
                            </w:rPr>
                            <w:fldChar w:fldCharType="separate"/>
                          </w:r>
                          <w:r>
                            <w:rPr>
                              <w:rStyle w:val="35"/>
                              <w:sz w:val="24"/>
                              <w:szCs w:val="24"/>
                            </w:rPr>
                            <w:t>- 1 -</w:t>
                          </w:r>
                          <w:r>
                            <w:rPr>
                              <w:rStyle w:val="35"/>
                              <w:sz w:val="24"/>
                              <w:szCs w:val="24"/>
                            </w:rPr>
                            <w:fldChar w:fldCharType="end"/>
                          </w:r>
                          <w:r>
                            <w:rPr>
                              <w:rStyle w:val="35"/>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9"/>
                      <w:rPr>
                        <w:rStyle w:val="35"/>
                        <w:sz w:val="24"/>
                        <w:szCs w:val="24"/>
                      </w:rPr>
                    </w:pPr>
                    <w:r>
                      <w:rPr>
                        <w:rStyle w:val="35"/>
                        <w:sz w:val="24"/>
                        <w:szCs w:val="24"/>
                      </w:rPr>
                      <w:t xml:space="preserve">— </w:t>
                    </w:r>
                    <w:r>
                      <w:rPr>
                        <w:rStyle w:val="35"/>
                        <w:sz w:val="24"/>
                        <w:szCs w:val="24"/>
                      </w:rPr>
                      <w:fldChar w:fldCharType="begin"/>
                    </w:r>
                    <w:r>
                      <w:rPr>
                        <w:rStyle w:val="35"/>
                        <w:sz w:val="24"/>
                        <w:szCs w:val="24"/>
                      </w:rPr>
                      <w:instrText xml:space="preserve"> PAGE  \* MERGEFORMAT </w:instrText>
                    </w:r>
                    <w:r>
                      <w:rPr>
                        <w:rStyle w:val="35"/>
                        <w:sz w:val="24"/>
                        <w:szCs w:val="24"/>
                      </w:rPr>
                      <w:fldChar w:fldCharType="separate"/>
                    </w:r>
                    <w:r>
                      <w:rPr>
                        <w:rStyle w:val="35"/>
                        <w:sz w:val="24"/>
                        <w:szCs w:val="24"/>
                      </w:rPr>
                      <w:t>- 1 -</w:t>
                    </w:r>
                    <w:r>
                      <w:rPr>
                        <w:rStyle w:val="35"/>
                        <w:sz w:val="24"/>
                        <w:szCs w:val="24"/>
                      </w:rPr>
                      <w:fldChar w:fldCharType="end"/>
                    </w:r>
                    <w:r>
                      <w:rPr>
                        <w:rStyle w:val="35"/>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35"/>
      </w:rPr>
    </w:pPr>
    <w:r>
      <w:fldChar w:fldCharType="begin"/>
    </w:r>
    <w:r>
      <w:rPr>
        <w:rStyle w:val="35"/>
      </w:rPr>
      <w:instrText xml:space="preserve">PAGE  </w:instrText>
    </w:r>
    <w:r>
      <w:fldChar w:fldCharType="separate"/>
    </w:r>
    <w:r>
      <w:rPr>
        <w:rStyle w:val="35"/>
      </w:rPr>
      <w:t>- 1 -</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F5877"/>
    <w:rsid w:val="3F7FDF7C"/>
    <w:rsid w:val="7B5FF759"/>
    <w:rsid w:val="7E627765"/>
    <w:rsid w:val="7F7FAA7B"/>
    <w:rsid w:val="7FFF2A63"/>
    <w:rsid w:val="7FFF997D"/>
    <w:rsid w:val="F7FBF688"/>
    <w:rsid w:val="FEBBE9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37"/>
    <w:qFormat/>
    <w:uiPriority w:val="0"/>
    <w:pPr>
      <w:jc w:val="left"/>
    </w:pPr>
    <w:rPr>
      <w:kern w:val="2"/>
      <w:sz w:val="32"/>
      <w:szCs w:val="32"/>
    </w:rPr>
  </w:style>
  <w:style w:type="paragraph" w:styleId="8">
    <w:name w:val="Body Text"/>
    <w:basedOn w:val="1"/>
    <w:link w:val="38"/>
    <w:qFormat/>
    <w:uiPriority w:val="0"/>
    <w:pPr>
      <w:spacing w:after="120"/>
    </w:pPr>
    <w:rPr>
      <w:kern w:val="2"/>
      <w:sz w:val="32"/>
      <w:szCs w:val="3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First Indent"/>
    <w:basedOn w:val="8"/>
    <w:qFormat/>
    <w:uiPriority w:val="0"/>
    <w:pPr>
      <w:ind w:firstLine="420" w:firstLineChars="100"/>
    </w:pPr>
  </w:style>
  <w:style w:type="paragraph" w:customStyle="1" w:styleId="13">
    <w:name w:val="Body Text First Indent 2"/>
    <w:basedOn w:val="14"/>
    <w:next w:val="1"/>
    <w:qFormat/>
    <w:uiPriority w:val="0"/>
    <w:pPr>
      <w:ind w:firstLine="420"/>
    </w:pPr>
    <w:rPr>
      <w:rFonts w:hint="eastAsia"/>
    </w:rPr>
  </w:style>
  <w:style w:type="paragraph" w:customStyle="1" w:styleId="14">
    <w:name w:val="Body Text Indent"/>
    <w:basedOn w:val="1"/>
    <w:next w:val="4"/>
    <w:qFormat/>
    <w:uiPriority w:val="0"/>
    <w:pPr>
      <w:spacing w:after="120"/>
      <w:ind w:left="420" w:leftChars="200"/>
    </w:pPr>
    <w:rPr>
      <w:rFonts w:hint="eastAsia"/>
    </w:rPr>
  </w:style>
  <w:style w:type="paragraph" w:customStyle="1" w:styleId="15">
    <w:name w:val="批注框文本 Char Char"/>
    <w:basedOn w:val="1"/>
    <w:link w:val="39"/>
    <w:qFormat/>
    <w:uiPriority w:val="0"/>
    <w:rPr>
      <w:kern w:val="2"/>
      <w:sz w:val="18"/>
      <w:szCs w:val="18"/>
    </w:rPr>
  </w:style>
  <w:style w:type="paragraph" w:customStyle="1" w:styleId="16">
    <w:name w:val="Date"/>
    <w:basedOn w:val="1"/>
    <w:next w:val="1"/>
    <w:qFormat/>
    <w:uiPriority w:val="0"/>
    <w:pPr>
      <w:ind w:left="100" w:leftChars="2500"/>
    </w:pPr>
  </w:style>
  <w:style w:type="paragraph" w:customStyle="1" w:styleId="17">
    <w:name w:val="Body Text Indent 3"/>
    <w:basedOn w:val="1"/>
    <w:qFormat/>
    <w:uiPriority w:val="0"/>
    <w:pPr>
      <w:spacing w:line="540" w:lineRule="exact"/>
      <w:ind w:firstLine="640" w:firstLineChars="200"/>
    </w:pPr>
    <w:rPr>
      <w:rFonts w:ascii="仿宋_GB2312" w:eastAsia="仿宋_GB2312"/>
    </w:rPr>
  </w:style>
  <w:style w:type="paragraph" w:customStyle="1" w:styleId="18">
    <w:name w:val="Normal (Web)"/>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9">
    <w:name w:val="annotation subject"/>
    <w:basedOn w:val="7"/>
    <w:next w:val="7"/>
    <w:link w:val="40"/>
    <w:qFormat/>
    <w:uiPriority w:val="0"/>
    <w:rPr>
      <w:b/>
      <w:bCs/>
      <w:kern w:val="2"/>
      <w:sz w:val="32"/>
      <w:szCs w:val="32"/>
    </w:rPr>
  </w:style>
  <w:style w:type="paragraph" w:customStyle="1" w:styleId="20">
    <w:name w:val="Body Text First Indent"/>
    <w:basedOn w:val="8"/>
    <w:link w:val="41"/>
    <w:qFormat/>
    <w:uiPriority w:val="0"/>
    <w:pPr>
      <w:ind w:firstLine="420" w:firstLineChars="100"/>
    </w:pPr>
  </w:style>
  <w:style w:type="paragraph" w:customStyle="1" w:styleId="21">
    <w:name w:val="BodyText1I2"/>
    <w:basedOn w:val="22"/>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2">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paragraph" w:customStyle="1" w:styleId="23">
    <w:name w:val="默认段落字体 Para Char Char Char Char"/>
    <w:basedOn w:val="1"/>
    <w:qFormat/>
    <w:uiPriority w:val="0"/>
    <w:rPr>
      <w:sz w:val="21"/>
      <w:szCs w:val="24"/>
    </w:rPr>
  </w:style>
  <w:style w:type="paragraph" w:customStyle="1" w:styleId="24">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25">
    <w:name w:val="报告书正文样式1"/>
    <w:basedOn w:val="26"/>
    <w:qFormat/>
    <w:uiPriority w:val="0"/>
    <w:pPr>
      <w:spacing w:line="360" w:lineRule="auto"/>
    </w:pPr>
    <w:rPr>
      <w:rFonts w:ascii="Arial" w:hAnsi="Arial" w:cs="Arial"/>
      <w:szCs w:val="24"/>
    </w:rPr>
  </w:style>
  <w:style w:type="paragraph" w:customStyle="1" w:styleId="26">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27">
    <w:name w:val="样式5"/>
    <w:basedOn w:val="24"/>
    <w:next w:val="28"/>
    <w:qFormat/>
    <w:uiPriority w:val="0"/>
    <w:pPr>
      <w:adjustRightInd/>
      <w:spacing w:line="240" w:lineRule="auto"/>
      <w:ind w:right="-140" w:rightChars="-50" w:firstLine="1653" w:firstLineChars="588"/>
    </w:pPr>
    <w:rPr>
      <w:b/>
      <w:bCs/>
    </w:rPr>
  </w:style>
  <w:style w:type="paragraph" w:customStyle="1" w:styleId="28">
    <w:name w:val="图框文字"/>
    <w:basedOn w:val="1"/>
    <w:qFormat/>
    <w:uiPriority w:val="0"/>
    <w:pPr>
      <w:widowControl w:val="0"/>
      <w:jc w:val="center"/>
      <w:textAlignment w:val="center"/>
    </w:pPr>
    <w:rPr>
      <w:rFonts w:ascii="Times New Roman" w:hAnsi="Times New Roman"/>
      <w:kern w:val="2"/>
    </w:rPr>
  </w:style>
  <w:style w:type="paragraph" w:customStyle="1" w:styleId="29">
    <w:name w:val="_Style 247"/>
    <w:basedOn w:val="1"/>
    <w:qFormat/>
    <w:uiPriority w:val="0"/>
  </w:style>
  <w:style w:type="paragraph" w:customStyle="1" w:styleId="30">
    <w:name w:val=" Char Char Char Char Char Char Char Char Char1 Char"/>
    <w:basedOn w:val="1"/>
    <w:qFormat/>
    <w:uiPriority w:val="0"/>
    <w:rPr>
      <w:sz w:val="21"/>
      <w:szCs w:val="24"/>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2">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3">
    <w:name w:val="Date1"/>
    <w:basedOn w:val="1"/>
    <w:next w:val="1"/>
    <w:qFormat/>
    <w:uiPriority w:val="0"/>
    <w:rPr>
      <w:sz w:val="21"/>
      <w:szCs w:val="20"/>
    </w:rPr>
  </w:style>
  <w:style w:type="paragraph" w:customStyle="1" w:styleId="34">
    <w:name w:val="书正文"/>
    <w:basedOn w:val="1"/>
    <w:qFormat/>
    <w:uiPriority w:val="0"/>
    <w:pPr>
      <w:adjustRightInd w:val="0"/>
      <w:spacing w:line="520" w:lineRule="exact"/>
      <w:ind w:firstLine="200" w:firstLineChars="200"/>
    </w:pPr>
    <w:rPr>
      <w:sz w:val="24"/>
      <w:szCs w:val="20"/>
    </w:rPr>
  </w:style>
  <w:style w:type="character" w:customStyle="1" w:styleId="35">
    <w:name w:val="page number"/>
    <w:qFormat/>
    <w:uiPriority w:val="0"/>
  </w:style>
  <w:style w:type="character" w:customStyle="1" w:styleId="36">
    <w:name w:val="annotation reference"/>
    <w:qFormat/>
    <w:uiPriority w:val="0"/>
    <w:rPr>
      <w:sz w:val="21"/>
      <w:szCs w:val="21"/>
    </w:rPr>
  </w:style>
  <w:style w:type="character" w:customStyle="1" w:styleId="37">
    <w:name w:val="批注文字 字符"/>
    <w:link w:val="7"/>
    <w:semiHidden/>
    <w:qFormat/>
    <w:uiPriority w:val="0"/>
    <w:rPr>
      <w:kern w:val="2"/>
      <w:sz w:val="32"/>
      <w:szCs w:val="32"/>
    </w:rPr>
  </w:style>
  <w:style w:type="character" w:customStyle="1" w:styleId="38">
    <w:name w:val="正文文本 字符"/>
    <w:link w:val="8"/>
    <w:semiHidden/>
    <w:qFormat/>
    <w:uiPriority w:val="0"/>
    <w:rPr>
      <w:kern w:val="2"/>
      <w:sz w:val="32"/>
      <w:szCs w:val="32"/>
    </w:rPr>
  </w:style>
  <w:style w:type="character" w:customStyle="1" w:styleId="39">
    <w:name w:val="批注框文本 字符"/>
    <w:link w:val="15"/>
    <w:semiHidden/>
    <w:qFormat/>
    <w:uiPriority w:val="0"/>
    <w:rPr>
      <w:kern w:val="2"/>
      <w:sz w:val="18"/>
      <w:szCs w:val="18"/>
    </w:rPr>
  </w:style>
  <w:style w:type="character" w:customStyle="1" w:styleId="40">
    <w:name w:val="批注主题 字符"/>
    <w:link w:val="19"/>
    <w:semiHidden/>
    <w:qFormat/>
    <w:uiPriority w:val="0"/>
    <w:rPr>
      <w:b/>
      <w:bCs/>
      <w:kern w:val="2"/>
      <w:sz w:val="32"/>
      <w:szCs w:val="32"/>
    </w:rPr>
  </w:style>
  <w:style w:type="character" w:customStyle="1" w:styleId="41">
    <w:name w:val="正文文本首行缩进 字符"/>
    <w:link w:val="20"/>
    <w:semiHidden/>
    <w:qFormat/>
    <w:uiPriority w:val="0"/>
  </w:style>
  <w:style w:type="character" w:customStyle="1" w:styleId="42">
    <w:name w:val="NormalCharacter"/>
    <w:qFormat/>
    <w:uiPriority w:val="0"/>
    <w:rPr>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3055</Words>
  <Characters>3246</Characters>
  <Lines>27</Lines>
  <Paragraphs>7</Paragraphs>
  <TotalTime>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2021-08-01T05:24:00Z</dcterms:created>
  <dc:creator>微软用户</dc:creator>
  <cp:lastModifiedBy>user</cp:lastModifiedBy>
  <cp:lastPrinted>2022-03-22T22:34:00Z</cp:lastPrinted>
  <dcterms:modified xsi:type="dcterms:W3CDTF">2022-04-14T09:01:19Z</dcterms:modified>
  <dc:title>我的电脑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C5F684D0B84B4DADAB45EEDA7B68594F</vt:lpwstr>
  </property>
</Properties>
</file>