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rPr>
      </w:pPr>
    </w:p>
    <w:p>
      <w:pPr>
        <w:pStyle w:val="2"/>
        <w:spacing w:line="580" w:lineRule="exact"/>
        <w:ind w:left="640"/>
        <w:rPr>
          <w:rFonts w:hint="default" w:ascii="Times New Roman" w:hAnsi="Times New Roman" w:cs="Times New Roman"/>
        </w:rPr>
      </w:pPr>
    </w:p>
    <w:p>
      <w:pPr>
        <w:pStyle w:val="2"/>
        <w:spacing w:line="580" w:lineRule="exact"/>
        <w:ind w:left="640"/>
        <w:rPr>
          <w:rFonts w:hint="default" w:ascii="Times New Roman" w:hAnsi="Times New Roman" w:cs="Times New Roman"/>
        </w:rPr>
      </w:pPr>
    </w:p>
    <w:p>
      <w:pPr>
        <w:pStyle w:val="2"/>
        <w:spacing w:line="580" w:lineRule="exact"/>
        <w:ind w:left="640"/>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w w:val="97"/>
        </w:rPr>
      </w:pPr>
      <w:r>
        <w:rPr>
          <w:rFonts w:hint="default" w:ascii="Times New Roman" w:hAnsi="Times New Roman" w:eastAsia="楷体" w:cs="Times New Roman"/>
          <w:w w:val="97"/>
        </w:rPr>
        <w:t>枣环许可字</w:t>
      </w:r>
      <w:r>
        <w:rPr>
          <w:rFonts w:hint="default" w:ascii="Times New Roman" w:hAnsi="Times New Roman" w:eastAsia="楷体" w:cs="Times New Roman"/>
          <w:w w:val="97"/>
          <w:lang w:eastAsia="zh-CN"/>
        </w:rPr>
        <w:t>〔</w:t>
      </w:r>
      <w:r>
        <w:rPr>
          <w:rFonts w:hint="default" w:ascii="Times New Roman" w:hAnsi="Times New Roman" w:eastAsia="楷体" w:cs="Times New Roman"/>
          <w:w w:val="97"/>
        </w:rPr>
        <w:t>202</w:t>
      </w:r>
      <w:r>
        <w:rPr>
          <w:rFonts w:hint="default" w:ascii="Times New Roman" w:hAnsi="Times New Roman" w:eastAsia="楷体" w:cs="Times New Roman"/>
          <w:w w:val="97"/>
          <w:lang w:val="en-US" w:eastAsia="zh-CN"/>
        </w:rPr>
        <w:t>2</w:t>
      </w:r>
      <w:r>
        <w:rPr>
          <w:rFonts w:hint="default" w:ascii="Times New Roman" w:hAnsi="Times New Roman" w:eastAsia="楷体" w:cs="Times New Roman"/>
          <w:w w:val="97"/>
          <w:lang w:eastAsia="zh-CN"/>
        </w:rPr>
        <w:t>〕</w:t>
      </w:r>
      <w:r>
        <w:rPr>
          <w:rFonts w:hint="default" w:ascii="Times New Roman" w:hAnsi="Times New Roman" w:eastAsia="楷体" w:cs="Times New Roman"/>
          <w:w w:val="97"/>
          <w:lang w:val="en-US" w:eastAsia="zh-CN"/>
        </w:rPr>
        <w:t>56</w:t>
      </w:r>
      <w:r>
        <w:rPr>
          <w:rFonts w:hint="default" w:ascii="Times New Roman" w:hAnsi="Times New Roman" w:eastAsia="楷体" w:cs="Times New Roman"/>
          <w:w w:val="97"/>
        </w:rPr>
        <w:t>号</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枣庄市生态环境局</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关于联泓新材料科技股份有限公司</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10万吨/年锂电材料-碳酸酯联合装置</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w w:val="90"/>
          <w:sz w:val="44"/>
          <w:szCs w:val="44"/>
        </w:rPr>
      </w:pPr>
      <w:r>
        <w:rPr>
          <w:rFonts w:hint="default" w:ascii="Times New Roman" w:hAnsi="Times New Roman" w:eastAsia="方正大标宋简体" w:cs="Times New Roman"/>
          <w:color w:val="000000"/>
          <w:sz w:val="44"/>
          <w:szCs w:val="44"/>
        </w:rPr>
        <w:t>环境影响报告书的批复</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000000"/>
        </w:rPr>
      </w:pPr>
    </w:p>
    <w:p>
      <w:pPr>
        <w:keepNext w:val="0"/>
        <w:keepLines w:val="0"/>
        <w:pageBreakBefore w:val="0"/>
        <w:widowControl w:val="0"/>
        <w:kinsoku/>
        <w:wordWrap/>
        <w:overflowPunct/>
        <w:topLinePunct w:val="0"/>
        <w:autoSpaceDE/>
        <w:autoSpaceDN/>
        <w:bidi w:val="0"/>
        <w:spacing w:line="620" w:lineRule="exact"/>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联泓新材料科技股份有限公司：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你公司报送的《联泓新材料科技股份有限公司10万吨/年锂电材料-碳酸酯联合装置环境影响报告书》收悉。经研究，批复如下：</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项目属于改扩建，位于联泓新材料科技股份有限公司厂区内。主要建设碳酸酯联合装置一套，由二氧化碳单元、EC单元、DMC单元和EMC单元组成。配套建设催化焚烧系统、罐区等辅助、环保工程。</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在全面落实报告书提出的各项生态保护、污染防治及环境风险防范措施后，污染物可达标排放，主要污染物排放总量符合核定的总量控制要求。从</w:t>
      </w:r>
      <w:r>
        <w:rPr>
          <w:rFonts w:hint="default" w:ascii="Times New Roman" w:hAnsi="Times New Roman" w:eastAsia="仿宋_GB2312" w:cs="Times New Roman"/>
          <w:color w:val="000000"/>
          <w:sz w:val="32"/>
          <w:szCs w:val="32"/>
          <w:lang w:eastAsia="zh-CN"/>
        </w:rPr>
        <w:t>生态环境部门</w:t>
      </w:r>
      <w:r>
        <w:rPr>
          <w:rFonts w:hint="default" w:ascii="Times New Roman" w:hAnsi="Times New Roman" w:eastAsia="仿宋_GB2312" w:cs="Times New Roman"/>
          <w:color w:val="000000"/>
          <w:sz w:val="32"/>
          <w:szCs w:val="32"/>
        </w:rPr>
        <w:t>角度，我局原则同意环境影响报告书中所列建设项目的地点、工艺和拟采取的环境保护措施进行建设和</w:t>
      </w:r>
      <w:r>
        <w:rPr>
          <w:rFonts w:hint="default" w:ascii="Times New Roman" w:hAnsi="Times New Roman" w:eastAsia="仿宋_GB2312" w:cs="Times New Roman"/>
          <w:color w:val="000000"/>
          <w:sz w:val="32"/>
          <w:szCs w:val="32"/>
          <w:lang w:eastAsia="zh-CN"/>
        </w:rPr>
        <w:t>运营</w:t>
      </w:r>
      <w:r>
        <w:rPr>
          <w:rFonts w:hint="default" w:ascii="Times New Roman" w:hAnsi="Times New Roman" w:eastAsia="仿宋_GB2312" w:cs="Times New Roman"/>
          <w:color w:val="000000"/>
          <w:sz w:val="32"/>
          <w:szCs w:val="32"/>
        </w:rPr>
        <w:t>。</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 xml:space="preserve">项目设计、建设和运行管理中应重点做好以下工作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加强施工环境管理。严格制定扬尘防治方案，采取有效治理措施，将施工扬尘影响降至最小。加强施工期噪声管理，合理安排施工时间，降低设备声级。施工过程中产生的建筑垃圾要严格实行定点堆放，并及时清运处理。加强施工污水的排放管理和生态环境及土壤保护措施。</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（二）强化大气污染防治措施。</w:t>
      </w:r>
      <w:r>
        <w:rPr>
          <w:rFonts w:hint="default" w:ascii="Times New Roman" w:hAnsi="Times New Roman" w:eastAsia="仿宋_GB2312" w:cs="Times New Roman"/>
          <w:color w:val="000000"/>
          <w:sz w:val="32"/>
          <w:szCs w:val="32"/>
          <w:highlight w:val="none"/>
        </w:rPr>
        <w:t>各装置生产废气、罐区废气、装卸废气等一同经原有催化燃烧装置处理后</w:t>
      </w:r>
      <w:r>
        <w:rPr>
          <w:rFonts w:hint="default" w:ascii="Times New Roman" w:hAnsi="Times New Roman" w:eastAsia="仿宋_GB2312" w:cs="Times New Roman"/>
          <w:color w:val="000000"/>
          <w:sz w:val="32"/>
          <w:szCs w:val="32"/>
          <w:highlight w:val="none"/>
          <w:lang w:eastAsia="zh-CN"/>
        </w:rPr>
        <w:t>通过</w:t>
      </w:r>
      <w:r>
        <w:rPr>
          <w:rFonts w:hint="default" w:ascii="Times New Roman" w:hAnsi="Times New Roman" w:eastAsia="仿宋_GB2312" w:cs="Times New Roman"/>
          <w:color w:val="000000"/>
          <w:sz w:val="32"/>
          <w:szCs w:val="32"/>
          <w:highlight w:val="none"/>
        </w:rPr>
        <w:t>45m高P1排气筒排放。</w:t>
      </w:r>
      <w:r>
        <w:rPr>
          <w:rFonts w:hint="default" w:ascii="Times New Roman" w:hAnsi="Times New Roman" w:eastAsia="仿宋_GB2312" w:cs="Times New Roman"/>
          <w:color w:val="000000"/>
          <w:sz w:val="32"/>
          <w:szCs w:val="32"/>
          <w:highlight w:val="none"/>
          <w:lang w:eastAsia="zh-CN"/>
        </w:rPr>
        <w:t>外排废气</w:t>
      </w:r>
      <w:r>
        <w:rPr>
          <w:rFonts w:hint="default" w:ascii="Times New Roman" w:hAnsi="Times New Roman" w:eastAsia="仿宋_GB2312" w:cs="Times New Roman"/>
          <w:color w:val="000000"/>
          <w:sz w:val="32"/>
          <w:szCs w:val="32"/>
          <w:highlight w:val="none"/>
        </w:rPr>
        <w:t>颗粒物</w:t>
      </w:r>
      <w:r>
        <w:rPr>
          <w:rFonts w:hint="default" w:ascii="Times New Roman" w:hAnsi="Times New Roman" w:eastAsia="仿宋_GB2312" w:cs="Times New Roman"/>
          <w:color w:val="000000"/>
          <w:sz w:val="32"/>
          <w:szCs w:val="32"/>
          <w:highlight w:val="none"/>
          <w:lang w:eastAsia="zh-CN"/>
        </w:rPr>
        <w:t>须符合</w:t>
      </w:r>
      <w:r>
        <w:rPr>
          <w:rFonts w:hint="default" w:ascii="Times New Roman" w:hAnsi="Times New Roman" w:eastAsia="仿宋_GB2312" w:cs="Times New Roman"/>
          <w:color w:val="000000"/>
          <w:sz w:val="32"/>
          <w:szCs w:val="32"/>
          <w:highlight w:val="none"/>
        </w:rPr>
        <w:t>《区域性大气污染物综合排放标准》（DB37/2376-2019）相关要求，甲醇、环氧乙烷、甲醛、乙醛、乙二醇、VOCs可以满足《挥发性有机物排放标准 第6部分：有机化工行业》（DB37/2801.6-2018）相关要求。</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严格</w:t>
      </w:r>
      <w:r>
        <w:rPr>
          <w:rFonts w:hint="default" w:ascii="Times New Roman" w:hAnsi="Times New Roman" w:eastAsia="仿宋_GB2312" w:cs="Times New Roman"/>
          <w:color w:val="000000"/>
          <w:sz w:val="32"/>
          <w:szCs w:val="32"/>
        </w:rPr>
        <w:t>落实报告书提出</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无组织排放措施。</w:t>
      </w:r>
      <w:r>
        <w:rPr>
          <w:rFonts w:hint="default" w:ascii="Times New Roman" w:hAnsi="Times New Roman" w:eastAsia="仿宋_GB2312" w:cs="Times New Roman"/>
          <w:color w:val="000000"/>
          <w:sz w:val="32"/>
          <w:szCs w:val="32"/>
          <w:highlight w:val="none"/>
        </w:rPr>
        <w:t>定期</w:t>
      </w:r>
      <w:r>
        <w:rPr>
          <w:rFonts w:hint="default" w:ascii="Times New Roman" w:hAnsi="Times New Roman" w:eastAsia="仿宋_GB2312" w:cs="Times New Roman"/>
          <w:color w:val="000000"/>
          <w:sz w:val="32"/>
          <w:szCs w:val="32"/>
          <w:lang w:eastAsia="zh-CN"/>
        </w:rPr>
        <w:t>开展泄漏检测与修复（LDAR）工作。</w:t>
      </w:r>
      <w:r>
        <w:rPr>
          <w:rFonts w:hint="default" w:ascii="Times New Roman" w:hAnsi="Times New Roman" w:eastAsia="仿宋_GB2312" w:cs="Times New Roman"/>
          <w:color w:val="000000"/>
          <w:sz w:val="32"/>
          <w:szCs w:val="32"/>
        </w:rPr>
        <w:t>厂界无组织废气浓度</w:t>
      </w:r>
      <w:r>
        <w:rPr>
          <w:rFonts w:hint="default" w:ascii="Times New Roman" w:hAnsi="Times New Roman" w:eastAsia="仿宋_GB2312" w:cs="Times New Roman"/>
          <w:color w:val="000000"/>
          <w:sz w:val="32"/>
          <w:szCs w:val="32"/>
          <w:lang w:eastAsia="zh-CN"/>
        </w:rPr>
        <w:t>须符合</w:t>
      </w:r>
      <w:r>
        <w:rPr>
          <w:rFonts w:hint="default" w:ascii="Times New Roman" w:hAnsi="Times New Roman" w:eastAsia="仿宋_GB2312" w:cs="Times New Roman"/>
          <w:color w:val="000000"/>
          <w:sz w:val="32"/>
          <w:szCs w:val="32"/>
          <w:highlight w:val="none"/>
        </w:rPr>
        <w:t>《挥发性有机物排放标准 第6部分：有机化工行业》（DB37/2801.6-2018）相关要求。</w:t>
      </w:r>
    </w:p>
    <w:p>
      <w:pPr>
        <w:pStyle w:val="39"/>
        <w:keepNext w:val="0"/>
        <w:keepLines w:val="0"/>
        <w:pageBreakBefore w:val="0"/>
        <w:widowControl w:val="0"/>
        <w:kinsoku/>
        <w:wordWrap/>
        <w:overflowPunct/>
        <w:topLinePunct w:val="0"/>
        <w:autoSpaceDE/>
        <w:autoSpaceDN/>
        <w:bidi w:val="0"/>
        <w:spacing w:line="620" w:lineRule="exact"/>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（三）严格落实水污染防治措施。</w:t>
      </w:r>
      <w:r>
        <w:rPr>
          <w:rFonts w:hint="default" w:ascii="Times New Roman" w:hAnsi="Times New Roman" w:eastAsia="仿宋_GB2312" w:cs="Times New Roman"/>
          <w:sz w:val="32"/>
          <w:szCs w:val="32"/>
        </w:rPr>
        <w:t>按照“雨污分流、清污分流、污污分流”原则完善厂区排水系统。</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highlight w:val="none"/>
          <w:lang w:val="en-US" w:eastAsia="zh-CN"/>
        </w:rPr>
        <w:t>无生产废水产生，废水主要为生活污水和地面冲洗废水，依托现有污水处理站处理后排入鲁南高科技化工园区污水处理厂</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符合《流域水污染物综合排放标准 第1部分：南四湖东平湖流域》(DB37/3416.1-2018)表2一般保护区域标准要求后，排入小沂河。</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（四）严格落实土壤和地下水污染防治措施。按照“源头防控、分区防治、污染监控、应急响应”的原则进行地下水污染防治，</w:t>
      </w:r>
      <w:r>
        <w:rPr>
          <w:rStyle w:val="27"/>
          <w:rFonts w:hint="default" w:ascii="Times New Roman" w:hAnsi="Times New Roman" w:eastAsia="仿宋_GB2312" w:cs="Times New Roman"/>
          <w:color w:val="000000"/>
          <w:sz w:val="32"/>
          <w:szCs w:val="32"/>
        </w:rPr>
        <w:t>强化厂区防漏及事故废水应急收集处理</w:t>
      </w:r>
      <w:r>
        <w:rPr>
          <w:rFonts w:hint="default" w:ascii="Times New Roman" w:hAnsi="Times New Roman" w:eastAsia="仿宋_GB2312" w:cs="Times New Roman"/>
          <w:color w:val="000000"/>
          <w:sz w:val="32"/>
          <w:szCs w:val="32"/>
        </w:rPr>
        <w:t>。加强防渗设施的日常维护，对出现损害的防渗设施应及时修复和加固，确保防渗设施牢固安全。建立完善的土壤和地下水监测制度。根据重点污染防治区平面布置、地下水流向，合理设置土壤和地下水监测井，严格落实土壤和地下水监测计划。一旦出现土壤或地下水污染，立即启动应急预案和应急措施，减少对土壤和地下水的不利环境影响。</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（五）严格落实噪声污染防治措施。采取设隔音、为设备增加减振基础等措施后，厂界噪声须符合《工业企业厂界环境噪声排放标准》(GB12348–2008)中3类功能区的要求。</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（六）严格落实固体废物分类处置措施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eastAsia="zh-CN"/>
        </w:rPr>
        <w:t>采取符合国家环境保护标准的防护措施安全分类贮存，并依法依规处理处置</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（七）健全环境管理制度。按照相关要求设置规范的污染物排放口</w:t>
      </w:r>
      <w:r>
        <w:rPr>
          <w:rFonts w:hint="default" w:ascii="Times New Roman" w:hAnsi="Times New Roman" w:eastAsia="仿宋_GB2312" w:cs="Times New Roman"/>
          <w:color w:val="000000"/>
          <w:kern w:val="0"/>
          <w:sz w:val="32"/>
          <w:szCs w:val="32"/>
          <w:lang w:val="zh-CN"/>
        </w:rPr>
        <w:t>和监测口</w:t>
      </w:r>
      <w:r>
        <w:rPr>
          <w:rFonts w:hint="default" w:ascii="Times New Roman" w:hAnsi="Times New Roman" w:eastAsia="仿宋_GB2312" w:cs="Times New Roman"/>
          <w:color w:val="000000"/>
          <w:sz w:val="32"/>
          <w:szCs w:val="32"/>
        </w:rPr>
        <w:t>，排气筒须按照规范要求设置永久采样孔、安装采样监测平台，并设立标志牌。落实环境监测计划，发现异常情况，及时采取相关措施并向当地生态环境部门报告。</w:t>
      </w:r>
      <w:r>
        <w:rPr>
          <w:rFonts w:hint="default" w:ascii="Times New Roman" w:hAnsi="Times New Roman" w:eastAsia="仿宋_GB2312" w:cs="Times New Roman"/>
          <w:sz w:val="32"/>
          <w:szCs w:val="32"/>
        </w:rPr>
        <w:t>排气筒须安装污染物在线监测设备（</w:t>
      </w:r>
      <w:r>
        <w:rPr>
          <w:rFonts w:hint="default" w:ascii="Times New Roman" w:hAnsi="Times New Roman" w:eastAsia="仿宋_GB2312" w:cs="Times New Roman"/>
          <w:sz w:val="32"/>
          <w:szCs w:val="32"/>
          <w:lang w:eastAsia="zh-CN"/>
        </w:rPr>
        <w:t>含使用</w:t>
      </w:r>
      <w:r>
        <w:rPr>
          <w:rFonts w:hint="default" w:ascii="Times New Roman" w:hAnsi="Times New Roman" w:eastAsia="仿宋_GB2312" w:cs="Times New Roman"/>
          <w:sz w:val="32"/>
          <w:szCs w:val="32"/>
        </w:rPr>
        <w:t>FID检测器</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NMHC自动监测设</w:t>
      </w:r>
      <w:r>
        <w:rPr>
          <w:rFonts w:hint="default" w:ascii="Times New Roman" w:hAnsi="Times New Roman" w:eastAsia="仿宋_GB2312" w:cs="Times New Roman"/>
          <w:sz w:val="32"/>
          <w:szCs w:val="32"/>
          <w:lang w:eastAsia="zh-CN"/>
        </w:rPr>
        <w:t>备</w:t>
      </w:r>
      <w:r>
        <w:rPr>
          <w:rFonts w:hint="default" w:ascii="Times New Roman" w:hAnsi="Times New Roman" w:eastAsia="仿宋_GB2312" w:cs="Times New Roman"/>
          <w:sz w:val="32"/>
          <w:szCs w:val="32"/>
        </w:rPr>
        <w:t>），并按要求与生态环境部门联网。</w:t>
      </w:r>
      <w:r>
        <w:rPr>
          <w:rFonts w:hint="default" w:ascii="Times New Roman" w:hAnsi="Times New Roman" w:eastAsia="仿宋_GB2312" w:cs="Times New Roman"/>
          <w:color w:val="000000"/>
          <w:sz w:val="32"/>
          <w:szCs w:val="32"/>
        </w:rPr>
        <w:t>严格按照国家环境保护相关法律法规以及排污许可证申请与核发技术规范要求申请排污许可证，不得无证排污或不按证排污，同时应做好排污许可证执行报告等相关工作。采用先进的生产工艺、技术和设备，全面贯彻清洁生产理念，采取有效的污染物治理与废物综合利用措施，确保满足清洁生产的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）强化环境风险防范和应急措施。</w:t>
      </w:r>
      <w:r>
        <w:rPr>
          <w:rStyle w:val="27"/>
          <w:rFonts w:hint="default" w:ascii="Times New Roman" w:hAnsi="Times New Roman" w:eastAsia="仿宋_GB2312" w:cs="Times New Roman"/>
          <w:color w:val="000000"/>
          <w:sz w:val="32"/>
          <w:szCs w:val="32"/>
        </w:rPr>
        <w:t>加强生产运行中的全程风险管理</w:t>
      </w: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单元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厂区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园区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水环境风险防控体系要求设置事故废水收集和应急储存设施。厂区内设置足够容积的事故水池，确保事故水可自流进入所在区域的事故水池。完善突发环境事件应急预案和受影响区域内人员应急疏散方案，配备足够的应急队伍、设备和物资，建立项目与区域的环境风险监控预警体系，制定环境应急监测方案。定期开展应急演练，提升区域环境风险防范能力，有效防控区域环境风险。按照分类管理、分级响应、区域联动的原则，做好项目与园区、区域等突发环境事件联防联控工作。一旦发生突发环境事件，立即启动应急预案，采取有效措施控制、减轻或消除对环境的污染。</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bCs/>
          <w:color w:val="000000"/>
          <w:sz w:val="32"/>
          <w:szCs w:val="32"/>
          <w:highlight w:val="none"/>
          <w:lang w:eastAsia="zh-CN"/>
        </w:rPr>
        <w:t>九</w:t>
      </w: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color w:val="000000"/>
          <w:sz w:val="32"/>
          <w:szCs w:val="32"/>
          <w:highlight w:val="none"/>
        </w:rPr>
        <w:t>该项目运营后，</w:t>
      </w:r>
      <w:r>
        <w:rPr>
          <w:rFonts w:hint="default" w:ascii="Times New Roman" w:hAnsi="Times New Roman" w:eastAsia="仿宋_GB2312" w:cs="Times New Roman"/>
          <w:color w:val="000000"/>
          <w:sz w:val="32"/>
          <w:szCs w:val="32"/>
          <w:highlight w:val="none"/>
          <w:lang w:val="en-US" w:eastAsia="zh-CN"/>
        </w:rPr>
        <w:t>COD、氨氮、</w:t>
      </w:r>
      <w:r>
        <w:rPr>
          <w:rFonts w:hint="default" w:ascii="Times New Roman" w:hAnsi="Times New Roman" w:eastAsia="仿宋_GB2312" w:cs="Times New Roman"/>
          <w:color w:val="000000"/>
          <w:sz w:val="32"/>
          <w:szCs w:val="32"/>
          <w:highlight w:val="none"/>
          <w:lang w:eastAsia="zh-CN"/>
        </w:rPr>
        <w:t>颗粒物、</w:t>
      </w:r>
      <w:r>
        <w:rPr>
          <w:rFonts w:hint="default" w:ascii="Times New Roman" w:hAnsi="Times New Roman" w:eastAsia="仿宋_GB2312" w:cs="Times New Roman"/>
          <w:color w:val="000000"/>
          <w:sz w:val="32"/>
          <w:szCs w:val="32"/>
          <w:highlight w:val="none"/>
        </w:rPr>
        <w:t>VOCs排放量应控制在</w:t>
      </w:r>
      <w:r>
        <w:rPr>
          <w:rFonts w:hint="default" w:ascii="Times New Roman" w:hAnsi="Times New Roman" w:eastAsia="仿宋_GB2312" w:cs="Times New Roman"/>
          <w:color w:val="000000"/>
          <w:sz w:val="32"/>
          <w:szCs w:val="32"/>
          <w:highlight w:val="none"/>
          <w:lang w:val="en-US" w:eastAsia="zh-CN"/>
        </w:rPr>
        <w:t>43.97</w:t>
      </w:r>
      <w:r>
        <w:rPr>
          <w:rFonts w:hint="default" w:ascii="Times New Roman" w:hAnsi="Times New Roman" w:eastAsia="仿宋_GB2312" w:cs="Times New Roman"/>
          <w:color w:val="000000"/>
          <w:sz w:val="32"/>
          <w:szCs w:val="32"/>
          <w:highlight w:val="none"/>
          <w:lang w:val="en" w:eastAsia="zh-CN"/>
        </w:rPr>
        <w:t>t/a</w:t>
      </w:r>
      <w:r>
        <w:rPr>
          <w:rFonts w:hint="default"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lang w:val="en-US" w:eastAsia="zh-CN"/>
        </w:rPr>
        <w:t>3.96</w:t>
      </w:r>
      <w:r>
        <w:rPr>
          <w:rFonts w:hint="default" w:ascii="Times New Roman" w:hAnsi="Times New Roman" w:eastAsia="仿宋_GB2312" w:cs="Times New Roman"/>
          <w:color w:val="000000"/>
          <w:sz w:val="32"/>
          <w:szCs w:val="32"/>
          <w:highlight w:val="none"/>
          <w:lang w:val="en" w:eastAsia="zh-CN"/>
        </w:rPr>
        <w:t>t/a</w:t>
      </w:r>
      <w:r>
        <w:rPr>
          <w:rFonts w:hint="default"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t/a</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6.52</w:t>
      </w:r>
      <w:r>
        <w:rPr>
          <w:rFonts w:hint="default" w:ascii="Times New Roman" w:hAnsi="Times New Roman" w:eastAsia="仿宋_GB2312" w:cs="Times New Roman"/>
          <w:color w:val="000000"/>
          <w:sz w:val="32"/>
          <w:szCs w:val="32"/>
          <w:highlight w:val="none"/>
        </w:rPr>
        <w:t>t/a以内</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bCs/>
          <w:color w:val="000000"/>
          <w:sz w:val="32"/>
          <w:szCs w:val="32"/>
          <w:highlight w:val="none"/>
          <w:lang w:eastAsia="zh-CN"/>
        </w:rPr>
        <w:t>十</w:t>
      </w: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color w:val="000000"/>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27"/>
          <w:rFonts w:hint="default" w:ascii="Times New Roman" w:hAnsi="Times New Roman" w:eastAsia="仿宋_GB2312" w:cs="Times New Roman"/>
          <w:color w:val="000000"/>
          <w:sz w:val="32"/>
          <w:szCs w:val="32"/>
        </w:rPr>
        <w:t>。</w:t>
      </w:r>
    </w:p>
    <w:p>
      <w:pPr>
        <w:pStyle w:val="15"/>
        <w:keepNext w:val="0"/>
        <w:keepLines w:val="0"/>
        <w:pageBreakBefore w:val="0"/>
        <w:widowControl w:val="0"/>
        <w:kinsoku/>
        <w:wordWrap/>
        <w:overflowPunct/>
        <w:topLinePunct w:val="0"/>
        <w:autoSpaceDE/>
        <w:autoSpaceDN/>
        <w:bidi w:val="0"/>
        <w:spacing w:after="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三、你公司必须严格执行配套建设的环境保护设施与主体项目同时设计、同时施工、同时投入使用的“三同时”制度，落实各项环境保护措施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项目建成后，须按规定程序实施竣工环境保护验收（前述环保措施未落实前，不得通过验收</w:t>
      </w:r>
      <w:r>
        <w:rPr>
          <w:rFonts w:hint="default" w:ascii="Times New Roman" w:hAnsi="Times New Roman" w:eastAsia="仿宋_GB2312" w:cs="Times New Roman"/>
          <w:color w:val="000000"/>
          <w:sz w:val="32"/>
          <w:szCs w:val="32"/>
          <w:lang w:eastAsia="zh-CN"/>
        </w:rPr>
        <w:t>和投入生产</w:t>
      </w:r>
      <w:r>
        <w:rPr>
          <w:rFonts w:hint="default" w:ascii="Times New Roman" w:hAnsi="Times New Roman" w:eastAsia="仿宋_GB2312" w:cs="Times New Roman"/>
          <w:color w:val="000000"/>
          <w:sz w:val="32"/>
          <w:szCs w:val="32"/>
        </w:rPr>
        <w:t>）。项目建设运行中应遵循环评报告书相关要求，该项目采取拆除活动时及服务期满后需开展完成相应的风险评估和修复工作等。</w:t>
      </w:r>
    </w:p>
    <w:p>
      <w:pPr>
        <w:pStyle w:val="15"/>
        <w:keepNext w:val="0"/>
        <w:keepLines w:val="0"/>
        <w:pageBreakBefore w:val="0"/>
        <w:widowControl w:val="0"/>
        <w:kinsoku/>
        <w:wordWrap/>
        <w:overflowPunct/>
        <w:topLinePunct w:val="0"/>
        <w:autoSpaceDE/>
        <w:autoSpaceDN/>
        <w:bidi w:val="0"/>
        <w:spacing w:after="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五、由枣庄市生态环境局</w:t>
      </w:r>
      <w:r>
        <w:rPr>
          <w:rFonts w:hint="default" w:ascii="Times New Roman" w:hAnsi="Times New Roman" w:eastAsia="仿宋_GB2312" w:cs="Times New Roman"/>
          <w:color w:val="000000"/>
          <w:sz w:val="32"/>
          <w:szCs w:val="32"/>
          <w:lang w:eastAsia="zh-CN"/>
        </w:rPr>
        <w:t>滕州</w:t>
      </w:r>
      <w:r>
        <w:rPr>
          <w:rFonts w:hint="default" w:ascii="Times New Roman" w:hAnsi="Times New Roman" w:eastAsia="仿宋_GB2312" w:cs="Times New Roman"/>
          <w:color w:val="000000"/>
          <w:sz w:val="32"/>
          <w:szCs w:val="32"/>
        </w:rPr>
        <w:t>分局和枣庄市生态环境保护综合执法支队负责该项目的“三同时”监督检查和日常管理工作。</w:t>
      </w:r>
    </w:p>
    <w:p>
      <w:pPr>
        <w:keepNext w:val="0"/>
        <w:keepLines w:val="0"/>
        <w:pageBreakBefore w:val="0"/>
        <w:widowControl w:val="0"/>
        <w:kinsoku/>
        <w:wordWrap/>
        <w:overflowPunct/>
        <w:topLinePunct w:val="0"/>
        <w:autoSpaceDE/>
        <w:autoSpaceDN/>
        <w:bidi w:val="0"/>
        <w:spacing w:line="62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六、你公司应在接到本批复后10个工作日内，将批准后的环境影响报告书送枣庄市生态环境局</w:t>
      </w:r>
      <w:r>
        <w:rPr>
          <w:rFonts w:hint="default" w:ascii="Times New Roman" w:hAnsi="Times New Roman" w:eastAsia="仿宋_GB2312" w:cs="Times New Roman"/>
          <w:color w:val="000000"/>
          <w:sz w:val="32"/>
          <w:szCs w:val="32"/>
          <w:lang w:eastAsia="zh-CN"/>
        </w:rPr>
        <w:t>滕州</w:t>
      </w:r>
      <w:r>
        <w:rPr>
          <w:rFonts w:hint="default" w:ascii="Times New Roman" w:hAnsi="Times New Roman" w:eastAsia="仿宋_GB2312" w:cs="Times New Roman"/>
          <w:color w:val="000000"/>
          <w:sz w:val="32"/>
          <w:szCs w:val="32"/>
        </w:rPr>
        <w:t>分局，并按规定接受各级生态环境部门的监督检查。</w:t>
      </w:r>
    </w:p>
    <w:p>
      <w:pPr>
        <w:pStyle w:val="2"/>
        <w:keepNext w:val="0"/>
        <w:keepLines w:val="0"/>
        <w:pageBreakBefore w:val="0"/>
        <w:widowControl w:val="0"/>
        <w:kinsoku/>
        <w:wordWrap/>
        <w:overflowPunct/>
        <w:topLinePunct w:val="0"/>
        <w:autoSpaceDE/>
        <w:autoSpaceDN/>
        <w:bidi w:val="0"/>
        <w:spacing w:line="620" w:lineRule="exact"/>
        <w:ind w:left="0" w:leftChars="0" w:firstLine="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七、如有符合《中华人民共和国行政许可法》第七十八条“行政许可申请人隐瞒有关情况或者提供虚假材料申请行政许可，行政机关应不予受理或者不予行政许可情形”或不符合相关法律法规规定要求的，本批复</w:t>
      </w:r>
      <w:r>
        <w:rPr>
          <w:rFonts w:hint="default" w:ascii="Times New Roman" w:hAnsi="Times New Roman" w:eastAsia="仿宋_GB2312" w:cs="Times New Roman"/>
          <w:color w:val="000000"/>
          <w:sz w:val="32"/>
          <w:szCs w:val="32"/>
          <w:lang w:eastAsia="zh-CN"/>
        </w:rPr>
        <w:t>自始</w:t>
      </w:r>
      <w:r>
        <w:rPr>
          <w:rFonts w:hint="default" w:ascii="Times New Roman" w:hAnsi="Times New Roman" w:eastAsia="仿宋_GB2312" w:cs="Times New Roman"/>
          <w:color w:val="000000"/>
          <w:sz w:val="32"/>
          <w:szCs w:val="32"/>
        </w:rPr>
        <w:t>自然作废。</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w:t>
      </w:r>
    </w:p>
    <w:p>
      <w:pPr>
        <w:keepNext w:val="0"/>
        <w:keepLines w:val="0"/>
        <w:pageBreakBefore w:val="0"/>
        <w:widowControl w:val="0"/>
        <w:kinsoku/>
        <w:wordWrap/>
        <w:overflowPunct/>
        <w:topLinePunct w:val="0"/>
        <w:autoSpaceDE/>
        <w:autoSpaceDN/>
        <w:bidi w:val="0"/>
        <w:spacing w:line="580" w:lineRule="exact"/>
        <w:ind w:firstLine="4960" w:firstLineChars="1550"/>
        <w:rPr>
          <w:rFonts w:hint="default" w:ascii="Times New Roman" w:hAnsi="Times New Roman"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p>
      <w:pPr>
        <w:pStyle w:val="2"/>
        <w:rPr>
          <w:rFonts w:hint="default" w:ascii="Times New Roman" w:hAnsi="Times New Roman" w:cs="Times New Roman"/>
        </w:rPr>
      </w:pPr>
    </w:p>
    <w:p>
      <w:pPr>
        <w:spacing w:line="420" w:lineRule="exact"/>
        <w:jc w:val="left"/>
        <w:rPr>
          <w:rFonts w:hint="default" w:ascii="Times New Roman" w:hAnsi="Times New Roman" w:eastAsia="仿宋_GB2312" w:cs="Times New Roman"/>
          <w:color w:val="000000"/>
          <w:sz w:val="30"/>
          <w:szCs w:val="30"/>
        </w:rPr>
      </w:pPr>
    </w:p>
    <w:p>
      <w:pPr>
        <w:rPr>
          <w:rFonts w:hint="default" w:ascii="Times New Roman" w:hAnsi="Times New Roman" w:eastAsia="仿宋_GB2312" w:cs="Times New Roman"/>
          <w:color w:val="000000"/>
          <w:sz w:val="30"/>
          <w:szCs w:val="30"/>
        </w:rPr>
      </w:pPr>
    </w:p>
    <w:p>
      <w:pPr>
        <w:pStyle w:val="2"/>
        <w:rPr>
          <w:rFonts w:hint="default" w:ascii="Times New Roman" w:hAnsi="Times New Roman" w:eastAsia="仿宋_GB2312" w:cs="Times New Roman"/>
          <w:color w:val="000000"/>
          <w:sz w:val="30"/>
          <w:szCs w:val="30"/>
        </w:rPr>
      </w:pPr>
    </w:p>
    <w:p>
      <w:pPr>
        <w:rPr>
          <w:rFonts w:hint="default" w:ascii="Times New Roman" w:hAnsi="Times New Roman" w:eastAsia="仿宋_GB2312" w:cs="Times New Roman"/>
          <w:color w:val="000000"/>
          <w:sz w:val="30"/>
          <w:szCs w:val="30"/>
        </w:rPr>
      </w:pPr>
    </w:p>
    <w:p>
      <w:pPr>
        <w:rPr>
          <w:rFonts w:hint="default" w:ascii="Times New Roman" w:hAnsi="Times New Roman" w:cs="Times New Roman"/>
        </w:rPr>
      </w:pPr>
    </w:p>
    <w:p>
      <w:pPr>
        <w:pStyle w:val="2"/>
        <w:rPr>
          <w:rFonts w:hint="default"/>
        </w:rPr>
      </w:pPr>
      <w:bookmarkStart w:id="0" w:name="_GoBack"/>
      <w:bookmarkEnd w:id="0"/>
    </w:p>
    <w:p>
      <w:pPr>
        <w:spacing w:line="42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主题词：环境影响评价  报告书  批复</w:t>
      </w:r>
    </w:p>
    <w:tbl>
      <w:tblPr>
        <w:tblStyle w:val="1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spacing w:line="420" w:lineRule="exact"/>
              <w:ind w:left="900" w:hanging="840" w:hangingChars="3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抄送：市生态环境保护综合执法支队、</w:t>
            </w:r>
            <w:r>
              <w:rPr>
                <w:rFonts w:hint="default" w:ascii="Times New Roman" w:hAnsi="Times New Roman" w:eastAsia="仿宋_GB2312" w:cs="Times New Roman"/>
                <w:color w:val="000000"/>
                <w:sz w:val="28"/>
                <w:szCs w:val="28"/>
                <w:lang w:eastAsia="zh-CN"/>
              </w:rPr>
              <w:t>滕州</w:t>
            </w:r>
            <w:r>
              <w:rPr>
                <w:rFonts w:hint="default" w:ascii="Times New Roman" w:hAnsi="Times New Roman" w:eastAsia="仿宋_GB2312" w:cs="Times New Roman"/>
                <w:color w:val="000000"/>
                <w:sz w:val="28"/>
                <w:szCs w:val="28"/>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spacing w:line="42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枣庄市生态环境局办公室                202</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lang w:val="en-US" w:eastAsia="zh-CN"/>
              </w:rPr>
              <w:t>29</w:t>
            </w:r>
            <w:r>
              <w:rPr>
                <w:rFonts w:hint="default" w:ascii="Times New Roman" w:hAnsi="Times New Roman" w:eastAsia="仿宋_GB2312" w:cs="Times New Roman"/>
                <w:color w:val="000000"/>
                <w:sz w:val="28"/>
                <w:szCs w:val="28"/>
              </w:rPr>
              <w:t>日印发</w:t>
            </w:r>
          </w:p>
        </w:tc>
      </w:tr>
    </w:tbl>
    <w:p>
      <w:pPr>
        <w:tabs>
          <w:tab w:val="left" w:pos="1989"/>
          <w:tab w:val="left" w:pos="6840"/>
          <w:tab w:val="left" w:pos="8280"/>
        </w:tabs>
        <w:spacing w:line="420" w:lineRule="exact"/>
        <w:jc w:val="right"/>
        <w:rPr>
          <w:rFonts w:hint="default" w:ascii="Times New Roman" w:hAnsi="Times New Roman" w:cs="Times New Roman"/>
          <w:sz w:val="28"/>
          <w:szCs w:val="28"/>
        </w:rPr>
      </w:pPr>
      <w:r>
        <w:rPr>
          <w:rFonts w:hint="default" w:ascii="Times New Roman" w:hAnsi="Times New Roman" w:eastAsia="仿宋_GB2312" w:cs="Times New Roman"/>
          <w:color w:val="000000"/>
          <w:sz w:val="28"/>
          <w:szCs w:val="28"/>
        </w:rPr>
        <w:t xml:space="preserve"> （共印10份）</w:t>
      </w:r>
    </w:p>
    <w:sectPr>
      <w:headerReference r:id="rId3" w:type="default"/>
      <w:footerReference r:id="rId4" w:type="default"/>
      <w:footerReference r:id="rId5" w:type="even"/>
      <w:pgSz w:w="11906" w:h="16838"/>
      <w:pgMar w:top="192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8"/>
                              <w:sz w:val="28"/>
                              <w:szCs w:val="28"/>
                            </w:rPr>
                          </w:pPr>
                          <w:r>
                            <w:rPr>
                              <w:rStyle w:val="18"/>
                              <w:sz w:val="28"/>
                              <w:szCs w:val="28"/>
                            </w:rPr>
                            <w:t xml:space="preserve">— </w:t>
                          </w:r>
                          <w:r>
                            <w:rPr>
                              <w:rStyle w:val="18"/>
                              <w:sz w:val="28"/>
                              <w:szCs w:val="28"/>
                            </w:rPr>
                            <w:fldChar w:fldCharType="begin"/>
                          </w:r>
                          <w:r>
                            <w:rPr>
                              <w:rStyle w:val="18"/>
                              <w:sz w:val="28"/>
                              <w:szCs w:val="28"/>
                            </w:rPr>
                            <w:instrText xml:space="preserve"> PAGE  \* MERGEFORMAT </w:instrText>
                          </w:r>
                          <w:r>
                            <w:rPr>
                              <w:rStyle w:val="18"/>
                              <w:sz w:val="28"/>
                              <w:szCs w:val="28"/>
                            </w:rPr>
                            <w:fldChar w:fldCharType="separate"/>
                          </w:r>
                          <w:r>
                            <w:rPr>
                              <w:rStyle w:val="18"/>
                              <w:sz w:val="28"/>
                              <w:szCs w:val="28"/>
                            </w:rPr>
                            <w:t>- 1 -</w:t>
                          </w:r>
                          <w:r>
                            <w:rPr>
                              <w:rStyle w:val="18"/>
                              <w:sz w:val="28"/>
                              <w:szCs w:val="28"/>
                            </w:rPr>
                            <w:fldChar w:fldCharType="end"/>
                          </w:r>
                          <w:r>
                            <w:rPr>
                              <w:rStyle w:val="18"/>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rPr>
                        <w:rStyle w:val="18"/>
                        <w:sz w:val="28"/>
                        <w:szCs w:val="28"/>
                      </w:rPr>
                    </w:pPr>
                    <w:r>
                      <w:rPr>
                        <w:rStyle w:val="18"/>
                        <w:sz w:val="28"/>
                        <w:szCs w:val="28"/>
                      </w:rPr>
                      <w:t xml:space="preserve">— </w:t>
                    </w:r>
                    <w:r>
                      <w:rPr>
                        <w:rStyle w:val="18"/>
                        <w:sz w:val="28"/>
                        <w:szCs w:val="28"/>
                      </w:rPr>
                      <w:fldChar w:fldCharType="begin"/>
                    </w:r>
                    <w:r>
                      <w:rPr>
                        <w:rStyle w:val="18"/>
                        <w:sz w:val="28"/>
                        <w:szCs w:val="28"/>
                      </w:rPr>
                      <w:instrText xml:space="preserve"> PAGE  \* MERGEFORMAT </w:instrText>
                    </w:r>
                    <w:r>
                      <w:rPr>
                        <w:rStyle w:val="18"/>
                        <w:sz w:val="28"/>
                        <w:szCs w:val="28"/>
                      </w:rPr>
                      <w:fldChar w:fldCharType="separate"/>
                    </w:r>
                    <w:r>
                      <w:rPr>
                        <w:rStyle w:val="18"/>
                        <w:sz w:val="28"/>
                        <w:szCs w:val="28"/>
                      </w:rPr>
                      <w:t>- 1 -</w:t>
                    </w:r>
                    <w:r>
                      <w:rPr>
                        <w:rStyle w:val="18"/>
                        <w:sz w:val="28"/>
                        <w:szCs w:val="28"/>
                      </w:rPr>
                      <w:fldChar w:fldCharType="end"/>
                    </w:r>
                    <w:r>
                      <w:rPr>
                        <w:rStyle w:val="18"/>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- 1 -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32CF"/>
    <w:rsid w:val="00442D00"/>
    <w:rsid w:val="005A1B16"/>
    <w:rsid w:val="00857887"/>
    <w:rsid w:val="00943FE8"/>
    <w:rsid w:val="009C72C7"/>
    <w:rsid w:val="009F64F0"/>
    <w:rsid w:val="00A10B1F"/>
    <w:rsid w:val="00B32EB3"/>
    <w:rsid w:val="00B62329"/>
    <w:rsid w:val="00BD4015"/>
    <w:rsid w:val="00D5663B"/>
    <w:rsid w:val="00FA1420"/>
    <w:rsid w:val="025C2B26"/>
    <w:rsid w:val="029459BF"/>
    <w:rsid w:val="03271FFD"/>
    <w:rsid w:val="04667CA1"/>
    <w:rsid w:val="04A75109"/>
    <w:rsid w:val="04B44DD9"/>
    <w:rsid w:val="05940989"/>
    <w:rsid w:val="05E2740E"/>
    <w:rsid w:val="06027688"/>
    <w:rsid w:val="06570A9B"/>
    <w:rsid w:val="076F56A3"/>
    <w:rsid w:val="078F3860"/>
    <w:rsid w:val="07FC05BB"/>
    <w:rsid w:val="07FF90B9"/>
    <w:rsid w:val="08447F6D"/>
    <w:rsid w:val="094B5DD0"/>
    <w:rsid w:val="096C09E8"/>
    <w:rsid w:val="098E00C0"/>
    <w:rsid w:val="09EB55DE"/>
    <w:rsid w:val="0BD15EED"/>
    <w:rsid w:val="0BE21D2A"/>
    <w:rsid w:val="0BFEF3C5"/>
    <w:rsid w:val="0CA32079"/>
    <w:rsid w:val="0D0B7502"/>
    <w:rsid w:val="0D0C75AA"/>
    <w:rsid w:val="0D2275C6"/>
    <w:rsid w:val="0D8452BF"/>
    <w:rsid w:val="0DE61AB8"/>
    <w:rsid w:val="0E4A279F"/>
    <w:rsid w:val="0E9C6544"/>
    <w:rsid w:val="0EB94CB5"/>
    <w:rsid w:val="107455FD"/>
    <w:rsid w:val="10DB3AB4"/>
    <w:rsid w:val="1180234B"/>
    <w:rsid w:val="11B802B5"/>
    <w:rsid w:val="11E82AB3"/>
    <w:rsid w:val="12931636"/>
    <w:rsid w:val="136E605A"/>
    <w:rsid w:val="136F2AE3"/>
    <w:rsid w:val="13CA1B11"/>
    <w:rsid w:val="13E515E6"/>
    <w:rsid w:val="142F1961"/>
    <w:rsid w:val="148F5A9D"/>
    <w:rsid w:val="14F8545E"/>
    <w:rsid w:val="16A87A6A"/>
    <w:rsid w:val="16DD19E9"/>
    <w:rsid w:val="17745E7E"/>
    <w:rsid w:val="17866919"/>
    <w:rsid w:val="183F1C5E"/>
    <w:rsid w:val="19013B2B"/>
    <w:rsid w:val="197330C6"/>
    <w:rsid w:val="19905E0B"/>
    <w:rsid w:val="19E37DBA"/>
    <w:rsid w:val="1A10173F"/>
    <w:rsid w:val="1A226850"/>
    <w:rsid w:val="1A277692"/>
    <w:rsid w:val="1A883EA2"/>
    <w:rsid w:val="1ADE121E"/>
    <w:rsid w:val="1AFD4FEA"/>
    <w:rsid w:val="1B165204"/>
    <w:rsid w:val="1B98211A"/>
    <w:rsid w:val="1BB50133"/>
    <w:rsid w:val="1BD937E8"/>
    <w:rsid w:val="1C742734"/>
    <w:rsid w:val="1D7C7B1E"/>
    <w:rsid w:val="1DA4037F"/>
    <w:rsid w:val="1DF3668C"/>
    <w:rsid w:val="1EC62458"/>
    <w:rsid w:val="1F5A78A4"/>
    <w:rsid w:val="1FE96ED7"/>
    <w:rsid w:val="1FFBBB29"/>
    <w:rsid w:val="1FFBE070"/>
    <w:rsid w:val="20495939"/>
    <w:rsid w:val="21180378"/>
    <w:rsid w:val="2135707D"/>
    <w:rsid w:val="21451277"/>
    <w:rsid w:val="21F46D49"/>
    <w:rsid w:val="22487872"/>
    <w:rsid w:val="226C2DA6"/>
    <w:rsid w:val="227F4326"/>
    <w:rsid w:val="22E50692"/>
    <w:rsid w:val="22EF6CCE"/>
    <w:rsid w:val="24462FEE"/>
    <w:rsid w:val="24C81F27"/>
    <w:rsid w:val="256D6D65"/>
    <w:rsid w:val="2586024C"/>
    <w:rsid w:val="25FE7CF3"/>
    <w:rsid w:val="26505A57"/>
    <w:rsid w:val="268368BA"/>
    <w:rsid w:val="26A24848"/>
    <w:rsid w:val="26CE0B92"/>
    <w:rsid w:val="26E41D6C"/>
    <w:rsid w:val="270E49E5"/>
    <w:rsid w:val="27731C28"/>
    <w:rsid w:val="27FD1990"/>
    <w:rsid w:val="283F50C5"/>
    <w:rsid w:val="28475C7C"/>
    <w:rsid w:val="28C07804"/>
    <w:rsid w:val="29242F92"/>
    <w:rsid w:val="2A1E3EA9"/>
    <w:rsid w:val="2A4372D3"/>
    <w:rsid w:val="2A862F5B"/>
    <w:rsid w:val="2AE10176"/>
    <w:rsid w:val="2B287CC0"/>
    <w:rsid w:val="2C9F1A7A"/>
    <w:rsid w:val="2CB83751"/>
    <w:rsid w:val="2CC35146"/>
    <w:rsid w:val="2CE51E7C"/>
    <w:rsid w:val="2E102318"/>
    <w:rsid w:val="2E144B70"/>
    <w:rsid w:val="2E6A5718"/>
    <w:rsid w:val="2EB52114"/>
    <w:rsid w:val="2EFF5631"/>
    <w:rsid w:val="2F5A677B"/>
    <w:rsid w:val="2FF64284"/>
    <w:rsid w:val="3054546B"/>
    <w:rsid w:val="31534ACC"/>
    <w:rsid w:val="31846766"/>
    <w:rsid w:val="318C3401"/>
    <w:rsid w:val="31F97B06"/>
    <w:rsid w:val="325355C3"/>
    <w:rsid w:val="3322137D"/>
    <w:rsid w:val="338A27B8"/>
    <w:rsid w:val="33AC0A39"/>
    <w:rsid w:val="33DD7E4D"/>
    <w:rsid w:val="33FB4A48"/>
    <w:rsid w:val="34CA3AE5"/>
    <w:rsid w:val="34F82151"/>
    <w:rsid w:val="35FE6BC7"/>
    <w:rsid w:val="3671626C"/>
    <w:rsid w:val="36F34C00"/>
    <w:rsid w:val="37724F2B"/>
    <w:rsid w:val="3798389B"/>
    <w:rsid w:val="37D16482"/>
    <w:rsid w:val="37FF17D1"/>
    <w:rsid w:val="38A4257E"/>
    <w:rsid w:val="39B1734A"/>
    <w:rsid w:val="39E12F92"/>
    <w:rsid w:val="3AAE2002"/>
    <w:rsid w:val="3ABA306E"/>
    <w:rsid w:val="3AF50A07"/>
    <w:rsid w:val="3B4D624B"/>
    <w:rsid w:val="3BAA93B9"/>
    <w:rsid w:val="3BC7254A"/>
    <w:rsid w:val="3C9A3604"/>
    <w:rsid w:val="3D1A2271"/>
    <w:rsid w:val="3D4FC456"/>
    <w:rsid w:val="3D6B698F"/>
    <w:rsid w:val="3DFFF255"/>
    <w:rsid w:val="3E696745"/>
    <w:rsid w:val="3EA17051"/>
    <w:rsid w:val="3EBF94D2"/>
    <w:rsid w:val="3EC225AA"/>
    <w:rsid w:val="3ED51294"/>
    <w:rsid w:val="3F043E14"/>
    <w:rsid w:val="3F2A691E"/>
    <w:rsid w:val="3F2F2B9A"/>
    <w:rsid w:val="3F37C153"/>
    <w:rsid w:val="3F731C46"/>
    <w:rsid w:val="3F9EE81D"/>
    <w:rsid w:val="3FBAA0FE"/>
    <w:rsid w:val="3FBBE484"/>
    <w:rsid w:val="3FF45CDA"/>
    <w:rsid w:val="3FF783F9"/>
    <w:rsid w:val="3FFFCE31"/>
    <w:rsid w:val="40677146"/>
    <w:rsid w:val="409E6964"/>
    <w:rsid w:val="40C47EEF"/>
    <w:rsid w:val="40F55820"/>
    <w:rsid w:val="40FD6D36"/>
    <w:rsid w:val="42E20ACC"/>
    <w:rsid w:val="434837C4"/>
    <w:rsid w:val="449E1301"/>
    <w:rsid w:val="44CD2C40"/>
    <w:rsid w:val="44FF657E"/>
    <w:rsid w:val="45527FA2"/>
    <w:rsid w:val="46C9616F"/>
    <w:rsid w:val="471F908B"/>
    <w:rsid w:val="47D947DB"/>
    <w:rsid w:val="48617FC9"/>
    <w:rsid w:val="487E4D09"/>
    <w:rsid w:val="48D37898"/>
    <w:rsid w:val="4921070A"/>
    <w:rsid w:val="496E58DF"/>
    <w:rsid w:val="49F02BF7"/>
    <w:rsid w:val="4A000BA0"/>
    <w:rsid w:val="4ACF32F2"/>
    <w:rsid w:val="4AF20754"/>
    <w:rsid w:val="4AF63520"/>
    <w:rsid w:val="4D440D11"/>
    <w:rsid w:val="4DEC1974"/>
    <w:rsid w:val="4EB22EE8"/>
    <w:rsid w:val="4EC454F9"/>
    <w:rsid w:val="4EF6F6D7"/>
    <w:rsid w:val="4EFF0093"/>
    <w:rsid w:val="4FC7EA9E"/>
    <w:rsid w:val="4FDF1043"/>
    <w:rsid w:val="4FEFB4F1"/>
    <w:rsid w:val="4FFE18D6"/>
    <w:rsid w:val="50866C94"/>
    <w:rsid w:val="51616637"/>
    <w:rsid w:val="516612F6"/>
    <w:rsid w:val="523B3D27"/>
    <w:rsid w:val="52646B10"/>
    <w:rsid w:val="52CA7A93"/>
    <w:rsid w:val="530A105A"/>
    <w:rsid w:val="53156752"/>
    <w:rsid w:val="5323168F"/>
    <w:rsid w:val="532C2F82"/>
    <w:rsid w:val="532F38BC"/>
    <w:rsid w:val="537A5B9B"/>
    <w:rsid w:val="53BF44F1"/>
    <w:rsid w:val="54197219"/>
    <w:rsid w:val="547B55F1"/>
    <w:rsid w:val="549FAA77"/>
    <w:rsid w:val="54F07FFA"/>
    <w:rsid w:val="54F5359F"/>
    <w:rsid w:val="558C2AFE"/>
    <w:rsid w:val="5618118C"/>
    <w:rsid w:val="564D3998"/>
    <w:rsid w:val="56570E9E"/>
    <w:rsid w:val="566620E8"/>
    <w:rsid w:val="57510B75"/>
    <w:rsid w:val="577572F5"/>
    <w:rsid w:val="5779263C"/>
    <w:rsid w:val="57B15DA2"/>
    <w:rsid w:val="57B221F1"/>
    <w:rsid w:val="57C41C6C"/>
    <w:rsid w:val="57E930F9"/>
    <w:rsid w:val="58DF7BD1"/>
    <w:rsid w:val="590B1EBB"/>
    <w:rsid w:val="59191F7F"/>
    <w:rsid w:val="59EA5D26"/>
    <w:rsid w:val="5AA8510C"/>
    <w:rsid w:val="5ACE2F9B"/>
    <w:rsid w:val="5B1946DF"/>
    <w:rsid w:val="5B7F61E3"/>
    <w:rsid w:val="5B9F6627"/>
    <w:rsid w:val="5BB13AE8"/>
    <w:rsid w:val="5BEFB95F"/>
    <w:rsid w:val="5BF117A0"/>
    <w:rsid w:val="5C3E1353"/>
    <w:rsid w:val="5C620FDB"/>
    <w:rsid w:val="5D1D3CE9"/>
    <w:rsid w:val="5DA10C79"/>
    <w:rsid w:val="5E426DAA"/>
    <w:rsid w:val="5E857380"/>
    <w:rsid w:val="5EBC49F5"/>
    <w:rsid w:val="5EF984AE"/>
    <w:rsid w:val="5EFB6C43"/>
    <w:rsid w:val="5F77F8FA"/>
    <w:rsid w:val="5F814478"/>
    <w:rsid w:val="5F97286F"/>
    <w:rsid w:val="5FEF263E"/>
    <w:rsid w:val="61313C78"/>
    <w:rsid w:val="61571C63"/>
    <w:rsid w:val="61573C78"/>
    <w:rsid w:val="619A7C04"/>
    <w:rsid w:val="61C66672"/>
    <w:rsid w:val="61DA1280"/>
    <w:rsid w:val="62227F6A"/>
    <w:rsid w:val="627833DE"/>
    <w:rsid w:val="62DB2B71"/>
    <w:rsid w:val="63E1330F"/>
    <w:rsid w:val="63FEF8BE"/>
    <w:rsid w:val="64AF43D7"/>
    <w:rsid w:val="64F92008"/>
    <w:rsid w:val="65D64AF1"/>
    <w:rsid w:val="65E73B71"/>
    <w:rsid w:val="663B29A4"/>
    <w:rsid w:val="664A5F3A"/>
    <w:rsid w:val="670B7F5D"/>
    <w:rsid w:val="670C1B3E"/>
    <w:rsid w:val="675353DE"/>
    <w:rsid w:val="677ED80C"/>
    <w:rsid w:val="67AB3EDE"/>
    <w:rsid w:val="67C92A1E"/>
    <w:rsid w:val="67D76634"/>
    <w:rsid w:val="68225A75"/>
    <w:rsid w:val="682C6BA5"/>
    <w:rsid w:val="68C905A1"/>
    <w:rsid w:val="68F44B5C"/>
    <w:rsid w:val="694C3255"/>
    <w:rsid w:val="696A13FB"/>
    <w:rsid w:val="696B222C"/>
    <w:rsid w:val="698226A4"/>
    <w:rsid w:val="69BA0E9E"/>
    <w:rsid w:val="69CF6770"/>
    <w:rsid w:val="69D173FF"/>
    <w:rsid w:val="6AC20A7D"/>
    <w:rsid w:val="6B7BF616"/>
    <w:rsid w:val="6BB890BD"/>
    <w:rsid w:val="6BB9FAE5"/>
    <w:rsid w:val="6BC404F0"/>
    <w:rsid w:val="6BDC1F0E"/>
    <w:rsid w:val="6BDFFE15"/>
    <w:rsid w:val="6BFE5BB2"/>
    <w:rsid w:val="6C7432F2"/>
    <w:rsid w:val="6D3A5CC5"/>
    <w:rsid w:val="6E7B8CE1"/>
    <w:rsid w:val="6ECF444B"/>
    <w:rsid w:val="6EFA2CE9"/>
    <w:rsid w:val="6EFD7F34"/>
    <w:rsid w:val="6EFEAACB"/>
    <w:rsid w:val="6F057A1E"/>
    <w:rsid w:val="6F7040D8"/>
    <w:rsid w:val="6F7EA59D"/>
    <w:rsid w:val="6F8B3834"/>
    <w:rsid w:val="6FEBAFBC"/>
    <w:rsid w:val="6FEEB931"/>
    <w:rsid w:val="6FF6544E"/>
    <w:rsid w:val="6FFB2B1D"/>
    <w:rsid w:val="6FFF0C2A"/>
    <w:rsid w:val="71720090"/>
    <w:rsid w:val="71DE62ED"/>
    <w:rsid w:val="721A7397"/>
    <w:rsid w:val="72612CD4"/>
    <w:rsid w:val="726D868B"/>
    <w:rsid w:val="72AB102C"/>
    <w:rsid w:val="72B01342"/>
    <w:rsid w:val="72F618F0"/>
    <w:rsid w:val="73135EE5"/>
    <w:rsid w:val="73211F18"/>
    <w:rsid w:val="735662C8"/>
    <w:rsid w:val="73E8235D"/>
    <w:rsid w:val="749E0916"/>
    <w:rsid w:val="74DC4C6D"/>
    <w:rsid w:val="758D0746"/>
    <w:rsid w:val="75A0144E"/>
    <w:rsid w:val="75FBF3FC"/>
    <w:rsid w:val="76701595"/>
    <w:rsid w:val="767D1D57"/>
    <w:rsid w:val="76BFDB12"/>
    <w:rsid w:val="76FB5003"/>
    <w:rsid w:val="77123D51"/>
    <w:rsid w:val="7737395C"/>
    <w:rsid w:val="773F33C4"/>
    <w:rsid w:val="77732AC2"/>
    <w:rsid w:val="777F2FFC"/>
    <w:rsid w:val="77AB042F"/>
    <w:rsid w:val="77EF86AE"/>
    <w:rsid w:val="77FA2909"/>
    <w:rsid w:val="77FBB10C"/>
    <w:rsid w:val="77FEBCBE"/>
    <w:rsid w:val="77FFCD63"/>
    <w:rsid w:val="78BC4163"/>
    <w:rsid w:val="78C24056"/>
    <w:rsid w:val="78DA2EA9"/>
    <w:rsid w:val="79C01C24"/>
    <w:rsid w:val="79DF9E7C"/>
    <w:rsid w:val="79EF8F15"/>
    <w:rsid w:val="7A9F6A83"/>
    <w:rsid w:val="7AD92753"/>
    <w:rsid w:val="7AEA486C"/>
    <w:rsid w:val="7AFB75A0"/>
    <w:rsid w:val="7BB282F9"/>
    <w:rsid w:val="7BB787BC"/>
    <w:rsid w:val="7BBD05CC"/>
    <w:rsid w:val="7BBF2789"/>
    <w:rsid w:val="7BEFAD4B"/>
    <w:rsid w:val="7BF521B6"/>
    <w:rsid w:val="7BFADCF8"/>
    <w:rsid w:val="7BFF0EA6"/>
    <w:rsid w:val="7CEF4AB6"/>
    <w:rsid w:val="7D063248"/>
    <w:rsid w:val="7D30DD4A"/>
    <w:rsid w:val="7D525D7C"/>
    <w:rsid w:val="7D59184E"/>
    <w:rsid w:val="7D5E5F15"/>
    <w:rsid w:val="7D7B8F7F"/>
    <w:rsid w:val="7D8C529A"/>
    <w:rsid w:val="7DF45AA4"/>
    <w:rsid w:val="7DF6A253"/>
    <w:rsid w:val="7DF727A4"/>
    <w:rsid w:val="7DF7CDFA"/>
    <w:rsid w:val="7DFAC514"/>
    <w:rsid w:val="7E2C750A"/>
    <w:rsid w:val="7E734B6C"/>
    <w:rsid w:val="7E7D42AA"/>
    <w:rsid w:val="7E9853D0"/>
    <w:rsid w:val="7ED70E43"/>
    <w:rsid w:val="7EEE9423"/>
    <w:rsid w:val="7F2F6E38"/>
    <w:rsid w:val="7F3824FC"/>
    <w:rsid w:val="7F585270"/>
    <w:rsid w:val="7F5FE73D"/>
    <w:rsid w:val="7F9A4AFD"/>
    <w:rsid w:val="7FD678A3"/>
    <w:rsid w:val="7FE94E50"/>
    <w:rsid w:val="7FED3AE5"/>
    <w:rsid w:val="7FFB93CA"/>
    <w:rsid w:val="7FFD5248"/>
    <w:rsid w:val="7FFF2252"/>
    <w:rsid w:val="7FFF48D8"/>
    <w:rsid w:val="8BFFBCB0"/>
    <w:rsid w:val="95FEC1C4"/>
    <w:rsid w:val="9C7F9B88"/>
    <w:rsid w:val="9D45BB38"/>
    <w:rsid w:val="9DFA3C8D"/>
    <w:rsid w:val="9F73B232"/>
    <w:rsid w:val="9FFFBFF4"/>
    <w:rsid w:val="A7ADDC78"/>
    <w:rsid w:val="A7B4FE04"/>
    <w:rsid w:val="AAD9929A"/>
    <w:rsid w:val="AFF3E16E"/>
    <w:rsid w:val="AFF712AC"/>
    <w:rsid w:val="AFFB8A00"/>
    <w:rsid w:val="B37B44A2"/>
    <w:rsid w:val="B3F316DF"/>
    <w:rsid w:val="B6FDEA49"/>
    <w:rsid w:val="B797BA1C"/>
    <w:rsid w:val="B7BFA034"/>
    <w:rsid w:val="B7C2EFC9"/>
    <w:rsid w:val="B7FF9D0C"/>
    <w:rsid w:val="B9EFF0F1"/>
    <w:rsid w:val="BB4B0E87"/>
    <w:rsid w:val="BB5B2330"/>
    <w:rsid w:val="BBDF5320"/>
    <w:rsid w:val="BCF7B01E"/>
    <w:rsid w:val="BCF976BD"/>
    <w:rsid w:val="BDDF0B77"/>
    <w:rsid w:val="BDE5662C"/>
    <w:rsid w:val="BF36D048"/>
    <w:rsid w:val="BFB7AB31"/>
    <w:rsid w:val="BFFE53B4"/>
    <w:rsid w:val="BFFF84C8"/>
    <w:rsid w:val="C6F7E866"/>
    <w:rsid w:val="CAFDADBE"/>
    <w:rsid w:val="CCAEA054"/>
    <w:rsid w:val="CFDF6E21"/>
    <w:rsid w:val="CFF64FCF"/>
    <w:rsid w:val="D174FDE8"/>
    <w:rsid w:val="D1FFF584"/>
    <w:rsid w:val="D57FB589"/>
    <w:rsid w:val="D5FF3DBE"/>
    <w:rsid w:val="D5FF8B0A"/>
    <w:rsid w:val="D67FE771"/>
    <w:rsid w:val="D7E983FF"/>
    <w:rsid w:val="D8CF872E"/>
    <w:rsid w:val="DB5FABC1"/>
    <w:rsid w:val="DBC30F2F"/>
    <w:rsid w:val="DBDFF1C0"/>
    <w:rsid w:val="DCF7F45E"/>
    <w:rsid w:val="DDBFDE5D"/>
    <w:rsid w:val="DE777661"/>
    <w:rsid w:val="DE9D5650"/>
    <w:rsid w:val="DF5F3B05"/>
    <w:rsid w:val="DF7B72B9"/>
    <w:rsid w:val="DFCC00D2"/>
    <w:rsid w:val="E3FD4D5B"/>
    <w:rsid w:val="E47368C8"/>
    <w:rsid w:val="E672326A"/>
    <w:rsid w:val="E6BBB6A3"/>
    <w:rsid w:val="E6BE8AB7"/>
    <w:rsid w:val="E7BB907E"/>
    <w:rsid w:val="E8DAC67F"/>
    <w:rsid w:val="E957BF82"/>
    <w:rsid w:val="EBD5F73D"/>
    <w:rsid w:val="EBFD841A"/>
    <w:rsid w:val="EC50C94E"/>
    <w:rsid w:val="EDB33895"/>
    <w:rsid w:val="EE26ADCB"/>
    <w:rsid w:val="EEEF3957"/>
    <w:rsid w:val="EF37F4E2"/>
    <w:rsid w:val="EF7933F3"/>
    <w:rsid w:val="EFB2C2E7"/>
    <w:rsid w:val="EFBCEB91"/>
    <w:rsid w:val="EFBFF402"/>
    <w:rsid w:val="EFDD554E"/>
    <w:rsid w:val="EFFFA9AC"/>
    <w:rsid w:val="F1595000"/>
    <w:rsid w:val="F1FCBD6C"/>
    <w:rsid w:val="F3730244"/>
    <w:rsid w:val="F37FBC8D"/>
    <w:rsid w:val="F3FDD338"/>
    <w:rsid w:val="F57ACD26"/>
    <w:rsid w:val="F5DF7CB2"/>
    <w:rsid w:val="F5F22EB7"/>
    <w:rsid w:val="F6753C28"/>
    <w:rsid w:val="F6F9CC09"/>
    <w:rsid w:val="F6FFDC46"/>
    <w:rsid w:val="F7BB905D"/>
    <w:rsid w:val="F7DFD5D0"/>
    <w:rsid w:val="F9968E6B"/>
    <w:rsid w:val="F9FA3AD5"/>
    <w:rsid w:val="FA5EC977"/>
    <w:rsid w:val="FA6FD43B"/>
    <w:rsid w:val="FB4EED0D"/>
    <w:rsid w:val="FBBF1013"/>
    <w:rsid w:val="FBBFCEE1"/>
    <w:rsid w:val="FBF9EB9F"/>
    <w:rsid w:val="FC3F5C46"/>
    <w:rsid w:val="FC576A0D"/>
    <w:rsid w:val="FD3BB213"/>
    <w:rsid w:val="FD7E460E"/>
    <w:rsid w:val="FDE7A212"/>
    <w:rsid w:val="FDF9C832"/>
    <w:rsid w:val="FDFE7B0A"/>
    <w:rsid w:val="FDFF6A5C"/>
    <w:rsid w:val="FE7E1FE8"/>
    <w:rsid w:val="FEB32BC9"/>
    <w:rsid w:val="FF056A06"/>
    <w:rsid w:val="FF3BE222"/>
    <w:rsid w:val="FF6705B6"/>
    <w:rsid w:val="FF7A3B64"/>
    <w:rsid w:val="FF7F5600"/>
    <w:rsid w:val="FF7F6C2F"/>
    <w:rsid w:val="FFAE4B53"/>
    <w:rsid w:val="FFAFEB29"/>
    <w:rsid w:val="FFBEA172"/>
    <w:rsid w:val="FFD53605"/>
    <w:rsid w:val="FFDF7F0B"/>
    <w:rsid w:val="FFEE76F4"/>
    <w:rsid w:val="FFF392BF"/>
    <w:rsid w:val="FFFADD44"/>
    <w:rsid w:val="FFFB3B1B"/>
    <w:rsid w:val="FFFBBF50"/>
    <w:rsid w:val="FFFBCDD0"/>
    <w:rsid w:val="FFFF94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annotation text"/>
    <w:basedOn w:val="1"/>
    <w:link w:val="20"/>
    <w:semiHidden/>
    <w:qFormat/>
    <w:uiPriority w:val="0"/>
    <w:pPr>
      <w:jc w:val="left"/>
    </w:pPr>
  </w:style>
  <w:style w:type="paragraph" w:styleId="8">
    <w:name w:val="Body Text"/>
    <w:basedOn w:val="1"/>
    <w:link w:val="21"/>
    <w:qFormat/>
    <w:uiPriority w:val="0"/>
    <w:pPr>
      <w:spacing w:after="120" w:afterLines="0"/>
    </w:pPr>
    <w:rPr>
      <w:kern w:val="2"/>
      <w:sz w:val="32"/>
      <w:szCs w:val="32"/>
    </w:rPr>
  </w:style>
  <w:style w:type="paragraph" w:styleId="9">
    <w:name w:val="Date"/>
    <w:basedOn w:val="1"/>
    <w:next w:val="1"/>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Indent 3"/>
    <w:basedOn w:val="1"/>
    <w:qFormat/>
    <w:uiPriority w:val="0"/>
    <w:pPr>
      <w:spacing w:line="540" w:lineRule="exact"/>
      <w:ind w:firstLine="640" w:firstLineChars="200"/>
    </w:pPr>
    <w:rPr>
      <w:rFonts w:ascii="仿宋_GB2312" w:eastAsia="仿宋_GB2312"/>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0"/>
    </w:rPr>
  </w:style>
  <w:style w:type="paragraph" w:styleId="14">
    <w:name w:val="annotation subject"/>
    <w:basedOn w:val="7"/>
    <w:next w:val="7"/>
    <w:link w:val="23"/>
    <w:qFormat/>
    <w:uiPriority w:val="0"/>
    <w:rPr>
      <w:b/>
      <w:bCs/>
    </w:rPr>
  </w:style>
  <w:style w:type="paragraph" w:styleId="15">
    <w:name w:val="Body Text First Indent"/>
    <w:basedOn w:val="8"/>
    <w:link w:val="24"/>
    <w:qFormat/>
    <w:uiPriority w:val="0"/>
    <w:pPr>
      <w:ind w:firstLine="420" w:firstLineChars="100"/>
    </w:pPr>
  </w:style>
  <w:style w:type="character" w:styleId="18">
    <w:name w:val="page number"/>
    <w:qFormat/>
    <w:uiPriority w:val="0"/>
  </w:style>
  <w:style w:type="character" w:styleId="19">
    <w:name w:val="annotation reference"/>
    <w:qFormat/>
    <w:uiPriority w:val="0"/>
    <w:rPr>
      <w:sz w:val="21"/>
      <w:szCs w:val="21"/>
    </w:rPr>
  </w:style>
  <w:style w:type="character" w:customStyle="1" w:styleId="20">
    <w:name w:val="批注文字 字符"/>
    <w:link w:val="7"/>
    <w:semiHidden/>
    <w:qFormat/>
    <w:uiPriority w:val="0"/>
    <w:rPr>
      <w:kern w:val="2"/>
      <w:sz w:val="32"/>
      <w:szCs w:val="32"/>
    </w:rPr>
  </w:style>
  <w:style w:type="character" w:customStyle="1" w:styleId="21">
    <w:name w:val="正文文本 字符"/>
    <w:link w:val="8"/>
    <w:qFormat/>
    <w:uiPriority w:val="0"/>
    <w:rPr>
      <w:kern w:val="2"/>
      <w:sz w:val="32"/>
      <w:szCs w:val="32"/>
    </w:rPr>
  </w:style>
  <w:style w:type="character" w:customStyle="1" w:styleId="22">
    <w:name w:val="批注框文本 字符"/>
    <w:link w:val="10"/>
    <w:qFormat/>
    <w:uiPriority w:val="0"/>
    <w:rPr>
      <w:kern w:val="2"/>
      <w:sz w:val="18"/>
      <w:szCs w:val="18"/>
    </w:rPr>
  </w:style>
  <w:style w:type="character" w:customStyle="1" w:styleId="23">
    <w:name w:val="批注主题 字符"/>
    <w:link w:val="14"/>
    <w:qFormat/>
    <w:uiPriority w:val="0"/>
    <w:rPr>
      <w:b/>
      <w:bCs/>
      <w:kern w:val="2"/>
      <w:sz w:val="32"/>
      <w:szCs w:val="32"/>
    </w:rPr>
  </w:style>
  <w:style w:type="character" w:customStyle="1" w:styleId="24">
    <w:name w:val="正文文本首行缩进 字符"/>
    <w:link w:val="15"/>
    <w:qFormat/>
    <w:uiPriority w:val="0"/>
  </w:style>
  <w:style w:type="paragraph" w:customStyle="1" w:styleId="25">
    <w:name w:val="BodyText1I2"/>
    <w:basedOn w:val="26"/>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26">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character" w:customStyle="1" w:styleId="27">
    <w:name w:val="NormalCharacter"/>
    <w:qFormat/>
    <w:uiPriority w:val="0"/>
    <w:rPr>
      <w:kern w:val="2"/>
      <w:sz w:val="32"/>
      <w:szCs w:val="32"/>
      <w:lang w:val="en-US" w:eastAsia="zh-CN" w:bidi="ar-SA"/>
    </w:rPr>
  </w:style>
  <w:style w:type="paragraph" w:customStyle="1" w:styleId="28">
    <w:name w:val="默认段落字体 Para Char Char Char Char"/>
    <w:basedOn w:val="1"/>
    <w:qFormat/>
    <w:uiPriority w:val="0"/>
    <w:rPr>
      <w:sz w:val="21"/>
      <w:szCs w:val="24"/>
    </w:rPr>
  </w:style>
  <w:style w:type="paragraph" w:customStyle="1" w:styleId="29">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0">
    <w:name w:val="报告书正文样式1"/>
    <w:basedOn w:val="31"/>
    <w:qFormat/>
    <w:uiPriority w:val="0"/>
    <w:pPr>
      <w:spacing w:line="360" w:lineRule="auto"/>
    </w:pPr>
    <w:rPr>
      <w:rFonts w:ascii="Arial" w:hAnsi="Arial" w:cs="Arial"/>
      <w:szCs w:val="24"/>
    </w:rPr>
  </w:style>
  <w:style w:type="paragraph" w:customStyle="1" w:styleId="31">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2">
    <w:name w:val="样式5"/>
    <w:basedOn w:val="8"/>
    <w:next w:val="33"/>
    <w:qFormat/>
    <w:uiPriority w:val="0"/>
    <w:pPr>
      <w:adjustRightInd/>
      <w:spacing w:line="240" w:lineRule="auto"/>
      <w:ind w:right="-140" w:rightChars="-50" w:firstLine="1653" w:firstLineChars="588"/>
    </w:pPr>
    <w:rPr>
      <w:b/>
      <w:bCs/>
    </w:rPr>
  </w:style>
  <w:style w:type="paragraph" w:customStyle="1" w:styleId="33">
    <w:name w:val="图框文字"/>
    <w:basedOn w:val="1"/>
    <w:qFormat/>
    <w:uiPriority w:val="0"/>
    <w:pPr>
      <w:widowControl w:val="0"/>
      <w:jc w:val="center"/>
      <w:textAlignment w:val="center"/>
    </w:pPr>
    <w:rPr>
      <w:rFonts w:ascii="Times New Roman" w:hAnsi="Times New Roman"/>
      <w:kern w:val="2"/>
    </w:rPr>
  </w:style>
  <w:style w:type="paragraph" w:customStyle="1" w:styleId="34">
    <w:name w:val="_Style 247"/>
    <w:basedOn w:val="1"/>
    <w:qFormat/>
    <w:uiPriority w:val="0"/>
  </w:style>
  <w:style w:type="paragraph" w:customStyle="1" w:styleId="35">
    <w:name w:val=" Char Char Char Char Char Char Char Char Char1 Char"/>
    <w:basedOn w:val="1"/>
    <w:qFormat/>
    <w:uiPriority w:val="0"/>
    <w:rPr>
      <w:sz w:val="21"/>
      <w:szCs w:val="24"/>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
    <w:name w:val="Date1"/>
    <w:basedOn w:val="1"/>
    <w:next w:val="1"/>
    <w:qFormat/>
    <w:uiPriority w:val="0"/>
    <w:rPr>
      <w:sz w:val="21"/>
      <w:szCs w:val="20"/>
    </w:rPr>
  </w:style>
  <w:style w:type="paragraph" w:customStyle="1" w:styleId="39">
    <w:name w:val="书正文"/>
    <w:basedOn w:val="1"/>
    <w:qFormat/>
    <w:uiPriority w:val="0"/>
    <w:pPr>
      <w:adjustRightInd w:val="0"/>
      <w:spacing w:line="520" w:lineRule="exact"/>
      <w:ind w:firstLine="20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Pages>
  <Words>583</Words>
  <Characters>3329</Characters>
  <Lines>27</Lines>
  <Paragraphs>7</Paragraphs>
  <TotalTime>25</TotalTime>
  <ScaleCrop>false</ScaleCrop>
  <LinksUpToDate>false</LinksUpToDate>
  <CharactersWithSpaces>3905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2021-07-30T21:24:00Z</dcterms:created>
  <dc:creator>微软用户</dc:creator>
  <cp:lastModifiedBy>user</cp:lastModifiedBy>
  <cp:lastPrinted>2022-04-29T08:56:11Z</cp:lastPrinted>
  <dcterms:modified xsi:type="dcterms:W3CDTF">2022-04-29T09:00:09Z</dcterms:modified>
  <dc:title>枣环行审字[2012]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20FC0A0FEFB7472688FF5EA67F78CFE6</vt:lpwstr>
  </property>
</Properties>
</file>