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楷体" w:cs="Times New Roman"/>
          <w:w w:val="97"/>
          <w:sz w:val="32"/>
          <w:szCs w:val="32"/>
        </w:rPr>
      </w:pPr>
    </w:p>
    <w:p>
      <w:pPr>
        <w:pStyle w:val="2"/>
        <w:rPr>
          <w:rFonts w:hint="default"/>
        </w:rPr>
      </w:pPr>
    </w:p>
    <w:p>
      <w:pPr>
        <w:pStyle w:val="2"/>
        <w:rPr>
          <w:rFonts w:hint="default" w:ascii="Times New Roman" w:hAnsi="Times New Roman" w:eastAsia="楷体" w:cs="Times New Roman"/>
          <w:w w:val="97"/>
          <w:sz w:val="32"/>
          <w:szCs w:val="32"/>
        </w:rPr>
      </w:pPr>
    </w:p>
    <w:p>
      <w:pPr>
        <w:rPr>
          <w:rFonts w:hint="default"/>
        </w:rPr>
      </w:pPr>
    </w:p>
    <w:p>
      <w:pPr>
        <w:spacing w:line="580" w:lineRule="exact"/>
        <w:jc w:val="center"/>
        <w:rPr>
          <w:rFonts w:eastAsia="楷体"/>
          <w:w w:val="97"/>
        </w:rPr>
      </w:pPr>
      <w:r>
        <w:rPr>
          <w:rFonts w:eastAsia="楷体"/>
          <w:w w:val="97"/>
        </w:rPr>
        <w:t>枣环许可字〔2022〕</w:t>
      </w:r>
      <w:r>
        <w:rPr>
          <w:rFonts w:hint="eastAsia" w:eastAsia="楷体"/>
          <w:w w:val="97"/>
          <w:lang w:val="en-US" w:eastAsia="zh-CN"/>
        </w:rPr>
        <w:t>134</w:t>
      </w:r>
      <w:r>
        <w:rPr>
          <w:rFonts w:eastAsia="楷体"/>
          <w:w w:val="97"/>
        </w:rPr>
        <w:t>号</w:t>
      </w:r>
    </w:p>
    <w:p>
      <w:pPr>
        <w:pStyle w:val="2"/>
        <w:spacing w:line="580" w:lineRule="exact"/>
        <w:ind w:left="640"/>
      </w:pPr>
    </w:p>
    <w:p>
      <w:pPr>
        <w:spacing w:line="620" w:lineRule="exact"/>
        <w:rPr>
          <w:color w:val="000000"/>
        </w:rPr>
      </w:pPr>
    </w:p>
    <w:p>
      <w:pPr>
        <w:spacing w:line="620" w:lineRule="exact"/>
        <w:jc w:val="center"/>
        <w:rPr>
          <w:rFonts w:eastAsia="方正大标宋简体"/>
          <w:color w:val="000000"/>
          <w:sz w:val="44"/>
          <w:szCs w:val="44"/>
        </w:rPr>
      </w:pPr>
      <w:r>
        <w:rPr>
          <w:rFonts w:eastAsia="方正大标宋简体"/>
          <w:color w:val="000000"/>
          <w:sz w:val="44"/>
          <w:szCs w:val="44"/>
        </w:rPr>
        <w:t>枣庄市生态环境局</w:t>
      </w:r>
    </w:p>
    <w:p>
      <w:pPr>
        <w:spacing w:line="620" w:lineRule="exact"/>
        <w:jc w:val="center"/>
        <w:rPr>
          <w:rFonts w:eastAsia="方正大标宋简体"/>
          <w:color w:val="000000"/>
          <w:sz w:val="44"/>
          <w:szCs w:val="44"/>
        </w:rPr>
      </w:pPr>
      <w:r>
        <w:rPr>
          <w:rFonts w:eastAsia="方正大标宋简体"/>
          <w:color w:val="000000"/>
          <w:sz w:val="44"/>
          <w:szCs w:val="44"/>
        </w:rPr>
        <w:t>关于联泓格润（山东）新材料有限公司</w:t>
      </w:r>
    </w:p>
    <w:p>
      <w:pPr>
        <w:spacing w:line="620" w:lineRule="exact"/>
        <w:jc w:val="center"/>
        <w:rPr>
          <w:rFonts w:eastAsia="方正大标宋简体"/>
          <w:color w:val="000000"/>
          <w:sz w:val="44"/>
          <w:szCs w:val="44"/>
        </w:rPr>
      </w:pPr>
      <w:r>
        <w:rPr>
          <w:rFonts w:eastAsia="方正大标宋简体"/>
          <w:color w:val="000000"/>
          <w:sz w:val="44"/>
          <w:szCs w:val="44"/>
        </w:rPr>
        <w:t>新能源材料和生物可降解材料一体化项目</w:t>
      </w:r>
    </w:p>
    <w:p>
      <w:pPr>
        <w:spacing w:line="620" w:lineRule="exact"/>
        <w:jc w:val="center"/>
        <w:rPr>
          <w:rFonts w:eastAsia="方正大标宋简体"/>
          <w:color w:val="000000"/>
          <w:w w:val="90"/>
          <w:sz w:val="44"/>
          <w:szCs w:val="44"/>
        </w:rPr>
      </w:pPr>
      <w:r>
        <w:rPr>
          <w:rFonts w:eastAsia="方正大标宋简体"/>
          <w:color w:val="000000"/>
          <w:sz w:val="44"/>
          <w:szCs w:val="44"/>
        </w:rPr>
        <w:t>环境影响报告书的批复</w:t>
      </w:r>
    </w:p>
    <w:p>
      <w:pPr>
        <w:spacing w:line="620" w:lineRule="exact"/>
        <w:rPr>
          <w:rFonts w:eastAsia="仿宋_GB2312"/>
          <w:color w:val="000000"/>
        </w:rPr>
      </w:pPr>
    </w:p>
    <w:p>
      <w:pPr>
        <w:spacing w:line="620" w:lineRule="exact"/>
        <w:jc w:val="left"/>
        <w:rPr>
          <w:rFonts w:eastAsia="仿宋_GB2312"/>
          <w:color w:val="000000"/>
        </w:rPr>
      </w:pPr>
      <w:r>
        <w:rPr>
          <w:rFonts w:eastAsia="仿宋_GB2312"/>
          <w:color w:val="000000"/>
        </w:rPr>
        <w:t>联泓格润（山东）新材料有限公司：</w:t>
      </w:r>
    </w:p>
    <w:p>
      <w:pPr>
        <w:spacing w:line="620" w:lineRule="exact"/>
        <w:ind w:firstLine="640" w:firstLineChars="200"/>
        <w:rPr>
          <w:rFonts w:eastAsia="仿宋_GB2312"/>
          <w:color w:val="000000"/>
        </w:rPr>
      </w:pPr>
      <w:r>
        <w:rPr>
          <w:rFonts w:eastAsia="仿宋_GB2312"/>
          <w:color w:val="000000"/>
        </w:rPr>
        <w:t>你公司报送的《新能源材料和生物可降解材料一体化项目环境影响报告书》收悉。经研究，批复如下：</w:t>
      </w:r>
    </w:p>
    <w:p>
      <w:pPr>
        <w:pStyle w:val="30"/>
        <w:tabs>
          <w:tab w:val="left" w:pos="3030"/>
        </w:tabs>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一、项目属于</w:t>
      </w:r>
      <w:r>
        <w:rPr>
          <w:rFonts w:hint="eastAsia" w:ascii="Times New Roman" w:hAnsi="Times New Roman" w:eastAsia="仿宋_GB2312" w:cs="Times New Roman"/>
          <w:color w:val="000000"/>
          <w:sz w:val="32"/>
          <w:szCs w:val="32"/>
        </w:rPr>
        <w:t>新</w:t>
      </w:r>
      <w:r>
        <w:rPr>
          <w:rFonts w:ascii="Times New Roman" w:hAnsi="Times New Roman" w:eastAsia="仿宋_GB2312" w:cs="Times New Roman"/>
          <w:color w:val="000000"/>
          <w:sz w:val="32"/>
          <w:szCs w:val="32"/>
        </w:rPr>
        <w:t>建，位于鲁南高科技化工园区地</w:t>
      </w:r>
      <w:r>
        <w:rPr>
          <w:rFonts w:hint="eastAsia" w:ascii="Times New Roman" w:hAnsi="Times New Roman" w:eastAsia="仿宋_GB2312" w:cs="Times New Roman"/>
          <w:color w:val="000000"/>
          <w:sz w:val="32"/>
          <w:szCs w:val="32"/>
        </w:rPr>
        <w:t>，项目</w:t>
      </w:r>
      <w:r>
        <w:rPr>
          <w:rFonts w:ascii="Times New Roman" w:hAnsi="Times New Roman" w:eastAsia="仿宋_GB2312" w:cs="Times New Roman"/>
          <w:color w:val="000000"/>
          <w:sz w:val="32"/>
          <w:szCs w:val="32"/>
        </w:rPr>
        <w:t>由相对独立的两部分组成，位于现有联泓新材料科技股份有限公司的西部和南部。主要建设</w:t>
      </w:r>
      <w:r>
        <w:rPr>
          <w:rFonts w:hint="eastAsia" w:ascii="Times New Roman" w:hAnsi="Times New Roman" w:eastAsia="仿宋_GB2312" w:cs="Times New Roman"/>
          <w:color w:val="000000"/>
          <w:sz w:val="32"/>
          <w:szCs w:val="32"/>
        </w:rPr>
        <w:t>内容为：</w:t>
      </w:r>
      <w:r>
        <w:rPr>
          <w:rFonts w:ascii="Times New Roman" w:hAnsi="Times New Roman" w:eastAsia="仿宋_GB2312" w:cs="Times New Roman"/>
          <w:color w:val="000000"/>
          <w:sz w:val="32"/>
          <w:szCs w:val="32"/>
        </w:rPr>
        <w:t>通过甲醇制烯烃装置生产聚合级乙烯和聚合级丙烯，经过EVA装置、环氧丙烷装置和PPC装置生产合格的EVA、PPC、环氧丙烷等高端化工产品。包括130万吨/年DMTO装置（含9万吨/年OCC单元）、20万吨/年EVA装置、30万吨/年PO装置、5万吨/年PPC装置、</w:t>
      </w:r>
      <w:r>
        <w:rPr>
          <w:rFonts w:ascii="Times New Roman" w:hAnsi="Times New Roman" w:eastAsia="仿宋_GB2312" w:cs="Times New Roman"/>
          <w:color w:val="000000"/>
          <w:sz w:val="32"/>
          <w:szCs w:val="32"/>
          <w:u w:val="single"/>
        </w:rPr>
        <w:t>总图</w:t>
      </w:r>
      <w:r>
        <w:rPr>
          <w:rFonts w:ascii="Times New Roman" w:hAnsi="Times New Roman" w:eastAsia="仿宋_GB2312" w:cs="Times New Roman"/>
          <w:color w:val="000000"/>
          <w:sz w:val="32"/>
          <w:szCs w:val="32"/>
        </w:rPr>
        <w:t>储运、配套的公用工程及辅助生产设施、环保治理设施等。项目投资125000</w:t>
      </w:r>
      <w:r>
        <w:rPr>
          <w:rFonts w:hint="eastAsia" w:ascii="Times New Roman" w:hAnsi="Times New Roman" w:eastAsia="仿宋_GB2312" w:cs="Times New Roman"/>
          <w:color w:val="000000"/>
          <w:sz w:val="32"/>
          <w:szCs w:val="32"/>
        </w:rPr>
        <w:t>0</w:t>
      </w:r>
      <w:r>
        <w:rPr>
          <w:rFonts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rPr>
        <w:t>，其中环保投资165505万元，占投资的13.24%。</w:t>
      </w:r>
    </w:p>
    <w:p>
      <w:pPr>
        <w:pStyle w:val="30"/>
        <w:tabs>
          <w:tab w:val="left" w:pos="3030"/>
        </w:tabs>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在全面落实报告书提出的各项生态保护、污染防治及环境风险防范措施后，污染物可达标排放，主要污染物排放总量符合核定的总量控制要求。从生态环境部门角度，我局原则同意环境影响报告书中所列建设项目的地点、工艺和拟采取的环境保护措施进行建设和运营。</w:t>
      </w:r>
    </w:p>
    <w:p>
      <w:pPr>
        <w:pStyle w:val="30"/>
        <w:tabs>
          <w:tab w:val="left" w:pos="3030"/>
        </w:tabs>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二、项目设计、建设和运行管理中应重点做好以下工作</w:t>
      </w:r>
    </w:p>
    <w:p>
      <w:pPr>
        <w:spacing w:line="620" w:lineRule="exact"/>
        <w:ind w:firstLine="640" w:firstLineChars="200"/>
        <w:rPr>
          <w:rFonts w:hint="eastAsia" w:eastAsia="仿宋_GB2312"/>
          <w:color w:val="000000"/>
          <w:lang w:eastAsia="zh-CN"/>
        </w:rPr>
      </w:pPr>
      <w:r>
        <w:rPr>
          <w:rFonts w:eastAsia="仿宋_GB2312"/>
          <w:color w:val="000000"/>
        </w:rPr>
        <w:t>（一）加强施工环境管理。施工期预计为24个月</w:t>
      </w:r>
      <w:r>
        <w:rPr>
          <w:rFonts w:hint="eastAsia" w:eastAsia="仿宋_GB2312"/>
          <w:color w:val="000000"/>
        </w:rPr>
        <w:t>，</w:t>
      </w:r>
      <w:r>
        <w:rPr>
          <w:rFonts w:eastAsia="仿宋_GB2312"/>
          <w:color w:val="000000"/>
        </w:rPr>
        <w:t>工地扬尘防控须达到六个“百分之百”要求</w:t>
      </w:r>
      <w:r>
        <w:rPr>
          <w:rFonts w:hint="eastAsia" w:eastAsia="仿宋_GB2312"/>
          <w:color w:val="000000"/>
        </w:rPr>
        <w:t>：采取</w:t>
      </w:r>
      <w:r>
        <w:rPr>
          <w:rFonts w:eastAsia="仿宋_GB2312"/>
          <w:color w:val="000000"/>
        </w:rPr>
        <w:t>作业场地围挡、围护</w:t>
      </w:r>
      <w:r>
        <w:rPr>
          <w:rFonts w:hint="eastAsia" w:eastAsia="仿宋_GB2312"/>
          <w:color w:val="000000"/>
        </w:rPr>
        <w:t>、</w:t>
      </w:r>
      <w:r>
        <w:rPr>
          <w:rFonts w:eastAsia="仿宋_GB2312"/>
          <w:color w:val="000000"/>
        </w:rPr>
        <w:t>运输车辆</w:t>
      </w:r>
      <w:r>
        <w:rPr>
          <w:rFonts w:hint="eastAsia" w:eastAsia="仿宋_GB2312"/>
          <w:color w:val="000000"/>
        </w:rPr>
        <w:t>密闭</w:t>
      </w:r>
      <w:r>
        <w:rPr>
          <w:rFonts w:eastAsia="仿宋_GB2312"/>
          <w:color w:val="000000"/>
        </w:rPr>
        <w:t>并冲洗</w:t>
      </w:r>
      <w:r>
        <w:rPr>
          <w:rFonts w:hint="eastAsia" w:eastAsia="仿宋_GB2312"/>
          <w:color w:val="000000"/>
        </w:rPr>
        <w:t>、</w:t>
      </w:r>
      <w:r>
        <w:rPr>
          <w:rFonts w:eastAsia="仿宋_GB2312"/>
          <w:color w:val="000000"/>
        </w:rPr>
        <w:t>道路洒水抑尘</w:t>
      </w:r>
      <w:r>
        <w:rPr>
          <w:rFonts w:hint="eastAsia" w:eastAsia="仿宋_GB2312"/>
          <w:color w:val="000000"/>
        </w:rPr>
        <w:t>等措施</w:t>
      </w:r>
      <w:r>
        <w:rPr>
          <w:rFonts w:eastAsia="仿宋_GB2312"/>
          <w:color w:val="000000"/>
        </w:rPr>
        <w:t>。将相关要求写入招标公告和承建合同。施工期间产生的生产型废水经沉淀池沉淀后回用于生产和厂区及道路喷洒。建筑垃圾定点堆放和就地填埋。禁止高噪声的夜间施工。施工完成后，尽快按厂区绿化方案恢复植被。施工现场至少安装</w:t>
      </w:r>
      <w:r>
        <w:rPr>
          <w:rFonts w:hint="eastAsia" w:eastAsia="仿宋_GB2312"/>
          <w:color w:val="000000"/>
        </w:rPr>
        <w:t>视频</w:t>
      </w:r>
      <w:r>
        <w:rPr>
          <w:rFonts w:eastAsia="仿宋_GB2312"/>
          <w:color w:val="000000"/>
        </w:rPr>
        <w:t>监控，视频存储时间至少3个月。</w:t>
      </w:r>
      <w:r>
        <w:rPr>
          <w:rFonts w:hint="eastAsia" w:eastAsia="仿宋_GB2312"/>
          <w:color w:val="000000"/>
        </w:rPr>
        <w:t>在施工现场四面各安装一套</w:t>
      </w:r>
      <w:r>
        <w:rPr>
          <w:rFonts w:eastAsia="仿宋_GB2312"/>
          <w:color w:val="000000"/>
        </w:rPr>
        <w:t>β射线扬尘在线监测设备</w:t>
      </w:r>
      <w:r>
        <w:rPr>
          <w:rFonts w:hint="eastAsia" w:eastAsia="仿宋_GB2312"/>
          <w:color w:val="000000"/>
          <w:lang w:eastAsia="zh-CN"/>
        </w:rPr>
        <w:t>。</w:t>
      </w:r>
    </w:p>
    <w:p>
      <w:pPr>
        <w:spacing w:line="620" w:lineRule="exact"/>
        <w:ind w:firstLine="640" w:firstLineChars="200"/>
        <w:rPr>
          <w:rFonts w:eastAsia="仿宋_GB2312"/>
          <w:color w:val="000000"/>
        </w:rPr>
      </w:pPr>
      <w:r>
        <w:rPr>
          <w:rFonts w:eastAsia="仿宋_GB2312"/>
          <w:color w:val="000000"/>
        </w:rPr>
        <w:t>（二）强化大气污染防治措施。拟建项目DMTO装置、OCC装置产生的废气</w:t>
      </w:r>
      <w:r>
        <w:rPr>
          <w:rFonts w:hint="eastAsia" w:eastAsia="仿宋_GB2312"/>
          <w:color w:val="000000"/>
        </w:rPr>
        <w:t>经处理后由60m高</w:t>
      </w:r>
      <w:r>
        <w:rPr>
          <w:rFonts w:eastAsia="仿宋_GB2312"/>
          <w:color w:val="000000"/>
        </w:rPr>
        <w:t>排气筒P1排放，颗粒物、氮氧化物</w:t>
      </w:r>
      <w:r>
        <w:rPr>
          <w:rFonts w:hint="eastAsia" w:eastAsia="仿宋_GB2312"/>
          <w:color w:val="000000"/>
        </w:rPr>
        <w:t>排放须达到</w:t>
      </w:r>
      <w:r>
        <w:rPr>
          <w:rFonts w:eastAsia="仿宋_GB2312"/>
          <w:color w:val="000000"/>
        </w:rPr>
        <w:t>《区域性大气污染物综合排放标准》（DB37/2376-2019）相关要求。</w:t>
      </w:r>
    </w:p>
    <w:p>
      <w:pPr>
        <w:pStyle w:val="30"/>
        <w:tabs>
          <w:tab w:val="left" w:pos="3030"/>
        </w:tabs>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EVA干燥废气、EVA脱气废气及VA精制废气</w:t>
      </w:r>
      <w:r>
        <w:rPr>
          <w:rFonts w:hint="eastAsia" w:ascii="Times New Roman" w:hAnsi="Times New Roman" w:eastAsia="仿宋_GB2312" w:cs="Times New Roman"/>
          <w:color w:val="000000"/>
          <w:sz w:val="32"/>
          <w:szCs w:val="32"/>
        </w:rPr>
        <w:t>经</w:t>
      </w:r>
      <w:r>
        <w:rPr>
          <w:rFonts w:ascii="Times New Roman" w:hAnsi="Times New Roman" w:eastAsia="仿宋_GB2312" w:cs="Times New Roman"/>
          <w:color w:val="000000"/>
          <w:sz w:val="32"/>
          <w:szCs w:val="32"/>
        </w:rPr>
        <w:t>焚烧处置</w:t>
      </w:r>
      <w:r>
        <w:rPr>
          <w:rFonts w:hint="eastAsia" w:ascii="Times New Roman" w:hAnsi="Times New Roman" w:eastAsia="仿宋_GB2312" w:cs="Times New Roman"/>
          <w:color w:val="000000"/>
          <w:sz w:val="32"/>
          <w:szCs w:val="32"/>
        </w:rPr>
        <w:t>后由</w:t>
      </w:r>
      <w:r>
        <w:rPr>
          <w:rFonts w:ascii="Times New Roman" w:hAnsi="Times New Roman" w:eastAsia="仿宋_GB2312" w:cs="Times New Roman"/>
          <w:color w:val="000000"/>
          <w:sz w:val="32"/>
          <w:szCs w:val="32"/>
        </w:rPr>
        <w:t>30m高排气筒P2排放</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颗粒物、二氧化硫和氮氧化物</w:t>
      </w:r>
      <w:r>
        <w:rPr>
          <w:rFonts w:hint="eastAsia" w:ascii="Times New Roman" w:hAnsi="Times New Roman" w:eastAsia="仿宋_GB2312" w:cs="Times New Roman"/>
          <w:color w:val="000000"/>
          <w:sz w:val="32"/>
          <w:szCs w:val="32"/>
        </w:rPr>
        <w:t>须达到</w:t>
      </w:r>
      <w:r>
        <w:rPr>
          <w:rFonts w:ascii="Times New Roman" w:hAnsi="Times New Roman" w:eastAsia="仿宋_GB2312" w:cs="Times New Roman"/>
          <w:color w:val="000000"/>
          <w:sz w:val="32"/>
          <w:szCs w:val="32"/>
        </w:rPr>
        <w:t>《合成树脂工业污染物排放标准》（GB31572-2015）特别排放限值以及《区域性大气污染物综合排放标准》（DB37/2376-2019）相关要求，VOCs</w:t>
      </w:r>
      <w:r>
        <w:rPr>
          <w:rFonts w:hint="eastAsia" w:ascii="Times New Roman" w:hAnsi="Times New Roman" w:eastAsia="仿宋_GB2312" w:cs="Times New Roman"/>
          <w:color w:val="000000"/>
          <w:sz w:val="32"/>
          <w:szCs w:val="32"/>
        </w:rPr>
        <w:t>须达到</w:t>
      </w:r>
      <w:r>
        <w:rPr>
          <w:rFonts w:ascii="Times New Roman" w:hAnsi="Times New Roman" w:eastAsia="仿宋_GB2312" w:cs="Times New Roman"/>
          <w:color w:val="000000"/>
          <w:sz w:val="32"/>
          <w:szCs w:val="32"/>
        </w:rPr>
        <w:t>《合成树脂工业污染物排放标准》（GB31572-2015）特别排放限值和《挥发性有机物排放标准第6部分：有机化工行业》（DB37/2801.6-2018）相关要求</w:t>
      </w:r>
      <w:r>
        <w:rPr>
          <w:rFonts w:hint="eastAsia" w:ascii="Times New Roman" w:hAnsi="Times New Roman" w:eastAsia="仿宋_GB2312" w:cs="Times New Roman"/>
          <w:color w:val="000000"/>
          <w:sz w:val="32"/>
          <w:szCs w:val="32"/>
        </w:rPr>
        <w:t>。</w:t>
      </w:r>
    </w:p>
    <w:p>
      <w:pPr>
        <w:pStyle w:val="30"/>
        <w:tabs>
          <w:tab w:val="left" w:pos="3030"/>
        </w:tabs>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EVA生产包装废气收集后经</w:t>
      </w:r>
      <w:r>
        <w:rPr>
          <w:rFonts w:hint="eastAsia" w:ascii="Times New Roman" w:hAnsi="Times New Roman" w:eastAsia="仿宋_GB2312" w:cs="Times New Roman"/>
          <w:color w:val="000000"/>
          <w:sz w:val="32"/>
          <w:szCs w:val="32"/>
        </w:rPr>
        <w:t>处理后由</w:t>
      </w:r>
      <w:r>
        <w:rPr>
          <w:rFonts w:ascii="Times New Roman" w:hAnsi="Times New Roman" w:eastAsia="仿宋_GB2312" w:cs="Times New Roman"/>
          <w:color w:val="000000"/>
          <w:sz w:val="32"/>
          <w:szCs w:val="32"/>
        </w:rPr>
        <w:t>30m</w:t>
      </w:r>
      <w:r>
        <w:rPr>
          <w:rFonts w:hint="eastAsia" w:ascii="Times New Roman" w:hAnsi="Times New Roman" w:eastAsia="仿宋_GB2312" w:cs="Times New Roman"/>
          <w:color w:val="000000"/>
          <w:sz w:val="32"/>
          <w:szCs w:val="32"/>
        </w:rPr>
        <w:t>高</w:t>
      </w:r>
      <w:r>
        <w:rPr>
          <w:rFonts w:ascii="Times New Roman" w:hAnsi="Times New Roman" w:eastAsia="仿宋_GB2312" w:cs="Times New Roman"/>
          <w:color w:val="000000"/>
          <w:sz w:val="32"/>
          <w:szCs w:val="32"/>
        </w:rPr>
        <w:t>排气筒P3排放；EVA生产添加剂料斗陶析器废气</w:t>
      </w:r>
      <w:r>
        <w:rPr>
          <w:rFonts w:hint="eastAsia" w:ascii="Times New Roman" w:hAnsi="Times New Roman" w:eastAsia="仿宋_GB2312" w:cs="Times New Roman"/>
          <w:color w:val="000000"/>
          <w:sz w:val="32"/>
          <w:szCs w:val="32"/>
        </w:rPr>
        <w:t>由</w:t>
      </w:r>
      <w:r>
        <w:rPr>
          <w:rFonts w:ascii="Times New Roman" w:hAnsi="Times New Roman" w:eastAsia="仿宋_GB2312" w:cs="Times New Roman"/>
          <w:color w:val="000000"/>
          <w:sz w:val="32"/>
          <w:szCs w:val="32"/>
        </w:rPr>
        <w:t>30m高排气筒P4排放，颗粒物</w:t>
      </w:r>
      <w:r>
        <w:rPr>
          <w:rFonts w:hint="eastAsia" w:ascii="Times New Roman" w:hAnsi="Times New Roman" w:eastAsia="仿宋_GB2312" w:cs="Times New Roman"/>
          <w:color w:val="000000"/>
          <w:sz w:val="32"/>
          <w:szCs w:val="32"/>
        </w:rPr>
        <w:t>排放须达到</w:t>
      </w:r>
      <w:r>
        <w:rPr>
          <w:rFonts w:ascii="Times New Roman" w:hAnsi="Times New Roman" w:eastAsia="仿宋_GB2312" w:cs="Times New Roman"/>
          <w:color w:val="000000"/>
          <w:sz w:val="32"/>
          <w:szCs w:val="32"/>
        </w:rPr>
        <w:t>《合成树脂工业污染物排放标准》（GB31572-2015）特别排放限值以及《区域性大气污染物综合排放标准》（DB37/2376-2019）相关要求。</w:t>
      </w:r>
    </w:p>
    <w:p>
      <w:pPr>
        <w:pStyle w:val="30"/>
        <w:tabs>
          <w:tab w:val="left" w:pos="3030"/>
        </w:tabs>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PO、PC生产废气、废液</w:t>
      </w:r>
      <w:r>
        <w:rPr>
          <w:rFonts w:hint="eastAsia" w:ascii="Times New Roman" w:hAnsi="Times New Roman" w:eastAsia="仿宋_GB2312" w:cs="Times New Roman"/>
          <w:color w:val="000000"/>
          <w:sz w:val="32"/>
          <w:szCs w:val="32"/>
        </w:rPr>
        <w:t>经</w:t>
      </w:r>
      <w:r>
        <w:rPr>
          <w:rFonts w:ascii="Times New Roman" w:hAnsi="Times New Roman" w:eastAsia="仿宋_GB2312" w:cs="Times New Roman"/>
          <w:color w:val="000000"/>
          <w:sz w:val="32"/>
          <w:szCs w:val="32"/>
        </w:rPr>
        <w:t>热氧化装置焚烧处置后</w:t>
      </w:r>
      <w:r>
        <w:rPr>
          <w:rFonts w:hint="eastAsia" w:ascii="Times New Roman" w:hAnsi="Times New Roman" w:eastAsia="仿宋_GB2312" w:cs="Times New Roman"/>
          <w:color w:val="000000"/>
          <w:sz w:val="32"/>
          <w:szCs w:val="32"/>
        </w:rPr>
        <w:t>由6</w:t>
      </w:r>
      <w:r>
        <w:rPr>
          <w:rFonts w:ascii="Times New Roman" w:hAnsi="Times New Roman" w:eastAsia="仿宋_GB2312" w:cs="Times New Roman"/>
          <w:color w:val="000000"/>
          <w:sz w:val="32"/>
          <w:szCs w:val="32"/>
        </w:rPr>
        <w:t>0m高P5排气筒排放，各污染物</w:t>
      </w:r>
      <w:r>
        <w:rPr>
          <w:rFonts w:hint="eastAsia" w:ascii="Times New Roman" w:hAnsi="Times New Roman" w:eastAsia="仿宋_GB2312" w:cs="Times New Roman"/>
          <w:color w:val="000000"/>
          <w:sz w:val="32"/>
          <w:szCs w:val="32"/>
        </w:rPr>
        <w:t>须达到</w:t>
      </w:r>
      <w:r>
        <w:rPr>
          <w:rFonts w:ascii="Times New Roman" w:hAnsi="Times New Roman" w:eastAsia="仿宋_GB2312" w:cs="Times New Roman"/>
          <w:color w:val="000000"/>
          <w:sz w:val="32"/>
          <w:szCs w:val="32"/>
        </w:rPr>
        <w:t>《危险废物焚烧污染控制标准》（GB18484-2020）要求</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二噁英、</w:t>
      </w:r>
      <w:r>
        <w:rPr>
          <w:rFonts w:hint="eastAsia" w:ascii="Times New Roman" w:hAnsi="Times New Roman" w:eastAsia="仿宋_GB2312" w:cs="Times New Roman"/>
          <w:color w:val="000000"/>
          <w:sz w:val="32"/>
          <w:szCs w:val="32"/>
        </w:rPr>
        <w:t>VOCs须达到</w:t>
      </w:r>
      <w:r>
        <w:rPr>
          <w:rFonts w:ascii="Times New Roman" w:hAnsi="Times New Roman" w:eastAsia="仿宋_GB2312" w:cs="Times New Roman"/>
          <w:color w:val="000000"/>
          <w:sz w:val="32"/>
          <w:szCs w:val="32"/>
        </w:rPr>
        <w:t>山东省《挥发性有机物排放标准第6部分：有机化工行业》（DB37/2801.6-2018）限值要求，二氧化硫、氮氧化物、颗粒物</w:t>
      </w:r>
      <w:r>
        <w:rPr>
          <w:rFonts w:hint="eastAsia" w:ascii="Times New Roman" w:hAnsi="Times New Roman" w:eastAsia="仿宋_GB2312" w:cs="Times New Roman"/>
          <w:color w:val="000000"/>
          <w:sz w:val="32"/>
          <w:szCs w:val="32"/>
        </w:rPr>
        <w:t>须达到</w:t>
      </w:r>
      <w:r>
        <w:rPr>
          <w:rFonts w:ascii="Times New Roman" w:hAnsi="Times New Roman" w:eastAsia="仿宋_GB2312" w:cs="Times New Roman"/>
          <w:color w:val="000000"/>
          <w:sz w:val="32"/>
          <w:szCs w:val="32"/>
        </w:rPr>
        <w:t>《区域性大气污染物综合排放标准》（DB37/2376-2019）中重点区标准。</w:t>
      </w:r>
    </w:p>
    <w:p>
      <w:pPr>
        <w:pStyle w:val="30"/>
        <w:tabs>
          <w:tab w:val="left" w:pos="3030"/>
        </w:tabs>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危险废物暂存车间VOCs等废气经管道收集</w:t>
      </w:r>
      <w:r>
        <w:rPr>
          <w:rFonts w:hint="eastAsia" w:ascii="Times New Roman" w:hAnsi="Times New Roman" w:eastAsia="仿宋_GB2312" w:cs="Times New Roman"/>
          <w:color w:val="000000"/>
          <w:sz w:val="32"/>
          <w:szCs w:val="32"/>
        </w:rPr>
        <w:t>处理后</w:t>
      </w:r>
      <w:r>
        <w:rPr>
          <w:rFonts w:ascii="Times New Roman" w:hAnsi="Times New Roman" w:eastAsia="仿宋_GB2312" w:cs="Times New Roman"/>
          <w:color w:val="000000"/>
          <w:sz w:val="32"/>
          <w:szCs w:val="32"/>
        </w:rPr>
        <w:t>经15m高排气筒P6排放</w:t>
      </w:r>
      <w:r>
        <w:rPr>
          <w:rFonts w:hint="eastAsia" w:ascii="Times New Roman" w:hAnsi="Times New Roman" w:eastAsia="仿宋_GB2312" w:cs="Times New Roman"/>
          <w:color w:val="000000"/>
          <w:sz w:val="32"/>
          <w:szCs w:val="32"/>
        </w:rPr>
        <w:t>，须达到山东省《挥发性有机物排放标准第6部分：有机化工行业》（DB37/2801.6-2018）限值要求。</w:t>
      </w:r>
    </w:p>
    <w:p>
      <w:pPr>
        <w:pStyle w:val="30"/>
        <w:tabs>
          <w:tab w:val="left" w:pos="3030"/>
        </w:tabs>
        <w:spacing w:line="62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污水处理站废气封盖收集处理后经</w:t>
      </w:r>
      <w:r>
        <w:rPr>
          <w:rFonts w:ascii="Times New Roman" w:hAnsi="Times New Roman" w:eastAsia="仿宋_GB2312" w:cs="Times New Roman"/>
          <w:color w:val="000000"/>
          <w:sz w:val="32"/>
          <w:szCs w:val="32"/>
        </w:rPr>
        <w:t>15m</w:t>
      </w:r>
      <w:r>
        <w:rPr>
          <w:rFonts w:hint="eastAsia" w:ascii="Times New Roman" w:hAnsi="Times New Roman" w:eastAsia="仿宋_GB2312" w:cs="Times New Roman"/>
          <w:color w:val="000000"/>
          <w:sz w:val="32"/>
          <w:szCs w:val="32"/>
        </w:rPr>
        <w:t>高排气筒</w:t>
      </w:r>
      <w:r>
        <w:rPr>
          <w:rFonts w:ascii="Times New Roman" w:hAnsi="Times New Roman" w:eastAsia="仿宋_GB2312" w:cs="Times New Roman"/>
          <w:color w:val="000000"/>
          <w:sz w:val="32"/>
          <w:szCs w:val="32"/>
        </w:rPr>
        <w:t>P7</w:t>
      </w:r>
      <w:r>
        <w:rPr>
          <w:rFonts w:hint="eastAsia" w:ascii="Times New Roman" w:hAnsi="Times New Roman" w:eastAsia="仿宋_GB2312" w:cs="Times New Roman"/>
          <w:color w:val="000000"/>
          <w:sz w:val="32"/>
          <w:szCs w:val="32"/>
        </w:rPr>
        <w:t>排放，须达到《有机化工企业污水处理厂（站）挥发性有机物及恶臭污染物排放标准》（DB37/3161-2018）相关要求。</w:t>
      </w:r>
    </w:p>
    <w:p>
      <w:pPr>
        <w:pStyle w:val="30"/>
        <w:tabs>
          <w:tab w:val="left" w:pos="3030"/>
        </w:tabs>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甲醇罐区配套建设水洗罐一座，呼吸废气经水洗后通过P8排气筒排放</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VOCs排放浓度</w:t>
      </w:r>
      <w:r>
        <w:rPr>
          <w:rFonts w:hint="eastAsia" w:ascii="Times New Roman" w:hAnsi="Times New Roman" w:eastAsia="仿宋_GB2312" w:cs="Times New Roman"/>
          <w:color w:val="000000"/>
          <w:sz w:val="32"/>
          <w:szCs w:val="32"/>
        </w:rPr>
        <w:t>须达到</w:t>
      </w:r>
      <w:r>
        <w:rPr>
          <w:rFonts w:ascii="Times New Roman" w:hAnsi="Times New Roman" w:eastAsia="仿宋_GB2312" w:cs="Times New Roman"/>
          <w:color w:val="000000"/>
          <w:sz w:val="32"/>
          <w:szCs w:val="32"/>
        </w:rPr>
        <w:t>山东省《挥发性有机物排放标准第6部分：有机化工行业》（DB37/2801.6-2018）限值要求</w:t>
      </w:r>
      <w:r>
        <w:rPr>
          <w:rFonts w:hint="eastAsia" w:ascii="Times New Roman" w:hAnsi="Times New Roman" w:eastAsia="仿宋_GB2312" w:cs="Times New Roman"/>
          <w:color w:val="000000"/>
          <w:sz w:val="32"/>
          <w:szCs w:val="32"/>
        </w:rPr>
        <w:t>。</w:t>
      </w:r>
    </w:p>
    <w:p>
      <w:pPr>
        <w:pStyle w:val="30"/>
        <w:tabs>
          <w:tab w:val="left" w:pos="3030"/>
        </w:tabs>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严格落实报告书提出的无组织排放措施。装卸区、罐区、生产废气均设置收集系统，废气收集后送治理措施处理。定期开展泄漏检测与修复（LDAR）</w:t>
      </w:r>
      <w:r>
        <w:rPr>
          <w:rFonts w:hint="eastAsia" w:ascii="Times New Roman" w:hAnsi="Times New Roman" w:eastAsia="仿宋_GB2312" w:cs="Times New Roman"/>
          <w:color w:val="000000"/>
          <w:sz w:val="32"/>
          <w:szCs w:val="32"/>
        </w:rPr>
        <w:t>，减少</w:t>
      </w:r>
      <w:r>
        <w:rPr>
          <w:rFonts w:ascii="Times New Roman" w:hAnsi="Times New Roman" w:eastAsia="仿宋_GB2312" w:cs="Times New Roman"/>
          <w:color w:val="000000"/>
          <w:sz w:val="32"/>
          <w:szCs w:val="32"/>
        </w:rPr>
        <w:t>泄漏</w:t>
      </w:r>
      <w:r>
        <w:rPr>
          <w:rFonts w:hint="eastAsia" w:ascii="Times New Roman" w:hAnsi="Times New Roman" w:eastAsia="仿宋_GB2312" w:cs="Times New Roman"/>
          <w:color w:val="000000"/>
          <w:sz w:val="32"/>
          <w:szCs w:val="32"/>
        </w:rPr>
        <w:t>量</w:t>
      </w:r>
      <w:r>
        <w:rPr>
          <w:rFonts w:ascii="Times New Roman" w:hAnsi="Times New Roman" w:eastAsia="仿宋_GB2312" w:cs="Times New Roman"/>
          <w:color w:val="000000"/>
          <w:sz w:val="32"/>
          <w:szCs w:val="32"/>
        </w:rPr>
        <w:t>。无组织排放厂界可</w:t>
      </w:r>
      <w:r>
        <w:rPr>
          <w:rFonts w:hint="eastAsia" w:ascii="Times New Roman" w:hAnsi="Times New Roman" w:eastAsia="仿宋_GB2312" w:cs="Times New Roman"/>
          <w:color w:val="000000"/>
          <w:sz w:val="32"/>
          <w:szCs w:val="32"/>
        </w:rPr>
        <w:t>须达到</w:t>
      </w:r>
      <w:r>
        <w:rPr>
          <w:rFonts w:ascii="Times New Roman" w:hAnsi="Times New Roman" w:eastAsia="仿宋_GB2312" w:cs="Times New Roman"/>
          <w:color w:val="000000"/>
          <w:sz w:val="32"/>
          <w:szCs w:val="32"/>
        </w:rPr>
        <w:t>《石油化学工业污染物排放标准》（GB31571-2015）、《合成树脂工业污染物排放标准》（GB31572-2015）和山东省《挥发性有机物排放标准第6部分：有机化工行业》（DB37/2801.6-2018）相关要求；颗粒物</w:t>
      </w:r>
      <w:r>
        <w:rPr>
          <w:rFonts w:hint="eastAsia" w:ascii="Times New Roman" w:hAnsi="Times New Roman" w:eastAsia="仿宋_GB2312" w:cs="Times New Roman"/>
          <w:color w:val="000000"/>
          <w:sz w:val="32"/>
          <w:szCs w:val="32"/>
        </w:rPr>
        <w:t>须达到</w:t>
      </w:r>
      <w:r>
        <w:rPr>
          <w:rFonts w:ascii="Times New Roman" w:hAnsi="Times New Roman" w:eastAsia="仿宋_GB2312" w:cs="Times New Roman"/>
          <w:color w:val="000000"/>
          <w:sz w:val="32"/>
          <w:szCs w:val="32"/>
        </w:rPr>
        <w:t>《大气污染物排放标准》（GB16297-1996）中表2要求。</w:t>
      </w:r>
    </w:p>
    <w:p>
      <w:pPr>
        <w:widowControl/>
        <w:ind w:firstLine="640" w:firstLineChars="200"/>
        <w:jc w:val="left"/>
        <w:rPr>
          <w:rFonts w:eastAsia="仿宋_GB2312"/>
          <w:color w:val="000000"/>
        </w:rPr>
      </w:pPr>
      <w:r>
        <w:rPr>
          <w:rFonts w:eastAsia="仿宋_GB2312"/>
          <w:color w:val="000000"/>
        </w:rPr>
        <w:t>（三）严格落实水污染防治措施。</w:t>
      </w:r>
      <w:r>
        <w:rPr>
          <w:rFonts w:eastAsia="仿宋_GB2312"/>
        </w:rPr>
        <w:t>按照“雨污分流、清污分流、污污分流”原</w:t>
      </w:r>
      <w:r>
        <w:rPr>
          <w:rFonts w:eastAsia="仿宋_GB2312"/>
          <w:color w:val="000000"/>
        </w:rPr>
        <w:t>则完善厂区排水系统。生产废水、生活污水、化验室污水、地面冲洗水等</w:t>
      </w:r>
      <w:r>
        <w:rPr>
          <w:rFonts w:hint="eastAsia" w:eastAsia="仿宋_GB2312"/>
          <w:color w:val="000000"/>
        </w:rPr>
        <w:t>经</w:t>
      </w:r>
      <w:r>
        <w:rPr>
          <w:rFonts w:eastAsia="仿宋_GB2312"/>
          <w:color w:val="000000"/>
        </w:rPr>
        <w:t>含油污水处理系统（含盐废水</w:t>
      </w:r>
      <w:r>
        <w:rPr>
          <w:rFonts w:hint="eastAsia" w:eastAsia="仿宋_GB2312"/>
          <w:color w:val="000000"/>
        </w:rPr>
        <w:t>须经</w:t>
      </w:r>
      <w:r>
        <w:rPr>
          <w:rFonts w:eastAsia="仿宋_GB2312"/>
          <w:color w:val="000000"/>
        </w:rPr>
        <w:t>预处理）</w:t>
      </w:r>
      <w:r>
        <w:rPr>
          <w:rFonts w:hint="eastAsia" w:eastAsia="仿宋_GB2312"/>
          <w:color w:val="000000"/>
        </w:rPr>
        <w:t>处理达到园区接管标准后</w:t>
      </w:r>
      <w:r>
        <w:rPr>
          <w:rFonts w:eastAsia="仿宋_GB2312"/>
          <w:color w:val="000000"/>
        </w:rPr>
        <w:t>经一企一管</w:t>
      </w:r>
      <w:r>
        <w:rPr>
          <w:rFonts w:hint="eastAsia" w:eastAsia="仿宋_GB2312"/>
          <w:color w:val="000000"/>
        </w:rPr>
        <w:t>送至园区污水处理厂处理</w:t>
      </w:r>
      <w:r>
        <w:rPr>
          <w:rFonts w:eastAsia="仿宋_GB2312"/>
          <w:color w:val="000000"/>
        </w:rPr>
        <w:t>；循环冷却排污和软化水制备排水排至监控池，合格排入市管网</w:t>
      </w:r>
      <w:r>
        <w:rPr>
          <w:rFonts w:hint="eastAsia" w:eastAsia="仿宋_GB2312"/>
          <w:color w:val="000000"/>
        </w:rPr>
        <w:t>。废水经污水处理站处理后须达到《石油化学工业污染物排放标准》（GB31571-2015）、《合成树脂工业污染物排放标准》（GB31572-2015）等标准</w:t>
      </w:r>
      <w:r>
        <w:rPr>
          <w:rFonts w:eastAsia="仿宋_GB2312"/>
          <w:color w:val="000000"/>
        </w:rPr>
        <w:t>。</w:t>
      </w:r>
    </w:p>
    <w:p>
      <w:pPr>
        <w:spacing w:line="620" w:lineRule="exact"/>
        <w:ind w:firstLine="640" w:firstLineChars="200"/>
        <w:rPr>
          <w:rFonts w:eastAsia="仿宋_GB2312"/>
          <w:color w:val="000000"/>
        </w:rPr>
      </w:pPr>
      <w:r>
        <w:rPr>
          <w:rFonts w:eastAsia="仿宋_GB2312"/>
          <w:color w:val="000000"/>
        </w:rPr>
        <w:t>（四）严格落实土壤和地下水污染防治措施。按照“源头防控、分区防治、污染监控、应急响应”的原则进行地下水污染防治，</w:t>
      </w:r>
      <w:r>
        <w:rPr>
          <w:rStyle w:val="27"/>
          <w:rFonts w:eastAsia="仿宋_GB2312"/>
          <w:color w:val="000000"/>
        </w:rPr>
        <w:t>强化厂区防漏及事故废水应急收集处理</w:t>
      </w:r>
      <w:r>
        <w:rPr>
          <w:rFonts w:eastAsia="仿宋_GB2312"/>
          <w:color w:val="000000"/>
        </w:rPr>
        <w:t>。加强防渗设施的日常维护，对出现损害的防渗设施应及时修复和加固，确保防渗设施牢固安全。根据污染防治</w:t>
      </w:r>
      <w:r>
        <w:rPr>
          <w:rFonts w:hint="eastAsia" w:eastAsia="仿宋_GB2312"/>
          <w:color w:val="000000"/>
        </w:rPr>
        <w:t>分</w:t>
      </w:r>
      <w:r>
        <w:rPr>
          <w:rFonts w:eastAsia="仿宋_GB2312"/>
          <w:color w:val="000000"/>
        </w:rPr>
        <w:t>区平面布置、地下水流向，合理设置土壤和地下水监测井，严格落实土壤和地下水监测计划。一旦出现土壤或地下水污染，立即启动应急预案和应急措施，减少对土壤和地下水的不利环境影响。</w:t>
      </w:r>
    </w:p>
    <w:p>
      <w:pPr>
        <w:pStyle w:val="30"/>
        <w:tabs>
          <w:tab w:val="left" w:pos="3030"/>
        </w:tabs>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（五）严格落实噪声污染防治措施。采取隔音、基础减振等措施后，厂界噪声须符合《工业企业厂界环境噪声排放标准》(GB12348–2008)中3类功能区的要求。</w:t>
      </w:r>
    </w:p>
    <w:p>
      <w:pPr>
        <w:pStyle w:val="30"/>
        <w:tabs>
          <w:tab w:val="left" w:pos="3030"/>
        </w:tabs>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（六）严格落实固体废物分类处置措施。采取符合国家环境保护标准的防护措施安全分类贮存，并依法依规处理处置。</w:t>
      </w:r>
      <w:r>
        <w:rPr>
          <w:rFonts w:hint="eastAsia" w:ascii="Times New Roman" w:hAnsi="Times New Roman" w:eastAsia="仿宋_GB2312" w:cs="Times New Roman"/>
          <w:color w:val="000000"/>
          <w:sz w:val="32"/>
          <w:szCs w:val="32"/>
        </w:rPr>
        <w:t>处置</w:t>
      </w:r>
      <w:r>
        <w:rPr>
          <w:rFonts w:ascii="Times New Roman" w:hAnsi="Times New Roman" w:eastAsia="仿宋_GB2312" w:cs="Times New Roman"/>
          <w:color w:val="000000"/>
          <w:sz w:val="32"/>
          <w:szCs w:val="32"/>
        </w:rPr>
        <w:t>贮存和暂存措施符合《一般工业固体废物贮存和填埋污染控制标准》(GB18599-2020)相关要求和《危险废物贮存污染控制标准》（GB18597-2001）及修改单标准要求。</w:t>
      </w:r>
    </w:p>
    <w:p>
      <w:pPr>
        <w:spacing w:line="620" w:lineRule="exact"/>
        <w:ind w:firstLine="640" w:firstLineChars="200"/>
        <w:rPr>
          <w:rFonts w:eastAsia="仿宋_GB2312"/>
        </w:rPr>
      </w:pPr>
      <w:r>
        <w:rPr>
          <w:rFonts w:eastAsia="仿宋_GB2312"/>
          <w:color w:val="000000"/>
        </w:rPr>
        <w:t>（七）健全环境管理制度。按照相关要求设置规范的污染物排放口</w:t>
      </w:r>
      <w:r>
        <w:rPr>
          <w:rFonts w:eastAsia="仿宋_GB2312"/>
          <w:color w:val="000000"/>
          <w:kern w:val="0"/>
          <w:lang w:val="zh-CN"/>
        </w:rPr>
        <w:t>和监测口</w:t>
      </w:r>
      <w:r>
        <w:rPr>
          <w:rFonts w:eastAsia="仿宋_GB2312"/>
          <w:color w:val="000000"/>
        </w:rPr>
        <w:t>，排气筒须按照规范要求设置永久采样孔、安装采样监测平台，并设立标志牌。落实环境监测计划，发现异常情况，及时采取相关措施并向当地生态环境部门报告。P</w:t>
      </w:r>
      <w:r>
        <w:rPr>
          <w:rFonts w:hint="eastAsia" w:eastAsia="仿宋_GB2312"/>
          <w:color w:val="000000"/>
        </w:rPr>
        <w:t>1、</w:t>
      </w:r>
      <w:r>
        <w:rPr>
          <w:rFonts w:eastAsia="仿宋_GB2312"/>
          <w:color w:val="000000"/>
        </w:rPr>
        <w:t>P</w:t>
      </w:r>
      <w:r>
        <w:rPr>
          <w:rFonts w:hint="eastAsia" w:eastAsia="仿宋_GB2312"/>
          <w:color w:val="000000"/>
        </w:rPr>
        <w:t>2、</w:t>
      </w:r>
      <w:r>
        <w:rPr>
          <w:rFonts w:eastAsia="仿宋_GB2312"/>
          <w:color w:val="000000"/>
        </w:rPr>
        <w:t>P5</w:t>
      </w:r>
      <w:r>
        <w:rPr>
          <w:rFonts w:eastAsia="仿宋_GB2312"/>
        </w:rPr>
        <w:t>排气筒须安装污染物在线监测设备（含使用FID检测器的NMHC自动监测设备），</w:t>
      </w:r>
      <w:r>
        <w:rPr>
          <w:rFonts w:hint="eastAsia" w:eastAsia="仿宋_GB2312"/>
        </w:rPr>
        <w:t>厂区主导风向上下侧均须安装（VOC</w:t>
      </w:r>
      <w:r>
        <w:rPr>
          <w:rFonts w:hint="eastAsia" w:eastAsia="仿宋_GB2312"/>
          <w:vertAlign w:val="subscript"/>
        </w:rPr>
        <w:t>S</w:t>
      </w:r>
      <w:r>
        <w:rPr>
          <w:rFonts w:hint="eastAsia" w:eastAsia="仿宋_GB2312"/>
        </w:rPr>
        <w:t>、</w:t>
      </w:r>
      <w:r>
        <w:rPr>
          <w:rFonts w:eastAsia="仿宋_GB2312"/>
        </w:rPr>
        <w:t>NMHC</w:t>
      </w:r>
      <w:r>
        <w:rPr>
          <w:rFonts w:hint="eastAsia" w:eastAsia="仿宋_GB2312"/>
        </w:rPr>
        <w:t>）空气环境自动监测系统，</w:t>
      </w:r>
      <w:r>
        <w:rPr>
          <w:rFonts w:eastAsia="仿宋_GB2312"/>
        </w:rPr>
        <w:t>并按要求与生态环境部门联网。</w:t>
      </w:r>
    </w:p>
    <w:p>
      <w:pPr>
        <w:spacing w:line="620" w:lineRule="exact"/>
        <w:ind w:firstLine="640" w:firstLineChars="200"/>
        <w:rPr>
          <w:rFonts w:eastAsia="仿宋_GB2312"/>
          <w:color w:val="000000"/>
        </w:rPr>
      </w:pPr>
      <w:r>
        <w:rPr>
          <w:rFonts w:eastAsia="仿宋_GB2312"/>
          <w:color w:val="000000"/>
        </w:rPr>
        <w:t>（八）强化环境风险防范和应急措施。</w:t>
      </w:r>
      <w:r>
        <w:rPr>
          <w:rStyle w:val="27"/>
          <w:rFonts w:eastAsia="仿宋_GB2312"/>
          <w:color w:val="000000"/>
        </w:rPr>
        <w:t>加强生产运行中的全程风险管理</w:t>
      </w:r>
      <w:r>
        <w:rPr>
          <w:rFonts w:eastAsia="仿宋_GB2312"/>
          <w:color w:val="000000"/>
        </w:rPr>
        <w:t>。按照“单元—厂区—园区”水环境风险防控体系要求设置事故废水收集和应急储存设施。厂区内设置足够容积的事故水池，确保事故水可自流进入所在区域的事故水池。制定</w:t>
      </w:r>
      <w:r>
        <w:rPr>
          <w:rFonts w:hint="eastAsia" w:eastAsia="仿宋_GB2312"/>
          <w:color w:val="000000"/>
        </w:rPr>
        <w:t>完善</w:t>
      </w:r>
      <w:r>
        <w:rPr>
          <w:rFonts w:eastAsia="仿宋_GB2312"/>
          <w:color w:val="000000"/>
        </w:rPr>
        <w:t>突发环境应预案和人员应急疏散方案，配备足够的应急队伍、设备和物资，建立项目与区域的环境风险监控预警体系，制定环境应急监测方案。定期开展应急演练，提升区域环境风险防范能力，有效防控区域环境风险。按照分类管理、分级响应、区域联动的原则，做好项目与园区、区域等突发环境事件联防联控工作。一旦发生突发环境事件，立即启动应急预案，采取有效措施控制、减轻或消除对环境的污染。</w:t>
      </w:r>
    </w:p>
    <w:p>
      <w:pPr>
        <w:spacing w:line="620" w:lineRule="exact"/>
        <w:ind w:firstLine="640" w:firstLineChars="200"/>
        <w:rPr>
          <w:rFonts w:eastAsia="仿宋_GB2312"/>
          <w:color w:val="000000"/>
        </w:rPr>
      </w:pPr>
      <w:r>
        <w:rPr>
          <w:rFonts w:eastAsia="仿宋_GB2312"/>
          <w:bCs/>
          <w:color w:val="000000"/>
        </w:rPr>
        <w:t>（九）</w:t>
      </w:r>
      <w:r>
        <w:rPr>
          <w:rFonts w:eastAsia="仿宋_GB2312"/>
          <w:color w:val="000000"/>
        </w:rPr>
        <w:t>该项目运营后，二氧化硫、氮氧化物、颗粒物和VOCs排放量</w:t>
      </w:r>
      <w:r>
        <w:rPr>
          <w:rFonts w:hint="eastAsia" w:eastAsia="仿宋_GB2312"/>
          <w:color w:val="000000"/>
        </w:rPr>
        <w:t>控制在</w:t>
      </w:r>
      <w:r>
        <w:rPr>
          <w:rFonts w:eastAsia="仿宋_GB2312"/>
          <w:color w:val="000000"/>
        </w:rPr>
        <w:t>32.32t/a、133.60t/a、24.44t/a和50.61t/a</w:t>
      </w:r>
      <w:r>
        <w:rPr>
          <w:rFonts w:hint="eastAsia" w:eastAsia="仿宋_GB2312"/>
          <w:color w:val="000000"/>
        </w:rPr>
        <w:t>以内。</w:t>
      </w:r>
    </w:p>
    <w:p>
      <w:pPr>
        <w:spacing w:line="620" w:lineRule="exact"/>
        <w:ind w:firstLine="640" w:firstLineChars="200"/>
        <w:rPr>
          <w:rFonts w:eastAsia="仿宋_GB2312"/>
          <w:color w:val="000000"/>
        </w:rPr>
      </w:pPr>
      <w:r>
        <w:rPr>
          <w:rFonts w:eastAsia="仿宋_GB2312"/>
          <w:bCs/>
          <w:color w:val="000000"/>
        </w:rPr>
        <w:t>（十）</w:t>
      </w:r>
      <w:r>
        <w:rPr>
          <w:rFonts w:eastAsia="仿宋_GB2312"/>
          <w:color w:val="000000"/>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27"/>
          <w:rFonts w:eastAsia="仿宋_GB2312"/>
          <w:color w:val="000000"/>
        </w:rPr>
        <w:t>。</w:t>
      </w:r>
    </w:p>
    <w:p>
      <w:pPr>
        <w:pStyle w:val="15"/>
        <w:spacing w:after="0" w:line="620" w:lineRule="exact"/>
        <w:ind w:firstLine="640" w:firstLineChars="200"/>
        <w:rPr>
          <w:rFonts w:eastAsia="仿宋_GB2312"/>
          <w:color w:val="000000"/>
        </w:rPr>
      </w:pPr>
      <w:r>
        <w:rPr>
          <w:rFonts w:eastAsia="仿宋_GB2312"/>
          <w:color w:val="000000"/>
        </w:rPr>
        <w:t>三、你公司必须严格执行配套建设的环境保护设施与主体项目同时设计、同时施工、同时投入使用的“三同时”制度，落实各项环境保护措施。项目建成后，须按规定程序实施竣工环境保护验收（前述环保措施未落实前，不得通过验收和投入生产）。项目建设运行中应遵循环评报告书相关要求，该项目采取拆除活动时及服务期满后需开展完成相应的风险评估和修复工作等。</w:t>
      </w:r>
    </w:p>
    <w:p>
      <w:pPr>
        <w:pStyle w:val="15"/>
        <w:spacing w:after="0" w:line="620" w:lineRule="exact"/>
        <w:ind w:firstLine="640" w:firstLineChars="200"/>
        <w:rPr>
          <w:rFonts w:eastAsia="仿宋_GB2312"/>
          <w:color w:val="000000"/>
        </w:rPr>
      </w:pPr>
      <w:r>
        <w:rPr>
          <w:rFonts w:eastAsia="仿宋_GB2312"/>
          <w:color w:val="000000"/>
        </w:rPr>
        <w:t>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w:t>
      </w:r>
    </w:p>
    <w:p>
      <w:pPr>
        <w:spacing w:line="620" w:lineRule="exact"/>
        <w:ind w:firstLine="640" w:firstLineChars="200"/>
        <w:rPr>
          <w:rFonts w:eastAsia="仿宋_GB2312"/>
          <w:color w:val="000000"/>
        </w:rPr>
      </w:pPr>
      <w:r>
        <w:rPr>
          <w:rFonts w:eastAsia="仿宋_GB2312"/>
          <w:color w:val="000000"/>
        </w:rPr>
        <w:t>五、由枣庄市生态环境局滕州分局和枣庄市生态环境保护综合执法支队负责该项目的“三同时”监督检查和日常管理工作。</w:t>
      </w:r>
    </w:p>
    <w:p>
      <w:pPr>
        <w:spacing w:line="620" w:lineRule="exact"/>
        <w:ind w:firstLine="640" w:firstLineChars="200"/>
        <w:jc w:val="left"/>
        <w:rPr>
          <w:rFonts w:eastAsia="仿宋_GB2312"/>
          <w:color w:val="000000"/>
        </w:rPr>
      </w:pPr>
      <w:r>
        <w:rPr>
          <w:rFonts w:eastAsia="仿宋_GB2312"/>
          <w:color w:val="000000"/>
        </w:rPr>
        <w:t>六、你公司应在接到本批复后10个工作日内，将批准后的环境影响报告书送枣庄市生态环境局滕州分局，并按规定接受各级生态环境部门的监督检查。</w:t>
      </w:r>
    </w:p>
    <w:p>
      <w:pPr>
        <w:pStyle w:val="2"/>
        <w:spacing w:line="620" w:lineRule="exact"/>
        <w:ind w:left="0" w:leftChars="0" w:firstLine="640" w:firstLineChars="200"/>
        <w:rPr>
          <w:rFonts w:eastAsia="仿宋_GB2312"/>
          <w:color w:val="000000"/>
          <w:sz w:val="32"/>
        </w:rPr>
      </w:pPr>
      <w:r>
        <w:rPr>
          <w:rFonts w:eastAsia="仿宋_GB2312"/>
          <w:color w:val="000000"/>
          <w:sz w:val="32"/>
        </w:rPr>
        <w:t>七、如有符合《中华人民共和国行政许可法》第七十八条“行政许可申请人隐瞒有关情况或者提供虚假材料申请行政许可，行政机关应不予受理或者不予行政许可情形”或不符合相关法律法规规定要求的，本批复自始自然作废。</w:t>
      </w:r>
    </w:p>
    <w:p>
      <w:pPr>
        <w:pStyle w:val="2"/>
        <w:spacing w:line="580" w:lineRule="exact"/>
        <w:ind w:left="0" w:leftChars="0" w:firstLine="0" w:firstLineChars="0"/>
        <w:rPr>
          <w:rFonts w:eastAsia="仿宋_GB2312"/>
          <w:sz w:val="32"/>
        </w:rPr>
      </w:pPr>
    </w:p>
    <w:p/>
    <w:p>
      <w:pPr>
        <w:spacing w:line="580" w:lineRule="exact"/>
        <w:rPr>
          <w:rFonts w:eastAsia="仿宋_GB2312"/>
        </w:rPr>
      </w:pPr>
    </w:p>
    <w:p>
      <w:pPr>
        <w:spacing w:line="580" w:lineRule="exact"/>
        <w:ind w:firstLine="4960" w:firstLineChars="1550"/>
        <w:rPr>
          <w:rFonts w:eastAsia="仿宋_GB2312"/>
        </w:rPr>
      </w:pPr>
      <w:r>
        <w:rPr>
          <w:rFonts w:eastAsia="仿宋_GB2312"/>
        </w:rPr>
        <w:t>枣庄市生态环境局</w:t>
      </w:r>
    </w:p>
    <w:p>
      <w:pPr>
        <w:spacing w:line="580" w:lineRule="exact"/>
        <w:ind w:firstLine="4960" w:firstLineChars="1550"/>
      </w:pPr>
      <w:r>
        <w:rPr>
          <w:rFonts w:eastAsia="仿宋_GB2312"/>
        </w:rPr>
        <w:t>2022年</w:t>
      </w:r>
      <w:r>
        <w:rPr>
          <w:rFonts w:hint="eastAsia" w:eastAsia="仿宋_GB2312"/>
        </w:rPr>
        <w:t>12</w:t>
      </w:r>
      <w:r>
        <w:rPr>
          <w:rFonts w:eastAsia="仿宋_GB2312"/>
        </w:rPr>
        <w:t>月</w:t>
      </w:r>
      <w:r>
        <w:rPr>
          <w:rFonts w:hint="eastAsia" w:eastAsia="仿宋_GB2312"/>
          <w:lang w:val="en-US" w:eastAsia="zh-CN"/>
        </w:rPr>
        <w:t>26</w:t>
      </w:r>
      <w:r>
        <w:rPr>
          <w:rFonts w:eastAsia="仿宋_GB2312"/>
        </w:rPr>
        <w:t>日</w:t>
      </w:r>
    </w:p>
    <w:p>
      <w:pPr>
        <w:pStyle w:val="2"/>
        <w:ind w:left="640"/>
      </w:pPr>
    </w:p>
    <w:p>
      <w:pPr>
        <w:spacing w:line="420" w:lineRule="exact"/>
        <w:jc w:val="left"/>
        <w:rPr>
          <w:rFonts w:eastAsia="仿宋_GB2312"/>
          <w:color w:val="000000"/>
          <w:sz w:val="30"/>
          <w:szCs w:val="30"/>
        </w:rPr>
      </w:pPr>
    </w:p>
    <w:p>
      <w:pPr>
        <w:pStyle w:val="2"/>
        <w:ind w:left="0" w:leftChars="0" w:firstLine="0" w:firstLineChars="0"/>
        <w:rPr>
          <w:rFonts w:eastAsia="仿宋_GB2312"/>
          <w:color w:val="000000"/>
          <w:sz w:val="30"/>
          <w:szCs w:val="30"/>
        </w:rPr>
      </w:pPr>
    </w:p>
    <w:p>
      <w:pPr>
        <w:pStyle w:val="2"/>
        <w:ind w:left="0" w:leftChars="0" w:firstLine="0" w:firstLineChars="0"/>
      </w:pPr>
    </w:p>
    <w:p/>
    <w:p>
      <w:pPr>
        <w:pStyle w:val="2"/>
      </w:pPr>
    </w:p>
    <w:p/>
    <w:p>
      <w:bookmarkStart w:id="0" w:name="_GoBack"/>
      <w:bookmarkEnd w:id="0"/>
    </w:p>
    <w:p>
      <w:pPr>
        <w:pStyle w:val="2"/>
        <w:ind w:left="640"/>
      </w:pPr>
    </w:p>
    <w:p>
      <w:pPr>
        <w:tabs>
          <w:tab w:val="left" w:pos="1989"/>
          <w:tab w:val="left" w:pos="6840"/>
          <w:tab w:val="left" w:pos="8280"/>
        </w:tabs>
        <w:spacing w:line="420" w:lineRule="exact"/>
        <w:jc w:val="both"/>
        <w:rPr>
          <w:rFonts w:hint="default" w:eastAsia="仿宋_GB2312"/>
          <w:color w:val="000000"/>
          <w:sz w:val="28"/>
          <w:szCs w:val="28"/>
        </w:rPr>
      </w:pPr>
      <w:r>
        <w:rPr>
          <w:rFonts w:hint="default" w:eastAsia="仿宋_GB2312"/>
          <w:color w:val="000000"/>
          <w:sz w:val="28"/>
          <w:szCs w:val="28"/>
        </w:rPr>
        <w:t xml:space="preserve">主题词：环境影响评价  </w:t>
      </w:r>
      <w:r>
        <w:rPr>
          <w:rFonts w:hint="default" w:eastAsia="仿宋_GB2312"/>
          <w:color w:val="000000"/>
          <w:sz w:val="28"/>
          <w:szCs w:val="28"/>
          <w:lang w:eastAsia="zh-CN"/>
        </w:rPr>
        <w:t>报告</w:t>
      </w:r>
      <w:r>
        <w:rPr>
          <w:rFonts w:hint="eastAsia" w:eastAsia="仿宋_GB2312"/>
          <w:color w:val="000000"/>
          <w:sz w:val="28"/>
          <w:szCs w:val="28"/>
          <w:lang w:eastAsia="zh-CN"/>
        </w:rPr>
        <w:t>书</w:t>
      </w:r>
      <w:r>
        <w:rPr>
          <w:rFonts w:hint="default" w:eastAsia="仿宋_GB2312"/>
          <w:color w:val="000000"/>
          <w:sz w:val="28"/>
          <w:szCs w:val="28"/>
        </w:rPr>
        <w:t xml:space="preserve">  批复</w:t>
      </w:r>
    </w:p>
    <w:tbl>
      <w:tblPr>
        <w:tblStyle w:val="16"/>
        <w:tblW w:w="8904"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noWrap w:val="0"/>
            <w:vAlign w:val="top"/>
          </w:tcPr>
          <w:p>
            <w:pPr>
              <w:tabs>
                <w:tab w:val="left" w:pos="1989"/>
                <w:tab w:val="left" w:pos="6840"/>
                <w:tab w:val="left" w:pos="8280"/>
              </w:tabs>
              <w:spacing w:line="420" w:lineRule="exact"/>
              <w:jc w:val="right"/>
              <w:rPr>
                <w:rFonts w:hint="default" w:eastAsia="仿宋_GB2312"/>
                <w:color w:val="000000"/>
                <w:sz w:val="28"/>
                <w:szCs w:val="28"/>
              </w:rPr>
            </w:pPr>
            <w:r>
              <w:rPr>
                <w:rFonts w:hint="default" w:eastAsia="仿宋_GB2312"/>
                <w:color w:val="000000"/>
                <w:sz w:val="28"/>
                <w:szCs w:val="28"/>
              </w:rPr>
              <w:t xml:space="preserve">枣庄市生态环境局办公室                </w:t>
            </w:r>
            <w:r>
              <w:rPr>
                <w:rFonts w:hint="default" w:eastAsia="仿宋_GB2312"/>
                <w:color w:val="000000"/>
                <w:sz w:val="28"/>
                <w:szCs w:val="28"/>
                <w:lang w:val="en-US" w:eastAsia="zh-CN"/>
              </w:rPr>
              <w:t xml:space="preserve">    </w:t>
            </w:r>
            <w:r>
              <w:rPr>
                <w:rFonts w:hint="default" w:eastAsia="仿宋_GB2312"/>
                <w:color w:val="000000"/>
                <w:sz w:val="28"/>
                <w:szCs w:val="28"/>
              </w:rPr>
              <w:t>202</w:t>
            </w:r>
            <w:r>
              <w:rPr>
                <w:rFonts w:hint="default" w:eastAsia="仿宋_GB2312"/>
                <w:color w:val="000000"/>
                <w:sz w:val="28"/>
                <w:szCs w:val="28"/>
                <w:lang w:val="en-US" w:eastAsia="zh-CN"/>
              </w:rPr>
              <w:t>2</w:t>
            </w:r>
            <w:r>
              <w:rPr>
                <w:rFonts w:hint="default" w:eastAsia="仿宋_GB2312"/>
                <w:color w:val="000000"/>
                <w:sz w:val="28"/>
                <w:szCs w:val="28"/>
              </w:rPr>
              <w:t>年</w:t>
            </w:r>
            <w:r>
              <w:rPr>
                <w:rFonts w:hint="default" w:eastAsia="仿宋_GB2312"/>
                <w:color w:val="000000"/>
                <w:sz w:val="28"/>
                <w:szCs w:val="28"/>
                <w:lang w:val="en-US" w:eastAsia="zh-CN"/>
              </w:rPr>
              <w:t>12月2</w:t>
            </w:r>
            <w:r>
              <w:rPr>
                <w:rFonts w:hint="eastAsia" w:eastAsia="仿宋_GB2312"/>
                <w:color w:val="000000"/>
                <w:sz w:val="28"/>
                <w:szCs w:val="28"/>
                <w:lang w:val="en-US" w:eastAsia="zh-CN"/>
              </w:rPr>
              <w:t>6</w:t>
            </w:r>
            <w:r>
              <w:rPr>
                <w:rFonts w:hint="default" w:eastAsia="仿宋_GB2312"/>
                <w:color w:val="000000"/>
                <w:sz w:val="28"/>
                <w:szCs w:val="28"/>
                <w:lang w:val="en-US" w:eastAsia="zh-CN"/>
              </w:rPr>
              <w:t>日</w:t>
            </w:r>
            <w:r>
              <w:rPr>
                <w:rFonts w:hint="default" w:eastAsia="仿宋_GB2312"/>
                <w:color w:val="000000"/>
                <w:sz w:val="28"/>
                <w:szCs w:val="28"/>
              </w:rPr>
              <w:t>印发</w:t>
            </w:r>
          </w:p>
        </w:tc>
      </w:tr>
    </w:tbl>
    <w:p>
      <w:pPr>
        <w:tabs>
          <w:tab w:val="left" w:pos="1989"/>
          <w:tab w:val="left" w:pos="6840"/>
          <w:tab w:val="left" w:pos="8280"/>
        </w:tabs>
        <w:spacing w:line="420" w:lineRule="exact"/>
        <w:jc w:val="both"/>
        <w:rPr>
          <w:sz w:val="28"/>
          <w:szCs w:val="28"/>
        </w:rPr>
      </w:pPr>
      <w:r>
        <w:rPr>
          <w:rFonts w:hint="default" w:eastAsia="仿宋_GB2312"/>
          <w:color w:val="000000"/>
          <w:sz w:val="21"/>
          <w:szCs w:val="21"/>
          <w:lang w:val="en" w:eastAsia="zh-CN"/>
        </w:rPr>
        <w:t>电子批复领取指南：http://sthjj.zaozhuang.gov.cn/sthjyw/hpsp/xmsp/202205/t20220531_1442654.html</w:t>
      </w:r>
    </w:p>
    <w:sectPr>
      <w:headerReference r:id="rId3" w:type="default"/>
      <w:footerReference r:id="rId4" w:type="default"/>
      <w:footerReference r:id="rId5" w:type="even"/>
      <w:pgSz w:w="11906" w:h="16838"/>
      <w:pgMar w:top="2098" w:right="1587" w:bottom="1587" w:left="1587"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18"/>
                              <w:sz w:val="28"/>
                              <w:szCs w:val="28"/>
                            </w:rPr>
                          </w:pPr>
                          <w:r>
                            <w:rPr>
                              <w:rStyle w:val="18"/>
                              <w:sz w:val="28"/>
                              <w:szCs w:val="28"/>
                            </w:rPr>
                            <w:t xml:space="preserve">— </w:t>
                          </w:r>
                          <w:r>
                            <w:rPr>
                              <w:rStyle w:val="18"/>
                              <w:sz w:val="28"/>
                              <w:szCs w:val="28"/>
                            </w:rPr>
                            <w:fldChar w:fldCharType="begin"/>
                          </w:r>
                          <w:r>
                            <w:rPr>
                              <w:rStyle w:val="18"/>
                              <w:sz w:val="28"/>
                              <w:szCs w:val="28"/>
                            </w:rPr>
                            <w:instrText xml:space="preserve"> PAGE  \* MERGEFORMAT </w:instrText>
                          </w:r>
                          <w:r>
                            <w:rPr>
                              <w:rStyle w:val="18"/>
                              <w:sz w:val="28"/>
                              <w:szCs w:val="28"/>
                            </w:rPr>
                            <w:fldChar w:fldCharType="separate"/>
                          </w:r>
                          <w:r>
                            <w:rPr>
                              <w:rStyle w:val="18"/>
                              <w:sz w:val="28"/>
                              <w:szCs w:val="28"/>
                            </w:rPr>
                            <w:t>3</w:t>
                          </w:r>
                          <w:r>
                            <w:rPr>
                              <w:rStyle w:val="18"/>
                              <w:sz w:val="28"/>
                              <w:szCs w:val="28"/>
                            </w:rPr>
                            <w:fldChar w:fldCharType="end"/>
                          </w:r>
                          <w:r>
                            <w:rPr>
                              <w:rStyle w:val="18"/>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11"/>
                      <w:rPr>
                        <w:rStyle w:val="18"/>
                        <w:sz w:val="28"/>
                        <w:szCs w:val="28"/>
                      </w:rPr>
                    </w:pPr>
                    <w:r>
                      <w:rPr>
                        <w:rStyle w:val="18"/>
                        <w:sz w:val="28"/>
                        <w:szCs w:val="28"/>
                      </w:rPr>
                      <w:t xml:space="preserve">— </w:t>
                    </w:r>
                    <w:r>
                      <w:rPr>
                        <w:rStyle w:val="18"/>
                        <w:sz w:val="28"/>
                        <w:szCs w:val="28"/>
                      </w:rPr>
                      <w:fldChar w:fldCharType="begin"/>
                    </w:r>
                    <w:r>
                      <w:rPr>
                        <w:rStyle w:val="18"/>
                        <w:sz w:val="28"/>
                        <w:szCs w:val="28"/>
                      </w:rPr>
                      <w:instrText xml:space="preserve"> PAGE  \* MERGEFORMAT </w:instrText>
                    </w:r>
                    <w:r>
                      <w:rPr>
                        <w:rStyle w:val="18"/>
                        <w:sz w:val="28"/>
                        <w:szCs w:val="28"/>
                      </w:rPr>
                      <w:fldChar w:fldCharType="separate"/>
                    </w:r>
                    <w:r>
                      <w:rPr>
                        <w:rStyle w:val="18"/>
                        <w:sz w:val="28"/>
                        <w:szCs w:val="28"/>
                      </w:rPr>
                      <w:t>3</w:t>
                    </w:r>
                    <w:r>
                      <w:rPr>
                        <w:rStyle w:val="18"/>
                        <w:sz w:val="28"/>
                        <w:szCs w:val="28"/>
                      </w:rPr>
                      <w:fldChar w:fldCharType="end"/>
                    </w:r>
                    <w:r>
                      <w:rPr>
                        <w:rStyle w:val="18"/>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- 1 -</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ZmIyYTk4M2FjNWIwNjU0NTlkNDM0NDc3YzhiYWQifQ=="/>
  </w:docVars>
  <w:rsids>
    <w:rsidRoot w:val="00172A27"/>
    <w:rsid w:val="000D1D0A"/>
    <w:rsid w:val="000F32CF"/>
    <w:rsid w:val="00172A27"/>
    <w:rsid w:val="00442D00"/>
    <w:rsid w:val="005A1B16"/>
    <w:rsid w:val="005D29DB"/>
    <w:rsid w:val="00640C55"/>
    <w:rsid w:val="00857887"/>
    <w:rsid w:val="00943FE8"/>
    <w:rsid w:val="009C72C7"/>
    <w:rsid w:val="009F64F0"/>
    <w:rsid w:val="00A10B1F"/>
    <w:rsid w:val="00B32EB3"/>
    <w:rsid w:val="00B62329"/>
    <w:rsid w:val="00BD4015"/>
    <w:rsid w:val="00D5663B"/>
    <w:rsid w:val="00DA3EA6"/>
    <w:rsid w:val="00E3161E"/>
    <w:rsid w:val="00FA1420"/>
    <w:rsid w:val="025C2B26"/>
    <w:rsid w:val="029459BF"/>
    <w:rsid w:val="03271FFD"/>
    <w:rsid w:val="04667CA1"/>
    <w:rsid w:val="04A75109"/>
    <w:rsid w:val="04B44DD9"/>
    <w:rsid w:val="04C44A6F"/>
    <w:rsid w:val="05940989"/>
    <w:rsid w:val="05B80F80"/>
    <w:rsid w:val="05E2740E"/>
    <w:rsid w:val="06027688"/>
    <w:rsid w:val="06570A9B"/>
    <w:rsid w:val="076F56A3"/>
    <w:rsid w:val="078F3860"/>
    <w:rsid w:val="07FC05BB"/>
    <w:rsid w:val="07FF90B9"/>
    <w:rsid w:val="08447F6D"/>
    <w:rsid w:val="094B5DD0"/>
    <w:rsid w:val="096C09E8"/>
    <w:rsid w:val="098E00C0"/>
    <w:rsid w:val="09EB55DE"/>
    <w:rsid w:val="09FE1D19"/>
    <w:rsid w:val="0BD15EED"/>
    <w:rsid w:val="0BE21D2A"/>
    <w:rsid w:val="0BFEF3C5"/>
    <w:rsid w:val="0CA32079"/>
    <w:rsid w:val="0D0B7502"/>
    <w:rsid w:val="0D0C75AA"/>
    <w:rsid w:val="0D2275C6"/>
    <w:rsid w:val="0D8452BF"/>
    <w:rsid w:val="0DE61AB8"/>
    <w:rsid w:val="0E4A279F"/>
    <w:rsid w:val="0E9C6544"/>
    <w:rsid w:val="0EB94CB5"/>
    <w:rsid w:val="107455FD"/>
    <w:rsid w:val="10DB3AB4"/>
    <w:rsid w:val="1180234B"/>
    <w:rsid w:val="11B802B5"/>
    <w:rsid w:val="11E82AB3"/>
    <w:rsid w:val="12931636"/>
    <w:rsid w:val="136E605A"/>
    <w:rsid w:val="136F2AE3"/>
    <w:rsid w:val="13CA1B11"/>
    <w:rsid w:val="13E515E6"/>
    <w:rsid w:val="142F1961"/>
    <w:rsid w:val="148F5A9D"/>
    <w:rsid w:val="14F8545E"/>
    <w:rsid w:val="16A87A6A"/>
    <w:rsid w:val="16DD19E9"/>
    <w:rsid w:val="17745E7E"/>
    <w:rsid w:val="17866919"/>
    <w:rsid w:val="183F1C5E"/>
    <w:rsid w:val="18E11E1D"/>
    <w:rsid w:val="19013B2B"/>
    <w:rsid w:val="197330C6"/>
    <w:rsid w:val="19905E0B"/>
    <w:rsid w:val="19E37DBA"/>
    <w:rsid w:val="1A10173F"/>
    <w:rsid w:val="1A226850"/>
    <w:rsid w:val="1A277692"/>
    <w:rsid w:val="1A883EA2"/>
    <w:rsid w:val="1ADE121E"/>
    <w:rsid w:val="1AFD4FEA"/>
    <w:rsid w:val="1B165204"/>
    <w:rsid w:val="1B98211A"/>
    <w:rsid w:val="1BB50133"/>
    <w:rsid w:val="1BD937E8"/>
    <w:rsid w:val="1C742734"/>
    <w:rsid w:val="1D7C7B1E"/>
    <w:rsid w:val="1DA4037F"/>
    <w:rsid w:val="1DF3668C"/>
    <w:rsid w:val="1EC62458"/>
    <w:rsid w:val="1F5A78A4"/>
    <w:rsid w:val="1FE96ED7"/>
    <w:rsid w:val="1FFBBB29"/>
    <w:rsid w:val="1FFBE070"/>
    <w:rsid w:val="20495939"/>
    <w:rsid w:val="207D242B"/>
    <w:rsid w:val="21180378"/>
    <w:rsid w:val="2135707D"/>
    <w:rsid w:val="21451277"/>
    <w:rsid w:val="21F46D49"/>
    <w:rsid w:val="22487872"/>
    <w:rsid w:val="226C2DA6"/>
    <w:rsid w:val="227F4326"/>
    <w:rsid w:val="22E50692"/>
    <w:rsid w:val="22EF6CCE"/>
    <w:rsid w:val="23FB52D7"/>
    <w:rsid w:val="24462FEE"/>
    <w:rsid w:val="24C81F27"/>
    <w:rsid w:val="256D6D65"/>
    <w:rsid w:val="2586024C"/>
    <w:rsid w:val="25FE7CF3"/>
    <w:rsid w:val="26505A57"/>
    <w:rsid w:val="26704220"/>
    <w:rsid w:val="268368BA"/>
    <w:rsid w:val="26A24848"/>
    <w:rsid w:val="26CE0B92"/>
    <w:rsid w:val="26E41D6C"/>
    <w:rsid w:val="270E49E5"/>
    <w:rsid w:val="27731C28"/>
    <w:rsid w:val="27FD1990"/>
    <w:rsid w:val="283F50C5"/>
    <w:rsid w:val="28475C7C"/>
    <w:rsid w:val="28C07804"/>
    <w:rsid w:val="29242F92"/>
    <w:rsid w:val="2A1E3EA9"/>
    <w:rsid w:val="2A4372D3"/>
    <w:rsid w:val="2A862F5B"/>
    <w:rsid w:val="2AE10176"/>
    <w:rsid w:val="2B287CC0"/>
    <w:rsid w:val="2C9F1A7A"/>
    <w:rsid w:val="2CB83751"/>
    <w:rsid w:val="2CC35146"/>
    <w:rsid w:val="2CE51E7C"/>
    <w:rsid w:val="2E102318"/>
    <w:rsid w:val="2E144B70"/>
    <w:rsid w:val="2E6A5718"/>
    <w:rsid w:val="2E83300E"/>
    <w:rsid w:val="2EB52114"/>
    <w:rsid w:val="2EFF5631"/>
    <w:rsid w:val="2F5A677B"/>
    <w:rsid w:val="2FCF2093"/>
    <w:rsid w:val="2FF64284"/>
    <w:rsid w:val="3054546B"/>
    <w:rsid w:val="311F6719"/>
    <w:rsid w:val="31534ACC"/>
    <w:rsid w:val="31846766"/>
    <w:rsid w:val="318C3401"/>
    <w:rsid w:val="31F97B06"/>
    <w:rsid w:val="325355C3"/>
    <w:rsid w:val="3322137D"/>
    <w:rsid w:val="338A27B8"/>
    <w:rsid w:val="33AC0A39"/>
    <w:rsid w:val="33DD7E4D"/>
    <w:rsid w:val="33FB4A48"/>
    <w:rsid w:val="34CA3AE5"/>
    <w:rsid w:val="34F82151"/>
    <w:rsid w:val="35FE6BC7"/>
    <w:rsid w:val="3671626C"/>
    <w:rsid w:val="36F34C00"/>
    <w:rsid w:val="3701378C"/>
    <w:rsid w:val="37724F2B"/>
    <w:rsid w:val="3798389B"/>
    <w:rsid w:val="37D16482"/>
    <w:rsid w:val="37FF17D1"/>
    <w:rsid w:val="38A4257E"/>
    <w:rsid w:val="39B1734A"/>
    <w:rsid w:val="39E12F92"/>
    <w:rsid w:val="39EBCDDA"/>
    <w:rsid w:val="3AAE2002"/>
    <w:rsid w:val="3ABA306E"/>
    <w:rsid w:val="3AF50A07"/>
    <w:rsid w:val="3B4D624B"/>
    <w:rsid w:val="3BAA93B9"/>
    <w:rsid w:val="3BC7254A"/>
    <w:rsid w:val="3C9A3604"/>
    <w:rsid w:val="3D1A2271"/>
    <w:rsid w:val="3D4FC456"/>
    <w:rsid w:val="3D6B698F"/>
    <w:rsid w:val="3DFFF255"/>
    <w:rsid w:val="3E2949AF"/>
    <w:rsid w:val="3E696745"/>
    <w:rsid w:val="3EA17051"/>
    <w:rsid w:val="3EBF94D2"/>
    <w:rsid w:val="3EC225AA"/>
    <w:rsid w:val="3ED51294"/>
    <w:rsid w:val="3F043E14"/>
    <w:rsid w:val="3F2A691E"/>
    <w:rsid w:val="3F2F2B9A"/>
    <w:rsid w:val="3F37C153"/>
    <w:rsid w:val="3F731C46"/>
    <w:rsid w:val="3F9EE81D"/>
    <w:rsid w:val="3FBAA0FE"/>
    <w:rsid w:val="3FBBE484"/>
    <w:rsid w:val="3FF45CDA"/>
    <w:rsid w:val="3FF783F9"/>
    <w:rsid w:val="3FFFCE31"/>
    <w:rsid w:val="40677146"/>
    <w:rsid w:val="409E6964"/>
    <w:rsid w:val="40C47EEF"/>
    <w:rsid w:val="40F55820"/>
    <w:rsid w:val="40FD6D36"/>
    <w:rsid w:val="42E20ACC"/>
    <w:rsid w:val="434837C4"/>
    <w:rsid w:val="439532CF"/>
    <w:rsid w:val="449E1301"/>
    <w:rsid w:val="44CD2C40"/>
    <w:rsid w:val="44FF657E"/>
    <w:rsid w:val="45527FA2"/>
    <w:rsid w:val="46C9616F"/>
    <w:rsid w:val="471F908B"/>
    <w:rsid w:val="47D947DB"/>
    <w:rsid w:val="48617FC9"/>
    <w:rsid w:val="487E4D09"/>
    <w:rsid w:val="48D37898"/>
    <w:rsid w:val="4921070A"/>
    <w:rsid w:val="496E58DF"/>
    <w:rsid w:val="49F02BF7"/>
    <w:rsid w:val="49F15899"/>
    <w:rsid w:val="4A000BA0"/>
    <w:rsid w:val="4A0D3F70"/>
    <w:rsid w:val="4ACF32F2"/>
    <w:rsid w:val="4AF20754"/>
    <w:rsid w:val="4AF63520"/>
    <w:rsid w:val="4D07114B"/>
    <w:rsid w:val="4D440D11"/>
    <w:rsid w:val="4DEC1974"/>
    <w:rsid w:val="4E0B63CD"/>
    <w:rsid w:val="4EB22EE8"/>
    <w:rsid w:val="4EC454F9"/>
    <w:rsid w:val="4EF6F6D7"/>
    <w:rsid w:val="4EFD54F8"/>
    <w:rsid w:val="4EFF0093"/>
    <w:rsid w:val="4FC7EA9E"/>
    <w:rsid w:val="4FDF1043"/>
    <w:rsid w:val="4FEFB4F1"/>
    <w:rsid w:val="4FFE18D6"/>
    <w:rsid w:val="50866C94"/>
    <w:rsid w:val="51616637"/>
    <w:rsid w:val="516612F6"/>
    <w:rsid w:val="523B3D27"/>
    <w:rsid w:val="52646B10"/>
    <w:rsid w:val="52CA7A93"/>
    <w:rsid w:val="530A105A"/>
    <w:rsid w:val="53156752"/>
    <w:rsid w:val="53200E2F"/>
    <w:rsid w:val="5323168F"/>
    <w:rsid w:val="532C2F82"/>
    <w:rsid w:val="532F38BC"/>
    <w:rsid w:val="537A5B9B"/>
    <w:rsid w:val="53BF44F1"/>
    <w:rsid w:val="54197219"/>
    <w:rsid w:val="547B55F1"/>
    <w:rsid w:val="549FAA77"/>
    <w:rsid w:val="54F07FFA"/>
    <w:rsid w:val="54F5359F"/>
    <w:rsid w:val="558C2AFE"/>
    <w:rsid w:val="5618118C"/>
    <w:rsid w:val="564D3998"/>
    <w:rsid w:val="56570E9E"/>
    <w:rsid w:val="566620E8"/>
    <w:rsid w:val="57510B75"/>
    <w:rsid w:val="577572F5"/>
    <w:rsid w:val="5779263C"/>
    <w:rsid w:val="57B15DA2"/>
    <w:rsid w:val="57B221F1"/>
    <w:rsid w:val="57C41C6C"/>
    <w:rsid w:val="57E930F9"/>
    <w:rsid w:val="58DF7BD1"/>
    <w:rsid w:val="590B1EBB"/>
    <w:rsid w:val="59191F7F"/>
    <w:rsid w:val="59EA5D26"/>
    <w:rsid w:val="5AA8510C"/>
    <w:rsid w:val="5ACE2F9B"/>
    <w:rsid w:val="5B1946DF"/>
    <w:rsid w:val="5B7F61E3"/>
    <w:rsid w:val="5B9F6627"/>
    <w:rsid w:val="5BB13AE8"/>
    <w:rsid w:val="5BEFB95F"/>
    <w:rsid w:val="5BF117A0"/>
    <w:rsid w:val="5C3E1353"/>
    <w:rsid w:val="5C620FDB"/>
    <w:rsid w:val="5D1D3CE9"/>
    <w:rsid w:val="5DA10C79"/>
    <w:rsid w:val="5E426DAA"/>
    <w:rsid w:val="5E857380"/>
    <w:rsid w:val="5EBC49F5"/>
    <w:rsid w:val="5EF984AE"/>
    <w:rsid w:val="5EFB6C43"/>
    <w:rsid w:val="5F77F8FA"/>
    <w:rsid w:val="5F814478"/>
    <w:rsid w:val="5F97286F"/>
    <w:rsid w:val="5FEF263E"/>
    <w:rsid w:val="61313C78"/>
    <w:rsid w:val="61571C63"/>
    <w:rsid w:val="61573C78"/>
    <w:rsid w:val="619A7C04"/>
    <w:rsid w:val="61C66672"/>
    <w:rsid w:val="61D31170"/>
    <w:rsid w:val="61DA1280"/>
    <w:rsid w:val="62227F6A"/>
    <w:rsid w:val="627833DE"/>
    <w:rsid w:val="62DB2B71"/>
    <w:rsid w:val="63E1330F"/>
    <w:rsid w:val="63FEF8BE"/>
    <w:rsid w:val="64AF43D7"/>
    <w:rsid w:val="64F92008"/>
    <w:rsid w:val="65D64AF1"/>
    <w:rsid w:val="65E73B71"/>
    <w:rsid w:val="663B29A4"/>
    <w:rsid w:val="664A5F3A"/>
    <w:rsid w:val="670B7F5D"/>
    <w:rsid w:val="670C1B3E"/>
    <w:rsid w:val="675353DE"/>
    <w:rsid w:val="677ED80C"/>
    <w:rsid w:val="67AB3EDE"/>
    <w:rsid w:val="67C92A1E"/>
    <w:rsid w:val="67D76634"/>
    <w:rsid w:val="68225A75"/>
    <w:rsid w:val="682C6BA5"/>
    <w:rsid w:val="68C905A1"/>
    <w:rsid w:val="68F44B5C"/>
    <w:rsid w:val="694C3255"/>
    <w:rsid w:val="69605A13"/>
    <w:rsid w:val="696A13FB"/>
    <w:rsid w:val="696B222C"/>
    <w:rsid w:val="698226A4"/>
    <w:rsid w:val="69BA0E9E"/>
    <w:rsid w:val="69CF6770"/>
    <w:rsid w:val="69D173FF"/>
    <w:rsid w:val="6AC20A7D"/>
    <w:rsid w:val="6B7BF616"/>
    <w:rsid w:val="6BB890BD"/>
    <w:rsid w:val="6BB9FAE5"/>
    <w:rsid w:val="6BC404F0"/>
    <w:rsid w:val="6BDC1F0E"/>
    <w:rsid w:val="6BDFFE15"/>
    <w:rsid w:val="6BFE5BB2"/>
    <w:rsid w:val="6C7432F2"/>
    <w:rsid w:val="6D3A5CC5"/>
    <w:rsid w:val="6E7B8CE1"/>
    <w:rsid w:val="6ECF444B"/>
    <w:rsid w:val="6EFA2CE9"/>
    <w:rsid w:val="6EFD7F34"/>
    <w:rsid w:val="6EFEAACB"/>
    <w:rsid w:val="6F057A1E"/>
    <w:rsid w:val="6F2FFA8A"/>
    <w:rsid w:val="6F7040D8"/>
    <w:rsid w:val="6F7EA59D"/>
    <w:rsid w:val="6F8B3834"/>
    <w:rsid w:val="6FE33124"/>
    <w:rsid w:val="6FEBAFBC"/>
    <w:rsid w:val="6FEEB931"/>
    <w:rsid w:val="6FF6544E"/>
    <w:rsid w:val="6FFB2B1D"/>
    <w:rsid w:val="6FFF0C2A"/>
    <w:rsid w:val="71720090"/>
    <w:rsid w:val="71DE62ED"/>
    <w:rsid w:val="721A7397"/>
    <w:rsid w:val="72612CD4"/>
    <w:rsid w:val="726D868B"/>
    <w:rsid w:val="72AB102C"/>
    <w:rsid w:val="72B01342"/>
    <w:rsid w:val="72F618F0"/>
    <w:rsid w:val="73135EE5"/>
    <w:rsid w:val="73211F18"/>
    <w:rsid w:val="735662C8"/>
    <w:rsid w:val="73E8235D"/>
    <w:rsid w:val="749E0916"/>
    <w:rsid w:val="74DC4C6D"/>
    <w:rsid w:val="758D0746"/>
    <w:rsid w:val="75A0144E"/>
    <w:rsid w:val="75FBF3FC"/>
    <w:rsid w:val="76701595"/>
    <w:rsid w:val="767D1D57"/>
    <w:rsid w:val="76BFDB12"/>
    <w:rsid w:val="76FB5003"/>
    <w:rsid w:val="77123D51"/>
    <w:rsid w:val="7737395C"/>
    <w:rsid w:val="773F33C4"/>
    <w:rsid w:val="77732AC2"/>
    <w:rsid w:val="777F2FFC"/>
    <w:rsid w:val="77AB042F"/>
    <w:rsid w:val="77EF86AE"/>
    <w:rsid w:val="77FA2909"/>
    <w:rsid w:val="77FBB10C"/>
    <w:rsid w:val="77FEBCBE"/>
    <w:rsid w:val="77FFCD63"/>
    <w:rsid w:val="78BC4163"/>
    <w:rsid w:val="78C24056"/>
    <w:rsid w:val="78DA2EA9"/>
    <w:rsid w:val="79C01C24"/>
    <w:rsid w:val="79DF9E7C"/>
    <w:rsid w:val="79EF8F15"/>
    <w:rsid w:val="7A9F6A83"/>
    <w:rsid w:val="7AD92753"/>
    <w:rsid w:val="7AEA486C"/>
    <w:rsid w:val="7AFB75A0"/>
    <w:rsid w:val="7B6F204D"/>
    <w:rsid w:val="7BB282F9"/>
    <w:rsid w:val="7BB787BC"/>
    <w:rsid w:val="7BBD05CC"/>
    <w:rsid w:val="7BBF2789"/>
    <w:rsid w:val="7BEFAD4B"/>
    <w:rsid w:val="7BF521B6"/>
    <w:rsid w:val="7BFADCF8"/>
    <w:rsid w:val="7BFF0EA6"/>
    <w:rsid w:val="7CEF4AB6"/>
    <w:rsid w:val="7D063248"/>
    <w:rsid w:val="7D30DD4A"/>
    <w:rsid w:val="7D525D7C"/>
    <w:rsid w:val="7D59184E"/>
    <w:rsid w:val="7D5E5F15"/>
    <w:rsid w:val="7D7B8F7F"/>
    <w:rsid w:val="7D8C529A"/>
    <w:rsid w:val="7DF45AA4"/>
    <w:rsid w:val="7DF6A253"/>
    <w:rsid w:val="7DF727A4"/>
    <w:rsid w:val="7DF7CDFA"/>
    <w:rsid w:val="7DFAC514"/>
    <w:rsid w:val="7E2C750A"/>
    <w:rsid w:val="7E734B6C"/>
    <w:rsid w:val="7E7D42AA"/>
    <w:rsid w:val="7E9853D0"/>
    <w:rsid w:val="7ED70E43"/>
    <w:rsid w:val="7EEE9423"/>
    <w:rsid w:val="7F2F6E38"/>
    <w:rsid w:val="7F3824FC"/>
    <w:rsid w:val="7F585270"/>
    <w:rsid w:val="7F5FE73D"/>
    <w:rsid w:val="7F9A4AFD"/>
    <w:rsid w:val="7FD678A3"/>
    <w:rsid w:val="7FDF639C"/>
    <w:rsid w:val="7FE94E50"/>
    <w:rsid w:val="7FED3AE5"/>
    <w:rsid w:val="7FFB93CA"/>
    <w:rsid w:val="7FFD5248"/>
    <w:rsid w:val="7FFF2252"/>
    <w:rsid w:val="7FFF48D8"/>
    <w:rsid w:val="8BFFBCB0"/>
    <w:rsid w:val="95FEC1C4"/>
    <w:rsid w:val="9C7F9B88"/>
    <w:rsid w:val="9D45BB38"/>
    <w:rsid w:val="9DFA3C8D"/>
    <w:rsid w:val="9F73B232"/>
    <w:rsid w:val="9FFFBFF4"/>
    <w:rsid w:val="A7ADDC78"/>
    <w:rsid w:val="A7B4FE04"/>
    <w:rsid w:val="AAD9929A"/>
    <w:rsid w:val="AFF3E16E"/>
    <w:rsid w:val="AFF712AC"/>
    <w:rsid w:val="AFFB8A00"/>
    <w:rsid w:val="B37B44A2"/>
    <w:rsid w:val="B3F316DF"/>
    <w:rsid w:val="B6FDEA49"/>
    <w:rsid w:val="B797BA1C"/>
    <w:rsid w:val="B7BFA034"/>
    <w:rsid w:val="B7C2EFC9"/>
    <w:rsid w:val="B7FF9D0C"/>
    <w:rsid w:val="B9EFF0F1"/>
    <w:rsid w:val="BB4B0E87"/>
    <w:rsid w:val="BB5B2330"/>
    <w:rsid w:val="BBDF5320"/>
    <w:rsid w:val="BCF7B01E"/>
    <w:rsid w:val="BCF976BD"/>
    <w:rsid w:val="BDDF0B77"/>
    <w:rsid w:val="BDE5662C"/>
    <w:rsid w:val="BF36D048"/>
    <w:rsid w:val="BFB7AB31"/>
    <w:rsid w:val="BFFE53B4"/>
    <w:rsid w:val="BFFF84C8"/>
    <w:rsid w:val="C1CF1271"/>
    <w:rsid w:val="C6F7E866"/>
    <w:rsid w:val="CAFDADBE"/>
    <w:rsid w:val="CCAEA054"/>
    <w:rsid w:val="CFBFD823"/>
    <w:rsid w:val="CFDF6E21"/>
    <w:rsid w:val="CFF64FCF"/>
    <w:rsid w:val="D174FDE8"/>
    <w:rsid w:val="D1FFF584"/>
    <w:rsid w:val="D57FB589"/>
    <w:rsid w:val="D5FF3DBE"/>
    <w:rsid w:val="D5FF8B0A"/>
    <w:rsid w:val="D67FE771"/>
    <w:rsid w:val="D7E983FF"/>
    <w:rsid w:val="D8CF872E"/>
    <w:rsid w:val="DB5FABC1"/>
    <w:rsid w:val="DBC30F2F"/>
    <w:rsid w:val="DBDFF1C0"/>
    <w:rsid w:val="DBFBAB73"/>
    <w:rsid w:val="DCF7F45E"/>
    <w:rsid w:val="DDBFDE5D"/>
    <w:rsid w:val="DE777661"/>
    <w:rsid w:val="DE9D5650"/>
    <w:rsid w:val="DF5F3B05"/>
    <w:rsid w:val="DF7B72B9"/>
    <w:rsid w:val="DFCC00D2"/>
    <w:rsid w:val="E3FD4D5B"/>
    <w:rsid w:val="E47368C8"/>
    <w:rsid w:val="E672326A"/>
    <w:rsid w:val="E6BBB6A3"/>
    <w:rsid w:val="E6BE8AB7"/>
    <w:rsid w:val="E7BB907E"/>
    <w:rsid w:val="E7EB8889"/>
    <w:rsid w:val="E8DAC67F"/>
    <w:rsid w:val="E957BF82"/>
    <w:rsid w:val="EB8F94F9"/>
    <w:rsid w:val="EBD5F73D"/>
    <w:rsid w:val="EBFD841A"/>
    <w:rsid w:val="EC50C94E"/>
    <w:rsid w:val="EDB33895"/>
    <w:rsid w:val="EDFD64BF"/>
    <w:rsid w:val="EE26ADCB"/>
    <w:rsid w:val="EEEF3957"/>
    <w:rsid w:val="EF37F4E2"/>
    <w:rsid w:val="EF7933F3"/>
    <w:rsid w:val="EFB2C2E7"/>
    <w:rsid w:val="EFBCEB91"/>
    <w:rsid w:val="EFBFF402"/>
    <w:rsid w:val="EFDD554E"/>
    <w:rsid w:val="EFFFA9AC"/>
    <w:rsid w:val="F1595000"/>
    <w:rsid w:val="F1FCBD6C"/>
    <w:rsid w:val="F3730244"/>
    <w:rsid w:val="F37FBC8D"/>
    <w:rsid w:val="F3FDD338"/>
    <w:rsid w:val="F57ACD26"/>
    <w:rsid w:val="F5DF7CB2"/>
    <w:rsid w:val="F5F22EB7"/>
    <w:rsid w:val="F6753C28"/>
    <w:rsid w:val="F6F9CC09"/>
    <w:rsid w:val="F6FFDC46"/>
    <w:rsid w:val="F7BB905D"/>
    <w:rsid w:val="F7DFD5D0"/>
    <w:rsid w:val="F9968E6B"/>
    <w:rsid w:val="F9FA3AD5"/>
    <w:rsid w:val="FA5EC977"/>
    <w:rsid w:val="FA6FD43B"/>
    <w:rsid w:val="FB4EED0D"/>
    <w:rsid w:val="FBBF1013"/>
    <w:rsid w:val="FBBFCEE1"/>
    <w:rsid w:val="FBF9EB9F"/>
    <w:rsid w:val="FC3F5C46"/>
    <w:rsid w:val="FC576A0D"/>
    <w:rsid w:val="FD3BB213"/>
    <w:rsid w:val="FD7E460E"/>
    <w:rsid w:val="FDE7A212"/>
    <w:rsid w:val="FDF9C832"/>
    <w:rsid w:val="FDFE7B0A"/>
    <w:rsid w:val="FDFF6A5C"/>
    <w:rsid w:val="FE7E1FE8"/>
    <w:rsid w:val="FEB32BC9"/>
    <w:rsid w:val="FF056A06"/>
    <w:rsid w:val="FF3BE222"/>
    <w:rsid w:val="FF6705B6"/>
    <w:rsid w:val="FF7A3B64"/>
    <w:rsid w:val="FF7F5600"/>
    <w:rsid w:val="FF7F6C2F"/>
    <w:rsid w:val="FF94A36D"/>
    <w:rsid w:val="FFAE4B53"/>
    <w:rsid w:val="FFAFEB29"/>
    <w:rsid w:val="FFBEA172"/>
    <w:rsid w:val="FFD53605"/>
    <w:rsid w:val="FFDF7F0B"/>
    <w:rsid w:val="FFEE76F4"/>
    <w:rsid w:val="FFF392BF"/>
    <w:rsid w:val="FFFADD44"/>
    <w:rsid w:val="FFFB3B1B"/>
    <w:rsid w:val="FFFBBF50"/>
    <w:rsid w:val="FFFBCDD0"/>
    <w:rsid w:val="FFFF1FDA"/>
    <w:rsid w:val="FFFF9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sz w:val="24"/>
    </w:r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pPr>
    <w:rPr>
      <w:b/>
      <w:bCs/>
    </w:rPr>
  </w:style>
  <w:style w:type="paragraph" w:customStyle="1" w:styleId="6">
    <w:name w:val="UserStyle_9"/>
    <w:basedOn w:val="1"/>
    <w:next w:val="1"/>
    <w:qFormat/>
    <w:uiPriority w:val="0"/>
    <w:pPr>
      <w:spacing w:line="480" w:lineRule="atLeast"/>
      <w:textAlignment w:val="baseline"/>
    </w:pPr>
    <w:rPr>
      <w:rFonts w:ascii="宋体" w:hAnsi="Tms Rmn"/>
      <w:kern w:val="0"/>
      <w:sz w:val="28"/>
      <w:szCs w:val="20"/>
    </w:rPr>
  </w:style>
  <w:style w:type="paragraph" w:styleId="7">
    <w:name w:val="annotation text"/>
    <w:basedOn w:val="1"/>
    <w:link w:val="20"/>
    <w:semiHidden/>
    <w:qFormat/>
    <w:uiPriority w:val="0"/>
    <w:pPr>
      <w:jc w:val="left"/>
    </w:pPr>
  </w:style>
  <w:style w:type="paragraph" w:styleId="8">
    <w:name w:val="Body Text"/>
    <w:basedOn w:val="1"/>
    <w:link w:val="21"/>
    <w:qFormat/>
    <w:uiPriority w:val="0"/>
    <w:pPr>
      <w:spacing w:after="120"/>
    </w:pPr>
  </w:style>
  <w:style w:type="paragraph" w:styleId="9">
    <w:name w:val="Date"/>
    <w:basedOn w:val="1"/>
    <w:next w:val="1"/>
    <w:qFormat/>
    <w:uiPriority w:val="0"/>
    <w:pPr>
      <w:ind w:left="100" w:leftChars="2500"/>
    </w:p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Indent 3"/>
    <w:basedOn w:val="1"/>
    <w:qFormat/>
    <w:uiPriority w:val="0"/>
    <w:pPr>
      <w:spacing w:line="540" w:lineRule="exact"/>
      <w:ind w:firstLine="640" w:firstLineChars="200"/>
    </w:pPr>
    <w:rPr>
      <w:rFonts w:ascii="仿宋_GB2312" w:eastAsia="仿宋_GB2312"/>
    </w:rPr>
  </w:style>
  <w:style w:type="paragraph" w:styleId="13">
    <w:name w:val="Normal (Web)"/>
    <w:basedOn w:val="1"/>
    <w:qFormat/>
    <w:uiPriority w:val="0"/>
    <w:pPr>
      <w:widowControl/>
      <w:spacing w:before="100" w:beforeAutospacing="1" w:after="100" w:afterAutospacing="1"/>
      <w:jc w:val="left"/>
    </w:pPr>
    <w:rPr>
      <w:rFonts w:ascii="宋体" w:hAnsi="宋体"/>
      <w:color w:val="000000"/>
      <w:kern w:val="0"/>
      <w:sz w:val="24"/>
      <w:szCs w:val="20"/>
    </w:rPr>
  </w:style>
  <w:style w:type="paragraph" w:styleId="14">
    <w:name w:val="annotation subject"/>
    <w:basedOn w:val="7"/>
    <w:next w:val="7"/>
    <w:link w:val="23"/>
    <w:qFormat/>
    <w:uiPriority w:val="0"/>
    <w:rPr>
      <w:b/>
      <w:bCs/>
    </w:rPr>
  </w:style>
  <w:style w:type="paragraph" w:styleId="15">
    <w:name w:val="Body Text First Indent"/>
    <w:basedOn w:val="8"/>
    <w:link w:val="24"/>
    <w:qFormat/>
    <w:uiPriority w:val="0"/>
    <w:pPr>
      <w:ind w:firstLine="420" w:firstLineChars="100"/>
    </w:pPr>
  </w:style>
  <w:style w:type="character" w:styleId="18">
    <w:name w:val="page number"/>
    <w:qFormat/>
    <w:uiPriority w:val="0"/>
  </w:style>
  <w:style w:type="character" w:styleId="19">
    <w:name w:val="annotation reference"/>
    <w:qFormat/>
    <w:uiPriority w:val="0"/>
    <w:rPr>
      <w:sz w:val="21"/>
      <w:szCs w:val="21"/>
    </w:rPr>
  </w:style>
  <w:style w:type="character" w:customStyle="1" w:styleId="20">
    <w:name w:val="批注文字 字符"/>
    <w:link w:val="7"/>
    <w:semiHidden/>
    <w:qFormat/>
    <w:uiPriority w:val="0"/>
    <w:rPr>
      <w:kern w:val="2"/>
      <w:sz w:val="32"/>
      <w:szCs w:val="32"/>
    </w:rPr>
  </w:style>
  <w:style w:type="character" w:customStyle="1" w:styleId="21">
    <w:name w:val="正文文本 字符"/>
    <w:link w:val="8"/>
    <w:qFormat/>
    <w:uiPriority w:val="0"/>
    <w:rPr>
      <w:kern w:val="2"/>
      <w:sz w:val="32"/>
      <w:szCs w:val="32"/>
    </w:rPr>
  </w:style>
  <w:style w:type="character" w:customStyle="1" w:styleId="22">
    <w:name w:val="批注框文本 字符"/>
    <w:link w:val="10"/>
    <w:qFormat/>
    <w:uiPriority w:val="0"/>
    <w:rPr>
      <w:kern w:val="2"/>
      <w:sz w:val="18"/>
      <w:szCs w:val="18"/>
    </w:rPr>
  </w:style>
  <w:style w:type="character" w:customStyle="1" w:styleId="23">
    <w:name w:val="批注主题 字符"/>
    <w:link w:val="14"/>
    <w:qFormat/>
    <w:uiPriority w:val="0"/>
    <w:rPr>
      <w:b/>
      <w:bCs/>
      <w:kern w:val="2"/>
      <w:sz w:val="32"/>
      <w:szCs w:val="32"/>
    </w:rPr>
  </w:style>
  <w:style w:type="character" w:customStyle="1" w:styleId="24">
    <w:name w:val="正文首行缩进 字符"/>
    <w:link w:val="15"/>
    <w:qFormat/>
    <w:uiPriority w:val="0"/>
  </w:style>
  <w:style w:type="paragraph" w:customStyle="1" w:styleId="25">
    <w:name w:val="BodyText1I2"/>
    <w:basedOn w:val="26"/>
    <w:next w:val="1"/>
    <w:qFormat/>
    <w:uiPriority w:val="0"/>
    <w:pPr>
      <w:spacing w:after="120" w:line="240" w:lineRule="auto"/>
      <w:ind w:left="420" w:leftChars="200" w:firstLine="420" w:firstLineChars="200"/>
    </w:pPr>
    <w:rPr>
      <w:sz w:val="21"/>
      <w:szCs w:val="24"/>
    </w:rPr>
  </w:style>
  <w:style w:type="paragraph" w:customStyle="1" w:styleId="26">
    <w:name w:val="BodyTextIndent"/>
    <w:basedOn w:val="1"/>
    <w:next w:val="4"/>
    <w:qFormat/>
    <w:uiPriority w:val="0"/>
    <w:pPr>
      <w:spacing w:line="460" w:lineRule="atLeast"/>
      <w:ind w:firstLine="284"/>
      <w:textAlignment w:val="baseline"/>
    </w:pPr>
    <w:rPr>
      <w:spacing w:val="36"/>
      <w:sz w:val="24"/>
    </w:rPr>
  </w:style>
  <w:style w:type="character" w:customStyle="1" w:styleId="27">
    <w:name w:val="NormalCharacter"/>
    <w:qFormat/>
    <w:uiPriority w:val="0"/>
    <w:rPr>
      <w:kern w:val="2"/>
      <w:sz w:val="32"/>
      <w:szCs w:val="32"/>
      <w:lang w:val="en-US" w:eastAsia="zh-CN" w:bidi="ar-SA"/>
    </w:rPr>
  </w:style>
  <w:style w:type="paragraph" w:customStyle="1" w:styleId="28">
    <w:name w:val="默认段落字体 Para Char Char Char Char"/>
    <w:basedOn w:val="1"/>
    <w:qFormat/>
    <w:uiPriority w:val="0"/>
    <w:rPr>
      <w:sz w:val="21"/>
      <w:szCs w:val="24"/>
    </w:rPr>
  </w:style>
  <w:style w:type="paragraph" w:customStyle="1" w:styleId="29">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30">
    <w:name w:val="报告书正文样式1"/>
    <w:basedOn w:val="31"/>
    <w:qFormat/>
    <w:uiPriority w:val="0"/>
    <w:pPr>
      <w:spacing w:line="360" w:lineRule="auto"/>
    </w:pPr>
    <w:rPr>
      <w:rFonts w:ascii="Arial" w:hAnsi="Arial" w:cs="Arial"/>
      <w:szCs w:val="24"/>
    </w:rPr>
  </w:style>
  <w:style w:type="paragraph" w:customStyle="1" w:styleId="31">
    <w:name w:val="报告书正文"/>
    <w:basedOn w:val="1"/>
    <w:qFormat/>
    <w:uiPriority w:val="0"/>
    <w:pPr>
      <w:adjustRightInd w:val="0"/>
      <w:snapToGrid w:val="0"/>
      <w:spacing w:line="360" w:lineRule="atLeast"/>
      <w:ind w:firstLine="425"/>
      <w:textAlignment w:val="baseline"/>
    </w:pPr>
    <w:rPr>
      <w:sz w:val="24"/>
      <w:szCs w:val="20"/>
    </w:rPr>
  </w:style>
  <w:style w:type="paragraph" w:customStyle="1" w:styleId="32">
    <w:name w:val="样式5"/>
    <w:basedOn w:val="8"/>
    <w:next w:val="33"/>
    <w:qFormat/>
    <w:uiPriority w:val="0"/>
    <w:pPr>
      <w:ind w:right="-140" w:rightChars="-50" w:firstLine="1653" w:firstLineChars="588"/>
    </w:pPr>
    <w:rPr>
      <w:b/>
      <w:bCs/>
    </w:rPr>
  </w:style>
  <w:style w:type="paragraph" w:customStyle="1" w:styleId="33">
    <w:name w:val="图框文字"/>
    <w:basedOn w:val="1"/>
    <w:qFormat/>
    <w:uiPriority w:val="0"/>
    <w:pPr>
      <w:jc w:val="center"/>
      <w:textAlignment w:val="center"/>
    </w:pPr>
  </w:style>
  <w:style w:type="paragraph" w:customStyle="1" w:styleId="34">
    <w:name w:val="_Style 247"/>
    <w:basedOn w:val="1"/>
    <w:qFormat/>
    <w:uiPriority w:val="0"/>
  </w:style>
  <w:style w:type="paragraph" w:customStyle="1" w:styleId="35">
    <w:name w:val="Char Char Char Char Char Char Char Char Char1 Char"/>
    <w:basedOn w:val="1"/>
    <w:qFormat/>
    <w:uiPriority w:val="0"/>
    <w:rPr>
      <w:sz w:val="21"/>
      <w:szCs w:val="24"/>
    </w:rPr>
  </w:style>
  <w:style w:type="paragraph" w:customStyle="1" w:styleId="3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1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38">
    <w:name w:val="Date1"/>
    <w:basedOn w:val="1"/>
    <w:next w:val="1"/>
    <w:qFormat/>
    <w:uiPriority w:val="0"/>
    <w:rPr>
      <w:sz w:val="21"/>
      <w:szCs w:val="20"/>
    </w:rPr>
  </w:style>
  <w:style w:type="paragraph" w:customStyle="1" w:styleId="39">
    <w:name w:val="书正文"/>
    <w:basedOn w:val="1"/>
    <w:qFormat/>
    <w:uiPriority w:val="0"/>
    <w:pPr>
      <w:adjustRightInd w:val="0"/>
      <w:spacing w:line="520" w:lineRule="exact"/>
      <w:ind w:firstLine="200" w:firstLineChars="20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8</Pages>
  <Words>3387</Words>
  <Characters>3892</Characters>
  <Lines>28</Lines>
  <Paragraphs>7</Paragraphs>
  <TotalTime>0</TotalTime>
  <ScaleCrop>false</ScaleCrop>
  <LinksUpToDate>false</LinksUpToDate>
  <CharactersWithSpaces>3916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2021-08-01T05:24:00Z</dcterms:created>
  <dc:creator>微软用户</dc:creator>
  <cp:lastModifiedBy>user</cp:lastModifiedBy>
  <cp:lastPrinted>2022-04-30T16:56:00Z</cp:lastPrinted>
  <dcterms:modified xsi:type="dcterms:W3CDTF">2023-01-11T09:07:03Z</dcterms:modified>
  <dc:title>枣环行审字[2012]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19E6613DAD3C4A19B2B1E683B05AC0D8</vt:lpwstr>
  </property>
</Properties>
</file>