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2"/>
        <w:spacing w:before="240" w:after="156" w:afterLines="50"/>
        <w:ind w:firstLine="0" w:firstLineChars="0"/>
        <w:jc w:val="center"/>
        <w:outlineLvl w:val="0"/>
        <w:rPr>
          <w:rFonts w:ascii="黑体" w:hAnsi="黑体" w:eastAsia="黑体"/>
          <w:color w:val="auto"/>
          <w:sz w:val="36"/>
          <w:szCs w:val="30"/>
          <w:highlight w:val="none"/>
        </w:rPr>
      </w:pPr>
      <w:bookmarkStart w:id="0" w:name="_Toc19487"/>
      <w:bookmarkStart w:id="1" w:name="_Toc52053025"/>
      <w:bookmarkStart w:id="430" w:name="_GoBack"/>
      <w:r>
        <w:rPr>
          <w:rFonts w:hint="eastAsia" w:ascii="黑体" w:hAnsi="黑体" w:eastAsia="黑体"/>
          <w:color w:val="auto"/>
          <w:sz w:val="36"/>
          <w:szCs w:val="30"/>
          <w:highlight w:val="none"/>
        </w:rPr>
        <w:t>概  述</w:t>
      </w:r>
      <w:bookmarkEnd w:id="0"/>
    </w:p>
    <w:p>
      <w:pPr>
        <w:spacing w:before="312" w:beforeLines="100" w:line="360" w:lineRule="auto"/>
        <w:ind w:firstLine="482" w:firstLineChars="200"/>
        <w:rPr>
          <w:rFonts w:hAnsi="宋体"/>
          <w:b/>
          <w:color w:val="auto"/>
          <w:sz w:val="24"/>
          <w:szCs w:val="24"/>
          <w:highlight w:val="none"/>
        </w:rPr>
      </w:pPr>
      <w:r>
        <w:rPr>
          <w:rFonts w:hint="eastAsia" w:hAnsi="宋体"/>
          <w:b/>
          <w:color w:val="auto"/>
          <w:sz w:val="24"/>
          <w:szCs w:val="24"/>
          <w:highlight w:val="none"/>
        </w:rPr>
        <w:t>一、建设项目特点</w:t>
      </w:r>
    </w:p>
    <w:p>
      <w:pPr>
        <w:pStyle w:val="99"/>
        <w:ind w:firstLine="480"/>
        <w:rPr>
          <w:color w:val="auto"/>
          <w:highlight w:val="none"/>
        </w:rPr>
      </w:pPr>
      <w:r>
        <w:rPr>
          <w:rFonts w:hint="eastAsia"/>
          <w:color w:val="auto"/>
          <w:kern w:val="0"/>
          <w:szCs w:val="24"/>
          <w:highlight w:val="none"/>
        </w:rPr>
        <w:t>山东付新环保科技有限公司</w:t>
      </w:r>
      <w:r>
        <w:rPr>
          <w:color w:val="auto"/>
          <w:kern w:val="0"/>
          <w:szCs w:val="24"/>
          <w:highlight w:val="none"/>
        </w:rPr>
        <w:t>成立于202</w:t>
      </w:r>
      <w:r>
        <w:rPr>
          <w:rFonts w:hint="eastAsia"/>
          <w:color w:val="auto"/>
          <w:kern w:val="0"/>
          <w:szCs w:val="24"/>
          <w:highlight w:val="none"/>
        </w:rPr>
        <w:t>0</w:t>
      </w:r>
      <w:r>
        <w:rPr>
          <w:color w:val="auto"/>
          <w:kern w:val="0"/>
          <w:szCs w:val="24"/>
          <w:highlight w:val="none"/>
        </w:rPr>
        <w:t>年1</w:t>
      </w:r>
      <w:r>
        <w:rPr>
          <w:rFonts w:hint="eastAsia"/>
          <w:color w:val="auto"/>
          <w:kern w:val="0"/>
          <w:szCs w:val="24"/>
          <w:highlight w:val="none"/>
        </w:rPr>
        <w:t>2月</w:t>
      </w:r>
      <w:r>
        <w:rPr>
          <w:color w:val="auto"/>
          <w:kern w:val="0"/>
          <w:szCs w:val="24"/>
          <w:highlight w:val="none"/>
        </w:rPr>
        <w:t>，</w:t>
      </w:r>
      <w:r>
        <w:rPr>
          <w:rFonts w:hint="eastAsia"/>
          <w:color w:val="auto"/>
          <w:kern w:val="0"/>
          <w:szCs w:val="24"/>
          <w:highlight w:val="none"/>
        </w:rPr>
        <w:t>建设地点位于枣庄市峄城区峨山镇大官庄村西，企业</w:t>
      </w:r>
      <w:r>
        <w:rPr>
          <w:color w:val="auto"/>
          <w:kern w:val="0"/>
          <w:szCs w:val="24"/>
          <w:highlight w:val="none"/>
        </w:rPr>
        <w:t>拟</w:t>
      </w:r>
      <w:r>
        <w:rPr>
          <w:rFonts w:hint="eastAsia"/>
          <w:color w:val="auto"/>
          <w:kern w:val="0"/>
          <w:szCs w:val="24"/>
          <w:highlight w:val="none"/>
        </w:rPr>
        <w:t>投资14000万元</w:t>
      </w:r>
      <w:r>
        <w:rPr>
          <w:color w:val="auto"/>
          <w:kern w:val="0"/>
          <w:szCs w:val="24"/>
          <w:highlight w:val="none"/>
        </w:rPr>
        <w:t>新建</w:t>
      </w:r>
      <w:r>
        <w:rPr>
          <w:rFonts w:hint="eastAsia"/>
          <w:color w:val="auto"/>
          <w:kern w:val="0"/>
          <w:szCs w:val="24"/>
          <w:highlight w:val="none"/>
        </w:rPr>
        <w:t>绿色高性能复合管项目</w:t>
      </w:r>
      <w:r>
        <w:rPr>
          <w:color w:val="auto"/>
          <w:kern w:val="0"/>
          <w:szCs w:val="24"/>
          <w:highlight w:val="none"/>
        </w:rPr>
        <w:t>，</w:t>
      </w:r>
      <w:r>
        <w:rPr>
          <w:rFonts w:hint="eastAsia"/>
          <w:color w:val="auto"/>
          <w:highlight w:val="none"/>
        </w:rPr>
        <w:t>(以下简称“本项目”)。</w:t>
      </w:r>
      <w:r>
        <w:rPr>
          <w:color w:val="auto"/>
          <w:highlight w:val="none"/>
        </w:rPr>
        <w:t>项目</w:t>
      </w:r>
      <w:r>
        <w:rPr>
          <w:rFonts w:hint="eastAsia"/>
          <w:color w:val="auto"/>
          <w:highlight w:val="none"/>
        </w:rPr>
        <w:t>占地2</w:t>
      </w:r>
      <w:r>
        <w:rPr>
          <w:rFonts w:hint="eastAsia"/>
          <w:color w:val="auto"/>
          <w:highlight w:val="none"/>
          <w:lang w:val="en-US" w:eastAsia="zh-CN"/>
        </w:rPr>
        <w:t>公顷</w:t>
      </w:r>
      <w:r>
        <w:rPr>
          <w:rFonts w:hint="eastAsia"/>
          <w:color w:val="auto"/>
          <w:highlight w:val="none"/>
        </w:rPr>
        <w:t>(20000m</w:t>
      </w:r>
      <w:r>
        <w:rPr>
          <w:rFonts w:hint="eastAsia"/>
          <w:color w:val="auto"/>
          <w:highlight w:val="none"/>
          <w:vertAlign w:val="superscript"/>
        </w:rPr>
        <w:t>2</w:t>
      </w:r>
      <w:r>
        <w:rPr>
          <w:rFonts w:hint="eastAsia"/>
          <w:color w:val="auto"/>
          <w:highlight w:val="none"/>
        </w:rPr>
        <w:t>)，</w:t>
      </w:r>
      <w:r>
        <w:rPr>
          <w:color w:val="auto"/>
          <w:highlight w:val="none"/>
        </w:rPr>
        <w:t>建成后</w:t>
      </w:r>
      <w:r>
        <w:rPr>
          <w:rFonts w:hint="eastAsia"/>
          <w:color w:val="auto"/>
          <w:highlight w:val="none"/>
        </w:rPr>
        <w:t>可达到</w:t>
      </w:r>
      <w:r>
        <w:rPr>
          <w:color w:val="auto"/>
          <w:highlight w:val="none"/>
        </w:rPr>
        <w:t>年产</w:t>
      </w:r>
      <w:r>
        <w:rPr>
          <w:rFonts w:hint="eastAsia"/>
          <w:color w:val="auto"/>
          <w:highlight w:val="none"/>
        </w:rPr>
        <w:t>HDPE给水管</w:t>
      </w:r>
      <w:r>
        <w:rPr>
          <w:rFonts w:hint="eastAsia"/>
          <w:color w:val="auto"/>
          <w:highlight w:val="none"/>
          <w:lang w:val="en-US" w:eastAsia="zh-CN"/>
        </w:rPr>
        <w:t>6800</w:t>
      </w:r>
      <w:r>
        <w:rPr>
          <w:rFonts w:hint="eastAsia"/>
          <w:color w:val="auto"/>
          <w:highlight w:val="none"/>
        </w:rPr>
        <w:t>t/a、HDPE中空壁缠绕管</w:t>
      </w:r>
      <w:r>
        <w:rPr>
          <w:rFonts w:hint="eastAsia"/>
          <w:color w:val="auto"/>
          <w:highlight w:val="none"/>
          <w:lang w:val="en-US" w:eastAsia="zh-CN"/>
        </w:rPr>
        <w:t>2</w:t>
      </w:r>
      <w:r>
        <w:rPr>
          <w:rFonts w:hint="eastAsia"/>
          <w:color w:val="auto"/>
          <w:highlight w:val="none"/>
        </w:rPr>
        <w:t>000t/a、HDPE双壁波纹管</w:t>
      </w:r>
      <w:r>
        <w:rPr>
          <w:rFonts w:hint="eastAsia"/>
          <w:color w:val="auto"/>
          <w:highlight w:val="none"/>
          <w:lang w:val="en-US" w:eastAsia="zh-CN"/>
        </w:rPr>
        <w:t>32</w:t>
      </w:r>
      <w:r>
        <w:rPr>
          <w:rFonts w:hint="eastAsia"/>
          <w:color w:val="auto"/>
          <w:highlight w:val="none"/>
        </w:rPr>
        <w:t>00t/a、PP注塑污水管件</w:t>
      </w:r>
      <w:r>
        <w:rPr>
          <w:rFonts w:hint="eastAsia"/>
          <w:color w:val="auto"/>
          <w:highlight w:val="none"/>
          <w:lang w:val="en-US" w:eastAsia="zh-CN"/>
        </w:rPr>
        <w:t>8000</w:t>
      </w:r>
      <w:r>
        <w:rPr>
          <w:rFonts w:hint="eastAsia"/>
          <w:color w:val="auto"/>
          <w:highlight w:val="none"/>
        </w:rPr>
        <w:t>t/a的生产规模。其中给水管采用聚乙烯新料，中空壁缠绕管和双壁波纹管采用清洗破碎后的废聚乙烯料，注塑管件采用清洗破碎后的废聚丙烯料。项目外购洗破碎后的废聚乙烯、废聚丙烯，</w:t>
      </w:r>
      <w:r>
        <w:rPr>
          <w:rFonts w:hint="eastAsia"/>
          <w:color w:val="auto"/>
          <w:highlight w:val="none"/>
          <w:lang w:val="en-US" w:eastAsia="zh-CN"/>
        </w:rPr>
        <w:t>先</w:t>
      </w:r>
      <w:r>
        <w:rPr>
          <w:rFonts w:hint="eastAsia"/>
          <w:color w:val="auto"/>
          <w:highlight w:val="none"/>
        </w:rPr>
        <w:t>在厂内统一进行造粒、切粒后再用于中空壁缠绕管、双壁波纹管和注塑管件生产。</w:t>
      </w:r>
    </w:p>
    <w:p>
      <w:pPr>
        <w:autoSpaceDE w:val="0"/>
        <w:autoSpaceDN w:val="0"/>
        <w:adjustRightInd w:val="0"/>
        <w:spacing w:line="360" w:lineRule="auto"/>
        <w:ind w:firstLine="482" w:firstLineChars="200"/>
        <w:rPr>
          <w:rStyle w:val="122"/>
          <w:rFonts w:hint="default"/>
          <w:b/>
          <w:color w:val="auto"/>
          <w:highlight w:val="none"/>
        </w:rPr>
      </w:pPr>
      <w:r>
        <w:rPr>
          <w:rStyle w:val="122"/>
          <w:rFonts w:hint="default"/>
          <w:b/>
          <w:color w:val="auto"/>
          <w:highlight w:val="none"/>
        </w:rPr>
        <w:t>二、主要工作过程</w:t>
      </w:r>
    </w:p>
    <w:p>
      <w:pPr>
        <w:spacing w:line="360" w:lineRule="auto"/>
        <w:ind w:firstLine="480" w:firstLineChars="200"/>
        <w:rPr>
          <w:color w:val="auto"/>
          <w:sz w:val="24"/>
          <w:highlight w:val="none"/>
        </w:rPr>
      </w:pPr>
      <w:r>
        <w:rPr>
          <w:color w:val="auto"/>
          <w:sz w:val="24"/>
          <w:highlight w:val="none"/>
        </w:rPr>
        <w:t>202</w:t>
      </w:r>
      <w:r>
        <w:rPr>
          <w:rFonts w:hint="eastAsia"/>
          <w:color w:val="auto"/>
          <w:sz w:val="24"/>
          <w:highlight w:val="none"/>
        </w:rPr>
        <w:t>2</w:t>
      </w:r>
      <w:r>
        <w:rPr>
          <w:color w:val="auto"/>
          <w:sz w:val="24"/>
          <w:highlight w:val="none"/>
        </w:rPr>
        <w:t>年</w:t>
      </w:r>
      <w:r>
        <w:rPr>
          <w:rFonts w:hint="eastAsia"/>
          <w:color w:val="auto"/>
          <w:sz w:val="24"/>
          <w:highlight w:val="none"/>
        </w:rPr>
        <w:t>6</w:t>
      </w:r>
      <w:r>
        <w:rPr>
          <w:color w:val="auto"/>
          <w:sz w:val="24"/>
          <w:highlight w:val="none"/>
        </w:rPr>
        <w:t>月，</w:t>
      </w:r>
      <w:r>
        <w:rPr>
          <w:rFonts w:hint="eastAsia"/>
          <w:color w:val="auto"/>
          <w:kern w:val="24"/>
          <w:sz w:val="24"/>
          <w:highlight w:val="none"/>
        </w:rPr>
        <w:t>山东付新环保科技有限公司</w:t>
      </w:r>
      <w:r>
        <w:rPr>
          <w:color w:val="auto"/>
          <w:sz w:val="24"/>
          <w:highlight w:val="none"/>
        </w:rPr>
        <w:t>委托我</w:t>
      </w:r>
      <w:r>
        <w:rPr>
          <w:rFonts w:hint="eastAsia"/>
          <w:color w:val="auto"/>
          <w:sz w:val="24"/>
          <w:highlight w:val="none"/>
        </w:rPr>
        <w:t>公司</w:t>
      </w:r>
      <w:r>
        <w:rPr>
          <w:color w:val="auto"/>
          <w:sz w:val="24"/>
          <w:highlight w:val="none"/>
        </w:rPr>
        <w:t>编制《</w:t>
      </w:r>
      <w:r>
        <w:rPr>
          <w:rFonts w:hint="eastAsia"/>
          <w:color w:val="auto"/>
          <w:kern w:val="24"/>
          <w:sz w:val="24"/>
          <w:highlight w:val="none"/>
        </w:rPr>
        <w:t>山东付新环保科技有限公司绿色高性能复合管项目</w:t>
      </w:r>
      <w:r>
        <w:rPr>
          <w:color w:val="auto"/>
          <w:sz w:val="24"/>
          <w:highlight w:val="none"/>
        </w:rPr>
        <w:t>环境影响报告书》。接受委托后，我</w:t>
      </w:r>
      <w:r>
        <w:rPr>
          <w:rFonts w:hint="eastAsia"/>
          <w:color w:val="auto"/>
          <w:sz w:val="24"/>
          <w:highlight w:val="none"/>
        </w:rPr>
        <w:t>公司</w:t>
      </w:r>
      <w:r>
        <w:rPr>
          <w:color w:val="auto"/>
          <w:sz w:val="24"/>
          <w:highlight w:val="none"/>
        </w:rPr>
        <w:t>成立了项目组，依据相关环评导则等技术文件及其他有关文件进行初步工程分析，在建设单位的配合下，开展了初步的环境调查，对项目区域的自然环境、生态环境、环境质量现状监测资料等环境概况进行了调查和收集整理，确定了评价重点、环境保护目标、评价工作等级、评价范围和评价标准，制定了工作方案。</w:t>
      </w:r>
    </w:p>
    <w:p>
      <w:pPr>
        <w:pStyle w:val="99"/>
        <w:ind w:firstLine="480"/>
        <w:rPr>
          <w:color w:val="auto"/>
          <w:highlight w:val="none"/>
        </w:rPr>
      </w:pPr>
      <w:r>
        <w:rPr>
          <w:color w:val="auto"/>
          <w:highlight w:val="none"/>
        </w:rPr>
        <w:t>根据《建设项目环境影响评价分类管理名录</w:t>
      </w:r>
      <w:r>
        <w:rPr>
          <w:rFonts w:hint="eastAsia"/>
          <w:color w:val="auto"/>
          <w:highlight w:val="none"/>
        </w:rPr>
        <w:t>(2021年版)</w:t>
      </w:r>
      <w:r>
        <w:rPr>
          <w:color w:val="auto"/>
          <w:highlight w:val="none"/>
        </w:rPr>
        <w:t>》</w:t>
      </w:r>
      <w:r>
        <w:rPr>
          <w:rFonts w:hint="eastAsia"/>
          <w:color w:val="auto"/>
          <w:highlight w:val="none"/>
        </w:rPr>
        <w:t>判定</w:t>
      </w:r>
      <w:r>
        <w:rPr>
          <w:color w:val="auto"/>
          <w:highlight w:val="none"/>
        </w:rPr>
        <w:t>，本项目属于</w:t>
      </w:r>
      <w:r>
        <w:rPr>
          <w:rFonts w:hint="eastAsia"/>
          <w:color w:val="auto"/>
          <w:highlight w:val="none"/>
        </w:rPr>
        <w:t>“二十六、橡胶和塑料制品业29”</w:t>
      </w:r>
      <w:r>
        <w:rPr>
          <w:color w:val="auto"/>
          <w:highlight w:val="none"/>
        </w:rPr>
        <w:t>中</w:t>
      </w:r>
      <w:r>
        <w:rPr>
          <w:rFonts w:hint="eastAsia"/>
          <w:color w:val="auto"/>
          <w:highlight w:val="none"/>
        </w:rPr>
        <w:t>“53 塑料制品业 292…以再生塑料为原料生产的；有电镀工艺的；年用溶剂型胶粘剂10吨及以上的；年用溶剂型涂料（含稀释剂）10吨及以上的”，本项目以再生塑料</w:t>
      </w:r>
      <w:r>
        <w:rPr>
          <w:rFonts w:hint="eastAsia"/>
          <w:color w:val="auto"/>
          <w:highlight w:val="none"/>
          <w:lang w:val="en-US" w:eastAsia="zh-CN"/>
        </w:rPr>
        <w:t>为</w:t>
      </w:r>
      <w:r>
        <w:rPr>
          <w:rFonts w:hint="eastAsia"/>
          <w:color w:val="auto"/>
          <w:highlight w:val="none"/>
        </w:rPr>
        <w:t>原料，</w:t>
      </w:r>
      <w:r>
        <w:rPr>
          <w:color w:val="auto"/>
          <w:highlight w:val="none"/>
        </w:rPr>
        <w:t>需要编制环境影响报告书</w:t>
      </w:r>
      <w:r>
        <w:rPr>
          <w:rFonts w:hint="eastAsia"/>
          <w:color w:val="auto"/>
          <w:highlight w:val="none"/>
        </w:rPr>
        <w:t>。</w:t>
      </w:r>
    </w:p>
    <w:p>
      <w:pPr>
        <w:spacing w:line="360" w:lineRule="auto"/>
        <w:ind w:firstLine="480" w:firstLineChars="200"/>
        <w:rPr>
          <w:color w:val="auto"/>
          <w:sz w:val="24"/>
          <w:highlight w:val="none"/>
        </w:rPr>
      </w:pPr>
      <w:r>
        <w:rPr>
          <w:color w:val="auto"/>
          <w:sz w:val="24"/>
          <w:highlight w:val="none"/>
        </w:rPr>
        <w:t>环评工作人员依据环境质量现状检测数据和工程分析进行论证和预测，并根据环境影响评价有关技术导则、规范，编制完成了《</w:t>
      </w:r>
      <w:r>
        <w:rPr>
          <w:rFonts w:hint="eastAsia"/>
          <w:color w:val="auto"/>
          <w:kern w:val="24"/>
          <w:sz w:val="24"/>
          <w:highlight w:val="none"/>
          <w:lang w:bidi="he-IL"/>
        </w:rPr>
        <w:t>山东付新环保科技有限公司绿色高性能复合管项目</w:t>
      </w:r>
      <w:r>
        <w:rPr>
          <w:color w:val="auto"/>
          <w:sz w:val="24"/>
          <w:highlight w:val="none"/>
        </w:rPr>
        <w:t>环境影响报告书》。</w:t>
      </w:r>
    </w:p>
    <w:p>
      <w:pPr>
        <w:spacing w:line="360" w:lineRule="auto"/>
        <w:ind w:firstLine="480" w:firstLineChars="200"/>
        <w:rPr>
          <w:rFonts w:hint="eastAsia"/>
          <w:color w:val="auto"/>
          <w:kern w:val="0"/>
          <w:sz w:val="24"/>
          <w:highlight w:val="none"/>
        </w:rPr>
      </w:pPr>
      <w:r>
        <w:rPr>
          <w:color w:val="auto"/>
          <w:kern w:val="0"/>
          <w:sz w:val="24"/>
          <w:highlight w:val="none"/>
        </w:rPr>
        <w:t>建设单位</w:t>
      </w:r>
      <w:r>
        <w:rPr>
          <w:color w:val="auto"/>
          <w:sz w:val="24"/>
          <w:highlight w:val="none"/>
        </w:rPr>
        <w:t>在委托我公司承担项目环境影响评价工作后，</w:t>
      </w:r>
      <w:r>
        <w:rPr>
          <w:color w:val="auto"/>
          <w:kern w:val="0"/>
          <w:sz w:val="24"/>
          <w:highlight w:val="none"/>
        </w:rPr>
        <w:t>于202</w:t>
      </w:r>
      <w:r>
        <w:rPr>
          <w:rFonts w:hint="eastAsia"/>
          <w:color w:val="auto"/>
          <w:kern w:val="0"/>
          <w:sz w:val="24"/>
          <w:highlight w:val="none"/>
        </w:rPr>
        <w:t>2</w:t>
      </w:r>
      <w:r>
        <w:rPr>
          <w:color w:val="auto"/>
          <w:kern w:val="0"/>
          <w:sz w:val="24"/>
          <w:highlight w:val="none"/>
        </w:rPr>
        <w:t>年</w:t>
      </w:r>
      <w:r>
        <w:rPr>
          <w:rFonts w:hint="eastAsia"/>
          <w:color w:val="auto"/>
          <w:kern w:val="0"/>
          <w:sz w:val="24"/>
          <w:highlight w:val="none"/>
        </w:rPr>
        <w:t>6</w:t>
      </w:r>
      <w:r>
        <w:rPr>
          <w:color w:val="auto"/>
          <w:kern w:val="0"/>
          <w:sz w:val="24"/>
          <w:highlight w:val="none"/>
        </w:rPr>
        <w:t>月</w:t>
      </w:r>
      <w:r>
        <w:rPr>
          <w:rFonts w:hint="eastAsia"/>
          <w:color w:val="auto"/>
          <w:kern w:val="0"/>
          <w:sz w:val="24"/>
          <w:highlight w:val="none"/>
        </w:rPr>
        <w:t>27</w:t>
      </w:r>
      <w:r>
        <w:rPr>
          <w:color w:val="auto"/>
          <w:kern w:val="0"/>
          <w:sz w:val="24"/>
          <w:highlight w:val="none"/>
        </w:rPr>
        <w:t>日发布了第一次环评信息公告。2022年</w:t>
      </w:r>
      <w:r>
        <w:rPr>
          <w:rFonts w:hint="eastAsia"/>
          <w:color w:val="auto"/>
          <w:kern w:val="0"/>
          <w:sz w:val="24"/>
          <w:highlight w:val="none"/>
        </w:rPr>
        <w:t>8</w:t>
      </w:r>
      <w:r>
        <w:rPr>
          <w:color w:val="auto"/>
          <w:kern w:val="0"/>
          <w:sz w:val="24"/>
          <w:highlight w:val="none"/>
        </w:rPr>
        <w:t>月</w:t>
      </w:r>
      <w:r>
        <w:rPr>
          <w:rFonts w:hint="eastAsia"/>
          <w:color w:val="auto"/>
          <w:kern w:val="0"/>
          <w:sz w:val="24"/>
          <w:highlight w:val="none"/>
        </w:rPr>
        <w:t>15</w:t>
      </w:r>
      <w:r>
        <w:rPr>
          <w:color w:val="auto"/>
          <w:kern w:val="0"/>
          <w:sz w:val="24"/>
          <w:highlight w:val="none"/>
        </w:rPr>
        <w:t>日，企业在峄城区人民政府网上进行了第二次环评信息公示。自公示之日起10个工作日内，未收到公众和团体有关本工程建设和环境保护方面的电话和信件。</w:t>
      </w:r>
      <w:r>
        <w:rPr>
          <w:rFonts w:hint="eastAsia"/>
          <w:color w:val="auto"/>
          <w:kern w:val="0"/>
          <w:sz w:val="24"/>
          <w:highlight w:val="none"/>
        </w:rPr>
        <w:t>建设单位已将公众参与相关内容单独编制成册。</w:t>
      </w:r>
    </w:p>
    <w:p>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2022年11月28日，枣庄市生态环境局通过视频主持召开了“山东付新环保科技有限公司绿色高性能复合管项目环境影响报告书”（以下简称“报告书”）技术审查会，形成评审意见，现已将专家意见一并修改并申请报批。</w:t>
      </w:r>
    </w:p>
    <w:p>
      <w:pPr>
        <w:spacing w:line="360" w:lineRule="auto"/>
        <w:ind w:firstLine="482" w:firstLineChars="200"/>
        <w:jc w:val="left"/>
        <w:rPr>
          <w:b/>
          <w:color w:val="auto"/>
          <w:sz w:val="24"/>
          <w:highlight w:val="none"/>
        </w:rPr>
      </w:pPr>
      <w:r>
        <w:rPr>
          <w:rFonts w:hint="eastAsia"/>
          <w:b/>
          <w:color w:val="auto"/>
          <w:sz w:val="24"/>
          <w:highlight w:val="none"/>
        </w:rPr>
        <w:t>三、分析判定相关情况</w:t>
      </w:r>
    </w:p>
    <w:p>
      <w:pPr>
        <w:spacing w:line="360" w:lineRule="auto"/>
        <w:ind w:firstLine="482" w:firstLineChars="200"/>
        <w:rPr>
          <w:b/>
          <w:color w:val="auto"/>
          <w:kern w:val="0"/>
          <w:sz w:val="24"/>
          <w:highlight w:val="none"/>
        </w:rPr>
      </w:pPr>
      <w:r>
        <w:rPr>
          <w:rFonts w:hint="eastAsia"/>
          <w:b/>
          <w:color w:val="auto"/>
          <w:kern w:val="0"/>
          <w:sz w:val="24"/>
          <w:highlight w:val="none"/>
        </w:rPr>
        <w:t>1、政策符合性</w:t>
      </w:r>
    </w:p>
    <w:p>
      <w:pPr>
        <w:pStyle w:val="99"/>
        <w:ind w:firstLine="480"/>
        <w:rPr>
          <w:color w:val="auto"/>
          <w:highlight w:val="none"/>
        </w:rPr>
      </w:pPr>
      <w:r>
        <w:rPr>
          <w:color w:val="auto"/>
          <w:highlight w:val="none"/>
        </w:rPr>
        <w:t>本项目产品包括</w:t>
      </w:r>
      <w:r>
        <w:rPr>
          <w:rFonts w:hint="eastAsia"/>
          <w:color w:val="auto"/>
          <w:highlight w:val="none"/>
        </w:rPr>
        <w:t>HDPE给水管、HDPE中空壁缠绕管、HDPE双壁波纹管、PP注塑污水管件，其中HDPE中空壁缠绕管、HDPE双壁波纹管、PP注塑污水管件使用废旧塑料生产，属于《产业结构调整指导目录（2019年本）》中鼓励类第四十三类“环境保护与资源节约综合利用”中第15款““三废”综合利用与治理技术、装备和工程”，符合国家产业政策。该项目于2022年6月24日取得《山东省建设项目备案证明》(项目代码：2206-370404-89-01-716661)。</w:t>
      </w:r>
    </w:p>
    <w:p>
      <w:pPr>
        <w:pStyle w:val="99"/>
        <w:ind w:firstLine="480"/>
        <w:rPr>
          <w:color w:val="auto"/>
          <w:highlight w:val="none"/>
        </w:rPr>
      </w:pPr>
      <w:r>
        <w:rPr>
          <w:color w:val="auto"/>
          <w:highlight w:val="none"/>
        </w:rPr>
        <w:t>项目不属于《关于抑制部分行业产能过剩和重复建设引导产业健康发展若干意见的通知》</w:t>
      </w:r>
      <w:r>
        <w:rPr>
          <w:rFonts w:hint="eastAsia"/>
          <w:color w:val="auto"/>
          <w:highlight w:val="none"/>
        </w:rPr>
        <w:t>(</w:t>
      </w:r>
      <w:r>
        <w:rPr>
          <w:color w:val="auto"/>
          <w:highlight w:val="none"/>
        </w:rPr>
        <w:t>国发[20</w:t>
      </w:r>
      <w:r>
        <w:rPr>
          <w:rFonts w:hint="eastAsia"/>
          <w:color w:val="auto"/>
          <w:highlight w:val="none"/>
        </w:rPr>
        <w:t>09</w:t>
      </w:r>
      <w:r>
        <w:rPr>
          <w:color w:val="auto"/>
          <w:highlight w:val="none"/>
        </w:rPr>
        <w:t>]38号</w:t>
      </w:r>
      <w:r>
        <w:rPr>
          <w:rFonts w:hint="eastAsia"/>
          <w:color w:val="auto"/>
          <w:highlight w:val="none"/>
        </w:rPr>
        <w:t>)</w:t>
      </w:r>
      <w:r>
        <w:rPr>
          <w:color w:val="auto"/>
          <w:highlight w:val="none"/>
        </w:rPr>
        <w:t>中抑制的行业；不属于《国务院关于进一步加强淘汰落后产能工作的通知》</w:t>
      </w:r>
      <w:r>
        <w:rPr>
          <w:rFonts w:hint="eastAsia"/>
          <w:color w:val="auto"/>
          <w:highlight w:val="none"/>
        </w:rPr>
        <w:t>(</w:t>
      </w:r>
      <w:r>
        <w:rPr>
          <w:color w:val="auto"/>
          <w:highlight w:val="none"/>
        </w:rPr>
        <w:t>国发[20</w:t>
      </w:r>
      <w:r>
        <w:rPr>
          <w:rFonts w:hint="eastAsia"/>
          <w:color w:val="auto"/>
          <w:highlight w:val="none"/>
        </w:rPr>
        <w:t>10</w:t>
      </w:r>
      <w:r>
        <w:rPr>
          <w:color w:val="auto"/>
          <w:highlight w:val="none"/>
        </w:rPr>
        <w:t>]7号</w:t>
      </w:r>
      <w:r>
        <w:rPr>
          <w:rFonts w:hint="eastAsia"/>
          <w:color w:val="auto"/>
          <w:highlight w:val="none"/>
        </w:rPr>
        <w:t>)</w:t>
      </w:r>
      <w:r>
        <w:rPr>
          <w:color w:val="auto"/>
          <w:highlight w:val="none"/>
        </w:rPr>
        <w:t>中要淘汰的行业。</w:t>
      </w:r>
    </w:p>
    <w:p>
      <w:pPr>
        <w:pStyle w:val="99"/>
        <w:ind w:firstLine="480"/>
        <w:rPr>
          <w:color w:val="auto"/>
          <w:highlight w:val="none"/>
        </w:rPr>
      </w:pPr>
      <w:r>
        <w:rPr>
          <w:rFonts w:hint="eastAsia"/>
          <w:color w:val="auto"/>
          <w:highlight w:val="none"/>
        </w:rPr>
        <w:t>综上，</w:t>
      </w:r>
      <w:r>
        <w:rPr>
          <w:color w:val="auto"/>
          <w:highlight w:val="none"/>
        </w:rPr>
        <w:t>项目的建设符合国家产业政策</w:t>
      </w:r>
      <w:r>
        <w:rPr>
          <w:rFonts w:hint="eastAsia"/>
          <w:color w:val="auto"/>
          <w:highlight w:val="none"/>
        </w:rPr>
        <w:t>要求</w:t>
      </w:r>
      <w:r>
        <w:rPr>
          <w:color w:val="auto"/>
          <w:highlight w:val="none"/>
        </w:rPr>
        <w:t>。</w:t>
      </w:r>
    </w:p>
    <w:p>
      <w:pPr>
        <w:spacing w:line="360" w:lineRule="auto"/>
        <w:ind w:firstLine="482" w:firstLineChars="200"/>
        <w:rPr>
          <w:b/>
          <w:color w:val="auto"/>
          <w:kern w:val="0"/>
          <w:sz w:val="24"/>
          <w:highlight w:val="none"/>
        </w:rPr>
      </w:pPr>
      <w:r>
        <w:rPr>
          <w:rFonts w:hint="eastAsia"/>
          <w:b/>
          <w:color w:val="auto"/>
          <w:kern w:val="0"/>
          <w:sz w:val="24"/>
          <w:highlight w:val="none"/>
        </w:rPr>
        <w:t>2、规划符合性</w:t>
      </w:r>
    </w:p>
    <w:p>
      <w:pPr>
        <w:pStyle w:val="99"/>
        <w:ind w:firstLine="480"/>
        <w:rPr>
          <w:color w:val="auto"/>
          <w:highlight w:val="none"/>
        </w:rPr>
      </w:pPr>
      <w:r>
        <w:rPr>
          <w:color w:val="auto"/>
          <w:highlight w:val="none"/>
        </w:rPr>
        <w:t>项目位于</w:t>
      </w:r>
      <w:r>
        <w:rPr>
          <w:rFonts w:hint="eastAsia"/>
          <w:color w:val="auto"/>
          <w:highlight w:val="none"/>
        </w:rPr>
        <w:t>枣庄市峄城区峨山镇大官庄村西</w:t>
      </w:r>
      <w:r>
        <w:rPr>
          <w:color w:val="auto"/>
          <w:highlight w:val="none"/>
        </w:rPr>
        <w:t>，项目用地性质为工业用地，土地手续合法。</w:t>
      </w:r>
    </w:p>
    <w:p>
      <w:pPr>
        <w:pStyle w:val="99"/>
        <w:ind w:firstLine="480"/>
        <w:rPr>
          <w:color w:val="auto"/>
          <w:highlight w:val="none"/>
        </w:rPr>
      </w:pPr>
      <w:r>
        <w:rPr>
          <w:rFonts w:hint="eastAsia"/>
          <w:color w:val="auto"/>
          <w:highlight w:val="none"/>
        </w:rPr>
        <w:t>项目</w:t>
      </w:r>
      <w:r>
        <w:rPr>
          <w:color w:val="auto"/>
          <w:highlight w:val="none"/>
        </w:rPr>
        <w:t>用地亦不属于《限制用地项目目录</w:t>
      </w:r>
      <w:r>
        <w:rPr>
          <w:rFonts w:hint="eastAsia"/>
          <w:color w:val="auto"/>
          <w:highlight w:val="none"/>
        </w:rPr>
        <w:t>(</w:t>
      </w:r>
      <w:r>
        <w:rPr>
          <w:color w:val="auto"/>
          <w:highlight w:val="none"/>
        </w:rPr>
        <w:t>2012年本</w:t>
      </w:r>
      <w:r>
        <w:rPr>
          <w:rFonts w:hint="eastAsia"/>
          <w:color w:val="auto"/>
          <w:highlight w:val="none"/>
        </w:rPr>
        <w:t>)</w:t>
      </w:r>
      <w:r>
        <w:rPr>
          <w:color w:val="auto"/>
          <w:highlight w:val="none"/>
        </w:rPr>
        <w:t>》和《禁止用地项目目录</w:t>
      </w:r>
      <w:r>
        <w:rPr>
          <w:rFonts w:hint="eastAsia"/>
          <w:color w:val="auto"/>
          <w:highlight w:val="none"/>
        </w:rPr>
        <w:t>(</w:t>
      </w:r>
      <w:r>
        <w:rPr>
          <w:color w:val="auto"/>
          <w:highlight w:val="none"/>
        </w:rPr>
        <w:t>2012年本</w:t>
      </w:r>
      <w:r>
        <w:rPr>
          <w:rFonts w:hint="eastAsia"/>
          <w:color w:val="auto"/>
          <w:highlight w:val="none"/>
        </w:rPr>
        <w:t>)</w:t>
      </w:r>
      <w:r>
        <w:rPr>
          <w:color w:val="auto"/>
          <w:highlight w:val="none"/>
        </w:rPr>
        <w:t>》中的限制类和禁止类</w:t>
      </w:r>
      <w:r>
        <w:rPr>
          <w:rFonts w:hint="eastAsia"/>
          <w:color w:val="auto"/>
          <w:highlight w:val="none"/>
        </w:rPr>
        <w:t>。</w:t>
      </w:r>
    </w:p>
    <w:p>
      <w:pPr>
        <w:pStyle w:val="99"/>
        <w:ind w:firstLine="480"/>
        <w:rPr>
          <w:color w:val="auto"/>
          <w:highlight w:val="none"/>
        </w:rPr>
      </w:pPr>
      <w:r>
        <w:rPr>
          <w:color w:val="auto"/>
          <w:highlight w:val="none"/>
        </w:rPr>
        <w:t>因此</w:t>
      </w:r>
      <w:r>
        <w:rPr>
          <w:rFonts w:hint="eastAsia"/>
          <w:color w:val="auto"/>
          <w:highlight w:val="none"/>
        </w:rPr>
        <w:t>，</w:t>
      </w:r>
      <w:r>
        <w:rPr>
          <w:color w:val="auto"/>
          <w:highlight w:val="none"/>
        </w:rPr>
        <w:t>项目的建设符合</w:t>
      </w:r>
      <w:r>
        <w:rPr>
          <w:rFonts w:hint="eastAsia"/>
          <w:color w:val="auto"/>
          <w:highlight w:val="none"/>
        </w:rPr>
        <w:t>用地规划</w:t>
      </w:r>
      <w:r>
        <w:rPr>
          <w:color w:val="auto"/>
          <w:highlight w:val="none"/>
        </w:rPr>
        <w:t>。</w:t>
      </w:r>
    </w:p>
    <w:p>
      <w:pPr>
        <w:pStyle w:val="99"/>
        <w:ind w:firstLine="480"/>
        <w:rPr>
          <w:color w:val="auto"/>
          <w:highlight w:val="none"/>
        </w:rPr>
      </w:pPr>
      <w:r>
        <w:rPr>
          <w:color w:val="auto"/>
          <w:highlight w:val="none"/>
        </w:rPr>
        <w:t>该项目属于新建项目，符合国家产业政策要求，采用的工艺技术较先进，污染物产生量较小，采取环评中提出的防治措施后污染物能够达标排放。项目筹建企业不存在山东省环保局要求的“禁批”和“限批”行为，所处区域位置也不在山东省</w:t>
      </w:r>
      <w:r>
        <w:rPr>
          <w:rFonts w:hint="eastAsia"/>
          <w:color w:val="auto"/>
          <w:highlight w:val="none"/>
          <w:lang w:val="en-US" w:eastAsia="zh-CN"/>
        </w:rPr>
        <w:t>生态环境厅</w:t>
      </w:r>
      <w:r>
        <w:rPr>
          <w:color w:val="auto"/>
          <w:highlight w:val="none"/>
        </w:rPr>
        <w:t>要求的“禁批”和“限批”范围内。</w:t>
      </w:r>
    </w:p>
    <w:p>
      <w:pPr>
        <w:spacing w:line="360" w:lineRule="auto"/>
        <w:ind w:firstLine="482" w:firstLineChars="200"/>
        <w:rPr>
          <w:b/>
          <w:color w:val="auto"/>
          <w:kern w:val="0"/>
          <w:sz w:val="24"/>
          <w:highlight w:val="none"/>
        </w:rPr>
      </w:pPr>
      <w:r>
        <w:rPr>
          <w:rFonts w:hint="eastAsia"/>
          <w:b/>
          <w:color w:val="auto"/>
          <w:kern w:val="0"/>
          <w:sz w:val="24"/>
          <w:highlight w:val="none"/>
        </w:rPr>
        <w:t>3、相关规划、文件符合性</w:t>
      </w:r>
    </w:p>
    <w:p>
      <w:pPr>
        <w:autoSpaceDE w:val="0"/>
        <w:autoSpaceDN w:val="0"/>
        <w:adjustRightInd w:val="0"/>
        <w:spacing w:line="360" w:lineRule="auto"/>
        <w:ind w:firstLine="480" w:firstLineChars="200"/>
        <w:rPr>
          <w:rFonts w:hAnsi="宋体"/>
          <w:color w:val="auto"/>
          <w:sz w:val="24"/>
          <w:highlight w:val="none"/>
        </w:rPr>
      </w:pPr>
      <w:r>
        <w:rPr>
          <w:rFonts w:hAnsi="宋体"/>
          <w:color w:val="auto"/>
          <w:sz w:val="24"/>
          <w:highlight w:val="none"/>
        </w:rPr>
        <w:t>项目</w:t>
      </w:r>
      <w:r>
        <w:rPr>
          <w:rFonts w:hint="eastAsia" w:hAnsi="宋体"/>
          <w:color w:val="auto"/>
          <w:sz w:val="24"/>
          <w:highlight w:val="none"/>
        </w:rPr>
        <w:t>的</w:t>
      </w:r>
      <w:r>
        <w:rPr>
          <w:rFonts w:hAnsi="宋体"/>
          <w:color w:val="auto"/>
          <w:sz w:val="24"/>
          <w:highlight w:val="none"/>
        </w:rPr>
        <w:t>建设符合</w:t>
      </w:r>
      <w:r>
        <w:rPr>
          <w:rFonts w:hint="eastAsia" w:hAnsi="宋体"/>
          <w:color w:val="auto"/>
          <w:sz w:val="24"/>
          <w:highlight w:val="none"/>
          <w:lang w:val="en-US" w:eastAsia="zh-CN"/>
        </w:rPr>
        <w:t>山东省生态环境厅</w:t>
      </w:r>
      <w:r>
        <w:rPr>
          <w:rFonts w:hAnsi="宋体"/>
          <w:color w:val="auto"/>
          <w:sz w:val="24"/>
          <w:highlight w:val="none"/>
        </w:rPr>
        <w:t>建设项目审批原则，不属于</w:t>
      </w:r>
      <w:r>
        <w:rPr>
          <w:rFonts w:hint="eastAsia" w:hAnsi="宋体"/>
          <w:color w:val="auto"/>
          <w:sz w:val="24"/>
          <w:highlight w:val="none"/>
          <w:lang w:val="en-US" w:eastAsia="zh-CN"/>
        </w:rPr>
        <w:t>山东省生态环境厅</w:t>
      </w:r>
      <w:r>
        <w:rPr>
          <w:rFonts w:hAnsi="宋体"/>
          <w:color w:val="auto"/>
          <w:sz w:val="24"/>
          <w:highlight w:val="none"/>
        </w:rPr>
        <w:t>规定的企业限批、局部禁批或限批、区域限批范围</w:t>
      </w:r>
      <w:r>
        <w:rPr>
          <w:rFonts w:hint="eastAsia" w:hAnsi="宋体"/>
          <w:color w:val="auto"/>
          <w:sz w:val="24"/>
          <w:highlight w:val="none"/>
        </w:rPr>
        <w:t>；</w:t>
      </w:r>
      <w:r>
        <w:rPr>
          <w:rFonts w:hAnsi="宋体"/>
          <w:color w:val="auto"/>
          <w:sz w:val="24"/>
          <w:highlight w:val="none"/>
        </w:rPr>
        <w:t>符合</w:t>
      </w:r>
      <w:r>
        <w:rPr>
          <w:bCs/>
          <w:color w:val="auto"/>
          <w:sz w:val="24"/>
          <w:highlight w:val="none"/>
        </w:rPr>
        <w:t>《山东省废塑料资源化行业污染防治技术政策》（DB37</w:t>
      </w:r>
      <w:r>
        <w:rPr>
          <w:rFonts w:hint="eastAsia"/>
          <w:bCs/>
          <w:color w:val="auto"/>
          <w:sz w:val="24"/>
          <w:highlight w:val="none"/>
        </w:rPr>
        <w:t>/</w:t>
      </w:r>
      <w:r>
        <w:rPr>
          <w:bCs/>
          <w:color w:val="auto"/>
          <w:sz w:val="24"/>
          <w:highlight w:val="none"/>
        </w:rPr>
        <w:t>T 1865－2011）</w:t>
      </w:r>
      <w:r>
        <w:rPr>
          <w:rFonts w:hint="eastAsia"/>
          <w:bCs/>
          <w:color w:val="auto"/>
          <w:sz w:val="24"/>
          <w:highlight w:val="none"/>
        </w:rPr>
        <w:t>、</w:t>
      </w:r>
      <w:r>
        <w:rPr>
          <w:bCs/>
          <w:color w:val="auto"/>
          <w:sz w:val="24"/>
          <w:highlight w:val="none"/>
        </w:rPr>
        <w:t>《废塑料污染控制技术规范》（HJ364-</w:t>
      </w:r>
      <w:r>
        <w:rPr>
          <w:rFonts w:hint="eastAsia"/>
          <w:bCs/>
          <w:color w:val="auto"/>
          <w:sz w:val="24"/>
          <w:highlight w:val="none"/>
        </w:rPr>
        <w:t>2</w:t>
      </w:r>
      <w:r>
        <w:rPr>
          <w:rFonts w:hint="eastAsia"/>
          <w:color w:val="auto"/>
          <w:sz w:val="24"/>
          <w:highlight w:val="none"/>
        </w:rPr>
        <w:t>022</w:t>
      </w:r>
      <w:r>
        <w:rPr>
          <w:color w:val="auto"/>
          <w:sz w:val="24"/>
          <w:highlight w:val="none"/>
        </w:rPr>
        <w:t>）</w:t>
      </w:r>
      <w:r>
        <w:rPr>
          <w:rFonts w:hint="eastAsia" w:hAnsi="宋体"/>
          <w:color w:val="auto"/>
          <w:sz w:val="24"/>
          <w:highlight w:val="none"/>
        </w:rPr>
        <w:t>；符合</w:t>
      </w:r>
      <w:r>
        <w:rPr>
          <w:rFonts w:hAnsi="宋体"/>
          <w:color w:val="auto"/>
          <w:sz w:val="24"/>
          <w:highlight w:val="none"/>
        </w:rPr>
        <w:t>“气十条”、“水十条”、“土十条”现行环境管理要求</w:t>
      </w:r>
      <w:r>
        <w:rPr>
          <w:rFonts w:hint="eastAsia" w:hAnsi="宋体"/>
          <w:color w:val="auto"/>
          <w:sz w:val="24"/>
          <w:highlight w:val="none"/>
        </w:rPr>
        <w:t>、《山东省深入打好蓝天保卫战行动计划(2021-2025年)》、《山东省新一轮“四减四增”三年行动方案(2021-2023年)》、《山东省工业企业无组织排放分行业管控指导意见》(鲁环发[2020]30号)、《重点行业挥发性有机物综合治理方案》、《山东省涉挥发性有机物企业分行业治理指导意见》(鲁环发[2019]146号)、《关于严格项目审批工作坚决防止新上“散乱污”项目的通知》(鲁环字〔2021〕58号)、《枣庄市生态环境局关于严格执行山东省大气污染物排放标准的通知》(枣环函[2019]56号)等文件相关要求；符合</w:t>
      </w:r>
      <w:r>
        <w:rPr>
          <w:rFonts w:hAnsi="宋体"/>
          <w:color w:val="auto"/>
          <w:sz w:val="24"/>
          <w:highlight w:val="none"/>
        </w:rPr>
        <w:t>《山东省生态保护红线规划</w:t>
      </w:r>
      <w:r>
        <w:rPr>
          <w:rFonts w:hint="eastAsia" w:hAnsi="宋体"/>
          <w:color w:val="auto"/>
          <w:sz w:val="24"/>
          <w:highlight w:val="none"/>
        </w:rPr>
        <w:t>(</w:t>
      </w:r>
      <w:r>
        <w:rPr>
          <w:rFonts w:hAnsi="宋体"/>
          <w:color w:val="auto"/>
          <w:sz w:val="24"/>
          <w:highlight w:val="none"/>
        </w:rPr>
        <w:t>2016-2020年</w:t>
      </w:r>
      <w:r>
        <w:rPr>
          <w:rFonts w:hint="eastAsia" w:hAnsi="宋体"/>
          <w:color w:val="auto"/>
          <w:sz w:val="24"/>
          <w:highlight w:val="none"/>
        </w:rPr>
        <w:t>)</w:t>
      </w:r>
      <w:r>
        <w:rPr>
          <w:rFonts w:hAnsi="宋体"/>
          <w:color w:val="auto"/>
          <w:sz w:val="24"/>
          <w:highlight w:val="none"/>
        </w:rPr>
        <w:t>》</w:t>
      </w:r>
      <w:r>
        <w:rPr>
          <w:rFonts w:hint="eastAsia" w:hAnsi="宋体"/>
          <w:color w:val="auto"/>
          <w:sz w:val="24"/>
          <w:highlight w:val="none"/>
          <w:lang w:val="en-US" w:eastAsia="zh-CN"/>
        </w:rPr>
        <w:t>及</w:t>
      </w:r>
      <w:r>
        <w:rPr>
          <w:rFonts w:hint="eastAsia" w:hAnsi="宋体"/>
          <w:color w:val="auto"/>
          <w:sz w:val="24"/>
          <w:highlight w:val="none"/>
          <w:lang w:eastAsia="zh-CN"/>
        </w:rPr>
        <w:t>《枣庄市“三线一单”生态环境分区管控方案》（枣政字〔2021〕16号）</w:t>
      </w:r>
      <w:r>
        <w:rPr>
          <w:rFonts w:hAnsi="宋体"/>
          <w:color w:val="auto"/>
          <w:sz w:val="24"/>
          <w:highlight w:val="none"/>
        </w:rPr>
        <w:t>的要求。</w:t>
      </w:r>
    </w:p>
    <w:p>
      <w:pPr>
        <w:spacing w:line="360" w:lineRule="auto"/>
        <w:ind w:firstLine="482" w:firstLineChars="200"/>
        <w:jc w:val="left"/>
        <w:rPr>
          <w:b/>
          <w:color w:val="auto"/>
          <w:sz w:val="24"/>
          <w:highlight w:val="none"/>
        </w:rPr>
      </w:pPr>
      <w:r>
        <w:rPr>
          <w:rFonts w:hint="eastAsia"/>
          <w:b/>
          <w:color w:val="auto"/>
          <w:sz w:val="24"/>
          <w:highlight w:val="none"/>
        </w:rPr>
        <w:t>四、关注的主要环境问题及环境影响</w:t>
      </w:r>
    </w:p>
    <w:p>
      <w:pPr>
        <w:spacing w:line="360" w:lineRule="auto"/>
        <w:ind w:firstLine="480" w:firstLineChars="200"/>
        <w:rPr>
          <w:color w:val="auto"/>
          <w:sz w:val="24"/>
          <w:highlight w:val="none"/>
        </w:rPr>
      </w:pPr>
      <w:r>
        <w:rPr>
          <w:color w:val="auto"/>
          <w:sz w:val="24"/>
          <w:highlight w:val="none"/>
        </w:rPr>
        <w:t>1、关注的主要环境问题</w:t>
      </w:r>
    </w:p>
    <w:p>
      <w:pPr>
        <w:autoSpaceDE w:val="0"/>
        <w:autoSpaceDN w:val="0"/>
        <w:adjustRightInd w:val="0"/>
        <w:spacing w:line="360" w:lineRule="auto"/>
        <w:ind w:firstLine="480" w:firstLineChars="200"/>
        <w:rPr>
          <w:snapToGrid w:val="0"/>
          <w:color w:val="auto"/>
          <w:kern w:val="0"/>
          <w:sz w:val="24"/>
          <w:highlight w:val="none"/>
        </w:rPr>
      </w:pPr>
      <w:r>
        <w:rPr>
          <w:rFonts w:hint="eastAsia"/>
          <w:snapToGrid w:val="0"/>
          <w:color w:val="auto"/>
          <w:kern w:val="0"/>
          <w:sz w:val="24"/>
          <w:highlight w:val="none"/>
        </w:rPr>
        <w:t>根据项目特点，本次评价主要关注的环境问题包括：</w:t>
      </w:r>
    </w:p>
    <w:p>
      <w:pPr>
        <w:autoSpaceDE w:val="0"/>
        <w:autoSpaceDN w:val="0"/>
        <w:adjustRightInd w:val="0"/>
        <w:spacing w:line="360" w:lineRule="auto"/>
        <w:ind w:firstLine="480" w:firstLineChars="200"/>
        <w:rPr>
          <w:snapToGrid w:val="0"/>
          <w:color w:val="auto"/>
          <w:kern w:val="0"/>
          <w:sz w:val="24"/>
          <w:highlight w:val="none"/>
        </w:rPr>
      </w:pPr>
      <w:r>
        <w:rPr>
          <w:rFonts w:hint="eastAsia"/>
          <w:snapToGrid w:val="0"/>
          <w:color w:val="auto"/>
          <w:kern w:val="0"/>
          <w:sz w:val="24"/>
          <w:highlight w:val="none"/>
        </w:rPr>
        <w:t>(1) 本项目的污染防治措施和环境管理，关注所采用的污染防治技术措施是否能实现达标排放要求，尤其关注</w:t>
      </w:r>
      <w:r>
        <w:rPr>
          <w:rFonts w:hint="eastAsia"/>
          <w:snapToGrid w:val="0"/>
          <w:color w:val="auto"/>
          <w:kern w:val="0"/>
          <w:sz w:val="24"/>
          <w:highlight w:val="none"/>
          <w:lang w:val="en-US" w:eastAsia="zh-CN"/>
        </w:rPr>
        <w:t>废气和噪声</w:t>
      </w:r>
      <w:r>
        <w:rPr>
          <w:rFonts w:hint="eastAsia"/>
          <w:snapToGrid w:val="0"/>
          <w:color w:val="auto"/>
          <w:kern w:val="0"/>
          <w:sz w:val="24"/>
          <w:highlight w:val="none"/>
        </w:rPr>
        <w:t>的全过程防控与处置问题。</w:t>
      </w:r>
    </w:p>
    <w:p>
      <w:pPr>
        <w:autoSpaceDE w:val="0"/>
        <w:autoSpaceDN w:val="0"/>
        <w:adjustRightInd w:val="0"/>
        <w:spacing w:line="360" w:lineRule="auto"/>
        <w:ind w:firstLine="480" w:firstLineChars="200"/>
        <w:rPr>
          <w:snapToGrid w:val="0"/>
          <w:color w:val="auto"/>
          <w:kern w:val="0"/>
          <w:sz w:val="24"/>
          <w:highlight w:val="none"/>
        </w:rPr>
      </w:pPr>
      <w:r>
        <w:rPr>
          <w:rFonts w:hint="eastAsia"/>
          <w:snapToGrid w:val="0"/>
          <w:color w:val="auto"/>
          <w:kern w:val="0"/>
          <w:sz w:val="24"/>
          <w:highlight w:val="none"/>
        </w:rPr>
        <w:t>(2) 关注大气环境影响的可接受性</w:t>
      </w:r>
      <w:r>
        <w:rPr>
          <w:rFonts w:hint="eastAsia"/>
          <w:snapToGrid w:val="0"/>
          <w:color w:val="auto"/>
          <w:kern w:val="0"/>
          <w:sz w:val="24"/>
          <w:highlight w:val="none"/>
          <w:lang w:eastAsia="zh-CN"/>
        </w:rPr>
        <w:t>，</w:t>
      </w:r>
      <w:r>
        <w:rPr>
          <w:rFonts w:hint="eastAsia"/>
          <w:snapToGrid w:val="0"/>
          <w:color w:val="auto"/>
          <w:kern w:val="0"/>
          <w:sz w:val="24"/>
          <w:highlight w:val="none"/>
        </w:rPr>
        <w:t>项目位于枣庄市峄城区峨山镇大官庄村西，最近敏感点为</w:t>
      </w:r>
      <w:r>
        <w:rPr>
          <w:rFonts w:hint="eastAsia"/>
          <w:snapToGrid w:val="0"/>
          <w:color w:val="auto"/>
          <w:kern w:val="0"/>
          <w:sz w:val="24"/>
          <w:highlight w:val="none"/>
          <w:lang w:val="en-US" w:eastAsia="zh-CN"/>
        </w:rPr>
        <w:t>距离厂界</w:t>
      </w:r>
      <w:r>
        <w:rPr>
          <w:rFonts w:hint="eastAsia"/>
          <w:snapToGrid w:val="0"/>
          <w:color w:val="auto"/>
          <w:kern w:val="0"/>
          <w:sz w:val="24"/>
          <w:highlight w:val="none"/>
        </w:rPr>
        <w:t>东侧15m处的大官庄村</w:t>
      </w:r>
      <w:r>
        <w:rPr>
          <w:rStyle w:val="81"/>
          <w:rFonts w:hint="eastAsia" w:ascii="等线" w:hAnsi="等线" w:eastAsia="等线"/>
          <w:color w:val="auto"/>
          <w:highlight w:val="none"/>
          <w:lang w:eastAsia="zh-CN"/>
        </w:rPr>
        <w:t>（</w:t>
      </w:r>
      <w:r>
        <w:rPr>
          <w:rFonts w:hint="eastAsia"/>
          <w:snapToGrid w:val="0"/>
          <w:color w:val="auto"/>
          <w:kern w:val="0"/>
          <w:sz w:val="24"/>
          <w:highlight w:val="none"/>
          <w:lang w:val="en-US" w:eastAsia="zh-CN"/>
        </w:rPr>
        <w:t>距离车间最近120m</w:t>
      </w:r>
      <w:r>
        <w:rPr>
          <w:rStyle w:val="81"/>
          <w:rFonts w:hint="eastAsia" w:ascii="等线" w:hAnsi="等线" w:eastAsia="等线"/>
          <w:color w:val="auto"/>
          <w:highlight w:val="none"/>
          <w:lang w:eastAsia="zh-CN"/>
        </w:rPr>
        <w:t>）</w:t>
      </w:r>
      <w:r>
        <w:rPr>
          <w:rFonts w:hint="eastAsia"/>
          <w:snapToGrid w:val="0"/>
          <w:color w:val="auto"/>
          <w:kern w:val="0"/>
          <w:sz w:val="24"/>
          <w:highlight w:val="none"/>
        </w:rPr>
        <w:t>，重点关注大气污染物</w:t>
      </w:r>
      <w:r>
        <w:rPr>
          <w:rFonts w:hint="eastAsia"/>
          <w:snapToGrid w:val="0"/>
          <w:color w:val="auto"/>
          <w:kern w:val="0"/>
          <w:sz w:val="24"/>
          <w:highlight w:val="none"/>
          <w:lang w:val="en-US" w:eastAsia="zh-CN"/>
        </w:rPr>
        <w:t>及噪声</w:t>
      </w:r>
      <w:r>
        <w:rPr>
          <w:rFonts w:hint="eastAsia"/>
          <w:snapToGrid w:val="0"/>
          <w:color w:val="auto"/>
          <w:kern w:val="0"/>
          <w:sz w:val="24"/>
          <w:highlight w:val="none"/>
        </w:rPr>
        <w:t>排放对周边近距离敏感点的影响。</w:t>
      </w:r>
    </w:p>
    <w:p>
      <w:pPr>
        <w:autoSpaceDE w:val="0"/>
        <w:autoSpaceDN w:val="0"/>
        <w:adjustRightInd w:val="0"/>
        <w:spacing w:line="360" w:lineRule="auto"/>
        <w:ind w:firstLine="480" w:firstLineChars="200"/>
        <w:rPr>
          <w:snapToGrid w:val="0"/>
          <w:color w:val="auto"/>
          <w:kern w:val="0"/>
          <w:sz w:val="24"/>
          <w:highlight w:val="none"/>
        </w:rPr>
      </w:pPr>
      <w:r>
        <w:rPr>
          <w:rFonts w:hint="eastAsia"/>
          <w:snapToGrid w:val="0"/>
          <w:color w:val="auto"/>
          <w:kern w:val="0"/>
          <w:sz w:val="24"/>
          <w:highlight w:val="none"/>
        </w:rPr>
        <w:t>(3) 关注地下水的防渗相关措施，尤其是化粪池和污水管网的防渗措施，避免对区域地下水产生影响。</w:t>
      </w:r>
    </w:p>
    <w:p>
      <w:pPr>
        <w:spacing w:line="360" w:lineRule="auto"/>
        <w:ind w:firstLine="480" w:firstLineChars="200"/>
        <w:rPr>
          <w:color w:val="auto"/>
          <w:sz w:val="24"/>
          <w:highlight w:val="none"/>
        </w:rPr>
      </w:pPr>
      <w:r>
        <w:rPr>
          <w:rFonts w:hint="eastAsia"/>
          <w:color w:val="auto"/>
          <w:sz w:val="24"/>
          <w:highlight w:val="none"/>
        </w:rPr>
        <w:t>2</w:t>
      </w:r>
      <w:r>
        <w:rPr>
          <w:color w:val="auto"/>
          <w:sz w:val="24"/>
          <w:highlight w:val="none"/>
        </w:rPr>
        <w:t>、</w:t>
      </w:r>
      <w:r>
        <w:rPr>
          <w:rFonts w:hint="eastAsia"/>
          <w:color w:val="auto"/>
          <w:sz w:val="24"/>
          <w:highlight w:val="none"/>
        </w:rPr>
        <w:t>拟建项目环境影响</w:t>
      </w:r>
    </w:p>
    <w:p>
      <w:pPr>
        <w:autoSpaceDE w:val="0"/>
        <w:autoSpaceDN w:val="0"/>
        <w:adjustRightInd w:val="0"/>
        <w:spacing w:line="360" w:lineRule="auto"/>
        <w:ind w:firstLine="480" w:firstLineChars="200"/>
        <w:rPr>
          <w:snapToGrid w:val="0"/>
          <w:color w:val="auto"/>
          <w:kern w:val="0"/>
          <w:sz w:val="24"/>
          <w:highlight w:val="none"/>
        </w:rPr>
      </w:pPr>
      <w:r>
        <w:rPr>
          <w:rFonts w:hint="eastAsia"/>
          <w:snapToGrid w:val="0"/>
          <w:color w:val="auto"/>
          <w:kern w:val="0"/>
          <w:sz w:val="24"/>
          <w:highlight w:val="none"/>
        </w:rPr>
        <w:t>(1) 废气</w:t>
      </w:r>
    </w:p>
    <w:p>
      <w:pPr>
        <w:pStyle w:val="99"/>
        <w:ind w:firstLine="480"/>
        <w:rPr>
          <w:color w:val="auto"/>
          <w:highlight w:val="none"/>
        </w:rPr>
      </w:pPr>
      <w:r>
        <w:rPr>
          <w:color w:val="auto"/>
          <w:highlight w:val="none"/>
        </w:rPr>
        <w:t>项目产生的废气主要包括：</w:t>
      </w:r>
      <w:r>
        <w:rPr>
          <w:rFonts w:hint="eastAsia"/>
          <w:color w:val="auto"/>
          <w:highlight w:val="none"/>
        </w:rPr>
        <w:t>挤出成型、熔融造粒、注塑、破碎废气以及车间无组织废气</w:t>
      </w:r>
      <w:r>
        <w:rPr>
          <w:color w:val="auto"/>
          <w:highlight w:val="none"/>
        </w:rPr>
        <w:t>等。</w:t>
      </w:r>
    </w:p>
    <w:p>
      <w:pPr>
        <w:pStyle w:val="99"/>
        <w:ind w:firstLine="480"/>
        <w:rPr>
          <w:color w:val="auto"/>
          <w:highlight w:val="none"/>
        </w:rPr>
      </w:pPr>
      <w:r>
        <w:rPr>
          <w:rFonts w:hint="eastAsia"/>
          <w:snapToGrid w:val="0"/>
          <w:color w:val="auto"/>
          <w:kern w:val="0"/>
          <w:highlight w:val="none"/>
        </w:rPr>
        <w:t>挤出成型、熔融造粒、注塑、破碎废气经布袋除尘+活性炭吸附浓缩+催化燃烧+</w:t>
      </w:r>
      <w:r>
        <w:rPr>
          <w:rFonts w:hint="eastAsia"/>
          <w:snapToGrid w:val="0"/>
          <w:color w:val="auto"/>
          <w:kern w:val="0"/>
          <w:highlight w:val="none"/>
          <w:lang w:eastAsia="zh-CN"/>
        </w:rPr>
        <w:t>20m</w:t>
      </w:r>
      <w:r>
        <w:rPr>
          <w:rFonts w:hint="eastAsia"/>
          <w:snapToGrid w:val="0"/>
          <w:color w:val="auto"/>
          <w:kern w:val="0"/>
          <w:highlight w:val="none"/>
        </w:rPr>
        <w:t>高排气筒（DA001）排放，VOCs</w:t>
      </w:r>
      <w:r>
        <w:rPr>
          <w:color w:val="auto"/>
          <w:highlight w:val="none"/>
        </w:rPr>
        <w:t>排放浓度和排放速率满足《挥发性有机物排放标准 第6部分：有机化工行业》（DB37/2801.6-2018）</w:t>
      </w:r>
      <w:r>
        <w:rPr>
          <w:color w:val="auto"/>
          <w:spacing w:val="15"/>
          <w:highlight w:val="none"/>
        </w:rPr>
        <w:t>表1中Ⅱ时段的排放限值</w:t>
      </w:r>
      <w:r>
        <w:rPr>
          <w:color w:val="auto"/>
          <w:highlight w:val="none"/>
        </w:rPr>
        <w:t>要求，颗粒物排放浓度满足《山东省区域性大气污染物综合排放标准》（DB37/2376-2019）表1</w:t>
      </w:r>
      <w:r>
        <w:rPr>
          <w:rFonts w:hint="eastAsia"/>
          <w:color w:val="auto"/>
          <w:highlight w:val="none"/>
          <w:lang w:eastAsia="zh-CN"/>
        </w:rPr>
        <w:t>重点控制区</w:t>
      </w:r>
      <w:r>
        <w:rPr>
          <w:color w:val="auto"/>
          <w:highlight w:val="none"/>
        </w:rPr>
        <w:t>标准要求。</w:t>
      </w:r>
      <w:r>
        <w:rPr>
          <w:rFonts w:hint="eastAsia"/>
          <w:color w:val="auto"/>
          <w:highlight w:val="none"/>
        </w:rPr>
        <w:t>无组织排放的颗粒物厂界排放浓度能满足《大气污染物综合排放标准》(GB16297-1996)表2无组织排放监控浓度限值(1</w:t>
      </w:r>
      <w:r>
        <w:rPr>
          <w:color w:val="auto"/>
          <w:highlight w:val="none"/>
        </w:rPr>
        <w:t>.0</w:t>
      </w:r>
      <w:r>
        <w:rPr>
          <w:rFonts w:hint="eastAsia"/>
          <w:color w:val="auto"/>
          <w:highlight w:val="none"/>
        </w:rPr>
        <w:t>mg/m</w:t>
      </w:r>
      <w:r>
        <w:rPr>
          <w:rFonts w:hint="eastAsia"/>
          <w:color w:val="auto"/>
          <w:highlight w:val="none"/>
          <w:vertAlign w:val="superscript"/>
        </w:rPr>
        <w:t>3</w:t>
      </w:r>
      <w:r>
        <w:rPr>
          <w:rFonts w:hint="eastAsia"/>
          <w:color w:val="auto"/>
          <w:highlight w:val="none"/>
        </w:rPr>
        <w:t>)；厂界无组织VOCs排放浓度满足《挥发性有机物排放标准 第6部分：有机化工行业》（DB37/2801.6-2018）表3中排放标准(</w:t>
      </w:r>
      <w:r>
        <w:rPr>
          <w:color w:val="auto"/>
          <w:highlight w:val="none"/>
        </w:rPr>
        <w:t>2.0</w:t>
      </w:r>
      <w:r>
        <w:rPr>
          <w:rFonts w:hint="eastAsia"/>
          <w:color w:val="auto"/>
          <w:highlight w:val="none"/>
        </w:rPr>
        <w:t>mg/m</w:t>
      </w:r>
      <w:r>
        <w:rPr>
          <w:rFonts w:hint="eastAsia"/>
          <w:color w:val="auto"/>
          <w:highlight w:val="none"/>
          <w:vertAlign w:val="superscript"/>
        </w:rPr>
        <w:t>3</w:t>
      </w:r>
      <w:r>
        <w:rPr>
          <w:rFonts w:hint="eastAsia"/>
          <w:color w:val="auto"/>
          <w:highlight w:val="none"/>
        </w:rPr>
        <w:t>)</w:t>
      </w:r>
      <w:r>
        <w:rPr>
          <w:color w:val="auto"/>
          <w:highlight w:val="none"/>
        </w:rPr>
        <w:t>。</w:t>
      </w:r>
    </w:p>
    <w:p>
      <w:pPr>
        <w:autoSpaceDE w:val="0"/>
        <w:autoSpaceDN w:val="0"/>
        <w:adjustRightInd w:val="0"/>
        <w:spacing w:line="360" w:lineRule="auto"/>
        <w:ind w:firstLine="480" w:firstLineChars="200"/>
        <w:rPr>
          <w:snapToGrid w:val="0"/>
          <w:color w:val="auto"/>
          <w:kern w:val="0"/>
          <w:sz w:val="24"/>
          <w:highlight w:val="none"/>
        </w:rPr>
      </w:pPr>
      <w:r>
        <w:rPr>
          <w:rFonts w:hint="eastAsia"/>
          <w:snapToGrid w:val="0"/>
          <w:color w:val="auto"/>
          <w:kern w:val="0"/>
          <w:sz w:val="24"/>
          <w:highlight w:val="none"/>
        </w:rPr>
        <w:t>(2) 废水</w:t>
      </w:r>
    </w:p>
    <w:p>
      <w:pPr>
        <w:autoSpaceDE w:val="0"/>
        <w:autoSpaceDN w:val="0"/>
        <w:adjustRightInd w:val="0"/>
        <w:spacing w:line="360" w:lineRule="auto"/>
        <w:ind w:firstLine="480" w:firstLineChars="200"/>
        <w:rPr>
          <w:snapToGrid w:val="0"/>
          <w:color w:val="auto"/>
          <w:kern w:val="0"/>
          <w:sz w:val="24"/>
          <w:highlight w:val="none"/>
        </w:rPr>
      </w:pPr>
      <w:r>
        <w:rPr>
          <w:rFonts w:hint="eastAsia"/>
          <w:snapToGrid w:val="0"/>
          <w:color w:val="auto"/>
          <w:kern w:val="0"/>
          <w:sz w:val="24"/>
          <w:highlight w:val="none"/>
        </w:rPr>
        <w:t>项目厂区排水按照“清污分流、一水多用、重复利用”的原则。</w:t>
      </w:r>
    </w:p>
    <w:p>
      <w:pPr>
        <w:autoSpaceDE w:val="0"/>
        <w:autoSpaceDN w:val="0"/>
        <w:adjustRightInd w:val="0"/>
        <w:spacing w:line="360" w:lineRule="auto"/>
        <w:ind w:firstLine="480" w:firstLineChars="200"/>
        <w:rPr>
          <w:snapToGrid w:val="0"/>
          <w:color w:val="auto"/>
          <w:kern w:val="0"/>
          <w:sz w:val="24"/>
          <w:highlight w:val="none"/>
        </w:rPr>
      </w:pPr>
      <w:r>
        <w:rPr>
          <w:rFonts w:hint="eastAsia"/>
          <w:snapToGrid w:val="0"/>
          <w:color w:val="auto"/>
          <w:kern w:val="0"/>
          <w:sz w:val="24"/>
          <w:highlight w:val="none"/>
        </w:rPr>
        <w:t>项目无生产废水，生活污水经化粪池收集后由环卫部门定期清掏，不外排，项目对周围水环境影响较小。生产车间均采取严格的防渗措施，不会对地下水造成不利影响。</w:t>
      </w:r>
    </w:p>
    <w:p>
      <w:pPr>
        <w:autoSpaceDE w:val="0"/>
        <w:autoSpaceDN w:val="0"/>
        <w:adjustRightInd w:val="0"/>
        <w:spacing w:line="360" w:lineRule="auto"/>
        <w:ind w:firstLine="480" w:firstLineChars="200"/>
        <w:rPr>
          <w:snapToGrid w:val="0"/>
          <w:color w:val="auto"/>
          <w:kern w:val="0"/>
          <w:sz w:val="24"/>
          <w:highlight w:val="none"/>
        </w:rPr>
      </w:pPr>
      <w:r>
        <w:rPr>
          <w:rFonts w:hint="eastAsia"/>
          <w:snapToGrid w:val="0"/>
          <w:color w:val="auto"/>
          <w:kern w:val="0"/>
          <w:sz w:val="24"/>
          <w:highlight w:val="none"/>
        </w:rPr>
        <w:t>(3) 噪声</w:t>
      </w:r>
    </w:p>
    <w:p>
      <w:pPr>
        <w:autoSpaceDE w:val="0"/>
        <w:autoSpaceDN w:val="0"/>
        <w:adjustRightInd w:val="0"/>
        <w:spacing w:line="360" w:lineRule="auto"/>
        <w:ind w:firstLine="480" w:firstLineChars="200"/>
        <w:rPr>
          <w:snapToGrid w:val="0"/>
          <w:color w:val="auto"/>
          <w:kern w:val="0"/>
          <w:sz w:val="24"/>
          <w:highlight w:val="none"/>
        </w:rPr>
      </w:pPr>
      <w:r>
        <w:rPr>
          <w:rFonts w:hint="eastAsia"/>
          <w:snapToGrid w:val="0"/>
          <w:color w:val="auto"/>
          <w:kern w:val="0"/>
          <w:sz w:val="24"/>
          <w:highlight w:val="none"/>
        </w:rPr>
        <w:t>拟建项目营运期的噪声主要为挤出机、牵引机、切割锯、成型机、注塑机、造粒机、切粒机、风机及各种泵类等设备运转产生的噪声，噪声级为6</w:t>
      </w:r>
      <w:r>
        <w:rPr>
          <w:rFonts w:hint="eastAsia"/>
          <w:snapToGrid w:val="0"/>
          <w:color w:val="auto"/>
          <w:kern w:val="0"/>
          <w:sz w:val="24"/>
          <w:highlight w:val="none"/>
          <w:lang w:val="en-US" w:eastAsia="zh-CN"/>
        </w:rPr>
        <w:t>5</w:t>
      </w:r>
      <w:r>
        <w:rPr>
          <w:color w:val="auto"/>
          <w:highlight w:val="none"/>
        </w:rPr>
        <w:t>~</w:t>
      </w:r>
      <w:r>
        <w:rPr>
          <w:rFonts w:hint="eastAsia"/>
          <w:snapToGrid w:val="0"/>
          <w:color w:val="auto"/>
          <w:kern w:val="0"/>
          <w:sz w:val="24"/>
          <w:highlight w:val="none"/>
        </w:rPr>
        <w:t>8</w:t>
      </w:r>
      <w:r>
        <w:rPr>
          <w:rFonts w:hint="eastAsia"/>
          <w:snapToGrid w:val="0"/>
          <w:color w:val="auto"/>
          <w:kern w:val="0"/>
          <w:sz w:val="24"/>
          <w:highlight w:val="none"/>
          <w:lang w:val="en-US" w:eastAsia="zh-CN"/>
        </w:rPr>
        <w:t>5</w:t>
      </w:r>
      <w:r>
        <w:rPr>
          <w:rFonts w:hint="eastAsia"/>
          <w:snapToGrid w:val="0"/>
          <w:color w:val="auto"/>
          <w:kern w:val="0"/>
          <w:sz w:val="24"/>
          <w:highlight w:val="none"/>
        </w:rPr>
        <w:t>dB(A)。</w:t>
      </w:r>
    </w:p>
    <w:p>
      <w:pPr>
        <w:autoSpaceDE w:val="0"/>
        <w:autoSpaceDN w:val="0"/>
        <w:adjustRightInd w:val="0"/>
        <w:spacing w:line="360" w:lineRule="auto"/>
        <w:ind w:firstLine="480" w:firstLineChars="200"/>
        <w:rPr>
          <w:snapToGrid w:val="0"/>
          <w:color w:val="auto"/>
          <w:kern w:val="0"/>
          <w:sz w:val="24"/>
          <w:highlight w:val="none"/>
        </w:rPr>
      </w:pPr>
      <w:r>
        <w:rPr>
          <w:rFonts w:hint="eastAsia"/>
          <w:snapToGrid w:val="0"/>
          <w:color w:val="auto"/>
          <w:kern w:val="0"/>
          <w:sz w:val="24"/>
          <w:highlight w:val="none"/>
        </w:rPr>
        <w:t>项目运行过程中加强管理和监测，项目主要噪声源采取基础减震、建筑隔声等降噪措施后，经过距离衰减，厂界噪声贡献值能满足《工业企业厂界环境噪声排放标准》(GB12348-2008)2类区标准要求(即昼间≤60dB(A)、夜间≤50dB(A))，对周围声环境质量影响较小</w:t>
      </w:r>
      <w:r>
        <w:rPr>
          <w:rFonts w:hint="eastAsia"/>
          <w:snapToGrid w:val="0"/>
          <w:color w:val="auto"/>
          <w:kern w:val="0"/>
          <w:sz w:val="24"/>
          <w:highlight w:val="none"/>
          <w:lang w:eastAsia="zh-CN"/>
        </w:rPr>
        <w:t>，</w:t>
      </w:r>
      <w:r>
        <w:rPr>
          <w:rFonts w:hint="eastAsia"/>
          <w:snapToGrid w:val="0"/>
          <w:color w:val="auto"/>
          <w:kern w:val="0"/>
          <w:sz w:val="24"/>
          <w:highlight w:val="none"/>
          <w:lang w:val="en-US" w:eastAsia="zh-CN"/>
        </w:rPr>
        <w:t>声环境敏感点</w:t>
      </w:r>
      <w:r>
        <w:rPr>
          <w:rFonts w:hint="eastAsia"/>
          <w:color w:val="auto"/>
          <w:sz w:val="24"/>
          <w:szCs w:val="24"/>
          <w:highlight w:val="none"/>
        </w:rPr>
        <w:t>大官庄村声环境昼夜均可满足《声环境质量标准》(GB3096-2008)2类标准</w:t>
      </w:r>
      <w:r>
        <w:rPr>
          <w:rFonts w:hint="eastAsia"/>
          <w:snapToGrid w:val="0"/>
          <w:color w:val="auto"/>
          <w:kern w:val="0"/>
          <w:sz w:val="24"/>
          <w:highlight w:val="none"/>
        </w:rPr>
        <w:t>。</w:t>
      </w:r>
    </w:p>
    <w:p>
      <w:pPr>
        <w:autoSpaceDE w:val="0"/>
        <w:autoSpaceDN w:val="0"/>
        <w:adjustRightInd w:val="0"/>
        <w:spacing w:line="360" w:lineRule="auto"/>
        <w:ind w:firstLine="480" w:firstLineChars="200"/>
        <w:rPr>
          <w:snapToGrid w:val="0"/>
          <w:color w:val="auto"/>
          <w:kern w:val="0"/>
          <w:sz w:val="24"/>
          <w:highlight w:val="none"/>
        </w:rPr>
      </w:pPr>
      <w:r>
        <w:rPr>
          <w:rFonts w:hint="eastAsia"/>
          <w:snapToGrid w:val="0"/>
          <w:color w:val="auto"/>
          <w:kern w:val="0"/>
          <w:sz w:val="24"/>
          <w:highlight w:val="none"/>
        </w:rPr>
        <w:t>(4) 固废</w:t>
      </w:r>
    </w:p>
    <w:p>
      <w:pPr>
        <w:pStyle w:val="99"/>
        <w:ind w:firstLine="480"/>
        <w:rPr>
          <w:color w:val="auto"/>
          <w:highlight w:val="none"/>
        </w:rPr>
      </w:pPr>
      <w:r>
        <w:rPr>
          <w:color w:val="auto"/>
          <w:highlight w:val="none"/>
        </w:rPr>
        <w:t>本项目固体废物包括危险废物、一般工业固废和生活垃圾。</w:t>
      </w:r>
    </w:p>
    <w:p>
      <w:pPr>
        <w:pStyle w:val="99"/>
        <w:ind w:firstLine="480"/>
        <w:rPr>
          <w:color w:val="auto"/>
          <w:highlight w:val="none"/>
        </w:rPr>
      </w:pPr>
      <w:r>
        <w:rPr>
          <w:color w:val="auto"/>
          <w:highlight w:val="none"/>
        </w:rPr>
        <w:t>一般固体废物：</w:t>
      </w:r>
      <w:r>
        <w:rPr>
          <w:rFonts w:hint="eastAsia"/>
          <w:color w:val="auto"/>
          <w:highlight w:val="none"/>
        </w:rPr>
        <w:t>生活垃圾、管道及配件生产切割下脚料、质检不合格产品，造粒工序熔融挤出废料、废网。管道及配件生产切割下脚料、质检不合格产品经破碎后回用于造粒工序；造粒工序熔融挤出废料、废滤网外卖</w:t>
      </w:r>
      <w:r>
        <w:rPr>
          <w:rFonts w:hint="eastAsia"/>
          <w:color w:val="auto"/>
          <w:szCs w:val="21"/>
          <w:highlight w:val="none"/>
        </w:rPr>
        <w:t>；</w:t>
      </w:r>
      <w:r>
        <w:rPr>
          <w:color w:val="auto"/>
          <w:highlight w:val="none"/>
        </w:rPr>
        <w:t>生活垃圾由当地环卫部门定期清运。</w:t>
      </w:r>
    </w:p>
    <w:p>
      <w:pPr>
        <w:pStyle w:val="99"/>
        <w:ind w:firstLine="480"/>
        <w:rPr>
          <w:color w:val="auto"/>
          <w:highlight w:val="none"/>
        </w:rPr>
      </w:pPr>
      <w:r>
        <w:rPr>
          <w:color w:val="auto"/>
          <w:highlight w:val="none"/>
        </w:rPr>
        <w:t>危险废物：主要包括废活性炭</w:t>
      </w:r>
      <w:r>
        <w:rPr>
          <w:rFonts w:hint="eastAsia"/>
          <w:color w:val="auto"/>
          <w:highlight w:val="none"/>
        </w:rPr>
        <w:t>、废催化剂、</w:t>
      </w:r>
      <w:r>
        <w:rPr>
          <w:color w:val="auto"/>
          <w:highlight w:val="none"/>
        </w:rPr>
        <w:t>废</w:t>
      </w:r>
      <w:r>
        <w:rPr>
          <w:rFonts w:hint="eastAsia"/>
          <w:color w:val="auto"/>
          <w:highlight w:val="none"/>
        </w:rPr>
        <w:t>矿物</w:t>
      </w:r>
      <w:r>
        <w:rPr>
          <w:color w:val="auto"/>
          <w:highlight w:val="none"/>
        </w:rPr>
        <w:t>油</w:t>
      </w:r>
      <w:r>
        <w:rPr>
          <w:rFonts w:hint="eastAsia"/>
          <w:color w:val="auto"/>
          <w:highlight w:val="none"/>
          <w:lang w:val="en-US" w:eastAsia="zh-CN"/>
        </w:rPr>
        <w:t>及</w:t>
      </w:r>
      <w:r>
        <w:rPr>
          <w:rFonts w:hint="eastAsia"/>
          <w:color w:val="auto"/>
          <w:highlight w:val="none"/>
        </w:rPr>
        <w:t>废矿物油桶</w:t>
      </w:r>
      <w:r>
        <w:rPr>
          <w:color w:val="auto"/>
          <w:highlight w:val="none"/>
        </w:rPr>
        <w:t>。所有危险废物分类收集，设置特定区域存放，并委托有处理资质的公司及时</w:t>
      </w:r>
      <w:r>
        <w:rPr>
          <w:rFonts w:hint="eastAsia"/>
          <w:color w:val="auto"/>
          <w:highlight w:val="none"/>
        </w:rPr>
        <w:t>转运</w:t>
      </w:r>
      <w:r>
        <w:rPr>
          <w:color w:val="auto"/>
          <w:highlight w:val="none"/>
        </w:rPr>
        <w:t>处理。车间地面、</w:t>
      </w:r>
      <w:r>
        <w:rPr>
          <w:rFonts w:hint="eastAsia"/>
          <w:color w:val="auto"/>
          <w:highlight w:val="none"/>
          <w:lang w:val="en-US" w:eastAsia="zh-CN"/>
        </w:rPr>
        <w:t>危废暂存间</w:t>
      </w:r>
      <w:r>
        <w:rPr>
          <w:color w:val="auto"/>
          <w:highlight w:val="none"/>
        </w:rPr>
        <w:t>地面均采取严格的防渗措施。</w:t>
      </w:r>
    </w:p>
    <w:p>
      <w:pPr>
        <w:autoSpaceDE w:val="0"/>
        <w:autoSpaceDN w:val="0"/>
        <w:adjustRightInd w:val="0"/>
        <w:spacing w:line="360" w:lineRule="auto"/>
        <w:ind w:firstLine="480" w:firstLineChars="200"/>
        <w:rPr>
          <w:color w:val="auto"/>
          <w:sz w:val="24"/>
          <w:highlight w:val="none"/>
        </w:rPr>
      </w:pPr>
      <w:r>
        <w:rPr>
          <w:color w:val="auto"/>
          <w:sz w:val="24"/>
          <w:highlight w:val="none"/>
        </w:rPr>
        <w:t>项目运营过程中产生的固废都根据自身的特点得到合理的利用和处置，不外排，不会对周围环境及人群造成影响</w:t>
      </w:r>
      <w:r>
        <w:rPr>
          <w:rFonts w:hint="eastAsia"/>
          <w:snapToGrid w:val="0"/>
          <w:color w:val="auto"/>
          <w:kern w:val="0"/>
          <w:sz w:val="24"/>
          <w:highlight w:val="none"/>
        </w:rPr>
        <w:t>。</w:t>
      </w:r>
    </w:p>
    <w:p>
      <w:pPr>
        <w:pStyle w:val="99"/>
        <w:ind w:firstLine="480"/>
        <w:rPr>
          <w:color w:val="auto"/>
          <w:highlight w:val="none"/>
        </w:rPr>
      </w:pPr>
      <w:r>
        <w:rPr>
          <w:color w:val="auto"/>
          <w:highlight w:val="none"/>
        </w:rPr>
        <w:t>(</w:t>
      </w:r>
      <w:r>
        <w:rPr>
          <w:rFonts w:hint="eastAsia"/>
          <w:color w:val="auto"/>
          <w:highlight w:val="none"/>
        </w:rPr>
        <w:t>5</w:t>
      </w:r>
      <w:r>
        <w:rPr>
          <w:color w:val="auto"/>
          <w:highlight w:val="none"/>
        </w:rPr>
        <w:t>) 环境风险</w:t>
      </w:r>
    </w:p>
    <w:p>
      <w:pPr>
        <w:spacing w:line="360" w:lineRule="auto"/>
        <w:ind w:firstLine="480" w:firstLineChars="200"/>
        <w:rPr>
          <w:color w:val="auto"/>
          <w:sz w:val="24"/>
          <w:szCs w:val="24"/>
          <w:highlight w:val="none"/>
        </w:rPr>
      </w:pPr>
      <w:r>
        <w:rPr>
          <w:rFonts w:hint="eastAsia"/>
          <w:color w:val="auto"/>
          <w:sz w:val="24"/>
          <w:szCs w:val="24"/>
          <w:highlight w:val="none"/>
        </w:rPr>
        <w:t>本项目不存在重大风险源，在设计中充分考虑了各种危险因素和可能造成的危害，并采取了相应的处理措施，只要各工作岗位严格遵守岗位操作规程，避免误操作，加强设备的维护和管理，可以在设计年限内平稳安全地运行。</w:t>
      </w:r>
    </w:p>
    <w:p>
      <w:pPr>
        <w:pStyle w:val="3"/>
        <w:spacing w:after="0" w:line="360" w:lineRule="auto"/>
        <w:ind w:left="0" w:leftChars="0" w:firstLine="480" w:firstLineChars="200"/>
        <w:rPr>
          <w:color w:val="auto"/>
          <w:sz w:val="24"/>
          <w:highlight w:val="none"/>
        </w:rPr>
      </w:pPr>
      <w:r>
        <w:rPr>
          <w:rFonts w:hint="eastAsia"/>
          <w:color w:val="auto"/>
          <w:sz w:val="24"/>
          <w:highlight w:val="none"/>
        </w:rPr>
        <w:t>从环境风险控制的角度来评价，经采取相应应急措施，能大大减少事故发生概率，并且如一旦发生事故，能迅速采取有力措施，减小对环境污染。其潜在的事故风险是可以防范的。</w:t>
      </w:r>
    </w:p>
    <w:p>
      <w:pPr>
        <w:pStyle w:val="3"/>
        <w:spacing w:after="0" w:line="360" w:lineRule="auto"/>
        <w:ind w:left="0" w:leftChars="0" w:firstLine="480" w:firstLineChars="200"/>
        <w:rPr>
          <w:color w:val="auto"/>
          <w:sz w:val="24"/>
          <w:highlight w:val="none"/>
        </w:rPr>
      </w:pPr>
      <w:r>
        <w:rPr>
          <w:color w:val="auto"/>
          <w:sz w:val="24"/>
          <w:highlight w:val="none"/>
        </w:rPr>
        <w:t>(</w:t>
      </w:r>
      <w:r>
        <w:rPr>
          <w:rFonts w:hint="eastAsia"/>
          <w:color w:val="auto"/>
          <w:sz w:val="24"/>
          <w:highlight w:val="none"/>
        </w:rPr>
        <w:t>6</w:t>
      </w:r>
      <w:r>
        <w:rPr>
          <w:color w:val="auto"/>
          <w:sz w:val="24"/>
          <w:highlight w:val="none"/>
        </w:rPr>
        <w:t>)</w:t>
      </w:r>
      <w:r>
        <w:rPr>
          <w:rFonts w:hint="eastAsia"/>
          <w:color w:val="auto"/>
          <w:sz w:val="24"/>
          <w:highlight w:val="none"/>
        </w:rPr>
        <w:t xml:space="preserve"> 防护距离</w:t>
      </w:r>
    </w:p>
    <w:p>
      <w:pPr>
        <w:pStyle w:val="3"/>
        <w:spacing w:after="0" w:line="360" w:lineRule="auto"/>
        <w:ind w:left="0" w:leftChars="0" w:firstLine="480" w:firstLineChars="200"/>
        <w:rPr>
          <w:color w:val="auto"/>
          <w:sz w:val="24"/>
          <w:highlight w:val="none"/>
        </w:rPr>
      </w:pPr>
      <w:r>
        <w:rPr>
          <w:rFonts w:hint="eastAsia"/>
          <w:color w:val="auto"/>
          <w:sz w:val="24"/>
          <w:highlight w:val="none"/>
          <w:lang w:val="en-US"/>
        </w:rPr>
        <w:t>项目大气环境影响评价级别为二级，</w:t>
      </w:r>
      <w:r>
        <w:rPr>
          <w:rFonts w:hint="eastAsia"/>
          <w:color w:val="auto"/>
          <w:sz w:val="24"/>
          <w:highlight w:val="none"/>
        </w:rPr>
        <w:t>不需要设置大气环境防护距离。</w:t>
      </w:r>
    </w:p>
    <w:p>
      <w:pPr>
        <w:spacing w:line="360" w:lineRule="auto"/>
        <w:ind w:firstLine="482" w:firstLineChars="200"/>
        <w:jc w:val="left"/>
        <w:rPr>
          <w:b/>
          <w:bCs/>
          <w:color w:val="auto"/>
          <w:sz w:val="24"/>
          <w:highlight w:val="none"/>
        </w:rPr>
      </w:pPr>
      <w:r>
        <w:rPr>
          <w:rFonts w:hint="eastAsia" w:ascii="宋体" w:hAnsi="宋体"/>
          <w:b/>
          <w:bCs/>
          <w:color w:val="auto"/>
          <w:sz w:val="24"/>
          <w:highlight w:val="none"/>
        </w:rPr>
        <w:t>五</w:t>
      </w:r>
      <w:r>
        <w:rPr>
          <w:rFonts w:ascii="宋体" w:hAnsi="宋体"/>
          <w:b/>
          <w:bCs/>
          <w:color w:val="auto"/>
          <w:sz w:val="24"/>
          <w:highlight w:val="none"/>
        </w:rPr>
        <w:t>、环境影响评价主要结论</w:t>
      </w:r>
    </w:p>
    <w:p>
      <w:pPr>
        <w:pStyle w:val="102"/>
        <w:ind w:firstLine="480"/>
        <w:rPr>
          <w:rFonts w:hAnsi="宋体"/>
          <w:color w:val="auto"/>
          <w:highlight w:val="none"/>
        </w:rPr>
      </w:pPr>
      <w:r>
        <w:rPr>
          <w:rFonts w:hint="eastAsia" w:hAnsi="宋体"/>
          <w:color w:val="auto"/>
          <w:highlight w:val="none"/>
        </w:rPr>
        <w:t>项目符合国家产业政策及行业政策要求；选址符合城市总体规划及峨山镇土地利用规划；在落实各项污染治理措施建成后，项目满足污染物达标排放要求，不影响当地环境功能要求；符合清洁生产及循环经济要求；污染物排放总量符合总量控制要求；符合当地环境管理要求；</w:t>
      </w:r>
      <w:r>
        <w:rPr>
          <w:rFonts w:hint="eastAsia" w:hAnsi="宋体"/>
          <w:color w:val="auto"/>
          <w:highlight w:val="none"/>
          <w:lang w:val="en-US" w:eastAsia="zh-CN"/>
        </w:rPr>
        <w:t>环境</w:t>
      </w:r>
      <w:r>
        <w:rPr>
          <w:rFonts w:hint="eastAsia" w:hAnsi="宋体"/>
          <w:color w:val="auto"/>
          <w:highlight w:val="none"/>
        </w:rPr>
        <w:t>风险能够有效控制。因此，从环保角度分析，项目的建设是可行的。</w:t>
      </w:r>
    </w:p>
    <w:p>
      <w:pPr>
        <w:spacing w:line="360" w:lineRule="auto"/>
        <w:ind w:firstLine="480" w:firstLineChars="200"/>
        <w:jc w:val="left"/>
        <w:rPr>
          <w:color w:val="auto"/>
          <w:kern w:val="28"/>
          <w:sz w:val="24"/>
          <w:highlight w:val="none"/>
          <w:lang w:bidi="he-IL"/>
        </w:rPr>
      </w:pPr>
      <w:r>
        <w:rPr>
          <w:rFonts w:hint="eastAsia"/>
          <w:color w:val="auto"/>
          <w:kern w:val="28"/>
          <w:sz w:val="24"/>
          <w:highlight w:val="none"/>
          <w:lang w:bidi="he-IL"/>
        </w:rPr>
        <w:t>在报告书编制过程中，得到了</w:t>
      </w:r>
      <w:r>
        <w:rPr>
          <w:rFonts w:hint="eastAsia"/>
          <w:color w:val="auto"/>
          <w:kern w:val="24"/>
          <w:sz w:val="24"/>
          <w:highlight w:val="none"/>
          <w:lang w:bidi="he-IL"/>
        </w:rPr>
        <w:t>枣庄市生态环境局</w:t>
      </w:r>
      <w:r>
        <w:rPr>
          <w:rFonts w:hint="eastAsia"/>
          <w:color w:val="auto"/>
          <w:kern w:val="28"/>
          <w:sz w:val="24"/>
          <w:highlight w:val="none"/>
          <w:lang w:bidi="he-IL"/>
        </w:rPr>
        <w:t>、</w:t>
      </w:r>
      <w:r>
        <w:rPr>
          <w:rFonts w:hint="eastAsia"/>
          <w:color w:val="auto"/>
          <w:kern w:val="24"/>
          <w:sz w:val="24"/>
          <w:highlight w:val="none"/>
          <w:lang w:bidi="he-IL"/>
        </w:rPr>
        <w:t>枣庄市生态环境局峄城分局</w:t>
      </w:r>
      <w:r>
        <w:rPr>
          <w:rFonts w:hint="eastAsia"/>
          <w:color w:val="auto"/>
          <w:kern w:val="28"/>
          <w:sz w:val="24"/>
          <w:highlight w:val="none"/>
          <w:lang w:bidi="he-IL"/>
        </w:rPr>
        <w:t>、</w:t>
      </w:r>
      <w:r>
        <w:rPr>
          <w:rFonts w:hint="eastAsia"/>
          <w:color w:val="auto"/>
          <w:sz w:val="24"/>
          <w:highlight w:val="none"/>
        </w:rPr>
        <w:t>山东宜维检测有限公司</w:t>
      </w:r>
      <w:r>
        <w:rPr>
          <w:rFonts w:hint="eastAsia"/>
          <w:color w:val="auto"/>
          <w:kern w:val="28"/>
          <w:sz w:val="24"/>
          <w:highlight w:val="none"/>
          <w:lang w:bidi="he-IL"/>
        </w:rPr>
        <w:t>等相关单位的热情指导和大力支持，也得到了建设单位的积极配合，在此我们表示衷心感谢！报告书中的不当之处，敬请领导、阅者斧正。</w:t>
      </w:r>
    </w:p>
    <w:p>
      <w:pPr>
        <w:wordWrap w:val="0"/>
        <w:spacing w:line="360" w:lineRule="auto"/>
        <w:jc w:val="right"/>
        <w:rPr>
          <w:color w:val="auto"/>
          <w:sz w:val="24"/>
          <w:highlight w:val="none"/>
        </w:rPr>
      </w:pPr>
      <w:r>
        <w:rPr>
          <w:rFonts w:hint="eastAsia" w:ascii="宋体" w:hAnsi="宋体"/>
          <w:color w:val="auto"/>
          <w:sz w:val="24"/>
          <w:highlight w:val="none"/>
        </w:rPr>
        <w:t xml:space="preserve">  </w:t>
      </w:r>
      <w:r>
        <w:rPr>
          <w:rFonts w:ascii="宋体" w:hAnsi="宋体"/>
          <w:color w:val="auto"/>
          <w:sz w:val="24"/>
          <w:highlight w:val="none"/>
        </w:rPr>
        <w:t>项目组</w:t>
      </w:r>
      <w:r>
        <w:rPr>
          <w:rFonts w:hint="eastAsia" w:ascii="宋体" w:hAnsi="宋体"/>
          <w:color w:val="auto"/>
          <w:sz w:val="24"/>
          <w:highlight w:val="none"/>
        </w:rPr>
        <w:t xml:space="preserve"> </w:t>
      </w:r>
      <w:r>
        <w:rPr>
          <w:color w:val="auto"/>
          <w:sz w:val="24"/>
          <w:highlight w:val="none"/>
        </w:rPr>
        <w:t xml:space="preserve"> </w:t>
      </w:r>
    </w:p>
    <w:p>
      <w:pPr>
        <w:spacing w:line="360" w:lineRule="auto"/>
        <w:ind w:firstLine="480" w:firstLineChars="200"/>
        <w:jc w:val="right"/>
        <w:rPr>
          <w:rFonts w:ascii="宋体" w:hAnsi="宋体"/>
          <w:color w:val="auto"/>
          <w:sz w:val="24"/>
          <w:highlight w:val="none"/>
        </w:rPr>
      </w:pPr>
      <w:r>
        <w:rPr>
          <w:color w:val="auto"/>
          <w:sz w:val="24"/>
          <w:highlight w:val="none"/>
        </w:rPr>
        <w:t>202</w:t>
      </w:r>
      <w:r>
        <w:rPr>
          <w:rFonts w:hint="eastAsia"/>
          <w:color w:val="auto"/>
          <w:sz w:val="24"/>
          <w:highlight w:val="none"/>
          <w:lang w:val="en-US" w:eastAsia="zh-CN"/>
        </w:rPr>
        <w:t>3</w:t>
      </w:r>
      <w:r>
        <w:rPr>
          <w:rFonts w:ascii="宋体" w:hAnsi="宋体"/>
          <w:color w:val="auto"/>
          <w:sz w:val="24"/>
          <w:highlight w:val="none"/>
        </w:rPr>
        <w:t>年</w:t>
      </w:r>
      <w:r>
        <w:rPr>
          <w:rFonts w:hint="eastAsia"/>
          <w:color w:val="auto"/>
          <w:sz w:val="24"/>
          <w:highlight w:val="none"/>
          <w:lang w:val="en-US" w:eastAsia="zh-CN"/>
        </w:rPr>
        <w:t>2</w:t>
      </w:r>
      <w:r>
        <w:rPr>
          <w:rFonts w:ascii="宋体" w:hAnsi="宋体"/>
          <w:color w:val="auto"/>
          <w:sz w:val="24"/>
          <w:highlight w:val="none"/>
        </w:rPr>
        <w:t>月</w:t>
      </w:r>
    </w:p>
    <w:p>
      <w:pPr>
        <w:spacing w:line="360" w:lineRule="auto"/>
        <w:ind w:firstLine="480" w:firstLineChars="200"/>
        <w:jc w:val="right"/>
        <w:rPr>
          <w:rFonts w:ascii="宋体" w:hAnsi="宋体"/>
          <w:color w:val="auto"/>
          <w:sz w:val="24"/>
          <w:highlight w:val="none"/>
        </w:rPr>
      </w:pPr>
    </w:p>
    <w:p>
      <w:pPr>
        <w:spacing w:line="360" w:lineRule="auto"/>
        <w:ind w:firstLine="480" w:firstLineChars="200"/>
        <w:jc w:val="right"/>
        <w:rPr>
          <w:rFonts w:ascii="宋体" w:hAnsi="宋体"/>
          <w:color w:val="auto"/>
          <w:sz w:val="24"/>
          <w:highlight w:val="none"/>
        </w:rPr>
      </w:pPr>
    </w:p>
    <w:p>
      <w:pPr>
        <w:spacing w:line="360" w:lineRule="auto"/>
        <w:ind w:firstLine="480" w:firstLineChars="200"/>
        <w:jc w:val="right"/>
        <w:rPr>
          <w:rFonts w:ascii="宋体" w:hAnsi="宋体"/>
          <w:color w:val="auto"/>
          <w:sz w:val="24"/>
          <w:highlight w:val="none"/>
        </w:rPr>
      </w:pPr>
    </w:p>
    <w:p>
      <w:pPr>
        <w:spacing w:line="360" w:lineRule="auto"/>
        <w:ind w:firstLine="480" w:firstLineChars="200"/>
        <w:jc w:val="right"/>
        <w:rPr>
          <w:rFonts w:ascii="宋体" w:hAnsi="宋体"/>
          <w:color w:val="auto"/>
          <w:sz w:val="24"/>
          <w:highlight w:val="none"/>
        </w:rPr>
      </w:pPr>
    </w:p>
    <w:p>
      <w:pPr>
        <w:spacing w:line="360" w:lineRule="auto"/>
        <w:ind w:firstLine="480" w:firstLineChars="200"/>
        <w:jc w:val="right"/>
        <w:rPr>
          <w:rFonts w:ascii="宋体" w:hAnsi="宋体"/>
          <w:color w:val="auto"/>
          <w:sz w:val="24"/>
          <w:highlight w:val="none"/>
        </w:rPr>
      </w:pPr>
    </w:p>
    <w:p>
      <w:pPr>
        <w:spacing w:line="360" w:lineRule="auto"/>
        <w:ind w:firstLine="480" w:firstLineChars="200"/>
        <w:jc w:val="right"/>
        <w:rPr>
          <w:rFonts w:ascii="宋体" w:hAnsi="宋体"/>
          <w:color w:val="auto"/>
          <w:sz w:val="24"/>
          <w:highlight w:val="none"/>
        </w:rPr>
      </w:pPr>
    </w:p>
    <w:p>
      <w:pPr>
        <w:spacing w:line="360" w:lineRule="auto"/>
        <w:ind w:firstLine="480" w:firstLineChars="200"/>
        <w:jc w:val="right"/>
        <w:rPr>
          <w:rFonts w:ascii="宋体" w:hAnsi="宋体"/>
          <w:color w:val="auto"/>
          <w:sz w:val="24"/>
          <w:highlight w:val="none"/>
        </w:rPr>
        <w:sectPr>
          <w:headerReference r:id="rId3" w:type="default"/>
          <w:footerReference r:id="rId5" w:type="default"/>
          <w:headerReference r:id="rId4" w:type="even"/>
          <w:footerReference r:id="rId6" w:type="even"/>
          <w:pgSz w:w="11906" w:h="16838"/>
          <w:pgMar w:top="1418" w:right="1418" w:bottom="1418" w:left="1701"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102"/>
        <w:spacing w:before="240" w:after="156" w:afterLines="50"/>
        <w:ind w:firstLine="0" w:firstLineChars="0"/>
        <w:jc w:val="center"/>
        <w:outlineLvl w:val="0"/>
        <w:rPr>
          <w:rFonts w:ascii="黑体" w:hAnsi="黑体" w:eastAsia="黑体"/>
          <w:color w:val="auto"/>
          <w:sz w:val="36"/>
          <w:szCs w:val="30"/>
          <w:highlight w:val="none"/>
        </w:rPr>
      </w:pPr>
      <w:bookmarkStart w:id="2" w:name="_Toc32007"/>
      <w:r>
        <w:rPr>
          <w:rFonts w:hint="eastAsia" w:ascii="黑体" w:hAnsi="黑体" w:eastAsia="黑体"/>
          <w:color w:val="auto"/>
          <w:sz w:val="36"/>
          <w:szCs w:val="30"/>
          <w:highlight w:val="none"/>
        </w:rPr>
        <w:t>目  录</w:t>
      </w:r>
      <w:bookmarkEnd w:id="2"/>
    </w:p>
    <w:p>
      <w:pPr>
        <w:pStyle w:val="41"/>
        <w:tabs>
          <w:tab w:val="right" w:leader="dot" w:pos="8787"/>
          <w:tab w:val="clear" w:pos="8777"/>
        </w:tabs>
        <w:spacing w:before="0" w:after="0" w:line="360" w:lineRule="auto"/>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TOC \o "1-2" \h \z \u</w:instrText>
      </w:r>
      <w:r>
        <w:rPr>
          <w:color w:val="auto"/>
          <w:highlight w:val="none"/>
        </w:rPr>
        <w:instrText xml:space="preserve"> </w:instrText>
      </w:r>
      <w:r>
        <w:rPr>
          <w:color w:val="auto"/>
          <w:highlight w:val="none"/>
        </w:rPr>
        <w:fldChar w:fldCharType="separate"/>
      </w:r>
      <w:r>
        <w:rPr>
          <w:color w:val="auto"/>
          <w:highlight w:val="none"/>
        </w:rPr>
        <w:fldChar w:fldCharType="begin"/>
      </w:r>
      <w:r>
        <w:rPr>
          <w:color w:val="auto"/>
          <w:highlight w:val="none"/>
        </w:rPr>
        <w:instrText xml:space="preserve"> HYPERLINK \l "_Toc4308" </w:instrText>
      </w:r>
      <w:r>
        <w:rPr>
          <w:color w:val="auto"/>
          <w:highlight w:val="none"/>
        </w:rPr>
        <w:fldChar w:fldCharType="separate"/>
      </w:r>
      <w:r>
        <w:rPr>
          <w:rFonts w:ascii="Times New Roman" w:hAnsi="Times New Roman"/>
          <w:color w:val="auto"/>
          <w:highlight w:val="none"/>
        </w:rPr>
        <w:t>1．总论</w:t>
      </w:r>
      <w:r>
        <w:rPr>
          <w:color w:val="auto"/>
          <w:highlight w:val="none"/>
        </w:rPr>
        <w:tab/>
      </w:r>
      <w:r>
        <w:rPr>
          <w:color w:val="auto"/>
          <w:highlight w:val="none"/>
        </w:rPr>
        <w:fldChar w:fldCharType="begin"/>
      </w:r>
      <w:r>
        <w:rPr>
          <w:color w:val="auto"/>
          <w:highlight w:val="none"/>
        </w:rPr>
        <w:instrText xml:space="preserve"> PAGEREF _Toc4308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"_Toc22480" </w:instrText>
      </w:r>
      <w:r>
        <w:rPr>
          <w:color w:val="auto"/>
          <w:highlight w:val="none"/>
        </w:rPr>
        <w:fldChar w:fldCharType="separate"/>
      </w:r>
      <w:r>
        <w:rPr>
          <w:color w:val="auto"/>
          <w:highlight w:val="none"/>
        </w:rPr>
        <w:t>1.1 编制依据</w:t>
      </w:r>
      <w:r>
        <w:rPr>
          <w:color w:val="auto"/>
          <w:highlight w:val="none"/>
        </w:rPr>
        <w:tab/>
      </w:r>
      <w:r>
        <w:rPr>
          <w:color w:val="auto"/>
          <w:highlight w:val="none"/>
        </w:rPr>
        <w:fldChar w:fldCharType="begin"/>
      </w:r>
      <w:r>
        <w:rPr>
          <w:color w:val="auto"/>
          <w:highlight w:val="none"/>
        </w:rPr>
        <w:instrText xml:space="preserve"> PAGEREF _Toc22480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"_Toc23015" </w:instrText>
      </w:r>
      <w:r>
        <w:rPr>
          <w:color w:val="auto"/>
          <w:highlight w:val="none"/>
        </w:rPr>
        <w:fldChar w:fldCharType="separate"/>
      </w:r>
      <w:r>
        <w:rPr>
          <w:color w:val="auto"/>
          <w:highlight w:val="none"/>
        </w:rPr>
        <w:t>1.2 评价原则、目的、指导思想与评价重点</w:t>
      </w:r>
      <w:r>
        <w:rPr>
          <w:color w:val="auto"/>
          <w:highlight w:val="none"/>
        </w:rPr>
        <w:tab/>
      </w:r>
      <w:r>
        <w:rPr>
          <w:color w:val="auto"/>
          <w:highlight w:val="none"/>
        </w:rPr>
        <w:fldChar w:fldCharType="begin"/>
      </w:r>
      <w:r>
        <w:rPr>
          <w:color w:val="auto"/>
          <w:highlight w:val="none"/>
        </w:rPr>
        <w:instrText xml:space="preserve"> PAGEREF _Toc23015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"_Toc29680" </w:instrText>
      </w:r>
      <w:r>
        <w:rPr>
          <w:color w:val="auto"/>
          <w:highlight w:val="none"/>
        </w:rPr>
        <w:fldChar w:fldCharType="separate"/>
      </w:r>
      <w:r>
        <w:rPr>
          <w:color w:val="auto"/>
          <w:highlight w:val="none"/>
        </w:rPr>
        <w:t>1.3 环境影响因子识别及确定</w:t>
      </w:r>
      <w:r>
        <w:rPr>
          <w:color w:val="auto"/>
          <w:highlight w:val="none"/>
        </w:rPr>
        <w:tab/>
      </w:r>
      <w:r>
        <w:rPr>
          <w:color w:val="auto"/>
          <w:highlight w:val="none"/>
        </w:rPr>
        <w:fldChar w:fldCharType="begin"/>
      </w:r>
      <w:r>
        <w:rPr>
          <w:color w:val="auto"/>
          <w:highlight w:val="none"/>
        </w:rPr>
        <w:instrText xml:space="preserve"> PAGEREF _Toc29680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"_Toc5268" </w:instrText>
      </w:r>
      <w:r>
        <w:rPr>
          <w:color w:val="auto"/>
          <w:highlight w:val="none"/>
        </w:rPr>
        <w:fldChar w:fldCharType="separate"/>
      </w:r>
      <w:r>
        <w:rPr>
          <w:color w:val="auto"/>
          <w:highlight w:val="none"/>
        </w:rPr>
        <w:t>1.4 评价标准</w:t>
      </w:r>
      <w:r>
        <w:rPr>
          <w:color w:val="auto"/>
          <w:highlight w:val="none"/>
        </w:rPr>
        <w:tab/>
      </w:r>
      <w:r>
        <w:rPr>
          <w:color w:val="auto"/>
          <w:highlight w:val="none"/>
        </w:rPr>
        <w:fldChar w:fldCharType="begin"/>
      </w:r>
      <w:r>
        <w:rPr>
          <w:color w:val="auto"/>
          <w:highlight w:val="none"/>
        </w:rPr>
        <w:instrText xml:space="preserve"> PAGEREF _Toc5268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"_Toc14171" </w:instrText>
      </w:r>
      <w:r>
        <w:rPr>
          <w:color w:val="auto"/>
          <w:highlight w:val="none"/>
        </w:rPr>
        <w:fldChar w:fldCharType="separate"/>
      </w:r>
      <w:r>
        <w:rPr>
          <w:color w:val="auto"/>
          <w:highlight w:val="none"/>
        </w:rPr>
        <w:t>1.5 评价等级</w:t>
      </w:r>
      <w:r>
        <w:rPr>
          <w:color w:val="auto"/>
          <w:highlight w:val="none"/>
        </w:rPr>
        <w:tab/>
      </w:r>
      <w:r>
        <w:rPr>
          <w:color w:val="auto"/>
          <w:highlight w:val="none"/>
        </w:rPr>
        <w:fldChar w:fldCharType="begin"/>
      </w:r>
      <w:r>
        <w:rPr>
          <w:color w:val="auto"/>
          <w:highlight w:val="none"/>
        </w:rPr>
        <w:instrText xml:space="preserve"> PAGEREF _Toc14171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"_Toc3617" </w:instrText>
      </w:r>
      <w:r>
        <w:rPr>
          <w:color w:val="auto"/>
          <w:highlight w:val="none"/>
        </w:rPr>
        <w:fldChar w:fldCharType="separate"/>
      </w:r>
      <w:r>
        <w:rPr>
          <w:color w:val="auto"/>
          <w:highlight w:val="none"/>
        </w:rPr>
        <w:t>1.6评价范围及环境敏感保护目标</w:t>
      </w:r>
      <w:r>
        <w:rPr>
          <w:color w:val="auto"/>
          <w:highlight w:val="none"/>
        </w:rPr>
        <w:tab/>
      </w:r>
      <w:r>
        <w:rPr>
          <w:color w:val="auto"/>
          <w:highlight w:val="none"/>
        </w:rPr>
        <w:fldChar w:fldCharType="begin"/>
      </w:r>
      <w:r>
        <w:rPr>
          <w:color w:val="auto"/>
          <w:highlight w:val="none"/>
        </w:rPr>
        <w:instrText xml:space="preserve"> PAGEREF _Toc3617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41"/>
        <w:tabs>
          <w:tab w:val="right" w:leader="dot" w:pos="8787"/>
          <w:tab w:val="clear" w:pos="8777"/>
        </w:tabs>
        <w:spacing w:before="0" w:after="0" w:line="360" w:lineRule="auto"/>
        <w:rPr>
          <w:color w:val="auto"/>
          <w:highlight w:val="none"/>
        </w:rPr>
      </w:pPr>
      <w:r>
        <w:rPr>
          <w:color w:val="auto"/>
          <w:highlight w:val="none"/>
        </w:rPr>
        <w:fldChar w:fldCharType="begin"/>
      </w:r>
      <w:r>
        <w:rPr>
          <w:color w:val="auto"/>
          <w:highlight w:val="none"/>
        </w:rPr>
        <w:instrText xml:space="preserve"> HYPERLINK \l "_Toc9452" </w:instrText>
      </w:r>
      <w:r>
        <w:rPr>
          <w:color w:val="auto"/>
          <w:highlight w:val="none"/>
        </w:rPr>
        <w:fldChar w:fldCharType="separate"/>
      </w:r>
      <w:r>
        <w:rPr>
          <w:rFonts w:ascii="Times New Roman" w:hAnsi="Times New Roman"/>
          <w:color w:val="auto"/>
          <w:highlight w:val="none"/>
        </w:rPr>
        <w:t>2.工程分析</w:t>
      </w:r>
      <w:r>
        <w:rPr>
          <w:color w:val="auto"/>
          <w:highlight w:val="none"/>
        </w:rPr>
        <w:tab/>
      </w:r>
      <w:r>
        <w:rPr>
          <w:color w:val="auto"/>
          <w:highlight w:val="none"/>
        </w:rPr>
        <w:fldChar w:fldCharType="begin"/>
      </w:r>
      <w:r>
        <w:rPr>
          <w:color w:val="auto"/>
          <w:highlight w:val="none"/>
        </w:rPr>
        <w:instrText xml:space="preserve"> PAGEREF _Toc9452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"_Toc17891" </w:instrText>
      </w:r>
      <w:r>
        <w:rPr>
          <w:color w:val="auto"/>
          <w:highlight w:val="none"/>
        </w:rPr>
        <w:fldChar w:fldCharType="separate"/>
      </w:r>
      <w:r>
        <w:rPr>
          <w:color w:val="auto"/>
          <w:highlight w:val="none"/>
        </w:rPr>
        <w:t>2.1项目概况</w:t>
      </w:r>
      <w:r>
        <w:rPr>
          <w:color w:val="auto"/>
          <w:highlight w:val="none"/>
        </w:rPr>
        <w:tab/>
      </w:r>
      <w:r>
        <w:rPr>
          <w:color w:val="auto"/>
          <w:highlight w:val="none"/>
        </w:rPr>
        <w:fldChar w:fldCharType="begin"/>
      </w:r>
      <w:r>
        <w:rPr>
          <w:color w:val="auto"/>
          <w:highlight w:val="none"/>
        </w:rPr>
        <w:instrText xml:space="preserve"> PAGEREF _Toc17891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"_Toc20204" </w:instrText>
      </w:r>
      <w:r>
        <w:rPr>
          <w:color w:val="auto"/>
          <w:highlight w:val="none"/>
        </w:rPr>
        <w:fldChar w:fldCharType="separate"/>
      </w:r>
      <w:r>
        <w:rPr>
          <w:color w:val="auto"/>
          <w:highlight w:val="none"/>
        </w:rPr>
        <w:t>2.2工艺流程及产污环节分析</w:t>
      </w:r>
      <w:r>
        <w:rPr>
          <w:color w:val="auto"/>
          <w:highlight w:val="none"/>
        </w:rPr>
        <w:tab/>
      </w:r>
      <w:r>
        <w:rPr>
          <w:color w:val="auto"/>
          <w:highlight w:val="none"/>
        </w:rPr>
        <w:fldChar w:fldCharType="begin"/>
      </w:r>
      <w:r>
        <w:rPr>
          <w:color w:val="auto"/>
          <w:highlight w:val="none"/>
        </w:rPr>
        <w:instrText xml:space="preserve"> PAGEREF _Toc20204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"_Toc23608" </w:instrText>
      </w:r>
      <w:r>
        <w:rPr>
          <w:color w:val="auto"/>
          <w:highlight w:val="none"/>
        </w:rPr>
        <w:fldChar w:fldCharType="separate"/>
      </w:r>
      <w:r>
        <w:rPr>
          <w:color w:val="auto"/>
          <w:highlight w:val="none"/>
        </w:rPr>
        <w:t>2.3污染物产生</w:t>
      </w:r>
      <w:r>
        <w:rPr>
          <w:rFonts w:hint="eastAsia"/>
          <w:color w:val="auto"/>
          <w:highlight w:val="none"/>
        </w:rPr>
        <w:t>、</w:t>
      </w:r>
      <w:r>
        <w:rPr>
          <w:color w:val="auto"/>
          <w:highlight w:val="none"/>
        </w:rPr>
        <w:t>排放及治理措施</w:t>
      </w:r>
      <w:r>
        <w:rPr>
          <w:color w:val="auto"/>
          <w:highlight w:val="none"/>
        </w:rPr>
        <w:tab/>
      </w:r>
      <w:r>
        <w:rPr>
          <w:color w:val="auto"/>
          <w:highlight w:val="none"/>
        </w:rPr>
        <w:fldChar w:fldCharType="begin"/>
      </w:r>
      <w:r>
        <w:rPr>
          <w:color w:val="auto"/>
          <w:highlight w:val="none"/>
        </w:rPr>
        <w:instrText xml:space="preserve"> PAGEREF _Toc23608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"_Toc13964" </w:instrText>
      </w:r>
      <w:r>
        <w:rPr>
          <w:color w:val="auto"/>
          <w:highlight w:val="none"/>
        </w:rPr>
        <w:fldChar w:fldCharType="separate"/>
      </w:r>
      <w:r>
        <w:rPr>
          <w:color w:val="auto"/>
          <w:highlight w:val="none"/>
        </w:rPr>
        <w:t>2.4</w:t>
      </w:r>
      <w:r>
        <w:rPr>
          <w:rFonts w:hint="eastAsia"/>
          <w:color w:val="auto"/>
          <w:highlight w:val="none"/>
        </w:rPr>
        <w:t>项目污染物产生量及处理设施、排放量汇总</w:t>
      </w:r>
      <w:r>
        <w:rPr>
          <w:color w:val="auto"/>
          <w:highlight w:val="none"/>
        </w:rPr>
        <w:tab/>
      </w:r>
      <w:r>
        <w:rPr>
          <w:color w:val="auto"/>
          <w:highlight w:val="none"/>
        </w:rPr>
        <w:fldChar w:fldCharType="begin"/>
      </w:r>
      <w:r>
        <w:rPr>
          <w:color w:val="auto"/>
          <w:highlight w:val="none"/>
        </w:rPr>
        <w:instrText xml:space="preserve"> PAGEREF _Toc13964 \h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pPr>
        <w:pStyle w:val="41"/>
        <w:tabs>
          <w:tab w:val="right" w:leader="dot" w:pos="8787"/>
          <w:tab w:val="clear" w:pos="8777"/>
        </w:tabs>
        <w:spacing w:before="0" w:after="0" w:line="360" w:lineRule="auto"/>
        <w:rPr>
          <w:color w:val="auto"/>
          <w:highlight w:val="none"/>
        </w:rPr>
      </w:pPr>
      <w:r>
        <w:rPr>
          <w:color w:val="auto"/>
          <w:highlight w:val="none"/>
        </w:rPr>
        <w:fldChar w:fldCharType="begin"/>
      </w:r>
      <w:r>
        <w:rPr>
          <w:color w:val="auto"/>
          <w:highlight w:val="none"/>
        </w:rPr>
        <w:instrText xml:space="preserve"> HYPERLINK \l "_Toc28313" </w:instrText>
      </w:r>
      <w:r>
        <w:rPr>
          <w:color w:val="auto"/>
          <w:highlight w:val="none"/>
        </w:rPr>
        <w:fldChar w:fldCharType="separate"/>
      </w:r>
      <w:r>
        <w:rPr>
          <w:rFonts w:ascii="Times New Roman" w:hAnsi="Times New Roman"/>
          <w:color w:val="auto"/>
          <w:highlight w:val="none"/>
        </w:rPr>
        <w:t>3.环境现状调查与评价</w:t>
      </w:r>
      <w:r>
        <w:rPr>
          <w:color w:val="auto"/>
          <w:highlight w:val="none"/>
        </w:rPr>
        <w:tab/>
      </w:r>
      <w:r>
        <w:rPr>
          <w:color w:val="auto"/>
          <w:highlight w:val="none"/>
        </w:rPr>
        <w:fldChar w:fldCharType="begin"/>
      </w:r>
      <w:r>
        <w:rPr>
          <w:color w:val="auto"/>
          <w:highlight w:val="none"/>
        </w:rPr>
        <w:instrText xml:space="preserve"> PAGEREF _Toc28313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"_Toc18502" </w:instrText>
      </w:r>
      <w:r>
        <w:rPr>
          <w:color w:val="auto"/>
          <w:highlight w:val="none"/>
        </w:rPr>
        <w:fldChar w:fldCharType="separate"/>
      </w:r>
      <w:r>
        <w:rPr>
          <w:color w:val="auto"/>
          <w:highlight w:val="none"/>
        </w:rPr>
        <w:t>3.1自然环境现状</w:t>
      </w:r>
      <w:r>
        <w:rPr>
          <w:color w:val="auto"/>
          <w:highlight w:val="none"/>
        </w:rPr>
        <w:tab/>
      </w:r>
      <w:r>
        <w:rPr>
          <w:color w:val="auto"/>
          <w:highlight w:val="none"/>
        </w:rPr>
        <w:fldChar w:fldCharType="begin"/>
      </w:r>
      <w:r>
        <w:rPr>
          <w:color w:val="auto"/>
          <w:highlight w:val="none"/>
        </w:rPr>
        <w:instrText xml:space="preserve"> PAGEREF _Toc18502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"_Toc28913" </w:instrText>
      </w:r>
      <w:r>
        <w:rPr>
          <w:color w:val="auto"/>
          <w:highlight w:val="none"/>
        </w:rPr>
        <w:fldChar w:fldCharType="separate"/>
      </w:r>
      <w:r>
        <w:rPr>
          <w:color w:val="auto"/>
          <w:highlight w:val="none"/>
        </w:rPr>
        <w:t>3.2区域相关规划</w:t>
      </w:r>
      <w:r>
        <w:rPr>
          <w:color w:val="auto"/>
          <w:highlight w:val="none"/>
        </w:rPr>
        <w:tab/>
      </w:r>
      <w:r>
        <w:rPr>
          <w:color w:val="auto"/>
          <w:highlight w:val="none"/>
        </w:rPr>
        <w:fldChar w:fldCharType="begin"/>
      </w:r>
      <w:r>
        <w:rPr>
          <w:color w:val="auto"/>
          <w:highlight w:val="none"/>
        </w:rPr>
        <w:instrText xml:space="preserve"> PAGEREF _Toc28913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"_Toc25677" </w:instrText>
      </w:r>
      <w:r>
        <w:rPr>
          <w:color w:val="auto"/>
          <w:highlight w:val="none"/>
        </w:rPr>
        <w:fldChar w:fldCharType="separate"/>
      </w:r>
      <w:r>
        <w:rPr>
          <w:color w:val="auto"/>
          <w:highlight w:val="none"/>
        </w:rPr>
        <w:t>3.3环境空气质量现状</w:t>
      </w:r>
      <w:r>
        <w:rPr>
          <w:color w:val="auto"/>
          <w:highlight w:val="none"/>
        </w:rPr>
        <w:tab/>
      </w:r>
      <w:r>
        <w:rPr>
          <w:color w:val="auto"/>
          <w:highlight w:val="none"/>
        </w:rPr>
        <w:fldChar w:fldCharType="begin"/>
      </w:r>
      <w:r>
        <w:rPr>
          <w:color w:val="auto"/>
          <w:highlight w:val="none"/>
        </w:rPr>
        <w:instrText xml:space="preserve"> PAGEREF _Toc25677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"_Toc22224" </w:instrText>
      </w:r>
      <w:r>
        <w:rPr>
          <w:color w:val="auto"/>
          <w:highlight w:val="none"/>
        </w:rPr>
        <w:fldChar w:fldCharType="separate"/>
      </w:r>
      <w:r>
        <w:rPr>
          <w:color w:val="auto"/>
          <w:highlight w:val="none"/>
        </w:rPr>
        <w:t>3.4地表水环境质量现状</w:t>
      </w:r>
      <w:r>
        <w:rPr>
          <w:color w:val="auto"/>
          <w:highlight w:val="none"/>
        </w:rPr>
        <w:tab/>
      </w:r>
      <w:r>
        <w:rPr>
          <w:color w:val="auto"/>
          <w:highlight w:val="none"/>
        </w:rPr>
        <w:fldChar w:fldCharType="begin"/>
      </w:r>
      <w:r>
        <w:rPr>
          <w:color w:val="auto"/>
          <w:highlight w:val="none"/>
        </w:rPr>
        <w:instrText xml:space="preserve"> PAGEREF _Toc22224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"_Toc7025" </w:instrText>
      </w:r>
      <w:r>
        <w:rPr>
          <w:color w:val="auto"/>
          <w:highlight w:val="none"/>
        </w:rPr>
        <w:fldChar w:fldCharType="separate"/>
      </w:r>
      <w:r>
        <w:rPr>
          <w:color w:val="auto"/>
          <w:highlight w:val="none"/>
        </w:rPr>
        <w:t>3.5地下水环境质量现状</w:t>
      </w:r>
      <w:r>
        <w:rPr>
          <w:color w:val="auto"/>
          <w:highlight w:val="none"/>
        </w:rPr>
        <w:tab/>
      </w:r>
      <w:r>
        <w:rPr>
          <w:color w:val="auto"/>
          <w:highlight w:val="none"/>
        </w:rPr>
        <w:fldChar w:fldCharType="begin"/>
      </w:r>
      <w:r>
        <w:rPr>
          <w:color w:val="auto"/>
          <w:highlight w:val="none"/>
        </w:rPr>
        <w:instrText xml:space="preserve"> PAGEREF _Toc7025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"_Toc13123" </w:instrText>
      </w:r>
      <w:r>
        <w:rPr>
          <w:color w:val="auto"/>
          <w:highlight w:val="none"/>
        </w:rPr>
        <w:fldChar w:fldCharType="separate"/>
      </w:r>
      <w:r>
        <w:rPr>
          <w:color w:val="auto"/>
          <w:highlight w:val="none"/>
        </w:rPr>
        <w:t>3.6声环境质量现状</w:t>
      </w:r>
      <w:r>
        <w:rPr>
          <w:color w:val="auto"/>
          <w:highlight w:val="none"/>
        </w:rPr>
        <w:tab/>
      </w:r>
      <w:r>
        <w:rPr>
          <w:color w:val="auto"/>
          <w:highlight w:val="none"/>
        </w:rPr>
        <w:fldChar w:fldCharType="begin"/>
      </w:r>
      <w:r>
        <w:rPr>
          <w:color w:val="auto"/>
          <w:highlight w:val="none"/>
        </w:rPr>
        <w:instrText xml:space="preserve"> PAGEREF _Toc13123 \h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"_Toc19485" </w:instrText>
      </w:r>
      <w:r>
        <w:rPr>
          <w:color w:val="auto"/>
          <w:highlight w:val="none"/>
        </w:rPr>
        <w:fldChar w:fldCharType="separate"/>
      </w:r>
      <w:r>
        <w:rPr>
          <w:color w:val="auto"/>
          <w:highlight w:val="none"/>
        </w:rPr>
        <w:t>3.7土壤环境质量现状</w:t>
      </w:r>
      <w:r>
        <w:rPr>
          <w:color w:val="auto"/>
          <w:highlight w:val="none"/>
        </w:rPr>
        <w:tab/>
      </w:r>
      <w:r>
        <w:rPr>
          <w:color w:val="auto"/>
          <w:highlight w:val="none"/>
        </w:rPr>
        <w:fldChar w:fldCharType="begin"/>
      </w:r>
      <w:r>
        <w:rPr>
          <w:color w:val="auto"/>
          <w:highlight w:val="none"/>
        </w:rPr>
        <w:instrText xml:space="preserve"> PAGEREF _Toc19485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41"/>
        <w:tabs>
          <w:tab w:val="right" w:leader="dot" w:pos="8787"/>
          <w:tab w:val="clear" w:pos="8777"/>
        </w:tabs>
        <w:spacing w:before="0" w:after="0" w:line="360" w:lineRule="auto"/>
        <w:rPr>
          <w:color w:val="auto"/>
          <w:highlight w:val="none"/>
        </w:rPr>
      </w:pPr>
      <w:r>
        <w:rPr>
          <w:color w:val="auto"/>
          <w:highlight w:val="none"/>
        </w:rPr>
        <w:fldChar w:fldCharType="begin"/>
      </w:r>
      <w:r>
        <w:rPr>
          <w:color w:val="auto"/>
          <w:highlight w:val="none"/>
        </w:rPr>
        <w:instrText xml:space="preserve"> HYPERLINK \l "_Toc27728" </w:instrText>
      </w:r>
      <w:r>
        <w:rPr>
          <w:color w:val="auto"/>
          <w:highlight w:val="none"/>
        </w:rPr>
        <w:fldChar w:fldCharType="separate"/>
      </w:r>
      <w:r>
        <w:rPr>
          <w:rFonts w:ascii="Times New Roman" w:hAnsi="Times New Roman"/>
          <w:color w:val="auto"/>
          <w:highlight w:val="none"/>
        </w:rPr>
        <w:t>4.环境影响预测与评价</w:t>
      </w:r>
      <w:r>
        <w:rPr>
          <w:color w:val="auto"/>
          <w:highlight w:val="none"/>
        </w:rPr>
        <w:tab/>
      </w:r>
      <w:r>
        <w:rPr>
          <w:color w:val="auto"/>
          <w:highlight w:val="none"/>
        </w:rPr>
        <w:fldChar w:fldCharType="begin"/>
      </w:r>
      <w:r>
        <w:rPr>
          <w:color w:val="auto"/>
          <w:highlight w:val="none"/>
        </w:rPr>
        <w:instrText xml:space="preserve"> PAGEREF _Toc27728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"_Toc26720" </w:instrText>
      </w:r>
      <w:r>
        <w:rPr>
          <w:color w:val="auto"/>
          <w:highlight w:val="none"/>
        </w:rPr>
        <w:fldChar w:fldCharType="separate"/>
      </w:r>
      <w:r>
        <w:rPr>
          <w:color w:val="auto"/>
          <w:highlight w:val="none"/>
        </w:rPr>
        <w:t>4.1环境空气影响预测与评价</w:t>
      </w:r>
      <w:r>
        <w:rPr>
          <w:color w:val="auto"/>
          <w:highlight w:val="none"/>
        </w:rPr>
        <w:tab/>
      </w:r>
      <w:r>
        <w:rPr>
          <w:color w:val="auto"/>
          <w:highlight w:val="none"/>
        </w:rPr>
        <w:fldChar w:fldCharType="begin"/>
      </w:r>
      <w:r>
        <w:rPr>
          <w:color w:val="auto"/>
          <w:highlight w:val="none"/>
        </w:rPr>
        <w:instrText xml:space="preserve"> PAGEREF _Toc26720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"_Toc18280" </w:instrText>
      </w:r>
      <w:r>
        <w:rPr>
          <w:color w:val="auto"/>
          <w:highlight w:val="none"/>
        </w:rPr>
        <w:fldChar w:fldCharType="separate"/>
      </w:r>
      <w:r>
        <w:rPr>
          <w:color w:val="auto"/>
          <w:highlight w:val="none"/>
        </w:rPr>
        <w:t>4.2地表水环境影响预测与评价</w:t>
      </w:r>
      <w:r>
        <w:rPr>
          <w:color w:val="auto"/>
          <w:highlight w:val="none"/>
        </w:rPr>
        <w:tab/>
      </w:r>
      <w:r>
        <w:rPr>
          <w:color w:val="auto"/>
          <w:highlight w:val="none"/>
        </w:rPr>
        <w:fldChar w:fldCharType="begin"/>
      </w:r>
      <w:r>
        <w:rPr>
          <w:color w:val="auto"/>
          <w:highlight w:val="none"/>
        </w:rPr>
        <w:instrText xml:space="preserve"> PAGEREF _Toc18280 \h </w:instrText>
      </w:r>
      <w:r>
        <w:rPr>
          <w:color w:val="auto"/>
          <w:highlight w:val="none"/>
        </w:rPr>
        <w:fldChar w:fldCharType="separate"/>
      </w:r>
      <w:r>
        <w:rPr>
          <w:color w:val="auto"/>
          <w:highlight w:val="none"/>
        </w:rPr>
        <w:t>87</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"_Toc13595" </w:instrText>
      </w:r>
      <w:r>
        <w:rPr>
          <w:color w:val="auto"/>
          <w:highlight w:val="none"/>
        </w:rPr>
        <w:fldChar w:fldCharType="separate"/>
      </w:r>
      <w:r>
        <w:rPr>
          <w:color w:val="auto"/>
          <w:highlight w:val="none"/>
        </w:rPr>
        <w:t>4.3地下水环境影响预测与评价</w:t>
      </w:r>
      <w:r>
        <w:rPr>
          <w:color w:val="auto"/>
          <w:highlight w:val="none"/>
        </w:rPr>
        <w:tab/>
      </w:r>
      <w:r>
        <w:rPr>
          <w:color w:val="auto"/>
          <w:highlight w:val="none"/>
        </w:rPr>
        <w:fldChar w:fldCharType="begin"/>
      </w:r>
      <w:r>
        <w:rPr>
          <w:color w:val="auto"/>
          <w:highlight w:val="none"/>
        </w:rPr>
        <w:instrText xml:space="preserve"> PAGEREF _Toc13595 \h </w:instrText>
      </w:r>
      <w:r>
        <w:rPr>
          <w:color w:val="auto"/>
          <w:highlight w:val="none"/>
        </w:rPr>
        <w:fldChar w:fldCharType="separate"/>
      </w:r>
      <w:r>
        <w:rPr>
          <w:color w:val="auto"/>
          <w:highlight w:val="none"/>
        </w:rPr>
        <w:t>89</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"_Toc32331" </w:instrText>
      </w:r>
      <w:r>
        <w:rPr>
          <w:color w:val="auto"/>
          <w:highlight w:val="none"/>
        </w:rPr>
        <w:fldChar w:fldCharType="separate"/>
      </w:r>
      <w:r>
        <w:rPr>
          <w:color w:val="auto"/>
          <w:highlight w:val="none"/>
        </w:rPr>
        <w:t>4.4声环境影响预测与评价</w:t>
      </w:r>
      <w:r>
        <w:rPr>
          <w:color w:val="auto"/>
          <w:highlight w:val="none"/>
        </w:rPr>
        <w:tab/>
      </w:r>
      <w:r>
        <w:rPr>
          <w:color w:val="auto"/>
          <w:highlight w:val="none"/>
        </w:rPr>
        <w:fldChar w:fldCharType="begin"/>
      </w:r>
      <w:r>
        <w:rPr>
          <w:color w:val="auto"/>
          <w:highlight w:val="none"/>
        </w:rPr>
        <w:instrText xml:space="preserve"> PAGEREF _Toc32331 \h </w:instrText>
      </w:r>
      <w:r>
        <w:rPr>
          <w:color w:val="auto"/>
          <w:highlight w:val="none"/>
        </w:rPr>
        <w:fldChar w:fldCharType="separate"/>
      </w:r>
      <w:r>
        <w:rPr>
          <w:color w:val="auto"/>
          <w:highlight w:val="none"/>
        </w:rPr>
        <w:t>92</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"_Toc5072" </w:instrText>
      </w:r>
      <w:r>
        <w:rPr>
          <w:color w:val="auto"/>
          <w:highlight w:val="none"/>
        </w:rPr>
        <w:fldChar w:fldCharType="separate"/>
      </w:r>
      <w:r>
        <w:rPr>
          <w:color w:val="auto"/>
          <w:highlight w:val="none"/>
        </w:rPr>
        <w:t>4.5固体废物环境影响分析</w:t>
      </w:r>
      <w:r>
        <w:rPr>
          <w:color w:val="auto"/>
          <w:highlight w:val="none"/>
        </w:rPr>
        <w:tab/>
      </w:r>
      <w:r>
        <w:rPr>
          <w:color w:val="auto"/>
          <w:highlight w:val="none"/>
        </w:rPr>
        <w:fldChar w:fldCharType="begin"/>
      </w:r>
      <w:r>
        <w:rPr>
          <w:color w:val="auto"/>
          <w:highlight w:val="none"/>
        </w:rPr>
        <w:instrText xml:space="preserve"> PAGEREF _Toc5072 \h </w:instrText>
      </w:r>
      <w:r>
        <w:rPr>
          <w:color w:val="auto"/>
          <w:highlight w:val="none"/>
        </w:rPr>
        <w:fldChar w:fldCharType="separate"/>
      </w:r>
      <w:r>
        <w:rPr>
          <w:color w:val="auto"/>
          <w:highlight w:val="none"/>
        </w:rPr>
        <w:t>96</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"_Toc18484" </w:instrText>
      </w:r>
      <w:r>
        <w:rPr>
          <w:color w:val="auto"/>
          <w:highlight w:val="none"/>
        </w:rPr>
        <w:fldChar w:fldCharType="separate"/>
      </w:r>
      <w:r>
        <w:rPr>
          <w:color w:val="auto"/>
          <w:highlight w:val="none"/>
        </w:rPr>
        <w:t>4.7生态环境影响评价</w:t>
      </w:r>
      <w:r>
        <w:rPr>
          <w:color w:val="auto"/>
          <w:highlight w:val="none"/>
        </w:rPr>
        <w:tab/>
      </w:r>
      <w:r>
        <w:rPr>
          <w:color w:val="auto"/>
          <w:highlight w:val="none"/>
        </w:rPr>
        <w:fldChar w:fldCharType="begin"/>
      </w:r>
      <w:r>
        <w:rPr>
          <w:color w:val="auto"/>
          <w:highlight w:val="none"/>
        </w:rPr>
        <w:instrText xml:space="preserve"> PAGEREF _Toc18484 \h </w:instrText>
      </w:r>
      <w:r>
        <w:rPr>
          <w:color w:val="auto"/>
          <w:highlight w:val="none"/>
        </w:rPr>
        <w:fldChar w:fldCharType="separate"/>
      </w:r>
      <w:r>
        <w:rPr>
          <w:color w:val="auto"/>
          <w:highlight w:val="none"/>
        </w:rPr>
        <w:t>101</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"_Toc13215" </w:instrText>
      </w:r>
      <w:r>
        <w:rPr>
          <w:color w:val="auto"/>
          <w:highlight w:val="none"/>
        </w:rPr>
        <w:fldChar w:fldCharType="separate"/>
      </w:r>
      <w:r>
        <w:rPr>
          <w:color w:val="auto"/>
          <w:highlight w:val="none"/>
        </w:rPr>
        <w:t>4.8施工期环境影响分析</w:t>
      </w:r>
      <w:r>
        <w:rPr>
          <w:color w:val="auto"/>
          <w:highlight w:val="none"/>
        </w:rPr>
        <w:tab/>
      </w:r>
      <w:r>
        <w:rPr>
          <w:color w:val="auto"/>
          <w:highlight w:val="none"/>
        </w:rPr>
        <w:fldChar w:fldCharType="begin"/>
      </w:r>
      <w:r>
        <w:rPr>
          <w:color w:val="auto"/>
          <w:highlight w:val="none"/>
        </w:rPr>
        <w:instrText xml:space="preserve"> PAGEREF _Toc13215 \h </w:instrText>
      </w:r>
      <w:r>
        <w:rPr>
          <w:color w:val="auto"/>
          <w:highlight w:val="none"/>
        </w:rPr>
        <w:fldChar w:fldCharType="separate"/>
      </w:r>
      <w:r>
        <w:rPr>
          <w:color w:val="auto"/>
          <w:highlight w:val="none"/>
        </w:rPr>
        <w:t>105</w:t>
      </w:r>
      <w:r>
        <w:rPr>
          <w:color w:val="auto"/>
          <w:highlight w:val="none"/>
        </w:rPr>
        <w:fldChar w:fldCharType="end"/>
      </w:r>
      <w:r>
        <w:rPr>
          <w:color w:val="auto"/>
          <w:highlight w:val="none"/>
        </w:rPr>
        <w:fldChar w:fldCharType="end"/>
      </w:r>
    </w:p>
    <w:p>
      <w:pPr>
        <w:pStyle w:val="41"/>
        <w:tabs>
          <w:tab w:val="right" w:leader="dot" w:pos="8787"/>
          <w:tab w:val="clear" w:pos="8777"/>
        </w:tabs>
        <w:spacing w:before="0" w:after="0" w:line="360" w:lineRule="auto"/>
        <w:rPr>
          <w:color w:val="auto"/>
          <w:highlight w:val="none"/>
        </w:rPr>
      </w:pPr>
      <w:r>
        <w:rPr>
          <w:color w:val="auto"/>
          <w:highlight w:val="none"/>
        </w:rPr>
        <w:fldChar w:fldCharType="begin"/>
      </w:r>
      <w:r>
        <w:rPr>
          <w:color w:val="auto"/>
          <w:highlight w:val="none"/>
        </w:rPr>
        <w:instrText xml:space="preserve"> HYPERLINK \l "_Toc24907" </w:instrText>
      </w:r>
      <w:r>
        <w:rPr>
          <w:color w:val="auto"/>
          <w:highlight w:val="none"/>
        </w:rPr>
        <w:fldChar w:fldCharType="separate"/>
      </w:r>
      <w:r>
        <w:rPr>
          <w:rFonts w:ascii="Times New Roman" w:hAnsi="Times New Roman"/>
          <w:color w:val="auto"/>
          <w:highlight w:val="none"/>
        </w:rPr>
        <w:t>5.环境风险评价</w:t>
      </w:r>
      <w:r>
        <w:rPr>
          <w:color w:val="auto"/>
          <w:highlight w:val="none"/>
        </w:rPr>
        <w:tab/>
      </w:r>
      <w:r>
        <w:rPr>
          <w:color w:val="auto"/>
          <w:highlight w:val="none"/>
        </w:rPr>
        <w:fldChar w:fldCharType="begin"/>
      </w:r>
      <w:r>
        <w:rPr>
          <w:color w:val="auto"/>
          <w:highlight w:val="none"/>
        </w:rPr>
        <w:instrText xml:space="preserve"> PAGEREF _Toc24907 \h </w:instrText>
      </w:r>
      <w:r>
        <w:rPr>
          <w:color w:val="auto"/>
          <w:highlight w:val="none"/>
        </w:rPr>
        <w:fldChar w:fldCharType="separate"/>
      </w:r>
      <w:r>
        <w:rPr>
          <w:color w:val="auto"/>
          <w:highlight w:val="none"/>
        </w:rPr>
        <w:t>109</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"_Toc11123" </w:instrText>
      </w:r>
      <w:r>
        <w:rPr>
          <w:color w:val="auto"/>
          <w:highlight w:val="none"/>
        </w:rPr>
        <w:fldChar w:fldCharType="separate"/>
      </w:r>
      <w:r>
        <w:rPr>
          <w:color w:val="auto"/>
          <w:highlight w:val="none"/>
        </w:rPr>
        <w:t>5.1风险潜势与评价等级</w:t>
      </w:r>
      <w:r>
        <w:rPr>
          <w:color w:val="auto"/>
          <w:highlight w:val="none"/>
        </w:rPr>
        <w:tab/>
      </w:r>
      <w:r>
        <w:rPr>
          <w:color w:val="auto"/>
          <w:highlight w:val="none"/>
        </w:rPr>
        <w:fldChar w:fldCharType="begin"/>
      </w:r>
      <w:r>
        <w:rPr>
          <w:color w:val="auto"/>
          <w:highlight w:val="none"/>
        </w:rPr>
        <w:instrText xml:space="preserve"> PAGEREF _Toc11123 \h </w:instrText>
      </w:r>
      <w:r>
        <w:rPr>
          <w:color w:val="auto"/>
          <w:highlight w:val="none"/>
        </w:rPr>
        <w:fldChar w:fldCharType="separate"/>
      </w:r>
      <w:r>
        <w:rPr>
          <w:color w:val="auto"/>
          <w:highlight w:val="none"/>
        </w:rPr>
        <w:t>109</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"_Toc10918" </w:instrText>
      </w:r>
      <w:r>
        <w:rPr>
          <w:color w:val="auto"/>
          <w:highlight w:val="none"/>
        </w:rPr>
        <w:fldChar w:fldCharType="separate"/>
      </w:r>
      <w:r>
        <w:rPr>
          <w:color w:val="auto"/>
          <w:highlight w:val="none"/>
        </w:rPr>
        <w:t>5.</w:t>
      </w:r>
      <w:r>
        <w:rPr>
          <w:rFonts w:hint="eastAsia"/>
          <w:color w:val="auto"/>
          <w:highlight w:val="none"/>
          <w:lang w:val="en-US"/>
        </w:rPr>
        <w:t>2</w:t>
      </w:r>
      <w:r>
        <w:rPr>
          <w:color w:val="auto"/>
          <w:highlight w:val="none"/>
        </w:rPr>
        <w:t>风险识别</w:t>
      </w:r>
      <w:r>
        <w:rPr>
          <w:color w:val="auto"/>
          <w:highlight w:val="none"/>
        </w:rPr>
        <w:tab/>
      </w:r>
      <w:r>
        <w:rPr>
          <w:color w:val="auto"/>
          <w:highlight w:val="none"/>
        </w:rPr>
        <w:fldChar w:fldCharType="begin"/>
      </w:r>
      <w:r>
        <w:rPr>
          <w:color w:val="auto"/>
          <w:highlight w:val="none"/>
        </w:rPr>
        <w:instrText xml:space="preserve"> PAGEREF _Toc10918 \h </w:instrText>
      </w:r>
      <w:r>
        <w:rPr>
          <w:color w:val="auto"/>
          <w:highlight w:val="none"/>
        </w:rPr>
        <w:fldChar w:fldCharType="separate"/>
      </w:r>
      <w:r>
        <w:rPr>
          <w:color w:val="auto"/>
          <w:highlight w:val="none"/>
        </w:rPr>
        <w:t>110</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"_Toc20090" </w:instrText>
      </w:r>
      <w:r>
        <w:rPr>
          <w:color w:val="auto"/>
          <w:highlight w:val="none"/>
        </w:rPr>
        <w:fldChar w:fldCharType="separate"/>
      </w:r>
      <w:r>
        <w:rPr>
          <w:rFonts w:hint="eastAsia"/>
          <w:color w:val="auto"/>
          <w:highlight w:val="none"/>
        </w:rPr>
        <w:t>5</w:t>
      </w:r>
      <w:r>
        <w:rPr>
          <w:color w:val="auto"/>
          <w:highlight w:val="none"/>
        </w:rPr>
        <w:t>.</w:t>
      </w:r>
      <w:r>
        <w:rPr>
          <w:rFonts w:hint="eastAsia"/>
          <w:color w:val="auto"/>
          <w:highlight w:val="none"/>
          <w:lang w:val="en-US"/>
        </w:rPr>
        <w:t>3</w:t>
      </w:r>
      <w:r>
        <w:rPr>
          <w:rFonts w:hint="eastAsia"/>
          <w:color w:val="auto"/>
          <w:highlight w:val="none"/>
        </w:rPr>
        <w:t>环境风险分析</w:t>
      </w:r>
      <w:r>
        <w:rPr>
          <w:color w:val="auto"/>
          <w:highlight w:val="none"/>
        </w:rPr>
        <w:tab/>
      </w:r>
      <w:r>
        <w:rPr>
          <w:color w:val="auto"/>
          <w:highlight w:val="none"/>
        </w:rPr>
        <w:fldChar w:fldCharType="begin"/>
      </w:r>
      <w:r>
        <w:rPr>
          <w:color w:val="auto"/>
          <w:highlight w:val="none"/>
        </w:rPr>
        <w:instrText xml:space="preserve"> PAGEREF _Toc20090 \h </w:instrText>
      </w:r>
      <w:r>
        <w:rPr>
          <w:color w:val="auto"/>
          <w:highlight w:val="none"/>
        </w:rPr>
        <w:fldChar w:fldCharType="separate"/>
      </w:r>
      <w:r>
        <w:rPr>
          <w:color w:val="auto"/>
          <w:highlight w:val="none"/>
        </w:rPr>
        <w:t>113</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"_Toc3944" </w:instrText>
      </w:r>
      <w:r>
        <w:rPr>
          <w:color w:val="auto"/>
          <w:highlight w:val="none"/>
        </w:rPr>
        <w:fldChar w:fldCharType="separate"/>
      </w:r>
      <w:r>
        <w:rPr>
          <w:rFonts w:hint="eastAsia"/>
          <w:color w:val="auto"/>
          <w:highlight w:val="none"/>
        </w:rPr>
        <w:t>5</w:t>
      </w:r>
      <w:r>
        <w:rPr>
          <w:color w:val="auto"/>
          <w:highlight w:val="none"/>
        </w:rPr>
        <w:t>.</w:t>
      </w:r>
      <w:r>
        <w:rPr>
          <w:rFonts w:hint="eastAsia"/>
          <w:color w:val="auto"/>
          <w:highlight w:val="none"/>
          <w:lang w:val="en-US"/>
        </w:rPr>
        <w:t>4</w:t>
      </w:r>
      <w:r>
        <w:rPr>
          <w:rFonts w:hint="eastAsia"/>
          <w:color w:val="auto"/>
          <w:highlight w:val="none"/>
        </w:rPr>
        <w:t>环境风险防范措施</w:t>
      </w:r>
      <w:r>
        <w:rPr>
          <w:color w:val="auto"/>
          <w:highlight w:val="none"/>
        </w:rPr>
        <w:tab/>
      </w:r>
      <w:r>
        <w:rPr>
          <w:color w:val="auto"/>
          <w:highlight w:val="none"/>
        </w:rPr>
        <w:fldChar w:fldCharType="begin"/>
      </w:r>
      <w:r>
        <w:rPr>
          <w:color w:val="auto"/>
          <w:highlight w:val="none"/>
        </w:rPr>
        <w:instrText xml:space="preserve"> PAGEREF _Toc3944 \h </w:instrText>
      </w:r>
      <w:r>
        <w:rPr>
          <w:color w:val="auto"/>
          <w:highlight w:val="none"/>
        </w:rPr>
        <w:fldChar w:fldCharType="separate"/>
      </w:r>
      <w:r>
        <w:rPr>
          <w:color w:val="auto"/>
          <w:highlight w:val="none"/>
        </w:rPr>
        <w:t>114</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"_Toc21838" </w:instrText>
      </w:r>
      <w:r>
        <w:rPr>
          <w:color w:val="auto"/>
          <w:highlight w:val="none"/>
        </w:rPr>
        <w:fldChar w:fldCharType="separate"/>
      </w:r>
      <w:r>
        <w:rPr>
          <w:color w:val="auto"/>
          <w:highlight w:val="none"/>
        </w:rPr>
        <w:t>5.</w:t>
      </w:r>
      <w:r>
        <w:rPr>
          <w:rFonts w:hint="eastAsia"/>
          <w:color w:val="auto"/>
          <w:highlight w:val="none"/>
          <w:lang w:val="en-US"/>
        </w:rPr>
        <w:t>5</w:t>
      </w:r>
      <w:r>
        <w:rPr>
          <w:color w:val="auto"/>
          <w:highlight w:val="none"/>
        </w:rPr>
        <w:t>小结</w:t>
      </w:r>
      <w:r>
        <w:rPr>
          <w:color w:val="auto"/>
          <w:highlight w:val="none"/>
        </w:rPr>
        <w:tab/>
      </w:r>
      <w:r>
        <w:rPr>
          <w:color w:val="auto"/>
          <w:highlight w:val="none"/>
        </w:rPr>
        <w:fldChar w:fldCharType="begin"/>
      </w:r>
      <w:r>
        <w:rPr>
          <w:color w:val="auto"/>
          <w:highlight w:val="none"/>
        </w:rPr>
        <w:instrText xml:space="preserve"> PAGEREF _Toc21838 \h </w:instrText>
      </w:r>
      <w:r>
        <w:rPr>
          <w:color w:val="auto"/>
          <w:highlight w:val="none"/>
        </w:rPr>
        <w:fldChar w:fldCharType="separate"/>
      </w:r>
      <w:r>
        <w:rPr>
          <w:color w:val="auto"/>
          <w:highlight w:val="none"/>
        </w:rPr>
        <w:t>121</w:t>
      </w:r>
      <w:r>
        <w:rPr>
          <w:color w:val="auto"/>
          <w:highlight w:val="none"/>
        </w:rPr>
        <w:fldChar w:fldCharType="end"/>
      </w:r>
      <w:r>
        <w:rPr>
          <w:color w:val="auto"/>
          <w:highlight w:val="none"/>
        </w:rPr>
        <w:fldChar w:fldCharType="end"/>
      </w:r>
    </w:p>
    <w:p>
      <w:pPr>
        <w:pStyle w:val="41"/>
        <w:tabs>
          <w:tab w:val="right" w:leader="dot" w:pos="8787"/>
          <w:tab w:val="clear" w:pos="8777"/>
        </w:tabs>
        <w:spacing w:before="0" w:after="0" w:line="360" w:lineRule="auto"/>
        <w:rPr>
          <w:color w:val="auto"/>
          <w:highlight w:val="none"/>
        </w:rPr>
      </w:pPr>
      <w:r>
        <w:rPr>
          <w:color w:val="auto"/>
          <w:highlight w:val="none"/>
        </w:rPr>
        <w:fldChar w:fldCharType="begin"/>
      </w:r>
      <w:r>
        <w:rPr>
          <w:color w:val="auto"/>
          <w:highlight w:val="none"/>
        </w:rPr>
        <w:instrText xml:space="preserve"> HYPERLINK \l "_Toc2431" </w:instrText>
      </w:r>
      <w:r>
        <w:rPr>
          <w:color w:val="auto"/>
          <w:highlight w:val="none"/>
        </w:rPr>
        <w:fldChar w:fldCharType="separate"/>
      </w:r>
      <w:r>
        <w:rPr>
          <w:rFonts w:ascii="Times New Roman" w:hAnsi="Times New Roman"/>
          <w:color w:val="auto"/>
          <w:highlight w:val="none"/>
        </w:rPr>
        <w:t>6.环境保护措施及其可行性论证</w:t>
      </w:r>
      <w:r>
        <w:rPr>
          <w:color w:val="auto"/>
          <w:highlight w:val="none"/>
        </w:rPr>
        <w:tab/>
      </w:r>
      <w:r>
        <w:rPr>
          <w:color w:val="auto"/>
          <w:highlight w:val="none"/>
        </w:rPr>
        <w:fldChar w:fldCharType="begin"/>
      </w:r>
      <w:r>
        <w:rPr>
          <w:color w:val="auto"/>
          <w:highlight w:val="none"/>
        </w:rPr>
        <w:instrText xml:space="preserve"> PAGEREF _Toc2431 \h </w:instrText>
      </w:r>
      <w:r>
        <w:rPr>
          <w:color w:val="auto"/>
          <w:highlight w:val="none"/>
        </w:rPr>
        <w:fldChar w:fldCharType="separate"/>
      </w:r>
      <w:r>
        <w:rPr>
          <w:color w:val="auto"/>
          <w:highlight w:val="none"/>
        </w:rPr>
        <w:t>125</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"_Toc6334" </w:instrText>
      </w:r>
      <w:r>
        <w:rPr>
          <w:color w:val="auto"/>
          <w:highlight w:val="none"/>
        </w:rPr>
        <w:fldChar w:fldCharType="separate"/>
      </w:r>
      <w:r>
        <w:rPr>
          <w:color w:val="auto"/>
          <w:highlight w:val="none"/>
        </w:rPr>
        <w:t>6.1环境保护措施汇总</w:t>
      </w:r>
      <w:r>
        <w:rPr>
          <w:color w:val="auto"/>
          <w:highlight w:val="none"/>
        </w:rPr>
        <w:tab/>
      </w:r>
      <w:r>
        <w:rPr>
          <w:color w:val="auto"/>
          <w:highlight w:val="none"/>
        </w:rPr>
        <w:fldChar w:fldCharType="begin"/>
      </w:r>
      <w:r>
        <w:rPr>
          <w:color w:val="auto"/>
          <w:highlight w:val="none"/>
        </w:rPr>
        <w:instrText xml:space="preserve"> PAGEREF _Toc6334 \h </w:instrText>
      </w:r>
      <w:r>
        <w:rPr>
          <w:color w:val="auto"/>
          <w:highlight w:val="none"/>
        </w:rPr>
        <w:fldChar w:fldCharType="separate"/>
      </w:r>
      <w:r>
        <w:rPr>
          <w:color w:val="auto"/>
          <w:highlight w:val="none"/>
        </w:rPr>
        <w:t>125</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"_Toc20063" </w:instrText>
      </w:r>
      <w:r>
        <w:rPr>
          <w:color w:val="auto"/>
          <w:highlight w:val="none"/>
        </w:rPr>
        <w:fldChar w:fldCharType="separate"/>
      </w:r>
      <w:r>
        <w:rPr>
          <w:color w:val="auto"/>
          <w:highlight w:val="none"/>
        </w:rPr>
        <w:t>6.2废气处理措施及可行性分析</w:t>
      </w:r>
      <w:r>
        <w:rPr>
          <w:color w:val="auto"/>
          <w:highlight w:val="none"/>
        </w:rPr>
        <w:tab/>
      </w:r>
      <w:r>
        <w:rPr>
          <w:color w:val="auto"/>
          <w:highlight w:val="none"/>
        </w:rPr>
        <w:fldChar w:fldCharType="begin"/>
      </w:r>
      <w:r>
        <w:rPr>
          <w:color w:val="auto"/>
          <w:highlight w:val="none"/>
        </w:rPr>
        <w:instrText xml:space="preserve"> PAGEREF _Toc20063 \h </w:instrText>
      </w:r>
      <w:r>
        <w:rPr>
          <w:color w:val="auto"/>
          <w:highlight w:val="none"/>
        </w:rPr>
        <w:fldChar w:fldCharType="separate"/>
      </w:r>
      <w:r>
        <w:rPr>
          <w:color w:val="auto"/>
          <w:highlight w:val="none"/>
        </w:rPr>
        <w:t>125</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"_Toc2188" </w:instrText>
      </w:r>
      <w:r>
        <w:rPr>
          <w:color w:val="auto"/>
          <w:highlight w:val="none"/>
        </w:rPr>
        <w:fldChar w:fldCharType="separate"/>
      </w:r>
      <w:r>
        <w:rPr>
          <w:color w:val="auto"/>
          <w:highlight w:val="none"/>
        </w:rPr>
        <w:t>6.3废水处理措施及可行性分析</w:t>
      </w:r>
      <w:r>
        <w:rPr>
          <w:color w:val="auto"/>
          <w:highlight w:val="none"/>
        </w:rPr>
        <w:tab/>
      </w:r>
      <w:r>
        <w:rPr>
          <w:color w:val="auto"/>
          <w:highlight w:val="none"/>
        </w:rPr>
        <w:fldChar w:fldCharType="begin"/>
      </w:r>
      <w:r>
        <w:rPr>
          <w:color w:val="auto"/>
          <w:highlight w:val="none"/>
        </w:rPr>
        <w:instrText xml:space="preserve"> PAGEREF _Toc2188 \h </w:instrText>
      </w:r>
      <w:r>
        <w:rPr>
          <w:color w:val="auto"/>
          <w:highlight w:val="none"/>
        </w:rPr>
        <w:fldChar w:fldCharType="separate"/>
      </w:r>
      <w:r>
        <w:rPr>
          <w:color w:val="auto"/>
          <w:highlight w:val="none"/>
        </w:rPr>
        <w:t>131</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"_Toc31042" </w:instrText>
      </w:r>
      <w:r>
        <w:rPr>
          <w:color w:val="auto"/>
          <w:highlight w:val="none"/>
        </w:rPr>
        <w:fldChar w:fldCharType="separate"/>
      </w:r>
      <w:r>
        <w:rPr>
          <w:color w:val="auto"/>
          <w:highlight w:val="none"/>
        </w:rPr>
        <w:t>6.4固体废物处理措施及可行性分析</w:t>
      </w:r>
      <w:r>
        <w:rPr>
          <w:color w:val="auto"/>
          <w:highlight w:val="none"/>
        </w:rPr>
        <w:tab/>
      </w:r>
      <w:r>
        <w:rPr>
          <w:color w:val="auto"/>
          <w:highlight w:val="none"/>
        </w:rPr>
        <w:fldChar w:fldCharType="begin"/>
      </w:r>
      <w:r>
        <w:rPr>
          <w:color w:val="auto"/>
          <w:highlight w:val="none"/>
        </w:rPr>
        <w:instrText xml:space="preserve"> PAGEREF _Toc31042 \h </w:instrText>
      </w:r>
      <w:r>
        <w:rPr>
          <w:color w:val="auto"/>
          <w:highlight w:val="none"/>
        </w:rPr>
        <w:fldChar w:fldCharType="separate"/>
      </w:r>
      <w:r>
        <w:rPr>
          <w:color w:val="auto"/>
          <w:highlight w:val="none"/>
        </w:rPr>
        <w:t>133</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"_Toc30750" </w:instrText>
      </w:r>
      <w:r>
        <w:rPr>
          <w:color w:val="auto"/>
          <w:highlight w:val="none"/>
        </w:rPr>
        <w:fldChar w:fldCharType="separate"/>
      </w:r>
      <w:r>
        <w:rPr>
          <w:color w:val="auto"/>
          <w:highlight w:val="none"/>
        </w:rPr>
        <w:t>6.5噪声治理措施及可行性分析</w:t>
      </w:r>
      <w:r>
        <w:rPr>
          <w:color w:val="auto"/>
          <w:highlight w:val="none"/>
        </w:rPr>
        <w:tab/>
      </w:r>
      <w:r>
        <w:rPr>
          <w:color w:val="auto"/>
          <w:highlight w:val="none"/>
        </w:rPr>
        <w:fldChar w:fldCharType="begin"/>
      </w:r>
      <w:r>
        <w:rPr>
          <w:color w:val="auto"/>
          <w:highlight w:val="none"/>
        </w:rPr>
        <w:instrText xml:space="preserve"> PAGEREF _Toc30750 \h </w:instrText>
      </w:r>
      <w:r>
        <w:rPr>
          <w:color w:val="auto"/>
          <w:highlight w:val="none"/>
        </w:rPr>
        <w:fldChar w:fldCharType="separate"/>
      </w:r>
      <w:r>
        <w:rPr>
          <w:color w:val="auto"/>
          <w:highlight w:val="none"/>
        </w:rPr>
        <w:t>133</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"_Toc15492" </w:instrText>
      </w:r>
      <w:r>
        <w:rPr>
          <w:color w:val="auto"/>
          <w:highlight w:val="none"/>
        </w:rPr>
        <w:fldChar w:fldCharType="separate"/>
      </w:r>
      <w:r>
        <w:rPr>
          <w:color w:val="auto"/>
          <w:highlight w:val="none"/>
        </w:rPr>
        <w:t>6.</w:t>
      </w:r>
      <w:r>
        <w:rPr>
          <w:rFonts w:hint="eastAsia"/>
          <w:color w:val="auto"/>
          <w:highlight w:val="none"/>
        </w:rPr>
        <w:t>6进一步减缓污染的对策</w:t>
      </w:r>
      <w:r>
        <w:rPr>
          <w:color w:val="auto"/>
          <w:highlight w:val="none"/>
        </w:rPr>
        <w:tab/>
      </w:r>
      <w:r>
        <w:rPr>
          <w:color w:val="auto"/>
          <w:highlight w:val="none"/>
        </w:rPr>
        <w:fldChar w:fldCharType="begin"/>
      </w:r>
      <w:r>
        <w:rPr>
          <w:color w:val="auto"/>
          <w:highlight w:val="none"/>
        </w:rPr>
        <w:instrText xml:space="preserve"> PAGEREF _Toc15492 \h </w:instrText>
      </w:r>
      <w:r>
        <w:rPr>
          <w:color w:val="auto"/>
          <w:highlight w:val="none"/>
        </w:rPr>
        <w:fldChar w:fldCharType="separate"/>
      </w:r>
      <w:r>
        <w:rPr>
          <w:color w:val="auto"/>
          <w:highlight w:val="none"/>
        </w:rPr>
        <w:t>134</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"_Toc20625" </w:instrText>
      </w:r>
      <w:r>
        <w:rPr>
          <w:color w:val="auto"/>
          <w:highlight w:val="none"/>
        </w:rPr>
        <w:fldChar w:fldCharType="separate"/>
      </w:r>
      <w:r>
        <w:rPr>
          <w:color w:val="auto"/>
          <w:highlight w:val="none"/>
        </w:rPr>
        <w:t>6.7小结</w:t>
      </w:r>
      <w:r>
        <w:rPr>
          <w:color w:val="auto"/>
          <w:highlight w:val="none"/>
        </w:rPr>
        <w:tab/>
      </w:r>
      <w:r>
        <w:rPr>
          <w:color w:val="auto"/>
          <w:highlight w:val="none"/>
        </w:rPr>
        <w:fldChar w:fldCharType="begin"/>
      </w:r>
      <w:r>
        <w:rPr>
          <w:color w:val="auto"/>
          <w:highlight w:val="none"/>
        </w:rPr>
        <w:instrText xml:space="preserve"> PAGEREF _Toc20625 \h </w:instrText>
      </w:r>
      <w:r>
        <w:rPr>
          <w:color w:val="auto"/>
          <w:highlight w:val="none"/>
        </w:rPr>
        <w:fldChar w:fldCharType="separate"/>
      </w:r>
      <w:r>
        <w:rPr>
          <w:color w:val="auto"/>
          <w:highlight w:val="none"/>
        </w:rPr>
        <w:t>135</w:t>
      </w:r>
      <w:r>
        <w:rPr>
          <w:color w:val="auto"/>
          <w:highlight w:val="none"/>
        </w:rPr>
        <w:fldChar w:fldCharType="end"/>
      </w:r>
      <w:r>
        <w:rPr>
          <w:color w:val="auto"/>
          <w:highlight w:val="none"/>
        </w:rPr>
        <w:fldChar w:fldCharType="end"/>
      </w:r>
    </w:p>
    <w:p>
      <w:pPr>
        <w:pStyle w:val="41"/>
        <w:tabs>
          <w:tab w:val="right" w:leader="dot" w:pos="8787"/>
          <w:tab w:val="clear" w:pos="8777"/>
        </w:tabs>
        <w:spacing w:before="0" w:after="0" w:line="360" w:lineRule="auto"/>
        <w:rPr>
          <w:color w:val="auto"/>
          <w:highlight w:val="none"/>
        </w:rPr>
      </w:pPr>
      <w:r>
        <w:rPr>
          <w:color w:val="auto"/>
          <w:highlight w:val="none"/>
        </w:rPr>
        <w:fldChar w:fldCharType="begin"/>
      </w:r>
      <w:r>
        <w:rPr>
          <w:color w:val="auto"/>
          <w:highlight w:val="none"/>
        </w:rPr>
        <w:instrText xml:space="preserve"> HYPERLINK \l "_Toc17439" </w:instrText>
      </w:r>
      <w:r>
        <w:rPr>
          <w:color w:val="auto"/>
          <w:highlight w:val="none"/>
        </w:rPr>
        <w:fldChar w:fldCharType="separate"/>
      </w:r>
      <w:r>
        <w:rPr>
          <w:bCs/>
          <w:color w:val="auto"/>
          <w:kern w:val="44"/>
          <w:szCs w:val="44"/>
          <w:highlight w:val="none"/>
        </w:rPr>
        <w:t>7</w:t>
      </w:r>
      <w:r>
        <w:rPr>
          <w:rFonts w:hint="eastAsia"/>
          <w:bCs/>
          <w:color w:val="auto"/>
          <w:kern w:val="44"/>
          <w:szCs w:val="44"/>
          <w:highlight w:val="none"/>
        </w:rPr>
        <w:t>.</w:t>
      </w:r>
      <w:r>
        <w:rPr>
          <w:bCs/>
          <w:color w:val="auto"/>
          <w:kern w:val="44"/>
          <w:szCs w:val="44"/>
          <w:highlight w:val="none"/>
        </w:rPr>
        <w:t>环境影响经济损益分析</w:t>
      </w:r>
      <w:r>
        <w:rPr>
          <w:color w:val="auto"/>
          <w:highlight w:val="none"/>
        </w:rPr>
        <w:tab/>
      </w:r>
      <w:r>
        <w:rPr>
          <w:color w:val="auto"/>
          <w:highlight w:val="none"/>
        </w:rPr>
        <w:fldChar w:fldCharType="begin"/>
      </w:r>
      <w:r>
        <w:rPr>
          <w:color w:val="auto"/>
          <w:highlight w:val="none"/>
        </w:rPr>
        <w:instrText xml:space="preserve"> PAGEREF _Toc17439 \h </w:instrText>
      </w:r>
      <w:r>
        <w:rPr>
          <w:color w:val="auto"/>
          <w:highlight w:val="none"/>
        </w:rPr>
        <w:fldChar w:fldCharType="separate"/>
      </w:r>
      <w:r>
        <w:rPr>
          <w:color w:val="auto"/>
          <w:highlight w:val="none"/>
        </w:rPr>
        <w:t>137</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"_Toc8196" </w:instrText>
      </w:r>
      <w:r>
        <w:rPr>
          <w:color w:val="auto"/>
          <w:highlight w:val="none"/>
        </w:rPr>
        <w:fldChar w:fldCharType="separate"/>
      </w:r>
      <w:r>
        <w:rPr>
          <w:color w:val="auto"/>
          <w:highlight w:val="none"/>
        </w:rPr>
        <w:t>7.1分析方法</w:t>
      </w:r>
      <w:r>
        <w:rPr>
          <w:color w:val="auto"/>
          <w:highlight w:val="none"/>
        </w:rPr>
        <w:tab/>
      </w:r>
      <w:r>
        <w:rPr>
          <w:color w:val="auto"/>
          <w:highlight w:val="none"/>
        </w:rPr>
        <w:fldChar w:fldCharType="begin"/>
      </w:r>
      <w:r>
        <w:rPr>
          <w:color w:val="auto"/>
          <w:highlight w:val="none"/>
        </w:rPr>
        <w:instrText xml:space="preserve"> PAGEREF _Toc8196 \h </w:instrText>
      </w:r>
      <w:r>
        <w:rPr>
          <w:color w:val="auto"/>
          <w:highlight w:val="none"/>
        </w:rPr>
        <w:fldChar w:fldCharType="separate"/>
      </w:r>
      <w:r>
        <w:rPr>
          <w:color w:val="auto"/>
          <w:highlight w:val="none"/>
        </w:rPr>
        <w:t>137</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"_Toc22424" </w:instrText>
      </w:r>
      <w:r>
        <w:rPr>
          <w:color w:val="auto"/>
          <w:highlight w:val="none"/>
        </w:rPr>
        <w:fldChar w:fldCharType="separate"/>
      </w:r>
      <w:r>
        <w:rPr>
          <w:color w:val="auto"/>
          <w:highlight w:val="none"/>
        </w:rPr>
        <w:t>7.2经济效益分析</w:t>
      </w:r>
      <w:r>
        <w:rPr>
          <w:color w:val="auto"/>
          <w:highlight w:val="none"/>
        </w:rPr>
        <w:tab/>
      </w:r>
      <w:r>
        <w:rPr>
          <w:color w:val="auto"/>
          <w:highlight w:val="none"/>
        </w:rPr>
        <w:fldChar w:fldCharType="begin"/>
      </w:r>
      <w:r>
        <w:rPr>
          <w:color w:val="auto"/>
          <w:highlight w:val="none"/>
        </w:rPr>
        <w:instrText xml:space="preserve"> PAGEREF _Toc22424 \h </w:instrText>
      </w:r>
      <w:r>
        <w:rPr>
          <w:color w:val="auto"/>
          <w:highlight w:val="none"/>
        </w:rPr>
        <w:fldChar w:fldCharType="separate"/>
      </w:r>
      <w:r>
        <w:rPr>
          <w:color w:val="auto"/>
          <w:highlight w:val="none"/>
        </w:rPr>
        <w:t>137</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"_Toc16963" </w:instrText>
      </w:r>
      <w:r>
        <w:rPr>
          <w:color w:val="auto"/>
          <w:highlight w:val="none"/>
        </w:rPr>
        <w:fldChar w:fldCharType="separate"/>
      </w:r>
      <w:r>
        <w:rPr>
          <w:color w:val="auto"/>
          <w:highlight w:val="none"/>
        </w:rPr>
        <w:t>7.3环保投资预算</w:t>
      </w:r>
      <w:r>
        <w:rPr>
          <w:color w:val="auto"/>
          <w:highlight w:val="none"/>
        </w:rPr>
        <w:tab/>
      </w:r>
      <w:r>
        <w:rPr>
          <w:color w:val="auto"/>
          <w:highlight w:val="none"/>
        </w:rPr>
        <w:fldChar w:fldCharType="begin"/>
      </w:r>
      <w:r>
        <w:rPr>
          <w:color w:val="auto"/>
          <w:highlight w:val="none"/>
        </w:rPr>
        <w:instrText xml:space="preserve"> PAGEREF _Toc16963 \h </w:instrText>
      </w:r>
      <w:r>
        <w:rPr>
          <w:color w:val="auto"/>
          <w:highlight w:val="none"/>
        </w:rPr>
        <w:fldChar w:fldCharType="separate"/>
      </w:r>
      <w:r>
        <w:rPr>
          <w:color w:val="auto"/>
          <w:highlight w:val="none"/>
        </w:rPr>
        <w:t>137</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"_Toc13438" </w:instrText>
      </w:r>
      <w:r>
        <w:rPr>
          <w:color w:val="auto"/>
          <w:highlight w:val="none"/>
        </w:rPr>
        <w:fldChar w:fldCharType="separate"/>
      </w:r>
      <w:r>
        <w:rPr>
          <w:color w:val="auto"/>
          <w:highlight w:val="none"/>
        </w:rPr>
        <w:t>7.4损失估算</w:t>
      </w:r>
      <w:r>
        <w:rPr>
          <w:color w:val="auto"/>
          <w:highlight w:val="none"/>
        </w:rPr>
        <w:tab/>
      </w:r>
      <w:r>
        <w:rPr>
          <w:color w:val="auto"/>
          <w:highlight w:val="none"/>
        </w:rPr>
        <w:fldChar w:fldCharType="begin"/>
      </w:r>
      <w:r>
        <w:rPr>
          <w:color w:val="auto"/>
          <w:highlight w:val="none"/>
        </w:rPr>
        <w:instrText xml:space="preserve"> PAGEREF _Toc13438 \h </w:instrText>
      </w:r>
      <w:r>
        <w:rPr>
          <w:color w:val="auto"/>
          <w:highlight w:val="none"/>
        </w:rPr>
        <w:fldChar w:fldCharType="separate"/>
      </w:r>
      <w:r>
        <w:rPr>
          <w:color w:val="auto"/>
          <w:highlight w:val="none"/>
        </w:rPr>
        <w:t>138</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"_Toc21449" </w:instrText>
      </w:r>
      <w:r>
        <w:rPr>
          <w:color w:val="auto"/>
          <w:highlight w:val="none"/>
        </w:rPr>
        <w:fldChar w:fldCharType="separate"/>
      </w:r>
      <w:r>
        <w:rPr>
          <w:color w:val="auto"/>
          <w:highlight w:val="none"/>
        </w:rPr>
        <w:t>7.5项目的经济与社会效益</w:t>
      </w:r>
      <w:r>
        <w:rPr>
          <w:color w:val="auto"/>
          <w:highlight w:val="none"/>
        </w:rPr>
        <w:tab/>
      </w:r>
      <w:r>
        <w:rPr>
          <w:color w:val="auto"/>
          <w:highlight w:val="none"/>
        </w:rPr>
        <w:fldChar w:fldCharType="begin"/>
      </w:r>
      <w:r>
        <w:rPr>
          <w:color w:val="auto"/>
          <w:highlight w:val="none"/>
        </w:rPr>
        <w:instrText xml:space="preserve"> PAGEREF _Toc21449 \h </w:instrText>
      </w:r>
      <w:r>
        <w:rPr>
          <w:color w:val="auto"/>
          <w:highlight w:val="none"/>
        </w:rPr>
        <w:fldChar w:fldCharType="separate"/>
      </w:r>
      <w:r>
        <w:rPr>
          <w:color w:val="auto"/>
          <w:highlight w:val="none"/>
        </w:rPr>
        <w:t>138</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"_Toc11743" </w:instrText>
      </w:r>
      <w:r>
        <w:rPr>
          <w:color w:val="auto"/>
          <w:highlight w:val="none"/>
        </w:rPr>
        <w:fldChar w:fldCharType="separate"/>
      </w:r>
      <w:r>
        <w:rPr>
          <w:color w:val="auto"/>
          <w:highlight w:val="none"/>
        </w:rPr>
        <w:t>7.6环境经济指标与评价</w:t>
      </w:r>
      <w:r>
        <w:rPr>
          <w:color w:val="auto"/>
          <w:highlight w:val="none"/>
        </w:rPr>
        <w:tab/>
      </w:r>
      <w:r>
        <w:rPr>
          <w:color w:val="auto"/>
          <w:highlight w:val="none"/>
        </w:rPr>
        <w:fldChar w:fldCharType="begin"/>
      </w:r>
      <w:r>
        <w:rPr>
          <w:color w:val="auto"/>
          <w:highlight w:val="none"/>
        </w:rPr>
        <w:instrText xml:space="preserve"> PAGEREF _Toc11743 \h </w:instrText>
      </w:r>
      <w:r>
        <w:rPr>
          <w:color w:val="auto"/>
          <w:highlight w:val="none"/>
        </w:rPr>
        <w:fldChar w:fldCharType="separate"/>
      </w:r>
      <w:r>
        <w:rPr>
          <w:color w:val="auto"/>
          <w:highlight w:val="none"/>
        </w:rPr>
        <w:t>138</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"_Toc27114" </w:instrText>
      </w:r>
      <w:r>
        <w:rPr>
          <w:color w:val="auto"/>
          <w:highlight w:val="none"/>
        </w:rPr>
        <w:fldChar w:fldCharType="separate"/>
      </w:r>
      <w:r>
        <w:rPr>
          <w:color w:val="auto"/>
          <w:highlight w:val="none"/>
        </w:rPr>
        <w:t>7.7小结</w:t>
      </w:r>
      <w:r>
        <w:rPr>
          <w:color w:val="auto"/>
          <w:highlight w:val="none"/>
        </w:rPr>
        <w:tab/>
      </w:r>
      <w:r>
        <w:rPr>
          <w:color w:val="auto"/>
          <w:highlight w:val="none"/>
        </w:rPr>
        <w:fldChar w:fldCharType="begin"/>
      </w:r>
      <w:r>
        <w:rPr>
          <w:color w:val="auto"/>
          <w:highlight w:val="none"/>
        </w:rPr>
        <w:instrText xml:space="preserve"> PAGEREF _Toc27114 \h </w:instrText>
      </w:r>
      <w:r>
        <w:rPr>
          <w:color w:val="auto"/>
          <w:highlight w:val="none"/>
        </w:rPr>
        <w:fldChar w:fldCharType="separate"/>
      </w:r>
      <w:r>
        <w:rPr>
          <w:color w:val="auto"/>
          <w:highlight w:val="none"/>
        </w:rPr>
        <w:t>140</w:t>
      </w:r>
      <w:r>
        <w:rPr>
          <w:color w:val="auto"/>
          <w:highlight w:val="none"/>
        </w:rPr>
        <w:fldChar w:fldCharType="end"/>
      </w:r>
      <w:r>
        <w:rPr>
          <w:color w:val="auto"/>
          <w:highlight w:val="none"/>
        </w:rPr>
        <w:fldChar w:fldCharType="end"/>
      </w:r>
    </w:p>
    <w:p>
      <w:pPr>
        <w:pStyle w:val="41"/>
        <w:tabs>
          <w:tab w:val="right" w:leader="dot" w:pos="8787"/>
          <w:tab w:val="clear" w:pos="8777"/>
        </w:tabs>
        <w:spacing w:before="0" w:after="0" w:line="360" w:lineRule="auto"/>
        <w:rPr>
          <w:color w:val="auto"/>
          <w:highlight w:val="none"/>
        </w:rPr>
      </w:pPr>
      <w:r>
        <w:rPr>
          <w:color w:val="auto"/>
          <w:highlight w:val="none"/>
        </w:rPr>
        <w:fldChar w:fldCharType="begin"/>
      </w:r>
      <w:r>
        <w:rPr>
          <w:color w:val="auto"/>
          <w:highlight w:val="none"/>
        </w:rPr>
        <w:instrText xml:space="preserve"> HYPERLINK \l "_Toc16470" </w:instrText>
      </w:r>
      <w:r>
        <w:rPr>
          <w:color w:val="auto"/>
          <w:highlight w:val="none"/>
        </w:rPr>
        <w:fldChar w:fldCharType="separate"/>
      </w:r>
      <w:r>
        <w:rPr>
          <w:rFonts w:ascii="Times New Roman" w:hAnsi="Times New Roman"/>
          <w:color w:val="auto"/>
          <w:highlight w:val="none"/>
        </w:rPr>
        <w:t>8.环境管理及监测计划</w:t>
      </w:r>
      <w:r>
        <w:rPr>
          <w:color w:val="auto"/>
          <w:highlight w:val="none"/>
        </w:rPr>
        <w:tab/>
      </w:r>
      <w:r>
        <w:rPr>
          <w:color w:val="auto"/>
          <w:highlight w:val="none"/>
        </w:rPr>
        <w:fldChar w:fldCharType="begin"/>
      </w:r>
      <w:r>
        <w:rPr>
          <w:color w:val="auto"/>
          <w:highlight w:val="none"/>
        </w:rPr>
        <w:instrText xml:space="preserve"> PAGEREF _Toc16470 \h </w:instrText>
      </w:r>
      <w:r>
        <w:rPr>
          <w:color w:val="auto"/>
          <w:highlight w:val="none"/>
        </w:rPr>
        <w:fldChar w:fldCharType="separate"/>
      </w:r>
      <w:r>
        <w:rPr>
          <w:color w:val="auto"/>
          <w:highlight w:val="none"/>
        </w:rPr>
        <w:t>141</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"_Toc8474" </w:instrText>
      </w:r>
      <w:r>
        <w:rPr>
          <w:color w:val="auto"/>
          <w:highlight w:val="none"/>
        </w:rPr>
        <w:fldChar w:fldCharType="separate"/>
      </w:r>
      <w:r>
        <w:rPr>
          <w:color w:val="auto"/>
          <w:highlight w:val="none"/>
        </w:rPr>
        <w:t>8.1环境管理机构及制度</w:t>
      </w:r>
      <w:r>
        <w:rPr>
          <w:color w:val="auto"/>
          <w:highlight w:val="none"/>
        </w:rPr>
        <w:tab/>
      </w:r>
      <w:r>
        <w:rPr>
          <w:color w:val="auto"/>
          <w:highlight w:val="none"/>
        </w:rPr>
        <w:fldChar w:fldCharType="begin"/>
      </w:r>
      <w:r>
        <w:rPr>
          <w:color w:val="auto"/>
          <w:highlight w:val="none"/>
        </w:rPr>
        <w:instrText xml:space="preserve"> PAGEREF _Toc8474 \h </w:instrText>
      </w:r>
      <w:r>
        <w:rPr>
          <w:color w:val="auto"/>
          <w:highlight w:val="none"/>
        </w:rPr>
        <w:fldChar w:fldCharType="separate"/>
      </w:r>
      <w:r>
        <w:rPr>
          <w:color w:val="auto"/>
          <w:highlight w:val="none"/>
        </w:rPr>
        <w:t>141</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"_Toc1956" </w:instrText>
      </w:r>
      <w:r>
        <w:rPr>
          <w:color w:val="auto"/>
          <w:highlight w:val="none"/>
        </w:rPr>
        <w:fldChar w:fldCharType="separate"/>
      </w:r>
      <w:r>
        <w:rPr>
          <w:color w:val="auto"/>
          <w:highlight w:val="none"/>
        </w:rPr>
        <w:t>8.2污染物排放管理</w:t>
      </w:r>
      <w:r>
        <w:rPr>
          <w:color w:val="auto"/>
          <w:highlight w:val="none"/>
        </w:rPr>
        <w:tab/>
      </w:r>
      <w:r>
        <w:rPr>
          <w:color w:val="auto"/>
          <w:highlight w:val="none"/>
        </w:rPr>
        <w:fldChar w:fldCharType="begin"/>
      </w:r>
      <w:r>
        <w:rPr>
          <w:color w:val="auto"/>
          <w:highlight w:val="none"/>
        </w:rPr>
        <w:instrText xml:space="preserve"> PAGEREF _Toc1956 \h </w:instrText>
      </w:r>
      <w:r>
        <w:rPr>
          <w:color w:val="auto"/>
          <w:highlight w:val="none"/>
        </w:rPr>
        <w:fldChar w:fldCharType="separate"/>
      </w:r>
      <w:r>
        <w:rPr>
          <w:color w:val="auto"/>
          <w:highlight w:val="none"/>
        </w:rPr>
        <w:t>142</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"_Toc23219" </w:instrText>
      </w:r>
      <w:r>
        <w:rPr>
          <w:color w:val="auto"/>
          <w:highlight w:val="none"/>
        </w:rPr>
        <w:fldChar w:fldCharType="separate"/>
      </w:r>
      <w:r>
        <w:rPr>
          <w:color w:val="auto"/>
          <w:highlight w:val="none"/>
        </w:rPr>
        <w:t>8.3自行监测及管理台账</w:t>
      </w:r>
      <w:r>
        <w:rPr>
          <w:color w:val="auto"/>
          <w:highlight w:val="none"/>
        </w:rPr>
        <w:tab/>
      </w:r>
      <w:r>
        <w:rPr>
          <w:color w:val="auto"/>
          <w:highlight w:val="none"/>
        </w:rPr>
        <w:fldChar w:fldCharType="begin"/>
      </w:r>
      <w:r>
        <w:rPr>
          <w:color w:val="auto"/>
          <w:highlight w:val="none"/>
        </w:rPr>
        <w:instrText xml:space="preserve"> PAGEREF _Toc23219 \h </w:instrText>
      </w:r>
      <w:r>
        <w:rPr>
          <w:color w:val="auto"/>
          <w:highlight w:val="none"/>
        </w:rPr>
        <w:fldChar w:fldCharType="separate"/>
      </w:r>
      <w:r>
        <w:rPr>
          <w:color w:val="auto"/>
          <w:highlight w:val="none"/>
        </w:rPr>
        <w:t>147</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"_Toc10736" </w:instrText>
      </w:r>
      <w:r>
        <w:rPr>
          <w:color w:val="auto"/>
          <w:highlight w:val="none"/>
        </w:rPr>
        <w:fldChar w:fldCharType="separate"/>
      </w:r>
      <w:r>
        <w:rPr>
          <w:color w:val="auto"/>
          <w:highlight w:val="none"/>
        </w:rPr>
        <w:t>8.4总量控制指标</w:t>
      </w:r>
      <w:r>
        <w:rPr>
          <w:color w:val="auto"/>
          <w:highlight w:val="none"/>
        </w:rPr>
        <w:tab/>
      </w:r>
      <w:r>
        <w:rPr>
          <w:color w:val="auto"/>
          <w:highlight w:val="none"/>
        </w:rPr>
        <w:fldChar w:fldCharType="begin"/>
      </w:r>
      <w:r>
        <w:rPr>
          <w:color w:val="auto"/>
          <w:highlight w:val="none"/>
        </w:rPr>
        <w:instrText xml:space="preserve"> PAGEREF _Toc10736 \h </w:instrText>
      </w:r>
      <w:r>
        <w:rPr>
          <w:color w:val="auto"/>
          <w:highlight w:val="none"/>
        </w:rPr>
        <w:fldChar w:fldCharType="separate"/>
      </w:r>
      <w:r>
        <w:rPr>
          <w:color w:val="auto"/>
          <w:highlight w:val="none"/>
        </w:rPr>
        <w:t>149</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"_Toc3497" </w:instrText>
      </w:r>
      <w:r>
        <w:rPr>
          <w:color w:val="auto"/>
          <w:highlight w:val="none"/>
        </w:rPr>
        <w:fldChar w:fldCharType="separate"/>
      </w:r>
      <w:r>
        <w:rPr>
          <w:color w:val="auto"/>
          <w:highlight w:val="none"/>
        </w:rPr>
        <w:t>8.5排污许可要求</w:t>
      </w:r>
      <w:r>
        <w:rPr>
          <w:color w:val="auto"/>
          <w:highlight w:val="none"/>
        </w:rPr>
        <w:tab/>
      </w:r>
      <w:r>
        <w:rPr>
          <w:color w:val="auto"/>
          <w:highlight w:val="none"/>
        </w:rPr>
        <w:fldChar w:fldCharType="begin"/>
      </w:r>
      <w:r>
        <w:rPr>
          <w:color w:val="auto"/>
          <w:highlight w:val="none"/>
        </w:rPr>
        <w:instrText xml:space="preserve"> PAGEREF _Toc3497 \h </w:instrText>
      </w:r>
      <w:r>
        <w:rPr>
          <w:color w:val="auto"/>
          <w:highlight w:val="none"/>
        </w:rPr>
        <w:fldChar w:fldCharType="separate"/>
      </w:r>
      <w:r>
        <w:rPr>
          <w:color w:val="auto"/>
          <w:highlight w:val="none"/>
        </w:rPr>
        <w:t>150</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"_Toc11808" </w:instrText>
      </w:r>
      <w:r>
        <w:rPr>
          <w:color w:val="auto"/>
          <w:highlight w:val="none"/>
        </w:rPr>
        <w:fldChar w:fldCharType="separate"/>
      </w:r>
      <w:r>
        <w:rPr>
          <w:color w:val="auto"/>
          <w:highlight w:val="none"/>
        </w:rPr>
        <w:t>8.6环保竣工验收</w:t>
      </w:r>
      <w:r>
        <w:rPr>
          <w:color w:val="auto"/>
          <w:highlight w:val="none"/>
        </w:rPr>
        <w:tab/>
      </w:r>
      <w:r>
        <w:rPr>
          <w:color w:val="auto"/>
          <w:highlight w:val="none"/>
        </w:rPr>
        <w:fldChar w:fldCharType="begin"/>
      </w:r>
      <w:r>
        <w:rPr>
          <w:color w:val="auto"/>
          <w:highlight w:val="none"/>
        </w:rPr>
        <w:instrText xml:space="preserve"> PAGEREF _Toc11808 \h </w:instrText>
      </w:r>
      <w:r>
        <w:rPr>
          <w:color w:val="auto"/>
          <w:highlight w:val="none"/>
        </w:rPr>
        <w:fldChar w:fldCharType="separate"/>
      </w:r>
      <w:r>
        <w:rPr>
          <w:color w:val="auto"/>
          <w:highlight w:val="none"/>
        </w:rPr>
        <w:t>151</w:t>
      </w:r>
      <w:r>
        <w:rPr>
          <w:color w:val="auto"/>
          <w:highlight w:val="none"/>
        </w:rPr>
        <w:fldChar w:fldCharType="end"/>
      </w:r>
      <w:r>
        <w:rPr>
          <w:color w:val="auto"/>
          <w:highlight w:val="none"/>
        </w:rPr>
        <w:fldChar w:fldCharType="end"/>
      </w:r>
    </w:p>
    <w:p>
      <w:pPr>
        <w:pStyle w:val="41"/>
        <w:tabs>
          <w:tab w:val="right" w:leader="dot" w:pos="8787"/>
          <w:tab w:val="clear" w:pos="8777"/>
        </w:tabs>
        <w:spacing w:before="0" w:after="0" w:line="360" w:lineRule="auto"/>
        <w:rPr>
          <w:color w:val="auto"/>
          <w:highlight w:val="none"/>
        </w:rPr>
      </w:pPr>
      <w:r>
        <w:rPr>
          <w:color w:val="auto"/>
          <w:highlight w:val="none"/>
        </w:rPr>
        <w:fldChar w:fldCharType="begin"/>
      </w:r>
      <w:r>
        <w:rPr>
          <w:color w:val="auto"/>
          <w:highlight w:val="none"/>
        </w:rPr>
        <w:instrText xml:space="preserve"> HYPERLINK \l "_Toc27140" </w:instrText>
      </w:r>
      <w:r>
        <w:rPr>
          <w:color w:val="auto"/>
          <w:highlight w:val="none"/>
        </w:rPr>
        <w:fldChar w:fldCharType="separate"/>
      </w:r>
      <w:r>
        <w:rPr>
          <w:rFonts w:ascii="Times New Roman" w:hAnsi="Times New Roman"/>
          <w:color w:val="auto"/>
          <w:highlight w:val="none"/>
        </w:rPr>
        <w:t>9.项目</w:t>
      </w:r>
      <w:r>
        <w:rPr>
          <w:rFonts w:hint="eastAsia" w:ascii="Times New Roman" w:hAnsi="Times New Roman"/>
          <w:color w:val="auto"/>
          <w:highlight w:val="none"/>
        </w:rPr>
        <w:t>选址及相关规划</w:t>
      </w:r>
      <w:r>
        <w:rPr>
          <w:rFonts w:ascii="Times New Roman" w:hAnsi="Times New Roman"/>
          <w:color w:val="auto"/>
          <w:highlight w:val="none"/>
        </w:rPr>
        <w:t>符合性分析</w:t>
      </w:r>
      <w:r>
        <w:rPr>
          <w:color w:val="auto"/>
          <w:highlight w:val="none"/>
        </w:rPr>
        <w:tab/>
      </w:r>
      <w:r>
        <w:rPr>
          <w:color w:val="auto"/>
          <w:highlight w:val="none"/>
        </w:rPr>
        <w:fldChar w:fldCharType="begin"/>
      </w:r>
      <w:r>
        <w:rPr>
          <w:color w:val="auto"/>
          <w:highlight w:val="none"/>
        </w:rPr>
        <w:instrText xml:space="preserve"> PAGEREF _Toc27140 \h </w:instrText>
      </w:r>
      <w:r>
        <w:rPr>
          <w:color w:val="auto"/>
          <w:highlight w:val="none"/>
        </w:rPr>
        <w:fldChar w:fldCharType="separate"/>
      </w:r>
      <w:r>
        <w:rPr>
          <w:color w:val="auto"/>
          <w:highlight w:val="none"/>
        </w:rPr>
        <w:t>155</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"_Toc7662" </w:instrText>
      </w:r>
      <w:r>
        <w:rPr>
          <w:color w:val="auto"/>
          <w:highlight w:val="none"/>
        </w:rPr>
        <w:fldChar w:fldCharType="separate"/>
      </w:r>
      <w:r>
        <w:rPr>
          <w:color w:val="auto"/>
          <w:highlight w:val="none"/>
        </w:rPr>
        <w:t>9.1项目产业政策符合性分析</w:t>
      </w:r>
      <w:r>
        <w:rPr>
          <w:color w:val="auto"/>
          <w:highlight w:val="none"/>
        </w:rPr>
        <w:tab/>
      </w:r>
      <w:r>
        <w:rPr>
          <w:color w:val="auto"/>
          <w:highlight w:val="none"/>
        </w:rPr>
        <w:fldChar w:fldCharType="begin"/>
      </w:r>
      <w:r>
        <w:rPr>
          <w:color w:val="auto"/>
          <w:highlight w:val="none"/>
        </w:rPr>
        <w:instrText xml:space="preserve"> PAGEREF _Toc7662 \h </w:instrText>
      </w:r>
      <w:r>
        <w:rPr>
          <w:color w:val="auto"/>
          <w:highlight w:val="none"/>
        </w:rPr>
        <w:fldChar w:fldCharType="separate"/>
      </w:r>
      <w:r>
        <w:rPr>
          <w:color w:val="auto"/>
          <w:highlight w:val="none"/>
        </w:rPr>
        <w:t>155</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"_Toc19746" </w:instrText>
      </w:r>
      <w:r>
        <w:rPr>
          <w:color w:val="auto"/>
          <w:highlight w:val="none"/>
        </w:rPr>
        <w:fldChar w:fldCharType="separate"/>
      </w:r>
      <w:r>
        <w:rPr>
          <w:color w:val="auto"/>
          <w:highlight w:val="none"/>
        </w:rPr>
        <w:t>9.2土地利用及规划符合性分析</w:t>
      </w:r>
      <w:r>
        <w:rPr>
          <w:color w:val="auto"/>
          <w:highlight w:val="none"/>
        </w:rPr>
        <w:tab/>
      </w:r>
      <w:r>
        <w:rPr>
          <w:color w:val="auto"/>
          <w:highlight w:val="none"/>
        </w:rPr>
        <w:fldChar w:fldCharType="begin"/>
      </w:r>
      <w:r>
        <w:rPr>
          <w:color w:val="auto"/>
          <w:highlight w:val="none"/>
        </w:rPr>
        <w:instrText xml:space="preserve"> PAGEREF _Toc19746 \h </w:instrText>
      </w:r>
      <w:r>
        <w:rPr>
          <w:color w:val="auto"/>
          <w:highlight w:val="none"/>
        </w:rPr>
        <w:fldChar w:fldCharType="separate"/>
      </w:r>
      <w:r>
        <w:rPr>
          <w:color w:val="auto"/>
          <w:highlight w:val="none"/>
        </w:rPr>
        <w:t>155</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"_Toc6558" </w:instrText>
      </w:r>
      <w:r>
        <w:rPr>
          <w:color w:val="auto"/>
          <w:highlight w:val="none"/>
        </w:rPr>
        <w:fldChar w:fldCharType="separate"/>
      </w:r>
      <w:r>
        <w:rPr>
          <w:color w:val="auto"/>
          <w:highlight w:val="none"/>
        </w:rPr>
        <w:t>9.3</w:t>
      </w:r>
      <w:r>
        <w:rPr>
          <w:rFonts w:hint="eastAsia"/>
          <w:color w:val="auto"/>
          <w:highlight w:val="none"/>
          <w:lang w:val="en-US"/>
        </w:rPr>
        <w:t xml:space="preserve"> </w:t>
      </w:r>
      <w:r>
        <w:rPr>
          <w:color w:val="auto"/>
          <w:highlight w:val="none"/>
        </w:rPr>
        <w:t>“三线一单”符合性分析</w:t>
      </w:r>
      <w:r>
        <w:rPr>
          <w:color w:val="auto"/>
          <w:highlight w:val="none"/>
        </w:rPr>
        <w:tab/>
      </w:r>
      <w:r>
        <w:rPr>
          <w:color w:val="auto"/>
          <w:highlight w:val="none"/>
        </w:rPr>
        <w:fldChar w:fldCharType="begin"/>
      </w:r>
      <w:r>
        <w:rPr>
          <w:color w:val="auto"/>
          <w:highlight w:val="none"/>
        </w:rPr>
        <w:instrText xml:space="preserve"> PAGEREF _Toc6558 \h </w:instrText>
      </w:r>
      <w:r>
        <w:rPr>
          <w:color w:val="auto"/>
          <w:highlight w:val="none"/>
        </w:rPr>
        <w:fldChar w:fldCharType="separate"/>
      </w:r>
      <w:r>
        <w:rPr>
          <w:color w:val="auto"/>
          <w:highlight w:val="none"/>
        </w:rPr>
        <w:t>155</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"_Toc13581" </w:instrText>
      </w:r>
      <w:r>
        <w:rPr>
          <w:color w:val="auto"/>
          <w:highlight w:val="none"/>
        </w:rPr>
        <w:fldChar w:fldCharType="separate"/>
      </w:r>
      <w:r>
        <w:rPr>
          <w:color w:val="auto"/>
          <w:highlight w:val="none"/>
        </w:rPr>
        <w:t>9.4</w:t>
      </w:r>
      <w:r>
        <w:rPr>
          <w:rFonts w:hint="eastAsia"/>
          <w:color w:val="auto"/>
          <w:highlight w:val="none"/>
        </w:rPr>
        <w:t>区域</w:t>
      </w:r>
      <w:r>
        <w:rPr>
          <w:color w:val="auto"/>
          <w:highlight w:val="none"/>
        </w:rPr>
        <w:t>相关规划符合性分析</w:t>
      </w:r>
      <w:r>
        <w:rPr>
          <w:color w:val="auto"/>
          <w:highlight w:val="none"/>
        </w:rPr>
        <w:tab/>
      </w:r>
      <w:r>
        <w:rPr>
          <w:color w:val="auto"/>
          <w:highlight w:val="none"/>
        </w:rPr>
        <w:fldChar w:fldCharType="begin"/>
      </w:r>
      <w:r>
        <w:rPr>
          <w:color w:val="auto"/>
          <w:highlight w:val="none"/>
        </w:rPr>
        <w:instrText xml:space="preserve"> PAGEREF _Toc13581 \h </w:instrText>
      </w:r>
      <w:r>
        <w:rPr>
          <w:color w:val="auto"/>
          <w:highlight w:val="none"/>
        </w:rPr>
        <w:fldChar w:fldCharType="separate"/>
      </w:r>
      <w:r>
        <w:rPr>
          <w:color w:val="auto"/>
          <w:highlight w:val="none"/>
        </w:rPr>
        <w:t>160</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"_Toc29323" </w:instrText>
      </w:r>
      <w:r>
        <w:rPr>
          <w:color w:val="auto"/>
          <w:highlight w:val="none"/>
        </w:rPr>
        <w:fldChar w:fldCharType="separate"/>
      </w:r>
      <w:r>
        <w:rPr>
          <w:color w:val="auto"/>
          <w:highlight w:val="none"/>
        </w:rPr>
        <w:t>9.</w:t>
      </w:r>
      <w:r>
        <w:rPr>
          <w:rFonts w:hint="eastAsia"/>
          <w:color w:val="auto"/>
          <w:highlight w:val="none"/>
          <w:lang w:val="en-US"/>
        </w:rPr>
        <w:t>5</w:t>
      </w:r>
      <w:r>
        <w:rPr>
          <w:color w:val="auto"/>
          <w:highlight w:val="none"/>
        </w:rPr>
        <w:t>相关环境政策符合性分析</w:t>
      </w:r>
      <w:r>
        <w:rPr>
          <w:color w:val="auto"/>
          <w:highlight w:val="none"/>
        </w:rPr>
        <w:tab/>
      </w:r>
      <w:r>
        <w:rPr>
          <w:color w:val="auto"/>
          <w:highlight w:val="none"/>
        </w:rPr>
        <w:fldChar w:fldCharType="begin"/>
      </w:r>
      <w:r>
        <w:rPr>
          <w:color w:val="auto"/>
          <w:highlight w:val="none"/>
        </w:rPr>
        <w:instrText xml:space="preserve"> PAGEREF _Toc29323 \h </w:instrText>
      </w:r>
      <w:r>
        <w:rPr>
          <w:color w:val="auto"/>
          <w:highlight w:val="none"/>
        </w:rPr>
        <w:fldChar w:fldCharType="separate"/>
      </w:r>
      <w:r>
        <w:rPr>
          <w:color w:val="auto"/>
          <w:highlight w:val="none"/>
        </w:rPr>
        <w:t>161</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"_Toc4961" </w:instrText>
      </w:r>
      <w:r>
        <w:rPr>
          <w:color w:val="auto"/>
          <w:highlight w:val="none"/>
        </w:rPr>
        <w:fldChar w:fldCharType="separate"/>
      </w:r>
      <w:r>
        <w:rPr>
          <w:color w:val="auto"/>
          <w:highlight w:val="none"/>
        </w:rPr>
        <w:t>9.</w:t>
      </w:r>
      <w:r>
        <w:rPr>
          <w:rFonts w:hint="eastAsia"/>
          <w:color w:val="auto"/>
          <w:highlight w:val="none"/>
        </w:rPr>
        <w:t>7环境功能区划的符合性</w:t>
      </w:r>
      <w:r>
        <w:rPr>
          <w:color w:val="auto"/>
          <w:highlight w:val="none"/>
        </w:rPr>
        <w:tab/>
      </w:r>
      <w:r>
        <w:rPr>
          <w:color w:val="auto"/>
          <w:highlight w:val="none"/>
        </w:rPr>
        <w:fldChar w:fldCharType="begin"/>
      </w:r>
      <w:r>
        <w:rPr>
          <w:color w:val="auto"/>
          <w:highlight w:val="none"/>
        </w:rPr>
        <w:instrText xml:space="preserve"> PAGEREF _Toc4961 \h </w:instrText>
      </w:r>
      <w:r>
        <w:rPr>
          <w:color w:val="auto"/>
          <w:highlight w:val="none"/>
        </w:rPr>
        <w:fldChar w:fldCharType="separate"/>
      </w:r>
      <w:r>
        <w:rPr>
          <w:color w:val="auto"/>
          <w:highlight w:val="none"/>
        </w:rPr>
        <w:t>177</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"_Toc19165" </w:instrText>
      </w:r>
      <w:r>
        <w:rPr>
          <w:color w:val="auto"/>
          <w:highlight w:val="none"/>
        </w:rPr>
        <w:fldChar w:fldCharType="separate"/>
      </w:r>
      <w:r>
        <w:rPr>
          <w:color w:val="auto"/>
          <w:highlight w:val="none"/>
        </w:rPr>
        <w:t>9.</w:t>
      </w:r>
      <w:r>
        <w:rPr>
          <w:rFonts w:hint="eastAsia"/>
          <w:color w:val="auto"/>
          <w:highlight w:val="none"/>
        </w:rPr>
        <w:t>8</w:t>
      </w:r>
      <w:r>
        <w:rPr>
          <w:color w:val="auto"/>
          <w:highlight w:val="none"/>
        </w:rPr>
        <w:t>小结</w:t>
      </w:r>
      <w:r>
        <w:rPr>
          <w:color w:val="auto"/>
          <w:highlight w:val="none"/>
        </w:rPr>
        <w:tab/>
      </w:r>
      <w:r>
        <w:rPr>
          <w:color w:val="auto"/>
          <w:highlight w:val="none"/>
        </w:rPr>
        <w:fldChar w:fldCharType="begin"/>
      </w:r>
      <w:r>
        <w:rPr>
          <w:color w:val="auto"/>
          <w:highlight w:val="none"/>
        </w:rPr>
        <w:instrText xml:space="preserve"> PAGEREF _Toc19165 \h </w:instrText>
      </w:r>
      <w:r>
        <w:rPr>
          <w:color w:val="auto"/>
          <w:highlight w:val="none"/>
        </w:rPr>
        <w:fldChar w:fldCharType="separate"/>
      </w:r>
      <w:r>
        <w:rPr>
          <w:color w:val="auto"/>
          <w:highlight w:val="none"/>
        </w:rPr>
        <w:t>177</w:t>
      </w:r>
      <w:r>
        <w:rPr>
          <w:color w:val="auto"/>
          <w:highlight w:val="none"/>
        </w:rPr>
        <w:fldChar w:fldCharType="end"/>
      </w:r>
      <w:r>
        <w:rPr>
          <w:color w:val="auto"/>
          <w:highlight w:val="none"/>
        </w:rPr>
        <w:fldChar w:fldCharType="end"/>
      </w:r>
    </w:p>
    <w:p>
      <w:pPr>
        <w:pStyle w:val="41"/>
        <w:tabs>
          <w:tab w:val="right" w:leader="dot" w:pos="8787"/>
          <w:tab w:val="clear" w:pos="8777"/>
        </w:tabs>
        <w:spacing w:before="0" w:after="0" w:line="360" w:lineRule="auto"/>
        <w:rPr>
          <w:color w:val="auto"/>
          <w:highlight w:val="none"/>
        </w:rPr>
      </w:pPr>
      <w:r>
        <w:rPr>
          <w:color w:val="auto"/>
          <w:highlight w:val="none"/>
        </w:rPr>
        <w:fldChar w:fldCharType="begin"/>
      </w:r>
      <w:r>
        <w:rPr>
          <w:color w:val="auto"/>
          <w:highlight w:val="none"/>
        </w:rPr>
        <w:instrText xml:space="preserve"> HYPERLINK \l "_Toc9376" </w:instrText>
      </w:r>
      <w:r>
        <w:rPr>
          <w:color w:val="auto"/>
          <w:highlight w:val="none"/>
        </w:rPr>
        <w:fldChar w:fldCharType="separate"/>
      </w:r>
      <w:r>
        <w:rPr>
          <w:rFonts w:ascii="Times New Roman" w:hAnsi="Times New Roman"/>
          <w:color w:val="auto"/>
          <w:highlight w:val="none"/>
        </w:rPr>
        <w:t>10.环境影响评价结论</w:t>
      </w:r>
      <w:r>
        <w:rPr>
          <w:color w:val="auto"/>
          <w:highlight w:val="none"/>
        </w:rPr>
        <w:tab/>
      </w:r>
      <w:r>
        <w:rPr>
          <w:color w:val="auto"/>
          <w:highlight w:val="none"/>
        </w:rPr>
        <w:fldChar w:fldCharType="begin"/>
      </w:r>
      <w:r>
        <w:rPr>
          <w:color w:val="auto"/>
          <w:highlight w:val="none"/>
        </w:rPr>
        <w:instrText xml:space="preserve"> PAGEREF _Toc9376 \h </w:instrText>
      </w:r>
      <w:r>
        <w:rPr>
          <w:color w:val="auto"/>
          <w:highlight w:val="none"/>
        </w:rPr>
        <w:fldChar w:fldCharType="separate"/>
      </w:r>
      <w:r>
        <w:rPr>
          <w:color w:val="auto"/>
          <w:highlight w:val="none"/>
        </w:rPr>
        <w:t>179</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"_Toc27684" </w:instrText>
      </w:r>
      <w:r>
        <w:rPr>
          <w:color w:val="auto"/>
          <w:highlight w:val="none"/>
        </w:rPr>
        <w:fldChar w:fldCharType="separate"/>
      </w:r>
      <w:r>
        <w:rPr>
          <w:color w:val="auto"/>
          <w:highlight w:val="none"/>
        </w:rPr>
        <w:t>10.1评价结论</w:t>
      </w:r>
      <w:r>
        <w:rPr>
          <w:color w:val="auto"/>
          <w:highlight w:val="none"/>
        </w:rPr>
        <w:tab/>
      </w:r>
      <w:r>
        <w:rPr>
          <w:color w:val="auto"/>
          <w:highlight w:val="none"/>
        </w:rPr>
        <w:fldChar w:fldCharType="begin"/>
      </w:r>
      <w:r>
        <w:rPr>
          <w:color w:val="auto"/>
          <w:highlight w:val="none"/>
        </w:rPr>
        <w:instrText xml:space="preserve"> PAGEREF _Toc27684 \h </w:instrText>
      </w:r>
      <w:r>
        <w:rPr>
          <w:color w:val="auto"/>
          <w:highlight w:val="none"/>
        </w:rPr>
        <w:fldChar w:fldCharType="separate"/>
      </w:r>
      <w:r>
        <w:rPr>
          <w:color w:val="auto"/>
          <w:highlight w:val="none"/>
        </w:rPr>
        <w:t>179</w:t>
      </w:r>
      <w:r>
        <w:rPr>
          <w:color w:val="auto"/>
          <w:highlight w:val="none"/>
        </w:rPr>
        <w:fldChar w:fldCharType="end"/>
      </w:r>
      <w:r>
        <w:rPr>
          <w:color w:val="auto"/>
          <w:highlight w:val="none"/>
        </w:rPr>
        <w:fldChar w:fldCharType="end"/>
      </w:r>
    </w:p>
    <w:p>
      <w:pPr>
        <w:pStyle w:val="51"/>
        <w:tabs>
          <w:tab w:val="right" w:leader="dot" w:pos="8787"/>
          <w:tab w:val="clear" w:pos="8777"/>
        </w:tabs>
        <w:ind w:left="0"/>
        <w:rPr>
          <w:color w:val="auto"/>
          <w:highlight w:val="none"/>
        </w:rPr>
      </w:pPr>
      <w:r>
        <w:rPr>
          <w:color w:val="auto"/>
          <w:highlight w:val="none"/>
        </w:rPr>
        <w:fldChar w:fldCharType="begin"/>
      </w:r>
      <w:r>
        <w:rPr>
          <w:color w:val="auto"/>
          <w:highlight w:val="none"/>
        </w:rPr>
        <w:instrText xml:space="preserve"> HYPERLINK \l "_Toc22242" </w:instrText>
      </w:r>
      <w:r>
        <w:rPr>
          <w:color w:val="auto"/>
          <w:highlight w:val="none"/>
        </w:rPr>
        <w:fldChar w:fldCharType="separate"/>
      </w:r>
      <w:r>
        <w:rPr>
          <w:color w:val="auto"/>
          <w:highlight w:val="none"/>
        </w:rPr>
        <w:t>10.2建议</w:t>
      </w:r>
      <w:r>
        <w:rPr>
          <w:color w:val="auto"/>
          <w:highlight w:val="none"/>
        </w:rPr>
        <w:tab/>
      </w:r>
      <w:r>
        <w:rPr>
          <w:color w:val="auto"/>
          <w:highlight w:val="none"/>
        </w:rPr>
        <w:fldChar w:fldCharType="begin"/>
      </w:r>
      <w:r>
        <w:rPr>
          <w:color w:val="auto"/>
          <w:highlight w:val="none"/>
        </w:rPr>
        <w:instrText xml:space="preserve"> PAGEREF _Toc22242 \h </w:instrText>
      </w:r>
      <w:r>
        <w:rPr>
          <w:color w:val="auto"/>
          <w:highlight w:val="none"/>
        </w:rPr>
        <w:fldChar w:fldCharType="separate"/>
      </w:r>
      <w:r>
        <w:rPr>
          <w:color w:val="auto"/>
          <w:highlight w:val="none"/>
        </w:rPr>
        <w:t>183</w:t>
      </w:r>
      <w:r>
        <w:rPr>
          <w:color w:val="auto"/>
          <w:highlight w:val="none"/>
        </w:rPr>
        <w:fldChar w:fldCharType="end"/>
      </w:r>
      <w:r>
        <w:rPr>
          <w:color w:val="auto"/>
          <w:highlight w:val="none"/>
        </w:rPr>
        <w:fldChar w:fldCharType="end"/>
      </w:r>
    </w:p>
    <w:p>
      <w:pPr>
        <w:pStyle w:val="99"/>
        <w:ind w:firstLine="480"/>
        <w:rPr>
          <w:color w:val="auto"/>
          <w:highlight w:val="none"/>
        </w:rPr>
      </w:pPr>
      <w:r>
        <w:rPr>
          <w:color w:val="auto"/>
          <w:highlight w:val="none"/>
        </w:rPr>
        <w:fldChar w:fldCharType="end"/>
      </w:r>
    </w:p>
    <w:p>
      <w:pPr>
        <w:pStyle w:val="99"/>
        <w:ind w:firstLine="480"/>
        <w:rPr>
          <w:color w:val="auto"/>
          <w:highlight w:val="none"/>
        </w:rPr>
      </w:pPr>
      <w:r>
        <w:rPr>
          <w:color w:val="auto"/>
          <w:highlight w:val="none"/>
        </w:rPr>
        <w:t>附件</w:t>
      </w:r>
      <w:r>
        <w:rPr>
          <w:rFonts w:hint="eastAsia"/>
          <w:color w:val="auto"/>
          <w:highlight w:val="none"/>
        </w:rPr>
        <w:t>：</w:t>
      </w:r>
    </w:p>
    <w:p>
      <w:pPr>
        <w:pStyle w:val="99"/>
        <w:ind w:firstLine="480"/>
        <w:rPr>
          <w:color w:val="auto"/>
          <w:highlight w:val="none"/>
        </w:rPr>
      </w:pPr>
      <w:r>
        <w:rPr>
          <w:rFonts w:hint="eastAsia"/>
          <w:color w:val="auto"/>
          <w:highlight w:val="none"/>
        </w:rPr>
        <w:t>1、环评委托书；</w:t>
      </w:r>
    </w:p>
    <w:p>
      <w:pPr>
        <w:pStyle w:val="99"/>
        <w:ind w:firstLine="480"/>
        <w:rPr>
          <w:rFonts w:hint="eastAsia" w:eastAsia="宋体"/>
          <w:color w:val="auto"/>
          <w:highlight w:val="none"/>
          <w:lang w:eastAsia="zh-CN"/>
        </w:rPr>
      </w:pPr>
      <w:r>
        <w:rPr>
          <w:rFonts w:hint="eastAsia"/>
          <w:color w:val="auto"/>
          <w:highlight w:val="none"/>
        </w:rPr>
        <w:t>2、项目立项备案</w:t>
      </w:r>
      <w:r>
        <w:rPr>
          <w:rFonts w:hint="eastAsia"/>
          <w:color w:val="auto"/>
          <w:highlight w:val="none"/>
          <w:lang w:eastAsia="zh-CN"/>
        </w:rPr>
        <w:t>；</w:t>
      </w:r>
    </w:p>
    <w:p>
      <w:pPr>
        <w:pStyle w:val="99"/>
        <w:ind w:firstLine="480"/>
        <w:rPr>
          <w:rFonts w:hint="eastAsia"/>
          <w:color w:val="auto"/>
          <w:highlight w:val="none"/>
        </w:rPr>
      </w:pPr>
      <w:r>
        <w:rPr>
          <w:rFonts w:hint="eastAsia"/>
          <w:color w:val="auto"/>
          <w:highlight w:val="none"/>
          <w:lang w:val="en-US" w:eastAsia="zh-CN"/>
        </w:rPr>
        <w:t>3、项目执行标准</w:t>
      </w:r>
      <w:r>
        <w:rPr>
          <w:rFonts w:hint="eastAsia"/>
          <w:color w:val="auto"/>
          <w:highlight w:val="none"/>
        </w:rPr>
        <w:t>；</w:t>
      </w:r>
    </w:p>
    <w:p>
      <w:pPr>
        <w:pStyle w:val="99"/>
        <w:ind w:firstLine="480"/>
        <w:rPr>
          <w:rFonts w:hint="eastAsia"/>
          <w:color w:val="auto"/>
          <w:highlight w:val="none"/>
          <w:lang w:val="en-US" w:eastAsia="zh-CN"/>
        </w:rPr>
      </w:pPr>
      <w:r>
        <w:rPr>
          <w:rFonts w:hint="eastAsia"/>
          <w:color w:val="auto"/>
          <w:highlight w:val="none"/>
          <w:lang w:val="en-US" w:eastAsia="zh-CN"/>
        </w:rPr>
        <w:t>4、项目选址意见；</w:t>
      </w:r>
    </w:p>
    <w:p>
      <w:pPr>
        <w:pStyle w:val="99"/>
        <w:ind w:firstLine="480"/>
        <w:rPr>
          <w:rFonts w:hint="default"/>
          <w:color w:val="auto"/>
          <w:highlight w:val="none"/>
          <w:lang w:val="en-US" w:eastAsia="zh-CN"/>
        </w:rPr>
      </w:pPr>
      <w:r>
        <w:rPr>
          <w:rFonts w:hint="eastAsia"/>
          <w:color w:val="auto"/>
          <w:highlight w:val="none"/>
          <w:lang w:val="en-US" w:eastAsia="zh-CN"/>
        </w:rPr>
        <w:t>5、初审意见表；</w:t>
      </w:r>
    </w:p>
    <w:p>
      <w:pPr>
        <w:pStyle w:val="99"/>
        <w:numPr>
          <w:ilvl w:val="0"/>
          <w:numId w:val="0"/>
        </w:numPr>
        <w:ind w:firstLine="480" w:firstLineChars="200"/>
        <w:rPr>
          <w:color w:val="auto"/>
          <w:highlight w:val="none"/>
        </w:rPr>
      </w:pPr>
      <w:r>
        <w:rPr>
          <w:rFonts w:hint="eastAsia"/>
          <w:color w:val="auto"/>
          <w:highlight w:val="none"/>
          <w:lang w:val="en-US" w:eastAsia="zh-CN"/>
        </w:rPr>
        <w:t>6</w:t>
      </w:r>
      <w:r>
        <w:rPr>
          <w:rFonts w:hint="eastAsia"/>
          <w:color w:val="auto"/>
          <w:highlight w:val="none"/>
        </w:rPr>
        <w:t>、环境检测报告。</w:t>
      </w: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199" w:firstLineChars="83"/>
        <w:rPr>
          <w:color w:val="auto"/>
          <w:highlight w:val="none"/>
        </w:rPr>
        <w:sectPr>
          <w:headerReference r:id="rId7" w:type="default"/>
          <w:headerReference r:id="rId8" w:type="even"/>
          <w:pgSz w:w="11906" w:h="16838"/>
          <w:pgMar w:top="1418" w:right="1418" w:bottom="1418" w:left="1701"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98"/>
        <w:spacing w:before="156"/>
        <w:rPr>
          <w:rFonts w:ascii="Times New Roman" w:hAnsi="Times New Roman"/>
          <w:color w:val="auto"/>
          <w:highlight w:val="none"/>
        </w:rPr>
      </w:pPr>
      <w:bookmarkStart w:id="3" w:name="_Toc66281265"/>
      <w:bookmarkStart w:id="4" w:name="_Toc54732716"/>
      <w:bookmarkStart w:id="5" w:name="_Toc4308"/>
      <w:r>
        <w:rPr>
          <w:rFonts w:ascii="Times New Roman" w:hAnsi="Times New Roman"/>
          <w:color w:val="auto"/>
          <w:highlight w:val="none"/>
        </w:rPr>
        <w:t>1．总论</w:t>
      </w:r>
      <w:bookmarkEnd w:id="3"/>
      <w:bookmarkEnd w:id="4"/>
      <w:bookmarkEnd w:id="5"/>
    </w:p>
    <w:p>
      <w:pPr>
        <w:pStyle w:val="100"/>
        <w:spacing w:before="109" w:beforeLines="35"/>
        <w:rPr>
          <w:rFonts w:ascii="Times New Roman" w:hAnsi="Times New Roman"/>
          <w:color w:val="auto"/>
          <w:highlight w:val="none"/>
        </w:rPr>
      </w:pPr>
      <w:bookmarkStart w:id="6" w:name="_Toc508700041"/>
      <w:bookmarkStart w:id="7" w:name="_Toc54732717"/>
      <w:bookmarkStart w:id="8" w:name="_Toc22480"/>
      <w:bookmarkStart w:id="9" w:name="_Toc66281266"/>
      <w:bookmarkStart w:id="10" w:name="_Toc27093378"/>
      <w:bookmarkStart w:id="11" w:name="_Toc30951748"/>
      <w:bookmarkStart w:id="12" w:name="_Toc33984717"/>
      <w:r>
        <w:rPr>
          <w:rFonts w:ascii="Times New Roman" w:hAnsi="Times New Roman"/>
          <w:color w:val="auto"/>
          <w:highlight w:val="none"/>
        </w:rPr>
        <w:t xml:space="preserve">1.1 </w:t>
      </w:r>
      <w:bookmarkEnd w:id="6"/>
      <w:r>
        <w:rPr>
          <w:rFonts w:ascii="Times New Roman" w:hAnsi="Times New Roman"/>
          <w:color w:val="auto"/>
          <w:highlight w:val="none"/>
        </w:rPr>
        <w:t>编制依据</w:t>
      </w:r>
      <w:bookmarkEnd w:id="7"/>
      <w:bookmarkEnd w:id="8"/>
      <w:bookmarkEnd w:id="9"/>
      <w:bookmarkEnd w:id="10"/>
      <w:bookmarkEnd w:id="11"/>
      <w:bookmarkEnd w:id="12"/>
    </w:p>
    <w:p>
      <w:pPr>
        <w:keepNext/>
        <w:keepLines/>
        <w:spacing w:before="93" w:beforeLines="30" w:line="360" w:lineRule="auto"/>
        <w:outlineLvl w:val="2"/>
        <w:rPr>
          <w:rFonts w:eastAsia="黑体"/>
          <w:bCs/>
          <w:color w:val="auto"/>
          <w:sz w:val="24"/>
          <w:szCs w:val="32"/>
          <w:highlight w:val="none"/>
        </w:rPr>
      </w:pPr>
      <w:bookmarkStart w:id="13" w:name="_Toc319581965"/>
      <w:r>
        <w:rPr>
          <w:rFonts w:eastAsia="黑体"/>
          <w:bCs/>
          <w:color w:val="auto"/>
          <w:sz w:val="24"/>
          <w:szCs w:val="32"/>
          <w:highlight w:val="none"/>
        </w:rPr>
        <w:t>1.1.1 国家法律</w:t>
      </w:r>
      <w:bookmarkEnd w:id="13"/>
    </w:p>
    <w:p>
      <w:pPr>
        <w:pStyle w:val="149"/>
        <w:numPr>
          <w:ilvl w:val="0"/>
          <w:numId w:val="7"/>
        </w:numPr>
        <w:tabs>
          <w:tab w:val="left" w:pos="0"/>
          <w:tab w:val="left" w:pos="900"/>
        </w:tabs>
        <w:spacing w:beforeLines="0" w:afterLines="0" w:line="360" w:lineRule="auto"/>
        <w:ind w:leftChars="0" w:firstLine="480" w:firstLineChars="200"/>
        <w:jc w:val="both"/>
        <w:textAlignment w:val="auto"/>
        <w:rPr>
          <w:rFonts w:ascii="Times New Roman" w:hAnsi="Times New Roman" w:eastAsia="宋体"/>
          <w:color w:val="auto"/>
          <w:szCs w:val="24"/>
          <w:highlight w:val="none"/>
          <w:u w:val="none"/>
        </w:rPr>
      </w:pPr>
      <w:r>
        <w:rPr>
          <w:rFonts w:ascii="Times New Roman" w:hAnsi="Times New Roman" w:eastAsia="宋体"/>
          <w:color w:val="auto"/>
          <w:highlight w:val="none"/>
          <w:u w:val="none"/>
        </w:rPr>
        <w:t>《中华人民共和国环境保护法》，2014年4月24日修订，2015年1月1日起施行；</w:t>
      </w:r>
    </w:p>
    <w:p>
      <w:pPr>
        <w:pStyle w:val="149"/>
        <w:numPr>
          <w:ilvl w:val="0"/>
          <w:numId w:val="7"/>
        </w:numPr>
        <w:tabs>
          <w:tab w:val="left" w:pos="0"/>
          <w:tab w:val="left" w:pos="900"/>
        </w:tabs>
        <w:spacing w:beforeLines="0" w:afterLines="0" w:line="360" w:lineRule="auto"/>
        <w:ind w:leftChars="0" w:firstLine="480" w:firstLineChars="200"/>
        <w:jc w:val="both"/>
        <w:textAlignment w:val="auto"/>
        <w:rPr>
          <w:rFonts w:ascii="Times New Roman" w:hAnsi="Times New Roman" w:eastAsia="宋体"/>
          <w:color w:val="auto"/>
          <w:szCs w:val="24"/>
          <w:highlight w:val="none"/>
          <w:u w:val="none"/>
        </w:rPr>
      </w:pPr>
      <w:r>
        <w:rPr>
          <w:rFonts w:ascii="Times New Roman" w:hAnsi="Times New Roman" w:eastAsia="宋体"/>
          <w:color w:val="auto"/>
          <w:szCs w:val="24"/>
          <w:highlight w:val="none"/>
          <w:u w:val="none"/>
        </w:rPr>
        <w:t>《中华人民共和国水法》，2016年7月2日修订并施行；</w:t>
      </w:r>
    </w:p>
    <w:p>
      <w:pPr>
        <w:numPr>
          <w:ilvl w:val="0"/>
          <w:numId w:val="7"/>
        </w:numPr>
        <w:tabs>
          <w:tab w:val="left" w:pos="0"/>
          <w:tab w:val="left" w:pos="900"/>
        </w:tabs>
        <w:adjustRightInd w:val="0"/>
        <w:spacing w:line="360" w:lineRule="auto"/>
        <w:ind w:firstLine="480" w:firstLineChars="200"/>
        <w:rPr>
          <w:bCs/>
          <w:color w:val="auto"/>
          <w:kern w:val="0"/>
          <w:sz w:val="24"/>
          <w:highlight w:val="none"/>
        </w:rPr>
      </w:pPr>
      <w:r>
        <w:rPr>
          <w:bCs/>
          <w:color w:val="auto"/>
          <w:kern w:val="0"/>
          <w:sz w:val="24"/>
          <w:highlight w:val="none"/>
        </w:rPr>
        <w:t>《中华人民共和国噪声污染防治法》，</w:t>
      </w:r>
      <w:r>
        <w:rPr>
          <w:rFonts w:hint="eastAsia"/>
          <w:bCs/>
          <w:color w:val="auto"/>
          <w:kern w:val="0"/>
          <w:sz w:val="24"/>
          <w:highlight w:val="none"/>
        </w:rPr>
        <w:t>2021年12月24日</w:t>
      </w:r>
      <w:r>
        <w:rPr>
          <w:rFonts w:hint="eastAsia"/>
          <w:bCs/>
          <w:color w:val="auto"/>
          <w:kern w:val="0"/>
          <w:sz w:val="24"/>
          <w:highlight w:val="none"/>
          <w:lang w:val="en-US" w:eastAsia="zh-CN"/>
        </w:rPr>
        <w:t>修订，</w:t>
      </w:r>
      <w:r>
        <w:rPr>
          <w:rFonts w:hint="eastAsia"/>
          <w:bCs/>
          <w:color w:val="auto"/>
          <w:kern w:val="0"/>
          <w:sz w:val="24"/>
          <w:highlight w:val="none"/>
        </w:rPr>
        <w:t>2022年6月5日起施行</w:t>
      </w:r>
      <w:r>
        <w:rPr>
          <w:bCs/>
          <w:color w:val="auto"/>
          <w:kern w:val="0"/>
          <w:sz w:val="24"/>
          <w:highlight w:val="none"/>
        </w:rPr>
        <w:t>；</w:t>
      </w:r>
    </w:p>
    <w:p>
      <w:pPr>
        <w:numPr>
          <w:ilvl w:val="0"/>
          <w:numId w:val="7"/>
        </w:numPr>
        <w:spacing w:line="360" w:lineRule="auto"/>
        <w:ind w:firstLine="480" w:firstLineChars="200"/>
        <w:rPr>
          <w:bCs/>
          <w:color w:val="auto"/>
          <w:kern w:val="0"/>
          <w:sz w:val="24"/>
          <w:highlight w:val="none"/>
        </w:rPr>
      </w:pPr>
      <w:r>
        <w:rPr>
          <w:bCs/>
          <w:color w:val="auto"/>
          <w:kern w:val="0"/>
          <w:sz w:val="24"/>
          <w:highlight w:val="none"/>
        </w:rPr>
        <w:t>《中华人民共和国环境影响评价法》，</w:t>
      </w:r>
      <w:r>
        <w:rPr>
          <w:color w:val="auto"/>
          <w:sz w:val="24"/>
          <w:highlight w:val="none"/>
        </w:rPr>
        <w:t>2018年12月29日修订</w:t>
      </w:r>
      <w:r>
        <w:rPr>
          <w:bCs/>
          <w:color w:val="auto"/>
          <w:kern w:val="0"/>
          <w:sz w:val="24"/>
          <w:highlight w:val="none"/>
        </w:rPr>
        <w:t>；</w:t>
      </w:r>
    </w:p>
    <w:p>
      <w:pPr>
        <w:pStyle w:val="149"/>
        <w:numPr>
          <w:ilvl w:val="0"/>
          <w:numId w:val="7"/>
        </w:numPr>
        <w:tabs>
          <w:tab w:val="left" w:pos="0"/>
          <w:tab w:val="left" w:pos="900"/>
        </w:tabs>
        <w:spacing w:beforeLines="0" w:afterLines="0" w:line="360" w:lineRule="auto"/>
        <w:ind w:leftChars="0" w:firstLine="480" w:firstLineChars="200"/>
        <w:jc w:val="both"/>
        <w:textAlignment w:val="auto"/>
        <w:rPr>
          <w:rFonts w:ascii="Times New Roman" w:hAnsi="Times New Roman" w:eastAsia="宋体"/>
          <w:color w:val="auto"/>
          <w:szCs w:val="24"/>
          <w:highlight w:val="none"/>
          <w:u w:val="none"/>
        </w:rPr>
      </w:pPr>
      <w:r>
        <w:rPr>
          <w:rFonts w:ascii="Times New Roman" w:hAnsi="Times New Roman" w:eastAsia="宋体"/>
          <w:color w:val="auto"/>
          <w:szCs w:val="24"/>
          <w:highlight w:val="none"/>
          <w:u w:val="none"/>
        </w:rPr>
        <w:t>《中华人民共和国土地管理法》，2019年8月26日修订，2020年1月1日起施行；</w:t>
      </w:r>
    </w:p>
    <w:p>
      <w:pPr>
        <w:pStyle w:val="149"/>
        <w:numPr>
          <w:ilvl w:val="0"/>
          <w:numId w:val="7"/>
        </w:numPr>
        <w:tabs>
          <w:tab w:val="left" w:pos="0"/>
          <w:tab w:val="left" w:pos="900"/>
        </w:tabs>
        <w:spacing w:beforeLines="0" w:afterLines="0" w:line="360" w:lineRule="auto"/>
        <w:ind w:leftChars="0" w:firstLine="480" w:firstLineChars="200"/>
        <w:jc w:val="both"/>
        <w:textAlignment w:val="auto"/>
        <w:rPr>
          <w:rFonts w:ascii="Times New Roman" w:hAnsi="Times New Roman" w:eastAsia="宋体"/>
          <w:color w:val="auto"/>
          <w:highlight w:val="none"/>
          <w:u w:val="none"/>
        </w:rPr>
      </w:pPr>
      <w:bookmarkStart w:id="14" w:name="_Hlk45528679"/>
      <w:r>
        <w:rPr>
          <w:rFonts w:ascii="Times New Roman" w:hAnsi="Times New Roman" w:eastAsia="宋体"/>
          <w:color w:val="auto"/>
          <w:highlight w:val="none"/>
          <w:u w:val="none"/>
        </w:rPr>
        <w:t>《中华人民共和国固体废物污染环境防治法》，2020年4月29日修订，自2020年9月1日起施行；</w:t>
      </w:r>
    </w:p>
    <w:bookmarkEnd w:id="14"/>
    <w:p>
      <w:pPr>
        <w:pStyle w:val="149"/>
        <w:numPr>
          <w:ilvl w:val="0"/>
          <w:numId w:val="7"/>
        </w:numPr>
        <w:tabs>
          <w:tab w:val="left" w:pos="0"/>
          <w:tab w:val="left" w:pos="900"/>
        </w:tabs>
        <w:spacing w:beforeLines="0" w:afterLines="0" w:line="360" w:lineRule="auto"/>
        <w:ind w:leftChars="0" w:firstLine="480" w:firstLineChars="200"/>
        <w:jc w:val="both"/>
        <w:textAlignment w:val="auto"/>
        <w:rPr>
          <w:rFonts w:ascii="Times New Roman" w:hAnsi="Times New Roman" w:eastAsia="宋体"/>
          <w:color w:val="auto"/>
          <w:highlight w:val="none"/>
          <w:u w:val="none"/>
        </w:rPr>
      </w:pPr>
      <w:r>
        <w:rPr>
          <w:rFonts w:ascii="Times New Roman" w:hAnsi="Times New Roman" w:eastAsia="宋体"/>
          <w:color w:val="auto"/>
          <w:highlight w:val="none"/>
          <w:u w:val="none"/>
        </w:rPr>
        <w:t>《中华人民共和国城乡规划法》，2019年4月23日修正；</w:t>
      </w:r>
    </w:p>
    <w:p>
      <w:pPr>
        <w:pStyle w:val="149"/>
        <w:numPr>
          <w:ilvl w:val="0"/>
          <w:numId w:val="7"/>
        </w:numPr>
        <w:tabs>
          <w:tab w:val="left" w:pos="0"/>
          <w:tab w:val="left" w:pos="900"/>
        </w:tabs>
        <w:spacing w:beforeLines="0" w:afterLines="0" w:line="360" w:lineRule="auto"/>
        <w:ind w:leftChars="0" w:firstLine="480" w:firstLineChars="200"/>
        <w:jc w:val="both"/>
        <w:textAlignment w:val="auto"/>
        <w:rPr>
          <w:rFonts w:ascii="Times New Roman" w:hAnsi="Times New Roman" w:eastAsia="宋体"/>
          <w:color w:val="auto"/>
          <w:highlight w:val="none"/>
          <w:u w:val="none"/>
        </w:rPr>
      </w:pPr>
      <w:r>
        <w:rPr>
          <w:rFonts w:ascii="Times New Roman" w:hAnsi="Times New Roman" w:eastAsia="宋体"/>
          <w:color w:val="auto"/>
          <w:highlight w:val="none"/>
          <w:u w:val="none"/>
        </w:rPr>
        <w:t>《中华人民共和国节约能源法》，2018年10月26日修正；</w:t>
      </w:r>
    </w:p>
    <w:p>
      <w:pPr>
        <w:pStyle w:val="149"/>
        <w:numPr>
          <w:ilvl w:val="0"/>
          <w:numId w:val="7"/>
        </w:numPr>
        <w:tabs>
          <w:tab w:val="left" w:pos="0"/>
          <w:tab w:val="left" w:pos="900"/>
        </w:tabs>
        <w:spacing w:beforeLines="0" w:afterLines="0" w:line="360" w:lineRule="auto"/>
        <w:ind w:leftChars="0" w:firstLine="480" w:firstLineChars="200"/>
        <w:jc w:val="both"/>
        <w:textAlignment w:val="auto"/>
        <w:rPr>
          <w:rFonts w:ascii="Times New Roman" w:hAnsi="Times New Roman" w:eastAsia="宋体"/>
          <w:color w:val="auto"/>
          <w:highlight w:val="none"/>
          <w:u w:val="none"/>
        </w:rPr>
      </w:pPr>
      <w:r>
        <w:rPr>
          <w:rFonts w:ascii="Times New Roman" w:hAnsi="Times New Roman" w:eastAsia="宋体"/>
          <w:color w:val="auto"/>
          <w:highlight w:val="none"/>
          <w:u w:val="none"/>
        </w:rPr>
        <w:t>《中华人民共和国水污染防治法》，2017年6月27日修订，2018年1月1日起施行；</w:t>
      </w:r>
    </w:p>
    <w:p>
      <w:pPr>
        <w:pStyle w:val="149"/>
        <w:numPr>
          <w:ilvl w:val="0"/>
          <w:numId w:val="7"/>
        </w:numPr>
        <w:tabs>
          <w:tab w:val="left" w:pos="0"/>
          <w:tab w:val="left" w:pos="900"/>
        </w:tabs>
        <w:spacing w:beforeLines="0" w:afterLines="0" w:line="360" w:lineRule="auto"/>
        <w:ind w:leftChars="0" w:firstLine="480" w:firstLineChars="200"/>
        <w:jc w:val="both"/>
        <w:textAlignment w:val="auto"/>
        <w:rPr>
          <w:rFonts w:ascii="Times New Roman" w:hAnsi="Times New Roman" w:eastAsia="宋体"/>
          <w:color w:val="auto"/>
          <w:highlight w:val="none"/>
          <w:u w:val="none"/>
        </w:rPr>
      </w:pPr>
      <w:r>
        <w:rPr>
          <w:rFonts w:ascii="Times New Roman" w:hAnsi="Times New Roman" w:eastAsia="宋体"/>
          <w:color w:val="auto"/>
          <w:highlight w:val="none"/>
          <w:u w:val="none"/>
        </w:rPr>
        <w:t>《中华人民共和国循环经济促进法》，2018年10月26日修正；</w:t>
      </w:r>
    </w:p>
    <w:p>
      <w:pPr>
        <w:numPr>
          <w:ilvl w:val="0"/>
          <w:numId w:val="7"/>
        </w:numPr>
        <w:tabs>
          <w:tab w:val="left" w:pos="0"/>
          <w:tab w:val="left" w:pos="900"/>
        </w:tabs>
        <w:spacing w:line="360" w:lineRule="auto"/>
        <w:ind w:firstLine="480" w:firstLineChars="200"/>
        <w:rPr>
          <w:color w:val="auto"/>
          <w:sz w:val="24"/>
          <w:highlight w:val="none"/>
        </w:rPr>
      </w:pPr>
      <w:r>
        <w:rPr>
          <w:color w:val="auto"/>
          <w:sz w:val="24"/>
          <w:highlight w:val="none"/>
        </w:rPr>
        <w:t>《中华人民共和国水土保持法》，2010年12月25日修订，2011年3月1日起施行；</w:t>
      </w:r>
    </w:p>
    <w:p>
      <w:pPr>
        <w:numPr>
          <w:ilvl w:val="0"/>
          <w:numId w:val="7"/>
        </w:numPr>
        <w:tabs>
          <w:tab w:val="left" w:pos="0"/>
          <w:tab w:val="left" w:pos="900"/>
        </w:tabs>
        <w:spacing w:line="360" w:lineRule="auto"/>
        <w:ind w:firstLine="480" w:firstLineChars="200"/>
        <w:rPr>
          <w:color w:val="auto"/>
          <w:sz w:val="24"/>
          <w:highlight w:val="none"/>
        </w:rPr>
      </w:pPr>
      <w:r>
        <w:rPr>
          <w:color w:val="auto"/>
          <w:sz w:val="24"/>
          <w:highlight w:val="none"/>
        </w:rPr>
        <w:t>《中华人民共和国清洁生产促进法》，2012年2月29日修订，自2012年7月1日起施行；</w:t>
      </w:r>
    </w:p>
    <w:p>
      <w:pPr>
        <w:widowControl/>
        <w:numPr>
          <w:ilvl w:val="0"/>
          <w:numId w:val="7"/>
        </w:numPr>
        <w:tabs>
          <w:tab w:val="left" w:pos="0"/>
          <w:tab w:val="left" w:pos="964"/>
          <w:tab w:val="left" w:pos="1440"/>
        </w:tabs>
        <w:adjustRightInd w:val="0"/>
        <w:spacing w:line="360" w:lineRule="auto"/>
        <w:ind w:firstLine="480" w:firstLineChars="200"/>
        <w:rPr>
          <w:color w:val="auto"/>
          <w:kern w:val="0"/>
          <w:sz w:val="24"/>
          <w:highlight w:val="none"/>
        </w:rPr>
      </w:pPr>
      <w:r>
        <w:rPr>
          <w:color w:val="auto"/>
          <w:sz w:val="24"/>
          <w:highlight w:val="none"/>
        </w:rPr>
        <w:t>《中华人民共和国大气污染防治法》，2018年10月26日修正</w:t>
      </w:r>
      <w:r>
        <w:rPr>
          <w:color w:val="auto"/>
          <w:highlight w:val="none"/>
        </w:rPr>
        <w:t>。</w:t>
      </w:r>
    </w:p>
    <w:p>
      <w:pPr>
        <w:widowControl/>
        <w:numPr>
          <w:ilvl w:val="0"/>
          <w:numId w:val="7"/>
        </w:numPr>
        <w:tabs>
          <w:tab w:val="left" w:pos="0"/>
          <w:tab w:val="left" w:pos="964"/>
          <w:tab w:val="left" w:pos="1440"/>
        </w:tabs>
        <w:adjustRightInd w:val="0"/>
        <w:spacing w:line="360" w:lineRule="auto"/>
        <w:ind w:firstLine="480" w:firstLineChars="200"/>
        <w:rPr>
          <w:color w:val="auto"/>
          <w:kern w:val="0"/>
          <w:sz w:val="24"/>
          <w:highlight w:val="none"/>
        </w:rPr>
      </w:pPr>
      <w:r>
        <w:rPr>
          <w:color w:val="auto"/>
          <w:kern w:val="24"/>
          <w:sz w:val="24"/>
          <w:highlight w:val="none"/>
          <w:lang w:bidi="he-IL"/>
        </w:rPr>
        <w:t>《中华人民共和国土壤污染防治法》，</w:t>
      </w:r>
      <w:r>
        <w:rPr>
          <w:color w:val="auto"/>
          <w:kern w:val="0"/>
          <w:sz w:val="24"/>
          <w:highlight w:val="none"/>
        </w:rPr>
        <w:t>2018年8月31日通过，2019年1月1日施行。</w:t>
      </w:r>
    </w:p>
    <w:p>
      <w:pPr>
        <w:pStyle w:val="9"/>
        <w:spacing w:before="78" w:beforeLines="25" w:after="0" w:line="360" w:lineRule="auto"/>
        <w:rPr>
          <w:rFonts w:eastAsia="黑体"/>
          <w:b w:val="0"/>
          <w:color w:val="auto"/>
          <w:sz w:val="24"/>
          <w:szCs w:val="24"/>
          <w:highlight w:val="none"/>
        </w:rPr>
      </w:pPr>
      <w:bookmarkStart w:id="15" w:name="_Toc438043775"/>
      <w:bookmarkStart w:id="16" w:name="_Toc438043107"/>
      <w:r>
        <w:rPr>
          <w:rFonts w:eastAsia="黑体"/>
          <w:b w:val="0"/>
          <w:color w:val="auto"/>
          <w:sz w:val="24"/>
          <w:szCs w:val="24"/>
          <w:highlight w:val="none"/>
        </w:rPr>
        <w:t>1.1.2 法规、国务院文件</w:t>
      </w:r>
      <w:bookmarkEnd w:id="15"/>
      <w:bookmarkEnd w:id="16"/>
    </w:p>
    <w:p>
      <w:pPr>
        <w:pStyle w:val="149"/>
        <w:numPr>
          <w:ilvl w:val="0"/>
          <w:numId w:val="8"/>
        </w:numPr>
        <w:tabs>
          <w:tab w:val="left" w:pos="0"/>
          <w:tab w:val="left" w:pos="900"/>
        </w:tabs>
        <w:spacing w:beforeLines="0" w:afterLines="0" w:line="360" w:lineRule="auto"/>
        <w:ind w:leftChars="0" w:firstLine="480" w:firstLineChars="200"/>
        <w:jc w:val="both"/>
        <w:textAlignment w:val="auto"/>
        <w:rPr>
          <w:rFonts w:ascii="Times New Roman" w:hAnsi="Times New Roman" w:eastAsia="宋体"/>
          <w:color w:val="auto"/>
          <w:highlight w:val="none"/>
          <w:u w:val="none"/>
        </w:rPr>
      </w:pPr>
      <w:r>
        <w:rPr>
          <w:rFonts w:ascii="Times New Roman" w:hAnsi="Times New Roman" w:eastAsia="宋体"/>
          <w:color w:val="auto"/>
          <w:highlight w:val="none"/>
          <w:u w:val="none"/>
        </w:rPr>
        <w:t>《中华人民共和国水土保持法实施条例》，第120号令国务院，1993年8月1日；</w:t>
      </w:r>
    </w:p>
    <w:p>
      <w:pPr>
        <w:pStyle w:val="149"/>
        <w:numPr>
          <w:ilvl w:val="0"/>
          <w:numId w:val="8"/>
        </w:numPr>
        <w:tabs>
          <w:tab w:val="left" w:pos="0"/>
          <w:tab w:val="left" w:pos="900"/>
        </w:tabs>
        <w:spacing w:beforeLines="0" w:afterLines="0" w:line="360" w:lineRule="auto"/>
        <w:ind w:leftChars="0" w:firstLine="480" w:firstLineChars="200"/>
        <w:jc w:val="both"/>
        <w:textAlignment w:val="auto"/>
        <w:rPr>
          <w:rFonts w:ascii="Times New Roman" w:hAnsi="Times New Roman" w:eastAsia="宋体"/>
          <w:color w:val="auto"/>
          <w:highlight w:val="none"/>
          <w:u w:val="none"/>
        </w:rPr>
      </w:pPr>
      <w:r>
        <w:rPr>
          <w:rFonts w:ascii="Times New Roman" w:hAnsi="Times New Roman" w:eastAsia="宋体"/>
          <w:color w:val="auto"/>
          <w:highlight w:val="none"/>
          <w:u w:val="none"/>
        </w:rPr>
        <w:t>《基本农田保护条例》，国务院令第257号，1998年12月27日发布，1999年1月1日施行</w:t>
      </w:r>
      <w:r>
        <w:rPr>
          <w:rFonts w:hint="eastAsia" w:ascii="Times New Roman" w:hAnsi="Times New Roman" w:eastAsia="宋体"/>
          <w:color w:val="auto"/>
          <w:highlight w:val="none"/>
          <w:u w:val="none"/>
          <w:lang w:eastAsia="zh-CN"/>
        </w:rPr>
        <w:t>，2011年1月8日修订</w:t>
      </w:r>
      <w:r>
        <w:rPr>
          <w:rFonts w:ascii="Times New Roman" w:hAnsi="Times New Roman" w:eastAsia="宋体"/>
          <w:color w:val="auto"/>
          <w:highlight w:val="none"/>
          <w:u w:val="none"/>
        </w:rPr>
        <w:t>；</w:t>
      </w:r>
    </w:p>
    <w:p>
      <w:pPr>
        <w:pStyle w:val="149"/>
        <w:numPr>
          <w:ilvl w:val="0"/>
          <w:numId w:val="8"/>
        </w:numPr>
        <w:tabs>
          <w:tab w:val="left" w:pos="0"/>
          <w:tab w:val="left" w:pos="900"/>
        </w:tabs>
        <w:spacing w:beforeLines="0" w:afterLines="0" w:line="360" w:lineRule="auto"/>
        <w:ind w:leftChars="0" w:firstLine="480" w:firstLineChars="200"/>
        <w:jc w:val="both"/>
        <w:textAlignment w:val="auto"/>
        <w:rPr>
          <w:rFonts w:ascii="Times New Roman" w:hAnsi="Times New Roman" w:eastAsia="宋体"/>
          <w:color w:val="auto"/>
          <w:highlight w:val="none"/>
          <w:u w:val="none"/>
        </w:rPr>
      </w:pPr>
      <w:r>
        <w:rPr>
          <w:rFonts w:ascii="Times New Roman" w:hAnsi="Times New Roman" w:eastAsia="宋体"/>
          <w:color w:val="auto"/>
          <w:highlight w:val="none"/>
          <w:u w:val="none"/>
        </w:rPr>
        <w:t>《建设项目环境保护管理条例》，国务院令第682号，2017年10月1日起施行；</w:t>
      </w:r>
    </w:p>
    <w:p>
      <w:pPr>
        <w:pStyle w:val="149"/>
        <w:numPr>
          <w:ilvl w:val="0"/>
          <w:numId w:val="8"/>
        </w:numPr>
        <w:tabs>
          <w:tab w:val="left" w:pos="0"/>
          <w:tab w:val="left" w:pos="900"/>
        </w:tabs>
        <w:spacing w:beforeLines="0" w:afterLines="0" w:line="360" w:lineRule="auto"/>
        <w:ind w:leftChars="0" w:firstLine="480" w:firstLineChars="200"/>
        <w:jc w:val="both"/>
        <w:textAlignment w:val="auto"/>
        <w:rPr>
          <w:rFonts w:ascii="Times New Roman" w:hAnsi="Times New Roman" w:eastAsia="宋体"/>
          <w:color w:val="auto"/>
          <w:highlight w:val="none"/>
          <w:u w:val="none"/>
        </w:rPr>
      </w:pPr>
      <w:r>
        <w:rPr>
          <w:rFonts w:ascii="Times New Roman" w:hAnsi="Times New Roman" w:eastAsia="宋体"/>
          <w:color w:val="auto"/>
          <w:highlight w:val="none"/>
          <w:u w:val="none"/>
        </w:rPr>
        <w:t>《危险化学品安全管理条例》，2013年12月4日修订，2013年12月7日起施行；</w:t>
      </w:r>
    </w:p>
    <w:p>
      <w:pPr>
        <w:pStyle w:val="149"/>
        <w:numPr>
          <w:ilvl w:val="0"/>
          <w:numId w:val="8"/>
        </w:numPr>
        <w:tabs>
          <w:tab w:val="left" w:pos="0"/>
          <w:tab w:val="left" w:pos="900"/>
        </w:tabs>
        <w:spacing w:beforeLines="0" w:afterLines="0" w:line="360" w:lineRule="auto"/>
        <w:ind w:leftChars="0" w:firstLine="480" w:firstLineChars="200"/>
        <w:jc w:val="both"/>
        <w:textAlignment w:val="auto"/>
        <w:rPr>
          <w:rFonts w:ascii="Times New Roman" w:hAnsi="Times New Roman" w:eastAsia="宋体"/>
          <w:color w:val="auto"/>
          <w:highlight w:val="none"/>
          <w:u w:val="none"/>
        </w:rPr>
      </w:pPr>
      <w:r>
        <w:rPr>
          <w:rFonts w:ascii="Times New Roman" w:hAnsi="Times New Roman" w:eastAsia="宋体"/>
          <w:color w:val="auto"/>
          <w:highlight w:val="none"/>
          <w:u w:val="none"/>
        </w:rPr>
        <w:t>《国务院关于印发大气污染防治行动计划的通知》，国发[2013]37号，2013年9月10日；</w:t>
      </w:r>
    </w:p>
    <w:p>
      <w:pPr>
        <w:pStyle w:val="149"/>
        <w:numPr>
          <w:ilvl w:val="0"/>
          <w:numId w:val="8"/>
        </w:numPr>
        <w:tabs>
          <w:tab w:val="left" w:pos="0"/>
          <w:tab w:val="left" w:pos="900"/>
        </w:tabs>
        <w:spacing w:beforeLines="0" w:afterLines="0" w:line="360" w:lineRule="auto"/>
        <w:ind w:leftChars="0" w:firstLine="480" w:firstLineChars="200"/>
        <w:jc w:val="both"/>
        <w:textAlignment w:val="auto"/>
        <w:rPr>
          <w:rFonts w:ascii="Times New Roman" w:hAnsi="Times New Roman" w:eastAsia="宋体"/>
          <w:color w:val="auto"/>
          <w:highlight w:val="none"/>
          <w:u w:val="none"/>
        </w:rPr>
      </w:pPr>
      <w:r>
        <w:rPr>
          <w:rFonts w:ascii="Times New Roman" w:hAnsi="Times New Roman" w:eastAsia="宋体"/>
          <w:color w:val="auto"/>
          <w:highlight w:val="none"/>
          <w:u w:val="none"/>
        </w:rPr>
        <w:t>《国务院办公厅关于印发国家突发环境事件应急预案的通知》，国办函[2014]119号，2014年12月29日；</w:t>
      </w:r>
    </w:p>
    <w:p>
      <w:pPr>
        <w:pStyle w:val="149"/>
        <w:numPr>
          <w:ilvl w:val="0"/>
          <w:numId w:val="8"/>
        </w:numPr>
        <w:tabs>
          <w:tab w:val="left" w:pos="0"/>
          <w:tab w:val="left" w:pos="900"/>
        </w:tabs>
        <w:spacing w:beforeLines="0" w:afterLines="0" w:line="360" w:lineRule="auto"/>
        <w:ind w:leftChars="0" w:firstLine="480" w:firstLineChars="200"/>
        <w:jc w:val="both"/>
        <w:textAlignment w:val="auto"/>
        <w:rPr>
          <w:rFonts w:ascii="Times New Roman" w:hAnsi="Times New Roman" w:eastAsia="宋体"/>
          <w:color w:val="auto"/>
          <w:highlight w:val="none"/>
          <w:u w:val="none"/>
        </w:rPr>
      </w:pPr>
      <w:r>
        <w:rPr>
          <w:rFonts w:ascii="Times New Roman" w:hAnsi="Times New Roman" w:eastAsia="宋体"/>
          <w:color w:val="auto"/>
          <w:highlight w:val="none"/>
          <w:u w:val="none"/>
        </w:rPr>
        <w:t>《国务院关于印发水污染防治行动计划的通知》，国发[2015]17号，2015年4月2日；</w:t>
      </w:r>
    </w:p>
    <w:p>
      <w:pPr>
        <w:pStyle w:val="149"/>
        <w:numPr>
          <w:ilvl w:val="0"/>
          <w:numId w:val="8"/>
        </w:numPr>
        <w:tabs>
          <w:tab w:val="left" w:pos="0"/>
          <w:tab w:val="left" w:pos="900"/>
        </w:tabs>
        <w:spacing w:beforeLines="0" w:afterLines="0" w:line="360" w:lineRule="auto"/>
        <w:ind w:leftChars="0" w:firstLine="480" w:firstLineChars="200"/>
        <w:jc w:val="both"/>
        <w:textAlignment w:val="auto"/>
        <w:rPr>
          <w:rFonts w:ascii="Times New Roman" w:hAnsi="Times New Roman" w:eastAsia="宋体"/>
          <w:color w:val="auto"/>
          <w:highlight w:val="none"/>
          <w:u w:val="none"/>
        </w:rPr>
      </w:pPr>
      <w:r>
        <w:rPr>
          <w:rFonts w:ascii="Times New Roman" w:hAnsi="Times New Roman" w:eastAsia="宋体"/>
          <w:color w:val="auto"/>
          <w:highlight w:val="none"/>
          <w:u w:val="none"/>
        </w:rPr>
        <w:t>《国务院关于印发土壤污染防治行动计划的通知》，国发[2016]31号，2016年5月28日；</w:t>
      </w:r>
    </w:p>
    <w:p>
      <w:pPr>
        <w:pStyle w:val="149"/>
        <w:numPr>
          <w:ilvl w:val="0"/>
          <w:numId w:val="8"/>
        </w:numPr>
        <w:tabs>
          <w:tab w:val="left" w:pos="0"/>
          <w:tab w:val="left" w:pos="900"/>
        </w:tabs>
        <w:spacing w:beforeLines="0" w:afterLines="0" w:line="360" w:lineRule="auto"/>
        <w:ind w:leftChars="0" w:firstLine="480" w:firstLineChars="200"/>
        <w:jc w:val="both"/>
        <w:textAlignment w:val="auto"/>
        <w:rPr>
          <w:rFonts w:ascii="Times New Roman" w:hAnsi="Times New Roman" w:eastAsia="宋体"/>
          <w:color w:val="auto"/>
          <w:highlight w:val="none"/>
          <w:u w:val="none"/>
        </w:rPr>
      </w:pPr>
      <w:bookmarkStart w:id="17" w:name="OLE_LINK3"/>
      <w:r>
        <w:rPr>
          <w:rFonts w:ascii="Times New Roman" w:hAnsi="Times New Roman" w:eastAsia="宋体"/>
          <w:color w:val="auto"/>
          <w:highlight w:val="none"/>
          <w:u w:val="none"/>
        </w:rPr>
        <w:t>《中共中央国务院关于全面加强生态环境保护坚决打好污染防治攻坚战的意见》，国务院，2018年6月24日；</w:t>
      </w:r>
    </w:p>
    <w:bookmarkEnd w:id="17"/>
    <w:p>
      <w:pPr>
        <w:pStyle w:val="149"/>
        <w:numPr>
          <w:ilvl w:val="0"/>
          <w:numId w:val="8"/>
        </w:numPr>
        <w:tabs>
          <w:tab w:val="left" w:pos="0"/>
          <w:tab w:val="left" w:pos="900"/>
        </w:tabs>
        <w:spacing w:beforeLines="0" w:afterLines="0" w:line="360" w:lineRule="auto"/>
        <w:ind w:leftChars="0" w:firstLine="480" w:firstLineChars="200"/>
        <w:jc w:val="both"/>
        <w:textAlignment w:val="auto"/>
        <w:rPr>
          <w:rFonts w:ascii="Times New Roman" w:hAnsi="Times New Roman" w:eastAsia="宋体"/>
          <w:color w:val="auto"/>
          <w:highlight w:val="none"/>
          <w:u w:val="none"/>
        </w:rPr>
      </w:pPr>
      <w:r>
        <w:rPr>
          <w:rFonts w:hint="eastAsia" w:ascii="Times New Roman" w:hAnsi="Times New Roman" w:eastAsia="宋体"/>
          <w:color w:val="auto"/>
          <w:highlight w:val="none"/>
          <w:u w:val="none"/>
        </w:rPr>
        <w:t>《排污许可管理条例》，</w:t>
      </w:r>
      <w:r>
        <w:rPr>
          <w:rFonts w:ascii="Times New Roman" w:hAnsi="Times New Roman" w:eastAsia="宋体"/>
          <w:color w:val="auto"/>
          <w:highlight w:val="none"/>
          <w:u w:val="none"/>
        </w:rPr>
        <w:t>国务院令第736号，2021年3月1日起施行</w:t>
      </w:r>
      <w:r>
        <w:rPr>
          <w:rFonts w:hint="eastAsia" w:ascii="Times New Roman" w:hAnsi="Times New Roman" w:eastAsia="宋体"/>
          <w:color w:val="auto"/>
          <w:highlight w:val="none"/>
          <w:u w:val="none"/>
          <w:lang w:eastAsia="zh-CN"/>
        </w:rPr>
        <w:t>；</w:t>
      </w:r>
    </w:p>
    <w:p>
      <w:pPr>
        <w:pStyle w:val="149"/>
        <w:numPr>
          <w:ilvl w:val="0"/>
          <w:numId w:val="8"/>
        </w:numPr>
        <w:tabs>
          <w:tab w:val="left" w:pos="0"/>
          <w:tab w:val="left" w:pos="900"/>
        </w:tabs>
        <w:spacing w:beforeLines="0" w:afterLines="0" w:line="360" w:lineRule="auto"/>
        <w:ind w:leftChars="0" w:firstLine="480" w:firstLineChars="200"/>
        <w:jc w:val="both"/>
        <w:textAlignment w:val="auto"/>
        <w:rPr>
          <w:rFonts w:hint="eastAsia" w:ascii="Times New Roman" w:hAnsi="Times New Roman" w:eastAsia="宋体" w:cs="Times New Roman"/>
          <w:color w:val="auto"/>
          <w:highlight w:val="none"/>
          <w:u w:val="none"/>
        </w:rPr>
      </w:pPr>
      <w:r>
        <w:rPr>
          <w:rFonts w:hint="eastAsia" w:ascii="Times New Roman" w:hAnsi="Times New Roman" w:eastAsia="宋体" w:cs="Times New Roman"/>
          <w:color w:val="auto"/>
          <w:highlight w:val="none"/>
          <w:u w:val="none"/>
        </w:rPr>
        <w:t>《地下水管理条例》</w:t>
      </w:r>
      <w:r>
        <w:rPr>
          <w:rFonts w:hint="eastAsia" w:ascii="Times New Roman" w:hAnsi="Times New Roman" w:eastAsia="宋体" w:cs="Times New Roman"/>
          <w:color w:val="auto"/>
          <w:highlight w:val="none"/>
          <w:u w:val="none"/>
          <w:lang w:eastAsia="zh-CN"/>
        </w:rPr>
        <w:t>，中华人民共和国国务院令第748号，自2021年12月1日起施行</w:t>
      </w:r>
      <w:r>
        <w:rPr>
          <w:rFonts w:hint="eastAsia" w:ascii="Times New Roman" w:hAnsi="Times New Roman" w:eastAsia="宋体" w:cs="Times New Roman"/>
          <w:color w:val="auto"/>
          <w:highlight w:val="none"/>
          <w:u w:val="none"/>
        </w:rPr>
        <w:t>。</w:t>
      </w:r>
    </w:p>
    <w:p>
      <w:pPr>
        <w:pStyle w:val="9"/>
        <w:spacing w:before="78" w:beforeLines="25" w:after="0" w:line="360" w:lineRule="auto"/>
        <w:rPr>
          <w:rFonts w:eastAsia="黑体"/>
          <w:b w:val="0"/>
          <w:color w:val="auto"/>
          <w:sz w:val="24"/>
          <w:szCs w:val="24"/>
          <w:highlight w:val="none"/>
        </w:rPr>
      </w:pPr>
      <w:bookmarkStart w:id="18" w:name="_Toc438043108"/>
      <w:bookmarkStart w:id="19" w:name="_Toc438043776"/>
      <w:r>
        <w:rPr>
          <w:rFonts w:eastAsia="黑体"/>
          <w:b w:val="0"/>
          <w:color w:val="auto"/>
          <w:sz w:val="24"/>
          <w:szCs w:val="24"/>
          <w:highlight w:val="none"/>
        </w:rPr>
        <w:t>1.1.3 国家生态环境部文件</w:t>
      </w:r>
      <w:bookmarkEnd w:id="18"/>
      <w:bookmarkEnd w:id="19"/>
    </w:p>
    <w:p>
      <w:pPr>
        <w:pStyle w:val="149"/>
        <w:numPr>
          <w:ilvl w:val="0"/>
          <w:numId w:val="9"/>
        </w:numPr>
        <w:tabs>
          <w:tab w:val="left" w:pos="0"/>
          <w:tab w:val="left" w:pos="900"/>
        </w:tabs>
        <w:spacing w:beforeLines="0" w:afterLines="0" w:line="360" w:lineRule="auto"/>
        <w:ind w:leftChars="0" w:firstLineChars="0"/>
        <w:jc w:val="both"/>
        <w:textAlignment w:val="auto"/>
        <w:rPr>
          <w:rFonts w:ascii="Times New Roman" w:hAnsi="Times New Roman" w:eastAsia="宋体"/>
          <w:color w:val="auto"/>
          <w:highlight w:val="none"/>
          <w:u w:val="none"/>
        </w:rPr>
      </w:pPr>
      <w:r>
        <w:rPr>
          <w:rFonts w:ascii="Times New Roman" w:hAnsi="Times New Roman" w:eastAsia="宋体"/>
          <w:color w:val="auto"/>
          <w:highlight w:val="none"/>
          <w:u w:val="none"/>
        </w:rPr>
        <w:t>《关于进一步加强环境影响评价管理防范环境风险的通知》，环发[2012]第77号，2012年7月3号；</w:t>
      </w:r>
    </w:p>
    <w:p>
      <w:pPr>
        <w:pStyle w:val="149"/>
        <w:numPr>
          <w:ilvl w:val="0"/>
          <w:numId w:val="9"/>
        </w:numPr>
        <w:tabs>
          <w:tab w:val="left" w:pos="0"/>
          <w:tab w:val="left" w:pos="900"/>
        </w:tabs>
        <w:spacing w:beforeLines="0" w:afterLines="0" w:line="360" w:lineRule="auto"/>
        <w:ind w:leftChars="0" w:firstLineChars="0"/>
        <w:jc w:val="both"/>
        <w:textAlignment w:val="auto"/>
        <w:rPr>
          <w:rFonts w:ascii="Times New Roman" w:hAnsi="Times New Roman" w:eastAsia="宋体"/>
          <w:color w:val="auto"/>
          <w:highlight w:val="none"/>
          <w:u w:val="none"/>
        </w:rPr>
      </w:pPr>
      <w:r>
        <w:rPr>
          <w:rFonts w:ascii="Times New Roman" w:hAnsi="Times New Roman" w:eastAsia="宋体"/>
          <w:color w:val="auto"/>
          <w:highlight w:val="none"/>
          <w:u w:val="none"/>
        </w:rPr>
        <w:t>《关于切实加强风险防范严格环境影响评价管理的通知》，环发[2012]第98号，2012年8月7日；</w:t>
      </w:r>
    </w:p>
    <w:p>
      <w:pPr>
        <w:pStyle w:val="149"/>
        <w:numPr>
          <w:ilvl w:val="0"/>
          <w:numId w:val="9"/>
        </w:numPr>
        <w:tabs>
          <w:tab w:val="left" w:pos="0"/>
          <w:tab w:val="left" w:pos="900"/>
        </w:tabs>
        <w:spacing w:beforeLines="0" w:afterLines="0" w:line="360" w:lineRule="auto"/>
        <w:ind w:leftChars="0" w:firstLineChars="0"/>
        <w:jc w:val="both"/>
        <w:textAlignment w:val="auto"/>
        <w:rPr>
          <w:rFonts w:ascii="Times New Roman" w:hAnsi="Times New Roman" w:eastAsia="宋体"/>
          <w:color w:val="auto"/>
          <w:highlight w:val="none"/>
          <w:u w:val="none"/>
        </w:rPr>
      </w:pPr>
      <w:r>
        <w:rPr>
          <w:rFonts w:ascii="Times New Roman" w:hAnsi="Times New Roman" w:eastAsia="宋体"/>
          <w:color w:val="auto"/>
          <w:highlight w:val="none"/>
          <w:u w:val="none"/>
        </w:rPr>
        <w:t>《关于切实加强环境影响评价监督管理工作的通知》，环办[2013]104号，2013年11月15日；</w:t>
      </w:r>
    </w:p>
    <w:p>
      <w:pPr>
        <w:pStyle w:val="149"/>
        <w:numPr>
          <w:ilvl w:val="0"/>
          <w:numId w:val="9"/>
        </w:numPr>
        <w:tabs>
          <w:tab w:val="left" w:pos="0"/>
          <w:tab w:val="left" w:pos="900"/>
        </w:tabs>
        <w:spacing w:beforeLines="0" w:afterLines="0" w:line="360" w:lineRule="auto"/>
        <w:ind w:leftChars="0" w:firstLineChars="0"/>
        <w:jc w:val="both"/>
        <w:textAlignment w:val="auto"/>
        <w:rPr>
          <w:rFonts w:ascii="Times New Roman" w:hAnsi="Times New Roman" w:eastAsia="宋体"/>
          <w:color w:val="auto"/>
          <w:highlight w:val="none"/>
          <w:u w:val="none"/>
        </w:rPr>
      </w:pPr>
      <w:r>
        <w:rPr>
          <w:rFonts w:ascii="Times New Roman" w:hAnsi="Times New Roman" w:eastAsia="宋体"/>
          <w:color w:val="auto"/>
          <w:highlight w:val="none"/>
          <w:u w:val="none"/>
        </w:rPr>
        <w:t>《企业事业单位突发环境事件应急预案备案管理办法(试行)》，环发[2015]4号，2015年1月8日；</w:t>
      </w:r>
    </w:p>
    <w:p>
      <w:pPr>
        <w:widowControl/>
        <w:numPr>
          <w:ilvl w:val="0"/>
          <w:numId w:val="9"/>
        </w:numPr>
        <w:tabs>
          <w:tab w:val="left" w:pos="0"/>
          <w:tab w:val="left" w:pos="1054"/>
          <w:tab w:val="left" w:pos="1440"/>
        </w:tabs>
        <w:adjustRightInd w:val="0"/>
        <w:spacing w:line="360" w:lineRule="auto"/>
        <w:rPr>
          <w:color w:val="auto"/>
          <w:sz w:val="24"/>
          <w:highlight w:val="none"/>
        </w:rPr>
      </w:pPr>
      <w:r>
        <w:rPr>
          <w:color w:val="auto"/>
          <w:sz w:val="24"/>
          <w:highlight w:val="none"/>
        </w:rPr>
        <w:t>《关于印发&lt;建设项目环境影响评价信息公开机制方案&gt;的通知》，环境保护部，环发[2015]162号，2015年12月10日；</w:t>
      </w:r>
    </w:p>
    <w:p>
      <w:pPr>
        <w:widowControl/>
        <w:numPr>
          <w:ilvl w:val="0"/>
          <w:numId w:val="9"/>
        </w:numPr>
        <w:tabs>
          <w:tab w:val="left" w:pos="0"/>
          <w:tab w:val="left" w:pos="1054"/>
          <w:tab w:val="left" w:pos="1440"/>
        </w:tabs>
        <w:adjustRightInd w:val="0"/>
        <w:spacing w:line="360" w:lineRule="auto"/>
        <w:rPr>
          <w:color w:val="auto"/>
          <w:sz w:val="24"/>
          <w:highlight w:val="none"/>
        </w:rPr>
      </w:pPr>
      <w:r>
        <w:rPr>
          <w:color w:val="auto"/>
          <w:sz w:val="24"/>
          <w:highlight w:val="none"/>
        </w:rPr>
        <w:t>《关于发布&lt;危险废物产生单位管理计划制定指南&gt;的公告》，环境保护部，公告2016年第7号，2016年1月25日；</w:t>
      </w:r>
    </w:p>
    <w:p>
      <w:pPr>
        <w:widowControl/>
        <w:numPr>
          <w:ilvl w:val="0"/>
          <w:numId w:val="9"/>
        </w:numPr>
        <w:tabs>
          <w:tab w:val="left" w:pos="0"/>
          <w:tab w:val="left" w:pos="1054"/>
          <w:tab w:val="left" w:pos="1440"/>
        </w:tabs>
        <w:adjustRightInd w:val="0"/>
        <w:spacing w:line="360" w:lineRule="auto"/>
        <w:rPr>
          <w:color w:val="auto"/>
          <w:sz w:val="24"/>
          <w:highlight w:val="none"/>
        </w:rPr>
      </w:pPr>
      <w:r>
        <w:rPr>
          <w:color w:val="auto"/>
          <w:sz w:val="24"/>
          <w:highlight w:val="none"/>
        </w:rPr>
        <w:t>《关于以改善环境质量为核心加强环境影响评价管理的通知》，环环评[2016]150号，2016年10月26日；</w:t>
      </w:r>
    </w:p>
    <w:p>
      <w:pPr>
        <w:numPr>
          <w:ilvl w:val="0"/>
          <w:numId w:val="9"/>
        </w:numPr>
        <w:tabs>
          <w:tab w:val="left" w:pos="480"/>
          <w:tab w:val="left" w:pos="1080"/>
        </w:tabs>
        <w:spacing w:line="360" w:lineRule="auto"/>
        <w:rPr>
          <w:color w:val="auto"/>
          <w:kern w:val="0"/>
          <w:sz w:val="24"/>
          <w:highlight w:val="none"/>
        </w:rPr>
      </w:pPr>
      <w:r>
        <w:rPr>
          <w:color w:val="auto"/>
          <w:kern w:val="0"/>
          <w:sz w:val="24"/>
          <w:highlight w:val="none"/>
        </w:rPr>
        <w:t>《关于实施工业污染源全面达标排放计划的通知》，环环监[2016]172号，2016年11月29日；</w:t>
      </w:r>
    </w:p>
    <w:p>
      <w:pPr>
        <w:numPr>
          <w:ilvl w:val="0"/>
          <w:numId w:val="9"/>
        </w:numPr>
        <w:tabs>
          <w:tab w:val="left" w:pos="480"/>
          <w:tab w:val="left" w:pos="1080"/>
        </w:tabs>
        <w:spacing w:line="360" w:lineRule="auto"/>
        <w:rPr>
          <w:color w:val="auto"/>
          <w:kern w:val="0"/>
          <w:sz w:val="24"/>
          <w:highlight w:val="none"/>
        </w:rPr>
      </w:pPr>
      <w:r>
        <w:rPr>
          <w:color w:val="auto"/>
          <w:kern w:val="0"/>
          <w:sz w:val="24"/>
          <w:highlight w:val="none"/>
        </w:rPr>
        <w:t>关于发布《企业突发环境事件隐患排查和治理工作指南（试行）》的公告，环境保护部公告[2016] 74号，2016年12月6日；</w:t>
      </w:r>
    </w:p>
    <w:p>
      <w:pPr>
        <w:widowControl/>
        <w:numPr>
          <w:ilvl w:val="0"/>
          <w:numId w:val="9"/>
        </w:numPr>
        <w:tabs>
          <w:tab w:val="left" w:pos="0"/>
          <w:tab w:val="left" w:pos="1054"/>
          <w:tab w:val="left" w:pos="1440"/>
        </w:tabs>
        <w:adjustRightInd w:val="0"/>
        <w:spacing w:line="360" w:lineRule="auto"/>
        <w:rPr>
          <w:color w:val="auto"/>
          <w:sz w:val="24"/>
          <w:highlight w:val="none"/>
        </w:rPr>
      </w:pPr>
      <w:r>
        <w:rPr>
          <w:color w:val="auto"/>
          <w:sz w:val="24"/>
          <w:highlight w:val="none"/>
        </w:rPr>
        <w:t>《建设项目环境影响评价分类管理名录</w:t>
      </w:r>
      <w:r>
        <w:rPr>
          <w:rFonts w:hint="eastAsia"/>
          <w:color w:val="auto"/>
          <w:sz w:val="24"/>
          <w:highlight w:val="none"/>
        </w:rPr>
        <w:t>（2</w:t>
      </w:r>
      <w:r>
        <w:rPr>
          <w:color w:val="auto"/>
          <w:sz w:val="24"/>
          <w:highlight w:val="none"/>
        </w:rPr>
        <w:t>021</w:t>
      </w:r>
      <w:r>
        <w:rPr>
          <w:rFonts w:hint="eastAsia"/>
          <w:color w:val="auto"/>
          <w:sz w:val="24"/>
          <w:highlight w:val="none"/>
        </w:rPr>
        <w:t>年版）</w:t>
      </w:r>
      <w:r>
        <w:rPr>
          <w:color w:val="auto"/>
          <w:sz w:val="24"/>
          <w:highlight w:val="none"/>
        </w:rPr>
        <w:t>》，2021年1月1日</w:t>
      </w:r>
      <w:r>
        <w:rPr>
          <w:rFonts w:hint="eastAsia"/>
          <w:color w:val="auto"/>
          <w:sz w:val="24"/>
          <w:highlight w:val="none"/>
        </w:rPr>
        <w:t>起</w:t>
      </w:r>
      <w:r>
        <w:rPr>
          <w:color w:val="auto"/>
          <w:sz w:val="24"/>
          <w:highlight w:val="none"/>
        </w:rPr>
        <w:t>施行；</w:t>
      </w:r>
    </w:p>
    <w:p>
      <w:pPr>
        <w:widowControl/>
        <w:numPr>
          <w:ilvl w:val="0"/>
          <w:numId w:val="9"/>
        </w:numPr>
        <w:tabs>
          <w:tab w:val="left" w:pos="0"/>
          <w:tab w:val="left" w:pos="1054"/>
          <w:tab w:val="left" w:pos="1440"/>
        </w:tabs>
        <w:adjustRightInd w:val="0"/>
        <w:spacing w:line="360" w:lineRule="auto"/>
        <w:rPr>
          <w:color w:val="auto"/>
          <w:sz w:val="24"/>
          <w:highlight w:val="none"/>
        </w:rPr>
      </w:pPr>
      <w:bookmarkStart w:id="20" w:name="_Hlk45531403"/>
      <w:r>
        <w:rPr>
          <w:color w:val="auto"/>
          <w:sz w:val="24"/>
          <w:highlight w:val="none"/>
        </w:rPr>
        <w:t>《固定污染源排污许可分类管理名录（2019年版）》，生态环境部令第11号，2019年12月20日；</w:t>
      </w:r>
    </w:p>
    <w:bookmarkEnd w:id="20"/>
    <w:p>
      <w:pPr>
        <w:pStyle w:val="149"/>
        <w:numPr>
          <w:ilvl w:val="0"/>
          <w:numId w:val="9"/>
        </w:numPr>
        <w:tabs>
          <w:tab w:val="left" w:pos="0"/>
          <w:tab w:val="left" w:pos="900"/>
        </w:tabs>
        <w:spacing w:beforeLines="0" w:afterLines="0" w:line="360" w:lineRule="auto"/>
        <w:ind w:leftChars="0" w:firstLineChars="0"/>
        <w:jc w:val="both"/>
        <w:textAlignment w:val="auto"/>
        <w:rPr>
          <w:rFonts w:ascii="Times New Roman" w:hAnsi="Times New Roman" w:eastAsia="宋体"/>
          <w:bCs w:val="0"/>
          <w:color w:val="auto"/>
          <w:kern w:val="2"/>
          <w:szCs w:val="24"/>
          <w:highlight w:val="none"/>
          <w:u w:val="none"/>
        </w:rPr>
      </w:pPr>
      <w:r>
        <w:rPr>
          <w:rFonts w:ascii="Times New Roman" w:hAnsi="Times New Roman" w:eastAsia="宋体"/>
          <w:bCs w:val="0"/>
          <w:color w:val="auto"/>
          <w:kern w:val="2"/>
          <w:szCs w:val="24"/>
          <w:highlight w:val="none"/>
          <w:u w:val="none"/>
        </w:rPr>
        <w:t>《关于发布&lt;建设项目竣工环境保护验收暂行办法&gt;的公告》，环境保护部，国环规环评[2017]4号，2017年11月22日；</w:t>
      </w:r>
    </w:p>
    <w:p>
      <w:pPr>
        <w:numPr>
          <w:ilvl w:val="0"/>
          <w:numId w:val="9"/>
        </w:numPr>
        <w:tabs>
          <w:tab w:val="left" w:pos="480"/>
          <w:tab w:val="left" w:pos="1080"/>
        </w:tabs>
        <w:spacing w:line="360" w:lineRule="auto"/>
        <w:rPr>
          <w:color w:val="auto"/>
          <w:kern w:val="0"/>
          <w:sz w:val="24"/>
          <w:highlight w:val="none"/>
        </w:rPr>
      </w:pPr>
      <w:r>
        <w:rPr>
          <w:color w:val="auto"/>
          <w:kern w:val="0"/>
          <w:sz w:val="24"/>
          <w:highlight w:val="none"/>
        </w:rPr>
        <w:t>《环境影响评价公众参与办法》，生态环境部令第4号，2018年4月16日通过，2019年1月1日施行；</w:t>
      </w:r>
      <w:bookmarkStart w:id="21" w:name="_Hlk45528695"/>
    </w:p>
    <w:p>
      <w:pPr>
        <w:numPr>
          <w:ilvl w:val="0"/>
          <w:numId w:val="9"/>
        </w:numPr>
        <w:tabs>
          <w:tab w:val="left" w:pos="480"/>
          <w:tab w:val="left" w:pos="1080"/>
        </w:tabs>
        <w:spacing w:line="360" w:lineRule="auto"/>
        <w:rPr>
          <w:color w:val="auto"/>
          <w:kern w:val="0"/>
          <w:sz w:val="24"/>
          <w:highlight w:val="none"/>
        </w:rPr>
      </w:pPr>
      <w:r>
        <w:rPr>
          <w:rFonts w:hint="eastAsia"/>
          <w:color w:val="auto"/>
          <w:kern w:val="0"/>
          <w:sz w:val="24"/>
          <w:highlight w:val="none"/>
        </w:rPr>
        <w:t>《关于加强重点行业建设项目区域削减措施监督管理的通知》，环办环评[2020]36号；</w:t>
      </w:r>
    </w:p>
    <w:p>
      <w:pPr>
        <w:numPr>
          <w:ilvl w:val="0"/>
          <w:numId w:val="9"/>
        </w:numPr>
        <w:tabs>
          <w:tab w:val="left" w:pos="480"/>
          <w:tab w:val="left" w:pos="1080"/>
        </w:tabs>
        <w:spacing w:line="360" w:lineRule="auto"/>
        <w:rPr>
          <w:color w:val="auto"/>
          <w:kern w:val="0"/>
          <w:sz w:val="24"/>
          <w:highlight w:val="none"/>
        </w:rPr>
      </w:pPr>
      <w:r>
        <w:rPr>
          <w:rFonts w:hint="eastAsia"/>
          <w:color w:val="auto"/>
          <w:kern w:val="0"/>
          <w:sz w:val="24"/>
          <w:highlight w:val="none"/>
        </w:rPr>
        <w:t>《关于加强高耗能、高排放建设项目生态环境源头防控的指导意见》，环环评[2021]45号</w:t>
      </w:r>
      <w:r>
        <w:rPr>
          <w:rFonts w:hint="eastAsia"/>
          <w:color w:val="auto"/>
          <w:kern w:val="0"/>
          <w:sz w:val="24"/>
          <w:highlight w:val="none"/>
          <w:lang w:eastAsia="zh-CN"/>
        </w:rPr>
        <w:t>；</w:t>
      </w:r>
    </w:p>
    <w:p>
      <w:pPr>
        <w:numPr>
          <w:ilvl w:val="0"/>
          <w:numId w:val="9"/>
        </w:numPr>
        <w:tabs>
          <w:tab w:val="left" w:pos="480"/>
          <w:tab w:val="left" w:pos="1080"/>
        </w:tabs>
        <w:spacing w:line="360" w:lineRule="auto"/>
        <w:rPr>
          <w:rFonts w:hint="eastAsia"/>
          <w:color w:val="auto"/>
          <w:kern w:val="0"/>
          <w:sz w:val="24"/>
          <w:highlight w:val="none"/>
        </w:rPr>
      </w:pPr>
      <w:r>
        <w:rPr>
          <w:rFonts w:hint="eastAsia"/>
          <w:color w:val="auto"/>
          <w:kern w:val="0"/>
          <w:sz w:val="24"/>
          <w:highlight w:val="none"/>
        </w:rPr>
        <w:t>《关于实施“三线一单”生态环境分区管控的指导意见（试行）》，环环评〔2021〕108号，2021</w:t>
      </w:r>
      <w:r>
        <w:rPr>
          <w:rFonts w:hint="eastAsia"/>
          <w:color w:val="auto"/>
          <w:kern w:val="0"/>
          <w:sz w:val="24"/>
          <w:highlight w:val="none"/>
          <w:lang w:val="en-US" w:eastAsia="zh-CN"/>
        </w:rPr>
        <w:t>年</w:t>
      </w:r>
      <w:r>
        <w:rPr>
          <w:rFonts w:hint="eastAsia"/>
          <w:color w:val="auto"/>
          <w:kern w:val="0"/>
          <w:sz w:val="24"/>
          <w:highlight w:val="none"/>
        </w:rPr>
        <w:t>11</w:t>
      </w:r>
      <w:r>
        <w:rPr>
          <w:rFonts w:hint="eastAsia"/>
          <w:color w:val="auto"/>
          <w:kern w:val="0"/>
          <w:sz w:val="24"/>
          <w:highlight w:val="none"/>
          <w:lang w:val="en-US" w:eastAsia="zh-CN"/>
        </w:rPr>
        <w:t>月</w:t>
      </w:r>
      <w:r>
        <w:rPr>
          <w:rFonts w:hint="eastAsia"/>
          <w:color w:val="auto"/>
          <w:kern w:val="0"/>
          <w:sz w:val="24"/>
          <w:highlight w:val="none"/>
        </w:rPr>
        <w:t>19</w:t>
      </w:r>
      <w:r>
        <w:rPr>
          <w:rFonts w:hint="eastAsia"/>
          <w:color w:val="auto"/>
          <w:kern w:val="0"/>
          <w:sz w:val="24"/>
          <w:highlight w:val="none"/>
          <w:lang w:val="en-US" w:eastAsia="zh-CN"/>
        </w:rPr>
        <w:t>日；</w:t>
      </w:r>
    </w:p>
    <w:p>
      <w:pPr>
        <w:numPr>
          <w:ilvl w:val="0"/>
          <w:numId w:val="9"/>
        </w:numPr>
        <w:tabs>
          <w:tab w:val="left" w:pos="480"/>
          <w:tab w:val="left" w:pos="1080"/>
        </w:tabs>
        <w:spacing w:line="360" w:lineRule="auto"/>
        <w:rPr>
          <w:color w:val="auto"/>
          <w:kern w:val="0"/>
          <w:sz w:val="24"/>
          <w:szCs w:val="22"/>
          <w:highlight w:val="none"/>
        </w:rPr>
      </w:pPr>
      <w:r>
        <w:rPr>
          <w:rFonts w:hint="eastAsia"/>
          <w:color w:val="auto"/>
          <w:kern w:val="0"/>
          <w:sz w:val="24"/>
          <w:szCs w:val="22"/>
          <w:highlight w:val="none"/>
        </w:rPr>
        <w:t>《“十四五”环境影响评价与排污许可工作实施方案》</w:t>
      </w:r>
      <w:r>
        <w:rPr>
          <w:rFonts w:hint="eastAsia"/>
          <w:color w:val="auto"/>
          <w:kern w:val="0"/>
          <w:sz w:val="24"/>
          <w:szCs w:val="22"/>
          <w:highlight w:val="none"/>
          <w:lang w:eastAsia="zh-CN"/>
        </w:rPr>
        <w:t>，环环评〔2022〕26号，2022年4月2日；</w:t>
      </w:r>
    </w:p>
    <w:p>
      <w:pPr>
        <w:numPr>
          <w:ilvl w:val="0"/>
          <w:numId w:val="9"/>
        </w:numPr>
        <w:tabs>
          <w:tab w:val="left" w:pos="480"/>
          <w:tab w:val="left" w:pos="1080"/>
        </w:tabs>
        <w:spacing w:line="360" w:lineRule="auto"/>
        <w:rPr>
          <w:rFonts w:hint="eastAsia"/>
          <w:color w:val="auto"/>
          <w:kern w:val="0"/>
          <w:sz w:val="24"/>
          <w:highlight w:val="none"/>
        </w:rPr>
      </w:pPr>
      <w:r>
        <w:rPr>
          <w:rFonts w:hint="eastAsia"/>
          <w:color w:val="auto"/>
          <w:kern w:val="0"/>
          <w:sz w:val="24"/>
          <w:szCs w:val="22"/>
          <w:highlight w:val="none"/>
          <w:lang w:eastAsia="zh-CN"/>
        </w:rPr>
        <w:t>《</w:t>
      </w:r>
      <w:r>
        <w:rPr>
          <w:rFonts w:hint="eastAsia"/>
          <w:color w:val="auto"/>
          <w:kern w:val="0"/>
          <w:sz w:val="24"/>
          <w:szCs w:val="22"/>
          <w:highlight w:val="none"/>
        </w:rPr>
        <w:t>关于加快解决当前挥发性有机物治理突出问题的通知</w:t>
      </w:r>
      <w:r>
        <w:rPr>
          <w:rFonts w:hint="eastAsia"/>
          <w:color w:val="auto"/>
          <w:kern w:val="0"/>
          <w:sz w:val="24"/>
          <w:szCs w:val="22"/>
          <w:highlight w:val="none"/>
          <w:lang w:eastAsia="zh-CN"/>
        </w:rPr>
        <w:t>》，环大气〔2021〕65号，</w:t>
      </w:r>
      <w:r>
        <w:rPr>
          <w:rFonts w:hint="eastAsia"/>
          <w:color w:val="auto"/>
          <w:kern w:val="0"/>
          <w:sz w:val="24"/>
          <w:szCs w:val="22"/>
          <w:highlight w:val="none"/>
          <w:lang w:val="en-US" w:eastAsia="zh-CN"/>
        </w:rPr>
        <w:t>2021年8月4号。</w:t>
      </w:r>
    </w:p>
    <w:bookmarkEnd w:id="21"/>
    <w:p>
      <w:pPr>
        <w:pStyle w:val="9"/>
        <w:spacing w:before="78" w:beforeLines="25" w:after="0" w:line="360" w:lineRule="auto"/>
        <w:rPr>
          <w:rFonts w:eastAsia="黑体"/>
          <w:b w:val="0"/>
          <w:color w:val="auto"/>
          <w:sz w:val="24"/>
          <w:szCs w:val="24"/>
          <w:highlight w:val="none"/>
        </w:rPr>
      </w:pPr>
      <w:bookmarkStart w:id="22" w:name="_Toc438043109"/>
      <w:bookmarkStart w:id="23" w:name="_Toc438043777"/>
      <w:r>
        <w:rPr>
          <w:rFonts w:eastAsia="黑体"/>
          <w:b w:val="0"/>
          <w:color w:val="auto"/>
          <w:sz w:val="24"/>
          <w:szCs w:val="24"/>
          <w:highlight w:val="none"/>
        </w:rPr>
        <w:t>1.1.4 国家各部、委文件</w:t>
      </w:r>
      <w:bookmarkEnd w:id="22"/>
      <w:bookmarkEnd w:id="23"/>
    </w:p>
    <w:p>
      <w:pPr>
        <w:pStyle w:val="149"/>
        <w:numPr>
          <w:ilvl w:val="0"/>
          <w:numId w:val="10"/>
        </w:numPr>
        <w:tabs>
          <w:tab w:val="left" w:pos="0"/>
          <w:tab w:val="left" w:pos="1008"/>
        </w:tabs>
        <w:spacing w:beforeLines="0" w:afterLines="0" w:line="360" w:lineRule="auto"/>
        <w:ind w:leftChars="0" w:firstLineChars="0"/>
        <w:jc w:val="both"/>
        <w:textAlignment w:val="auto"/>
        <w:rPr>
          <w:rFonts w:ascii="Times New Roman" w:hAnsi="Times New Roman" w:eastAsia="宋体"/>
          <w:bCs w:val="0"/>
          <w:color w:val="auto"/>
          <w:kern w:val="2"/>
          <w:szCs w:val="24"/>
          <w:highlight w:val="none"/>
          <w:u w:val="none"/>
        </w:rPr>
      </w:pPr>
      <w:r>
        <w:rPr>
          <w:rFonts w:ascii="Times New Roman" w:hAnsi="Times New Roman" w:eastAsia="宋体"/>
          <w:bCs w:val="0"/>
          <w:color w:val="auto"/>
          <w:kern w:val="2"/>
          <w:szCs w:val="24"/>
          <w:highlight w:val="none"/>
          <w:u w:val="none"/>
        </w:rPr>
        <w:t>《限制用地项目目录(2012年本)》、《禁止用地项目目录(2012年本)》，国土资源部、国家发展改革委联合发布，2012年5月23日；</w:t>
      </w:r>
    </w:p>
    <w:p>
      <w:pPr>
        <w:pStyle w:val="149"/>
        <w:numPr>
          <w:ilvl w:val="0"/>
          <w:numId w:val="10"/>
        </w:numPr>
        <w:tabs>
          <w:tab w:val="left" w:pos="0"/>
          <w:tab w:val="left" w:pos="1008"/>
        </w:tabs>
        <w:spacing w:beforeLines="0" w:afterLines="0" w:line="360" w:lineRule="auto"/>
        <w:ind w:leftChars="0" w:firstLineChars="0"/>
        <w:jc w:val="both"/>
        <w:textAlignment w:val="auto"/>
        <w:rPr>
          <w:rFonts w:ascii="Times New Roman" w:hAnsi="Times New Roman" w:eastAsia="宋体"/>
          <w:bCs w:val="0"/>
          <w:color w:val="auto"/>
          <w:kern w:val="2"/>
          <w:szCs w:val="24"/>
          <w:highlight w:val="none"/>
          <w:u w:val="none"/>
        </w:rPr>
      </w:pPr>
      <w:r>
        <w:rPr>
          <w:rFonts w:ascii="Times New Roman" w:hAnsi="Times New Roman" w:eastAsia="宋体"/>
          <w:bCs w:val="0"/>
          <w:color w:val="auto"/>
          <w:kern w:val="2"/>
          <w:szCs w:val="24"/>
          <w:highlight w:val="none"/>
          <w:u w:val="none"/>
        </w:rPr>
        <w:t>《产业结构调整指导目录(2019年本)》，发改委2019年第29号令，2019年8月27日公布，2020年1月1日起施行；</w:t>
      </w:r>
    </w:p>
    <w:p>
      <w:pPr>
        <w:pStyle w:val="149"/>
        <w:numPr>
          <w:ilvl w:val="0"/>
          <w:numId w:val="10"/>
        </w:numPr>
        <w:tabs>
          <w:tab w:val="left" w:pos="0"/>
          <w:tab w:val="left" w:pos="1008"/>
        </w:tabs>
        <w:spacing w:beforeLines="0" w:afterLines="0" w:line="360" w:lineRule="auto"/>
        <w:ind w:leftChars="0" w:firstLineChars="0"/>
        <w:jc w:val="both"/>
        <w:textAlignment w:val="auto"/>
        <w:rPr>
          <w:rFonts w:ascii="Times New Roman" w:hAnsi="Times New Roman" w:eastAsia="宋体"/>
          <w:bCs w:val="0"/>
          <w:color w:val="auto"/>
          <w:kern w:val="2"/>
          <w:szCs w:val="24"/>
          <w:highlight w:val="none"/>
          <w:u w:val="none"/>
        </w:rPr>
      </w:pPr>
      <w:r>
        <w:rPr>
          <w:rFonts w:ascii="Times New Roman" w:hAnsi="Times New Roman" w:eastAsia="宋体"/>
          <w:bCs w:val="0"/>
          <w:color w:val="auto"/>
          <w:kern w:val="2"/>
          <w:szCs w:val="24"/>
          <w:highlight w:val="none"/>
          <w:u w:val="none"/>
        </w:rPr>
        <w:t>《国家先进污染防治技术目录</w:t>
      </w:r>
      <w:r>
        <w:rPr>
          <w:rFonts w:hint="eastAsia" w:ascii="Times New Roman" w:hAnsi="Times New Roman" w:eastAsia="宋体"/>
          <w:bCs w:val="0"/>
          <w:color w:val="auto"/>
          <w:kern w:val="2"/>
          <w:szCs w:val="24"/>
          <w:highlight w:val="none"/>
          <w:u w:val="none"/>
        </w:rPr>
        <w:t>(</w:t>
      </w:r>
      <w:r>
        <w:rPr>
          <w:rFonts w:ascii="Times New Roman" w:hAnsi="Times New Roman" w:eastAsia="宋体"/>
          <w:bCs w:val="0"/>
          <w:color w:val="auto"/>
          <w:kern w:val="2"/>
          <w:szCs w:val="24"/>
          <w:highlight w:val="none"/>
          <w:u w:val="none"/>
        </w:rPr>
        <w:t>VOCs防治领域</w:t>
      </w:r>
      <w:r>
        <w:rPr>
          <w:rFonts w:hint="eastAsia" w:ascii="Times New Roman" w:hAnsi="Times New Roman" w:eastAsia="宋体"/>
          <w:bCs w:val="0"/>
          <w:color w:val="auto"/>
          <w:kern w:val="2"/>
          <w:szCs w:val="24"/>
          <w:highlight w:val="none"/>
          <w:u w:val="none"/>
        </w:rPr>
        <w:t>)</w:t>
      </w:r>
      <w:r>
        <w:rPr>
          <w:rFonts w:ascii="Times New Roman" w:hAnsi="Times New Roman" w:eastAsia="宋体"/>
          <w:bCs w:val="0"/>
          <w:color w:val="auto"/>
          <w:kern w:val="2"/>
          <w:szCs w:val="24"/>
          <w:highlight w:val="none"/>
          <w:u w:val="none"/>
        </w:rPr>
        <w:t>》，环保部公告2016年第75号，2016年12月20日；</w:t>
      </w:r>
    </w:p>
    <w:p>
      <w:pPr>
        <w:pStyle w:val="149"/>
        <w:numPr>
          <w:ilvl w:val="0"/>
          <w:numId w:val="10"/>
        </w:numPr>
        <w:tabs>
          <w:tab w:val="left" w:pos="0"/>
          <w:tab w:val="left" w:pos="1008"/>
        </w:tabs>
        <w:spacing w:beforeLines="0" w:afterLines="0" w:line="360" w:lineRule="auto"/>
        <w:ind w:leftChars="0" w:firstLineChars="0"/>
        <w:jc w:val="both"/>
        <w:textAlignment w:val="auto"/>
        <w:rPr>
          <w:rFonts w:ascii="Times New Roman" w:hAnsi="Times New Roman" w:eastAsia="宋体"/>
          <w:bCs w:val="0"/>
          <w:color w:val="auto"/>
          <w:kern w:val="2"/>
          <w:szCs w:val="24"/>
          <w:highlight w:val="none"/>
          <w:u w:val="none"/>
        </w:rPr>
      </w:pPr>
      <w:r>
        <w:rPr>
          <w:rFonts w:ascii="Times New Roman" w:hAnsi="Times New Roman" w:eastAsia="宋体"/>
          <w:bCs w:val="0"/>
          <w:color w:val="auto"/>
          <w:kern w:val="2"/>
          <w:szCs w:val="24"/>
          <w:highlight w:val="none"/>
          <w:u w:val="none"/>
        </w:rPr>
        <w:t>《国家先进污染防治技术目录</w:t>
      </w:r>
      <w:r>
        <w:rPr>
          <w:rFonts w:hint="eastAsia" w:ascii="Times New Roman" w:hAnsi="Times New Roman" w:eastAsia="宋体"/>
          <w:bCs w:val="0"/>
          <w:color w:val="auto"/>
          <w:kern w:val="2"/>
          <w:szCs w:val="24"/>
          <w:highlight w:val="none"/>
          <w:u w:val="none"/>
        </w:rPr>
        <w:t>(</w:t>
      </w:r>
      <w:r>
        <w:rPr>
          <w:rFonts w:ascii="Times New Roman" w:hAnsi="Times New Roman" w:eastAsia="宋体"/>
          <w:bCs w:val="0"/>
          <w:color w:val="auto"/>
          <w:kern w:val="2"/>
          <w:szCs w:val="24"/>
          <w:highlight w:val="none"/>
          <w:u w:val="none"/>
        </w:rPr>
        <w:t>固体废物处理处置领域</w:t>
      </w:r>
      <w:r>
        <w:rPr>
          <w:rFonts w:hint="eastAsia" w:ascii="Times New Roman" w:hAnsi="Times New Roman" w:eastAsia="宋体"/>
          <w:bCs w:val="0"/>
          <w:color w:val="auto"/>
          <w:kern w:val="2"/>
          <w:szCs w:val="24"/>
          <w:highlight w:val="none"/>
          <w:u w:val="none"/>
        </w:rPr>
        <w:t>)</w:t>
      </w:r>
      <w:r>
        <w:rPr>
          <w:rFonts w:ascii="Times New Roman" w:hAnsi="Times New Roman" w:eastAsia="宋体"/>
          <w:bCs w:val="0"/>
          <w:color w:val="auto"/>
          <w:kern w:val="2"/>
          <w:szCs w:val="24"/>
          <w:highlight w:val="none"/>
          <w:u w:val="none"/>
        </w:rPr>
        <w:t>》，环保部公告2018年第5号，2018年1月3日；</w:t>
      </w:r>
    </w:p>
    <w:p>
      <w:pPr>
        <w:pStyle w:val="149"/>
        <w:numPr>
          <w:ilvl w:val="0"/>
          <w:numId w:val="10"/>
        </w:numPr>
        <w:tabs>
          <w:tab w:val="left" w:pos="0"/>
          <w:tab w:val="left" w:pos="1008"/>
        </w:tabs>
        <w:spacing w:beforeLines="0" w:afterLines="0" w:line="360" w:lineRule="auto"/>
        <w:ind w:leftChars="0" w:firstLineChars="0"/>
        <w:jc w:val="both"/>
        <w:textAlignment w:val="auto"/>
        <w:rPr>
          <w:rFonts w:ascii="Times New Roman" w:hAnsi="Times New Roman" w:eastAsia="宋体"/>
          <w:bCs w:val="0"/>
          <w:color w:val="auto"/>
          <w:kern w:val="2"/>
          <w:szCs w:val="24"/>
          <w:highlight w:val="none"/>
          <w:u w:val="none"/>
        </w:rPr>
      </w:pPr>
      <w:r>
        <w:rPr>
          <w:rFonts w:ascii="Times New Roman" w:hAnsi="Times New Roman" w:eastAsia="宋体"/>
          <w:bCs w:val="0"/>
          <w:color w:val="auto"/>
          <w:kern w:val="2"/>
          <w:szCs w:val="24"/>
          <w:highlight w:val="none"/>
          <w:u w:val="none"/>
        </w:rPr>
        <w:t>《国家先进污染防治技术目录</w:t>
      </w:r>
      <w:r>
        <w:rPr>
          <w:rFonts w:hint="eastAsia" w:ascii="Times New Roman" w:hAnsi="Times New Roman" w:eastAsia="宋体"/>
          <w:bCs w:val="0"/>
          <w:color w:val="auto"/>
          <w:kern w:val="2"/>
          <w:szCs w:val="24"/>
          <w:highlight w:val="none"/>
          <w:u w:val="none"/>
        </w:rPr>
        <w:t>(</w:t>
      </w:r>
      <w:r>
        <w:rPr>
          <w:rFonts w:ascii="Times New Roman" w:hAnsi="Times New Roman" w:eastAsia="宋体"/>
          <w:bCs w:val="0"/>
          <w:color w:val="auto"/>
          <w:kern w:val="2"/>
          <w:szCs w:val="24"/>
          <w:highlight w:val="none"/>
          <w:u w:val="none"/>
        </w:rPr>
        <w:t>大气污染防治领域</w:t>
      </w:r>
      <w:r>
        <w:rPr>
          <w:rFonts w:hint="eastAsia" w:ascii="Times New Roman" w:hAnsi="Times New Roman" w:eastAsia="宋体"/>
          <w:bCs w:val="0"/>
          <w:color w:val="auto"/>
          <w:kern w:val="2"/>
          <w:szCs w:val="24"/>
          <w:highlight w:val="none"/>
          <w:u w:val="none"/>
        </w:rPr>
        <w:t>)</w:t>
      </w:r>
      <w:r>
        <w:rPr>
          <w:rFonts w:ascii="Times New Roman" w:hAnsi="Times New Roman" w:eastAsia="宋体"/>
          <w:bCs w:val="0"/>
          <w:color w:val="auto"/>
          <w:kern w:val="2"/>
          <w:szCs w:val="24"/>
          <w:highlight w:val="none"/>
          <w:u w:val="none"/>
        </w:rPr>
        <w:t>》，环保部公告2018年第76号，2018年12月29日；</w:t>
      </w:r>
    </w:p>
    <w:p>
      <w:pPr>
        <w:pStyle w:val="149"/>
        <w:numPr>
          <w:ilvl w:val="0"/>
          <w:numId w:val="10"/>
        </w:numPr>
        <w:tabs>
          <w:tab w:val="left" w:pos="0"/>
          <w:tab w:val="left" w:pos="1008"/>
        </w:tabs>
        <w:spacing w:beforeLines="0" w:afterLines="0" w:line="360" w:lineRule="auto"/>
        <w:ind w:leftChars="0" w:firstLineChars="0"/>
        <w:jc w:val="both"/>
        <w:textAlignment w:val="auto"/>
        <w:rPr>
          <w:rFonts w:ascii="Times New Roman" w:hAnsi="Times New Roman" w:eastAsia="宋体"/>
          <w:bCs w:val="0"/>
          <w:color w:val="auto"/>
          <w:kern w:val="2"/>
          <w:szCs w:val="24"/>
          <w:highlight w:val="none"/>
          <w:u w:val="none"/>
        </w:rPr>
      </w:pPr>
      <w:r>
        <w:rPr>
          <w:rFonts w:ascii="Times New Roman" w:hAnsi="Times New Roman" w:eastAsia="宋体"/>
          <w:bCs w:val="0"/>
          <w:color w:val="auto"/>
          <w:kern w:val="2"/>
          <w:szCs w:val="24"/>
          <w:highlight w:val="none"/>
          <w:u w:val="none"/>
        </w:rPr>
        <w:t>《国家先进污染防治技术目录</w:t>
      </w:r>
      <w:r>
        <w:rPr>
          <w:rFonts w:hint="eastAsia" w:ascii="Times New Roman" w:hAnsi="Times New Roman" w:eastAsia="宋体"/>
          <w:bCs w:val="0"/>
          <w:color w:val="auto"/>
          <w:kern w:val="2"/>
          <w:szCs w:val="24"/>
          <w:highlight w:val="none"/>
          <w:u w:val="none"/>
        </w:rPr>
        <w:t>(</w:t>
      </w:r>
      <w:r>
        <w:rPr>
          <w:rFonts w:ascii="Times New Roman" w:hAnsi="Times New Roman" w:eastAsia="宋体"/>
          <w:bCs w:val="0"/>
          <w:color w:val="auto"/>
          <w:kern w:val="2"/>
          <w:szCs w:val="24"/>
          <w:highlight w:val="none"/>
          <w:u w:val="none"/>
        </w:rPr>
        <w:t>水污染防治领域</w:t>
      </w:r>
      <w:r>
        <w:rPr>
          <w:rFonts w:hint="eastAsia" w:ascii="Times New Roman" w:hAnsi="Times New Roman" w:eastAsia="宋体"/>
          <w:bCs w:val="0"/>
          <w:color w:val="auto"/>
          <w:kern w:val="2"/>
          <w:szCs w:val="24"/>
          <w:highlight w:val="none"/>
          <w:u w:val="none"/>
        </w:rPr>
        <w:t>)</w:t>
      </w:r>
      <w:r>
        <w:rPr>
          <w:rFonts w:ascii="Times New Roman" w:hAnsi="Times New Roman" w:eastAsia="宋体"/>
          <w:bCs w:val="0"/>
          <w:color w:val="auto"/>
          <w:kern w:val="2"/>
          <w:szCs w:val="24"/>
          <w:highlight w:val="none"/>
          <w:u w:val="none"/>
        </w:rPr>
        <w:t>》，环保部公告2020年第2号，2020年1月7日。</w:t>
      </w:r>
    </w:p>
    <w:p>
      <w:pPr>
        <w:pStyle w:val="9"/>
        <w:spacing w:before="78" w:beforeLines="25" w:after="0" w:line="360" w:lineRule="auto"/>
        <w:rPr>
          <w:rFonts w:eastAsia="黑体"/>
          <w:b w:val="0"/>
          <w:color w:val="auto"/>
          <w:sz w:val="24"/>
          <w:szCs w:val="24"/>
          <w:highlight w:val="none"/>
        </w:rPr>
      </w:pPr>
      <w:bookmarkStart w:id="24" w:name="_Toc438043778"/>
      <w:bookmarkStart w:id="25" w:name="_Toc438043110"/>
      <w:r>
        <w:rPr>
          <w:rFonts w:eastAsia="黑体"/>
          <w:b w:val="0"/>
          <w:color w:val="auto"/>
          <w:sz w:val="24"/>
          <w:szCs w:val="24"/>
          <w:highlight w:val="none"/>
        </w:rPr>
        <w:t>1.1.5 地方法规及政策依据</w:t>
      </w:r>
      <w:bookmarkEnd w:id="24"/>
      <w:bookmarkEnd w:id="25"/>
    </w:p>
    <w:p>
      <w:pPr>
        <w:pStyle w:val="149"/>
        <w:numPr>
          <w:ilvl w:val="0"/>
          <w:numId w:val="11"/>
        </w:numPr>
        <w:tabs>
          <w:tab w:val="left" w:pos="0"/>
          <w:tab w:val="left" w:pos="709"/>
        </w:tabs>
        <w:spacing w:beforeLines="0" w:afterLines="0" w:line="360" w:lineRule="auto"/>
        <w:ind w:leftChars="0" w:firstLineChars="0"/>
        <w:jc w:val="both"/>
        <w:textAlignment w:val="auto"/>
        <w:rPr>
          <w:rFonts w:ascii="Times New Roman" w:hAnsi="Times New Roman" w:eastAsia="宋体"/>
          <w:bCs w:val="0"/>
          <w:color w:val="auto"/>
          <w:kern w:val="2"/>
          <w:szCs w:val="24"/>
          <w:highlight w:val="none"/>
          <w:u w:val="none"/>
        </w:rPr>
      </w:pPr>
      <w:r>
        <w:rPr>
          <w:rFonts w:ascii="Times New Roman" w:hAnsi="Times New Roman" w:eastAsia="宋体"/>
          <w:bCs w:val="0"/>
          <w:color w:val="auto"/>
          <w:kern w:val="2"/>
          <w:szCs w:val="24"/>
          <w:highlight w:val="none"/>
          <w:u w:val="none"/>
        </w:rPr>
        <w:t>《山东省环境保护条例》，2018年11月30日修订；</w:t>
      </w:r>
    </w:p>
    <w:p>
      <w:pPr>
        <w:pStyle w:val="149"/>
        <w:numPr>
          <w:ilvl w:val="0"/>
          <w:numId w:val="11"/>
        </w:numPr>
        <w:tabs>
          <w:tab w:val="left" w:pos="0"/>
          <w:tab w:val="left" w:pos="851"/>
        </w:tabs>
        <w:spacing w:beforeLines="0" w:afterLines="0" w:line="360" w:lineRule="auto"/>
        <w:ind w:leftChars="0" w:firstLineChars="0"/>
        <w:jc w:val="both"/>
        <w:textAlignment w:val="auto"/>
        <w:rPr>
          <w:rFonts w:ascii="Times New Roman" w:hAnsi="Times New Roman" w:eastAsia="宋体"/>
          <w:bCs w:val="0"/>
          <w:color w:val="auto"/>
          <w:kern w:val="2"/>
          <w:szCs w:val="24"/>
          <w:highlight w:val="none"/>
          <w:u w:val="none"/>
        </w:rPr>
      </w:pPr>
      <w:r>
        <w:rPr>
          <w:rFonts w:ascii="Times New Roman" w:hAnsi="Times New Roman" w:eastAsia="宋体"/>
          <w:bCs w:val="0"/>
          <w:color w:val="auto"/>
          <w:kern w:val="2"/>
          <w:szCs w:val="24"/>
          <w:highlight w:val="none"/>
          <w:u w:val="none"/>
        </w:rPr>
        <w:t>《山东省节约能源条例》，2009年7月24日修订；</w:t>
      </w:r>
    </w:p>
    <w:p>
      <w:pPr>
        <w:pStyle w:val="149"/>
        <w:numPr>
          <w:ilvl w:val="0"/>
          <w:numId w:val="11"/>
        </w:numPr>
        <w:tabs>
          <w:tab w:val="left" w:pos="0"/>
          <w:tab w:val="left" w:pos="851"/>
        </w:tabs>
        <w:spacing w:beforeLines="0" w:afterLines="0" w:line="360" w:lineRule="auto"/>
        <w:ind w:leftChars="0" w:firstLineChars="0"/>
        <w:jc w:val="both"/>
        <w:textAlignment w:val="auto"/>
        <w:rPr>
          <w:rFonts w:ascii="Times New Roman" w:hAnsi="Times New Roman" w:eastAsia="宋体"/>
          <w:bCs w:val="0"/>
          <w:color w:val="auto"/>
          <w:kern w:val="2"/>
          <w:szCs w:val="24"/>
          <w:highlight w:val="none"/>
          <w:u w:val="none"/>
        </w:rPr>
      </w:pPr>
      <w:r>
        <w:rPr>
          <w:rFonts w:ascii="Times New Roman" w:hAnsi="Times New Roman" w:eastAsia="宋体"/>
          <w:bCs w:val="0"/>
          <w:color w:val="auto"/>
          <w:kern w:val="2"/>
          <w:szCs w:val="24"/>
          <w:highlight w:val="none"/>
          <w:u w:val="none"/>
        </w:rPr>
        <w:t>《山东省水污染防治条例》，2020年11月27日修正；</w:t>
      </w:r>
    </w:p>
    <w:p>
      <w:pPr>
        <w:numPr>
          <w:ilvl w:val="0"/>
          <w:numId w:val="11"/>
        </w:numPr>
        <w:tabs>
          <w:tab w:val="left" w:pos="480"/>
          <w:tab w:val="left" w:pos="1080"/>
        </w:tabs>
        <w:spacing w:line="360" w:lineRule="auto"/>
        <w:rPr>
          <w:color w:val="auto"/>
          <w:kern w:val="0"/>
          <w:sz w:val="24"/>
          <w:highlight w:val="none"/>
        </w:rPr>
      </w:pPr>
      <w:r>
        <w:rPr>
          <w:color w:val="auto"/>
          <w:kern w:val="0"/>
          <w:sz w:val="24"/>
          <w:highlight w:val="none"/>
        </w:rPr>
        <w:t>《山东省环境噪声污染防治条例》，</w:t>
      </w:r>
      <w:r>
        <w:rPr>
          <w:color w:val="auto"/>
          <w:sz w:val="24"/>
          <w:highlight w:val="none"/>
        </w:rPr>
        <w:t>2018年1月23日修正</w:t>
      </w:r>
      <w:r>
        <w:rPr>
          <w:color w:val="auto"/>
          <w:kern w:val="0"/>
          <w:sz w:val="24"/>
          <w:highlight w:val="none"/>
        </w:rPr>
        <w:t>；</w:t>
      </w:r>
    </w:p>
    <w:p>
      <w:pPr>
        <w:numPr>
          <w:ilvl w:val="0"/>
          <w:numId w:val="11"/>
        </w:numPr>
        <w:tabs>
          <w:tab w:val="left" w:pos="480"/>
          <w:tab w:val="left" w:pos="1080"/>
        </w:tabs>
        <w:spacing w:line="360" w:lineRule="auto"/>
        <w:rPr>
          <w:color w:val="auto"/>
          <w:kern w:val="0"/>
          <w:sz w:val="24"/>
          <w:highlight w:val="none"/>
        </w:rPr>
      </w:pPr>
      <w:r>
        <w:rPr>
          <w:color w:val="auto"/>
          <w:kern w:val="0"/>
          <w:sz w:val="24"/>
          <w:highlight w:val="none"/>
        </w:rPr>
        <w:t>《山东省土壤污染防治条例》，2019年11月29日通过，2020年1月1日起实施；</w:t>
      </w:r>
    </w:p>
    <w:p>
      <w:pPr>
        <w:pStyle w:val="149"/>
        <w:numPr>
          <w:ilvl w:val="0"/>
          <w:numId w:val="11"/>
        </w:numPr>
        <w:tabs>
          <w:tab w:val="left" w:pos="0"/>
          <w:tab w:val="left" w:pos="900"/>
        </w:tabs>
        <w:spacing w:beforeLines="0" w:afterLines="0" w:line="360" w:lineRule="auto"/>
        <w:ind w:leftChars="0" w:firstLineChars="0"/>
        <w:jc w:val="both"/>
        <w:textAlignment w:val="auto"/>
        <w:rPr>
          <w:rFonts w:ascii="Times New Roman" w:hAnsi="Times New Roman" w:eastAsia="宋体"/>
          <w:color w:val="auto"/>
          <w:highlight w:val="none"/>
          <w:u w:val="none"/>
        </w:rPr>
      </w:pPr>
      <w:r>
        <w:rPr>
          <w:rFonts w:ascii="Times New Roman" w:hAnsi="Times New Roman" w:eastAsia="宋体"/>
          <w:color w:val="auto"/>
          <w:highlight w:val="none"/>
          <w:u w:val="none"/>
        </w:rPr>
        <w:t>《山东省南水北调工程沿线区域水污染防治条例》，2018年1月23日修正；</w:t>
      </w:r>
    </w:p>
    <w:p>
      <w:pPr>
        <w:widowControl/>
        <w:numPr>
          <w:ilvl w:val="0"/>
          <w:numId w:val="11"/>
        </w:numPr>
        <w:tabs>
          <w:tab w:val="left" w:pos="0"/>
          <w:tab w:val="left" w:pos="945"/>
          <w:tab w:val="left" w:pos="1440"/>
        </w:tabs>
        <w:adjustRightInd w:val="0"/>
        <w:spacing w:line="360" w:lineRule="auto"/>
        <w:rPr>
          <w:color w:val="auto"/>
          <w:sz w:val="24"/>
          <w:highlight w:val="none"/>
        </w:rPr>
      </w:pPr>
      <w:r>
        <w:rPr>
          <w:color w:val="auto"/>
          <w:sz w:val="24"/>
          <w:highlight w:val="none"/>
        </w:rPr>
        <w:t>《山东省大气污染防治条例》，2018年11月30日修正；</w:t>
      </w:r>
    </w:p>
    <w:p>
      <w:pPr>
        <w:widowControl/>
        <w:numPr>
          <w:ilvl w:val="0"/>
          <w:numId w:val="11"/>
        </w:numPr>
        <w:tabs>
          <w:tab w:val="left" w:pos="0"/>
          <w:tab w:val="left" w:pos="945"/>
          <w:tab w:val="left" w:pos="1440"/>
        </w:tabs>
        <w:adjustRightInd w:val="0"/>
        <w:spacing w:line="360" w:lineRule="auto"/>
        <w:rPr>
          <w:color w:val="auto"/>
          <w:sz w:val="24"/>
          <w:highlight w:val="none"/>
        </w:rPr>
      </w:pPr>
      <w:r>
        <w:rPr>
          <w:color w:val="auto"/>
          <w:sz w:val="24"/>
          <w:highlight w:val="none"/>
        </w:rPr>
        <w:t>《山东省清洁生产促进条例》，2020年11月27日修正；</w:t>
      </w:r>
    </w:p>
    <w:p>
      <w:pPr>
        <w:widowControl/>
        <w:numPr>
          <w:ilvl w:val="0"/>
          <w:numId w:val="11"/>
        </w:numPr>
        <w:tabs>
          <w:tab w:val="left" w:pos="0"/>
          <w:tab w:val="left" w:pos="945"/>
          <w:tab w:val="left" w:pos="1440"/>
        </w:tabs>
        <w:adjustRightInd w:val="0"/>
        <w:spacing w:line="360" w:lineRule="auto"/>
        <w:rPr>
          <w:color w:val="auto"/>
          <w:sz w:val="24"/>
          <w:highlight w:val="none"/>
        </w:rPr>
      </w:pPr>
      <w:r>
        <w:rPr>
          <w:rFonts w:hint="eastAsia"/>
          <w:color w:val="auto"/>
          <w:sz w:val="24"/>
          <w:highlight w:val="none"/>
        </w:rPr>
        <w:t>《山东省规划环境影响评价条例》，2022年1月1日起施行；</w:t>
      </w:r>
    </w:p>
    <w:p>
      <w:pPr>
        <w:pStyle w:val="149"/>
        <w:numPr>
          <w:ilvl w:val="0"/>
          <w:numId w:val="11"/>
        </w:numPr>
        <w:tabs>
          <w:tab w:val="left" w:pos="0"/>
          <w:tab w:val="left" w:pos="900"/>
        </w:tabs>
        <w:spacing w:beforeLines="0" w:afterLines="0" w:line="360" w:lineRule="auto"/>
        <w:ind w:leftChars="0" w:firstLineChars="0"/>
        <w:jc w:val="both"/>
        <w:textAlignment w:val="auto"/>
        <w:rPr>
          <w:rFonts w:ascii="Times New Roman" w:hAnsi="Times New Roman" w:eastAsia="宋体"/>
          <w:color w:val="auto"/>
          <w:highlight w:val="none"/>
          <w:u w:val="none"/>
        </w:rPr>
      </w:pPr>
      <w:r>
        <w:rPr>
          <w:rFonts w:ascii="Times New Roman" w:hAnsi="Times New Roman" w:eastAsia="宋体"/>
          <w:color w:val="auto"/>
          <w:highlight w:val="none"/>
          <w:u w:val="none"/>
        </w:rPr>
        <w:t>《山东省用水总量控制管理办法》，省政府令第227号，2010年9月14日省政府第81次常务会议通过，自2011年1月1日起施行；</w:t>
      </w:r>
    </w:p>
    <w:p>
      <w:pPr>
        <w:pStyle w:val="149"/>
        <w:numPr>
          <w:ilvl w:val="0"/>
          <w:numId w:val="11"/>
        </w:numPr>
        <w:tabs>
          <w:tab w:val="left" w:pos="0"/>
          <w:tab w:val="left" w:pos="900"/>
        </w:tabs>
        <w:spacing w:beforeLines="0" w:afterLines="0" w:line="360" w:lineRule="auto"/>
        <w:ind w:leftChars="0" w:firstLineChars="0"/>
        <w:jc w:val="both"/>
        <w:textAlignment w:val="auto"/>
        <w:rPr>
          <w:rFonts w:ascii="Times New Roman" w:hAnsi="Times New Roman" w:eastAsia="宋体"/>
          <w:color w:val="auto"/>
          <w:highlight w:val="none"/>
          <w:u w:val="none"/>
        </w:rPr>
      </w:pPr>
      <w:r>
        <w:rPr>
          <w:rFonts w:ascii="Times New Roman" w:hAnsi="Times New Roman" w:eastAsia="宋体"/>
          <w:color w:val="auto"/>
          <w:highlight w:val="none"/>
          <w:u w:val="none"/>
        </w:rPr>
        <w:t>《山东省扬尘污染防治管理办法》，2018年1月24日修订；</w:t>
      </w:r>
    </w:p>
    <w:p>
      <w:pPr>
        <w:pStyle w:val="149"/>
        <w:numPr>
          <w:ilvl w:val="0"/>
          <w:numId w:val="11"/>
        </w:numPr>
        <w:tabs>
          <w:tab w:val="left" w:pos="0"/>
          <w:tab w:val="left" w:pos="1008"/>
        </w:tabs>
        <w:spacing w:beforeLines="0" w:afterLines="0" w:line="360" w:lineRule="auto"/>
        <w:ind w:leftChars="0" w:firstLineChars="0"/>
        <w:jc w:val="both"/>
        <w:textAlignment w:val="auto"/>
        <w:rPr>
          <w:rFonts w:ascii="Times New Roman" w:hAnsi="Times New Roman" w:eastAsia="宋体"/>
          <w:color w:val="auto"/>
          <w:highlight w:val="none"/>
          <w:u w:val="none"/>
        </w:rPr>
      </w:pPr>
      <w:r>
        <w:rPr>
          <w:rFonts w:ascii="Times New Roman" w:hAnsi="Times New Roman" w:eastAsia="宋体"/>
          <w:color w:val="auto"/>
          <w:highlight w:val="none"/>
          <w:u w:val="none"/>
        </w:rPr>
        <w:t>《山东省环境保护厅转发&lt;关于切实加强风险防范严格环境影响评价管理的通知&gt;的通知》，山东省环境保护厅，鲁环函[2012]509号，2012年9月17日；</w:t>
      </w:r>
    </w:p>
    <w:p>
      <w:pPr>
        <w:pStyle w:val="149"/>
        <w:numPr>
          <w:ilvl w:val="0"/>
          <w:numId w:val="11"/>
        </w:numPr>
        <w:tabs>
          <w:tab w:val="left" w:pos="0"/>
          <w:tab w:val="left" w:pos="900"/>
        </w:tabs>
        <w:spacing w:beforeLines="0" w:afterLines="0" w:line="360" w:lineRule="auto"/>
        <w:ind w:leftChars="0" w:firstLineChars="0"/>
        <w:jc w:val="both"/>
        <w:textAlignment w:val="auto"/>
        <w:rPr>
          <w:rFonts w:ascii="Times New Roman" w:hAnsi="Times New Roman" w:eastAsia="宋体"/>
          <w:color w:val="auto"/>
          <w:highlight w:val="none"/>
          <w:u w:val="none"/>
        </w:rPr>
      </w:pPr>
      <w:r>
        <w:rPr>
          <w:rFonts w:ascii="Times New Roman" w:hAnsi="Times New Roman" w:eastAsia="宋体"/>
          <w:color w:val="auto"/>
          <w:highlight w:val="none"/>
          <w:u w:val="none"/>
        </w:rPr>
        <w:t>《山东省环境保护厅关于进一步加强环境安全应急管理工作的通知》，鲁环发[2013]4号，2013年1月18日；</w:t>
      </w:r>
    </w:p>
    <w:p>
      <w:pPr>
        <w:pStyle w:val="149"/>
        <w:numPr>
          <w:ilvl w:val="0"/>
          <w:numId w:val="11"/>
        </w:numPr>
        <w:tabs>
          <w:tab w:val="left" w:pos="0"/>
          <w:tab w:val="left" w:pos="1008"/>
        </w:tabs>
        <w:spacing w:beforeLines="0" w:afterLines="0" w:line="360" w:lineRule="auto"/>
        <w:ind w:leftChars="0" w:firstLineChars="0"/>
        <w:jc w:val="both"/>
        <w:textAlignment w:val="auto"/>
        <w:rPr>
          <w:rFonts w:ascii="Times New Roman" w:hAnsi="Times New Roman" w:eastAsia="宋体"/>
          <w:bCs w:val="0"/>
          <w:color w:val="auto"/>
          <w:kern w:val="2"/>
          <w:highlight w:val="none"/>
          <w:u w:val="none"/>
        </w:rPr>
      </w:pPr>
      <w:r>
        <w:rPr>
          <w:rFonts w:ascii="Times New Roman" w:hAnsi="Times New Roman" w:eastAsia="宋体"/>
          <w:color w:val="auto"/>
          <w:highlight w:val="none"/>
          <w:u w:val="none"/>
        </w:rPr>
        <w:t>《关于加强建设项目特征污染物监管和绿色生态屏障建设的通知》，山东省环境</w:t>
      </w:r>
      <w:r>
        <w:rPr>
          <w:rFonts w:ascii="Times New Roman" w:hAnsi="Times New Roman" w:eastAsia="宋体"/>
          <w:bCs w:val="0"/>
          <w:color w:val="auto"/>
          <w:kern w:val="2"/>
          <w:highlight w:val="none"/>
          <w:u w:val="none"/>
        </w:rPr>
        <w:t>保护厅，鲁环评函[2013]138号，2013年3月27日；</w:t>
      </w:r>
    </w:p>
    <w:p>
      <w:pPr>
        <w:pStyle w:val="149"/>
        <w:numPr>
          <w:ilvl w:val="0"/>
          <w:numId w:val="11"/>
        </w:numPr>
        <w:tabs>
          <w:tab w:val="left" w:pos="0"/>
          <w:tab w:val="left" w:pos="900"/>
        </w:tabs>
        <w:spacing w:beforeLines="0" w:afterLines="0" w:line="360" w:lineRule="auto"/>
        <w:ind w:leftChars="0" w:firstLineChars="0"/>
        <w:jc w:val="both"/>
        <w:textAlignment w:val="auto"/>
        <w:rPr>
          <w:rFonts w:ascii="Times New Roman" w:hAnsi="Times New Roman" w:eastAsia="宋体"/>
          <w:color w:val="auto"/>
          <w:highlight w:val="none"/>
          <w:u w:val="none"/>
        </w:rPr>
      </w:pPr>
      <w:r>
        <w:rPr>
          <w:rFonts w:ascii="Times New Roman" w:hAnsi="Times New Roman" w:eastAsia="宋体"/>
          <w:color w:val="auto"/>
          <w:highlight w:val="none"/>
          <w:u w:val="none"/>
        </w:rPr>
        <w:t>《山东省环境保护厅关于建立建设项目环评审批联动机制的通知》，鲁环函[2013]410 号，2013年7月17</w:t>
      </w:r>
      <w:r>
        <w:rPr>
          <w:rFonts w:hint="eastAsia" w:ascii="Times New Roman" w:hAnsi="Times New Roman" w:eastAsia="宋体"/>
          <w:color w:val="auto"/>
          <w:highlight w:val="none"/>
          <w:u w:val="none"/>
        </w:rPr>
        <w:t>日</w:t>
      </w:r>
      <w:r>
        <w:rPr>
          <w:rFonts w:ascii="Times New Roman" w:hAnsi="Times New Roman" w:eastAsia="宋体"/>
          <w:color w:val="auto"/>
          <w:highlight w:val="none"/>
          <w:u w:val="none"/>
        </w:rPr>
        <w:t>；</w:t>
      </w:r>
    </w:p>
    <w:p>
      <w:pPr>
        <w:pStyle w:val="149"/>
        <w:numPr>
          <w:ilvl w:val="0"/>
          <w:numId w:val="11"/>
        </w:numPr>
        <w:tabs>
          <w:tab w:val="left" w:pos="0"/>
          <w:tab w:val="left" w:pos="1008"/>
        </w:tabs>
        <w:spacing w:beforeLines="0" w:afterLines="0" w:line="360" w:lineRule="auto"/>
        <w:ind w:leftChars="0" w:firstLineChars="0"/>
        <w:jc w:val="both"/>
        <w:textAlignment w:val="auto"/>
        <w:rPr>
          <w:rFonts w:ascii="Times New Roman" w:hAnsi="Times New Roman" w:eastAsia="宋体"/>
          <w:bCs w:val="0"/>
          <w:color w:val="auto"/>
          <w:kern w:val="2"/>
          <w:highlight w:val="none"/>
          <w:u w:val="none"/>
        </w:rPr>
      </w:pPr>
      <w:r>
        <w:rPr>
          <w:rFonts w:ascii="Times New Roman" w:hAnsi="Times New Roman" w:eastAsia="宋体"/>
          <w:bCs w:val="0"/>
          <w:color w:val="auto"/>
          <w:kern w:val="2"/>
          <w:highlight w:val="none"/>
          <w:u w:val="none"/>
        </w:rPr>
        <w:t>《山东省环境保护厅贯彻落实&lt;水污染防治行动计划&gt;工作方案》，山东省环境保护厅办公室，鲁环办[2015]23号，2015年6月8日；</w:t>
      </w:r>
    </w:p>
    <w:p>
      <w:pPr>
        <w:widowControl/>
        <w:numPr>
          <w:ilvl w:val="0"/>
          <w:numId w:val="11"/>
        </w:numPr>
        <w:tabs>
          <w:tab w:val="left" w:pos="0"/>
          <w:tab w:val="left" w:pos="1068"/>
          <w:tab w:val="left" w:pos="1440"/>
        </w:tabs>
        <w:adjustRightInd w:val="0"/>
        <w:spacing w:line="360" w:lineRule="auto"/>
        <w:rPr>
          <w:color w:val="auto"/>
          <w:sz w:val="24"/>
          <w:highlight w:val="none"/>
        </w:rPr>
      </w:pPr>
      <w:r>
        <w:rPr>
          <w:color w:val="auto"/>
          <w:sz w:val="24"/>
          <w:highlight w:val="none"/>
        </w:rPr>
        <w:t>《关于进一步加强建设项目固体废物环境管理的通知》，山东省环境保护厅，鲁环办函[2016]141号，2016年9月30日；</w:t>
      </w:r>
    </w:p>
    <w:p>
      <w:pPr>
        <w:numPr>
          <w:ilvl w:val="0"/>
          <w:numId w:val="11"/>
        </w:numPr>
        <w:tabs>
          <w:tab w:val="left" w:pos="480"/>
          <w:tab w:val="left" w:pos="1080"/>
        </w:tabs>
        <w:spacing w:line="360" w:lineRule="auto"/>
        <w:rPr>
          <w:color w:val="auto"/>
          <w:kern w:val="0"/>
          <w:sz w:val="24"/>
          <w:highlight w:val="none"/>
        </w:rPr>
      </w:pPr>
      <w:r>
        <w:rPr>
          <w:color w:val="auto"/>
          <w:kern w:val="0"/>
          <w:sz w:val="24"/>
          <w:highlight w:val="none"/>
        </w:rPr>
        <w:t>《山东省环境保护厅等关于印发＜山东省生态保护红线规划(2016-2020年)＞的通知》，鲁环发[2016]176号，2016年9月18日；</w:t>
      </w:r>
    </w:p>
    <w:p>
      <w:pPr>
        <w:pStyle w:val="149"/>
        <w:numPr>
          <w:ilvl w:val="0"/>
          <w:numId w:val="11"/>
        </w:numPr>
        <w:tabs>
          <w:tab w:val="left" w:pos="0"/>
          <w:tab w:val="left" w:pos="1008"/>
        </w:tabs>
        <w:spacing w:beforeLines="0" w:afterLines="0" w:line="360" w:lineRule="auto"/>
        <w:ind w:leftChars="0" w:firstLineChars="0"/>
        <w:jc w:val="both"/>
        <w:textAlignment w:val="auto"/>
        <w:rPr>
          <w:rFonts w:ascii="Times New Roman" w:hAnsi="Times New Roman" w:eastAsia="宋体"/>
          <w:bCs w:val="0"/>
          <w:color w:val="auto"/>
          <w:highlight w:val="none"/>
          <w:u w:val="none"/>
        </w:rPr>
      </w:pPr>
      <w:r>
        <w:rPr>
          <w:rFonts w:ascii="Times New Roman" w:hAnsi="Times New Roman" w:eastAsia="宋体"/>
          <w:bCs w:val="0"/>
          <w:color w:val="auto"/>
          <w:highlight w:val="none"/>
          <w:u w:val="none"/>
        </w:rPr>
        <w:t>《山东省</w:t>
      </w:r>
      <w:r>
        <w:rPr>
          <w:rFonts w:hint="eastAsia" w:ascii="Times New Roman" w:hAnsi="Times New Roman" w:eastAsia="宋体"/>
          <w:bCs w:val="0"/>
          <w:color w:val="auto"/>
          <w:highlight w:val="none"/>
          <w:u w:val="none"/>
        </w:rPr>
        <w:t>新</w:t>
      </w:r>
      <w:r>
        <w:rPr>
          <w:rFonts w:ascii="Times New Roman" w:hAnsi="Times New Roman" w:eastAsia="宋体"/>
          <w:bCs w:val="0"/>
          <w:color w:val="auto"/>
          <w:highlight w:val="none"/>
          <w:u w:val="none"/>
        </w:rPr>
        <w:t>一轮“四减四增”三年行动方案</w:t>
      </w:r>
      <w:r>
        <w:rPr>
          <w:rFonts w:hint="eastAsia" w:ascii="Times New Roman" w:hAnsi="Times New Roman" w:eastAsia="宋体"/>
          <w:bCs w:val="0"/>
          <w:color w:val="auto"/>
          <w:highlight w:val="none"/>
          <w:u w:val="none"/>
        </w:rPr>
        <w:t>(</w:t>
      </w:r>
      <w:r>
        <w:rPr>
          <w:rFonts w:ascii="Times New Roman" w:hAnsi="Times New Roman" w:eastAsia="宋体"/>
          <w:bCs w:val="0"/>
          <w:color w:val="auto"/>
          <w:highlight w:val="none"/>
          <w:u w:val="none"/>
        </w:rPr>
        <w:t>20</w:t>
      </w:r>
      <w:r>
        <w:rPr>
          <w:rFonts w:hint="eastAsia" w:ascii="Times New Roman" w:hAnsi="Times New Roman" w:eastAsia="宋体"/>
          <w:bCs w:val="0"/>
          <w:color w:val="auto"/>
          <w:highlight w:val="none"/>
          <w:u w:val="none"/>
        </w:rPr>
        <w:t>21</w:t>
      </w:r>
      <w:r>
        <w:rPr>
          <w:rFonts w:ascii="Times New Roman" w:hAnsi="Times New Roman" w:eastAsia="宋体"/>
          <w:bCs w:val="0"/>
          <w:color w:val="auto"/>
          <w:highlight w:val="none"/>
          <w:u w:val="none"/>
        </w:rPr>
        <w:t>-20</w:t>
      </w:r>
      <w:r>
        <w:rPr>
          <w:rFonts w:hint="eastAsia" w:ascii="Times New Roman" w:hAnsi="Times New Roman" w:eastAsia="宋体"/>
          <w:bCs w:val="0"/>
          <w:color w:val="auto"/>
          <w:highlight w:val="none"/>
          <w:u w:val="none"/>
        </w:rPr>
        <w:t>23</w:t>
      </w:r>
      <w:r>
        <w:rPr>
          <w:rFonts w:ascii="Times New Roman" w:hAnsi="Times New Roman" w:eastAsia="宋体"/>
          <w:bCs w:val="0"/>
          <w:color w:val="auto"/>
          <w:highlight w:val="none"/>
          <w:u w:val="none"/>
        </w:rPr>
        <w:t>年</w:t>
      </w:r>
      <w:r>
        <w:rPr>
          <w:rFonts w:hint="eastAsia" w:ascii="Times New Roman" w:hAnsi="Times New Roman" w:eastAsia="宋体"/>
          <w:bCs w:val="0"/>
          <w:color w:val="auto"/>
          <w:highlight w:val="none"/>
          <w:u w:val="none"/>
        </w:rPr>
        <w:t>)</w:t>
      </w:r>
      <w:r>
        <w:rPr>
          <w:rFonts w:ascii="Times New Roman" w:hAnsi="Times New Roman" w:eastAsia="宋体"/>
          <w:bCs w:val="0"/>
          <w:color w:val="auto"/>
          <w:highlight w:val="none"/>
          <w:u w:val="none"/>
        </w:rPr>
        <w:t>》，山东省人民政府，20</w:t>
      </w:r>
      <w:r>
        <w:rPr>
          <w:rFonts w:hint="eastAsia" w:ascii="Times New Roman" w:hAnsi="Times New Roman" w:eastAsia="宋体"/>
          <w:bCs w:val="0"/>
          <w:color w:val="auto"/>
          <w:highlight w:val="none"/>
          <w:u w:val="none"/>
        </w:rPr>
        <w:t>21</w:t>
      </w:r>
      <w:r>
        <w:rPr>
          <w:rFonts w:ascii="Times New Roman" w:hAnsi="Times New Roman" w:eastAsia="宋体"/>
          <w:bCs w:val="0"/>
          <w:color w:val="auto"/>
          <w:highlight w:val="none"/>
          <w:u w:val="none"/>
        </w:rPr>
        <w:t>年</w:t>
      </w:r>
      <w:r>
        <w:rPr>
          <w:rFonts w:hint="eastAsia" w:ascii="Times New Roman" w:hAnsi="Times New Roman" w:eastAsia="宋体"/>
          <w:bCs w:val="0"/>
          <w:color w:val="auto"/>
          <w:highlight w:val="none"/>
          <w:u w:val="none"/>
        </w:rPr>
        <w:t>11</w:t>
      </w:r>
      <w:r>
        <w:rPr>
          <w:rFonts w:ascii="Times New Roman" w:hAnsi="Times New Roman" w:eastAsia="宋体"/>
          <w:bCs w:val="0"/>
          <w:color w:val="auto"/>
          <w:highlight w:val="none"/>
          <w:u w:val="none"/>
        </w:rPr>
        <w:t>月</w:t>
      </w:r>
      <w:r>
        <w:rPr>
          <w:rFonts w:hint="eastAsia" w:ascii="Times New Roman" w:hAnsi="Times New Roman" w:eastAsia="宋体"/>
          <w:bCs w:val="0"/>
          <w:color w:val="auto"/>
          <w:highlight w:val="none"/>
          <w:u w:val="none"/>
        </w:rPr>
        <w:t>5</w:t>
      </w:r>
      <w:r>
        <w:rPr>
          <w:rFonts w:ascii="Times New Roman" w:hAnsi="Times New Roman" w:eastAsia="宋体"/>
          <w:bCs w:val="0"/>
          <w:color w:val="auto"/>
          <w:highlight w:val="none"/>
          <w:u w:val="none"/>
        </w:rPr>
        <w:t>日；</w:t>
      </w:r>
    </w:p>
    <w:p>
      <w:pPr>
        <w:numPr>
          <w:ilvl w:val="0"/>
          <w:numId w:val="11"/>
        </w:numPr>
        <w:tabs>
          <w:tab w:val="left" w:pos="480"/>
          <w:tab w:val="left" w:pos="1080"/>
        </w:tabs>
        <w:spacing w:line="360" w:lineRule="auto"/>
        <w:rPr>
          <w:color w:val="auto"/>
          <w:kern w:val="0"/>
          <w:sz w:val="24"/>
          <w:highlight w:val="none"/>
        </w:rPr>
      </w:pPr>
      <w:r>
        <w:rPr>
          <w:color w:val="auto"/>
          <w:kern w:val="0"/>
          <w:sz w:val="24"/>
          <w:highlight w:val="none"/>
        </w:rPr>
        <w:t>《关于印发&lt;山东省环境保护厅建设项目环境影响评价审批监管办法&gt;的通知》，鲁环发[2018]190号，2018年8月6日；</w:t>
      </w:r>
    </w:p>
    <w:p>
      <w:pPr>
        <w:numPr>
          <w:ilvl w:val="0"/>
          <w:numId w:val="11"/>
        </w:numPr>
        <w:tabs>
          <w:tab w:val="left" w:pos="480"/>
          <w:tab w:val="left" w:pos="1068"/>
          <w:tab w:val="left" w:pos="1440"/>
        </w:tabs>
        <w:spacing w:line="360" w:lineRule="auto"/>
        <w:rPr>
          <w:color w:val="auto"/>
          <w:kern w:val="0"/>
          <w:sz w:val="24"/>
          <w:highlight w:val="none"/>
        </w:rPr>
      </w:pPr>
      <w:bookmarkStart w:id="26" w:name="WenJianBiaoTi"/>
      <w:r>
        <w:rPr>
          <w:color w:val="auto"/>
          <w:kern w:val="0"/>
          <w:sz w:val="24"/>
          <w:highlight w:val="none"/>
        </w:rPr>
        <w:t>《关于严格执行山东省大气污染物排放标准的通知</w:t>
      </w:r>
      <w:bookmarkEnd w:id="26"/>
      <w:r>
        <w:rPr>
          <w:color w:val="auto"/>
          <w:kern w:val="0"/>
          <w:sz w:val="24"/>
          <w:highlight w:val="none"/>
        </w:rPr>
        <w:t>》</w:t>
      </w:r>
      <w:bookmarkStart w:id="27" w:name="GongWenZiHao"/>
      <w:r>
        <w:rPr>
          <w:color w:val="auto"/>
          <w:kern w:val="0"/>
          <w:sz w:val="24"/>
          <w:highlight w:val="none"/>
        </w:rPr>
        <w:t>，鲁环发[2019]126号</w:t>
      </w:r>
      <w:bookmarkEnd w:id="27"/>
      <w:r>
        <w:rPr>
          <w:color w:val="auto"/>
          <w:kern w:val="0"/>
          <w:sz w:val="24"/>
          <w:highlight w:val="none"/>
        </w:rPr>
        <w:t>，山东省生态环境厅，2019年7月24日；</w:t>
      </w:r>
    </w:p>
    <w:p>
      <w:pPr>
        <w:widowControl/>
        <w:numPr>
          <w:ilvl w:val="0"/>
          <w:numId w:val="11"/>
        </w:numPr>
        <w:shd w:val="clear" w:color="auto" w:fill="FFFFFF"/>
        <w:tabs>
          <w:tab w:val="left" w:pos="0"/>
          <w:tab w:val="left" w:pos="900"/>
        </w:tabs>
        <w:spacing w:line="360" w:lineRule="auto"/>
        <w:rPr>
          <w:color w:val="auto"/>
          <w:sz w:val="24"/>
          <w:highlight w:val="none"/>
        </w:rPr>
      </w:pPr>
      <w:r>
        <w:rPr>
          <w:color w:val="auto"/>
          <w:sz w:val="24"/>
          <w:highlight w:val="none"/>
        </w:rPr>
        <w:t>《关于印发山东省建设项目主要大气污染物排放总量替代指标核算及管理办法的通知》，鲁环发[2019]132号，山东省生态环境厅，2019年9月2日；</w:t>
      </w:r>
    </w:p>
    <w:p>
      <w:pPr>
        <w:numPr>
          <w:ilvl w:val="0"/>
          <w:numId w:val="11"/>
        </w:numPr>
        <w:tabs>
          <w:tab w:val="left" w:pos="480"/>
          <w:tab w:val="left" w:pos="1068"/>
          <w:tab w:val="left" w:pos="1440"/>
        </w:tabs>
        <w:spacing w:line="360" w:lineRule="auto"/>
        <w:rPr>
          <w:color w:val="auto"/>
          <w:kern w:val="0"/>
          <w:sz w:val="24"/>
          <w:highlight w:val="none"/>
        </w:rPr>
      </w:pPr>
      <w:r>
        <w:rPr>
          <w:color w:val="auto"/>
          <w:kern w:val="0"/>
          <w:sz w:val="24"/>
          <w:highlight w:val="none"/>
        </w:rPr>
        <w:t>《山东省生态环境厅关于进一步加强危险废物污染防治工作的指导意见》，鲁环发〔2020〕29号，山东省生态环境厅，2020年6月22日；</w:t>
      </w:r>
    </w:p>
    <w:p>
      <w:pPr>
        <w:numPr>
          <w:ilvl w:val="0"/>
          <w:numId w:val="11"/>
        </w:numPr>
        <w:tabs>
          <w:tab w:val="left" w:pos="480"/>
          <w:tab w:val="left" w:pos="1068"/>
          <w:tab w:val="left" w:pos="1440"/>
        </w:tabs>
        <w:spacing w:line="360" w:lineRule="auto"/>
        <w:rPr>
          <w:color w:val="auto"/>
          <w:kern w:val="0"/>
          <w:sz w:val="24"/>
          <w:highlight w:val="none"/>
        </w:rPr>
      </w:pPr>
      <w:r>
        <w:rPr>
          <w:color w:val="auto"/>
          <w:kern w:val="0"/>
          <w:sz w:val="24"/>
          <w:highlight w:val="none"/>
        </w:rPr>
        <w:t>《山东省工业企业无组织排放分行业管控指导意见》，鲁环发</w:t>
      </w:r>
      <w:r>
        <w:rPr>
          <w:rFonts w:hint="eastAsia"/>
          <w:color w:val="auto"/>
          <w:sz w:val="24"/>
          <w:highlight w:val="none"/>
        </w:rPr>
        <w:t>[2020]</w:t>
      </w:r>
      <w:r>
        <w:rPr>
          <w:color w:val="auto"/>
          <w:kern w:val="0"/>
          <w:sz w:val="24"/>
          <w:highlight w:val="none"/>
        </w:rPr>
        <w:t>30号，山东省生态环境厅，2020年6月30日；</w:t>
      </w:r>
    </w:p>
    <w:p>
      <w:pPr>
        <w:numPr>
          <w:ilvl w:val="0"/>
          <w:numId w:val="11"/>
        </w:numPr>
        <w:tabs>
          <w:tab w:val="left" w:pos="480"/>
          <w:tab w:val="left" w:pos="1068"/>
          <w:tab w:val="left" w:pos="1440"/>
        </w:tabs>
        <w:spacing w:line="360" w:lineRule="auto"/>
        <w:rPr>
          <w:color w:val="auto"/>
          <w:kern w:val="0"/>
          <w:sz w:val="24"/>
          <w:highlight w:val="none"/>
        </w:rPr>
      </w:pPr>
      <w:r>
        <w:rPr>
          <w:rFonts w:hint="eastAsia"/>
          <w:color w:val="auto"/>
          <w:kern w:val="0"/>
          <w:sz w:val="24"/>
          <w:highlight w:val="none"/>
        </w:rPr>
        <w:t>《关于严格项目审批工作坚决防止新上“散乱污”项目的通知》，鲁环字</w:t>
      </w:r>
      <w:r>
        <w:rPr>
          <w:rFonts w:hint="eastAsia"/>
          <w:color w:val="auto"/>
          <w:sz w:val="24"/>
          <w:highlight w:val="none"/>
        </w:rPr>
        <w:t>[2021]</w:t>
      </w:r>
      <w:r>
        <w:rPr>
          <w:rFonts w:hint="eastAsia"/>
          <w:color w:val="auto"/>
          <w:kern w:val="0"/>
          <w:sz w:val="24"/>
          <w:highlight w:val="none"/>
        </w:rPr>
        <w:t>58号，山东省生态环境厅、山东省发展和改革委员会、山东省工业和信息化厅、山东省自然资源厅，2</w:t>
      </w:r>
      <w:r>
        <w:rPr>
          <w:color w:val="auto"/>
          <w:kern w:val="0"/>
          <w:sz w:val="24"/>
          <w:highlight w:val="none"/>
        </w:rPr>
        <w:t>021</w:t>
      </w:r>
      <w:r>
        <w:rPr>
          <w:rFonts w:hint="eastAsia"/>
          <w:color w:val="auto"/>
          <w:kern w:val="0"/>
          <w:sz w:val="24"/>
          <w:highlight w:val="none"/>
        </w:rPr>
        <w:t>年3月4日；</w:t>
      </w:r>
    </w:p>
    <w:p>
      <w:pPr>
        <w:widowControl/>
        <w:numPr>
          <w:ilvl w:val="0"/>
          <w:numId w:val="11"/>
        </w:numPr>
        <w:shd w:val="clear" w:color="auto" w:fill="FFFFFF"/>
        <w:tabs>
          <w:tab w:val="left" w:pos="0"/>
          <w:tab w:val="left" w:pos="900"/>
        </w:tabs>
        <w:spacing w:line="360" w:lineRule="auto"/>
        <w:rPr>
          <w:color w:val="auto"/>
          <w:sz w:val="24"/>
          <w:highlight w:val="none"/>
        </w:rPr>
      </w:pPr>
      <w:bookmarkStart w:id="28" w:name="_Hlk45528720"/>
      <w:r>
        <w:rPr>
          <w:rFonts w:hint="eastAsia"/>
          <w:color w:val="auto"/>
          <w:sz w:val="24"/>
          <w:highlight w:val="none"/>
        </w:rPr>
        <w:t>《关于迅速开展“两高一资”项目核查的通知》，鲁发改工业[2021]59号，2</w:t>
      </w:r>
      <w:r>
        <w:rPr>
          <w:color w:val="auto"/>
          <w:sz w:val="24"/>
          <w:highlight w:val="none"/>
        </w:rPr>
        <w:t>021</w:t>
      </w:r>
      <w:r>
        <w:rPr>
          <w:rFonts w:hint="eastAsia"/>
          <w:color w:val="auto"/>
          <w:sz w:val="24"/>
          <w:highlight w:val="none"/>
        </w:rPr>
        <w:t>年1月2</w:t>
      </w:r>
      <w:r>
        <w:rPr>
          <w:color w:val="auto"/>
          <w:sz w:val="24"/>
          <w:highlight w:val="none"/>
        </w:rPr>
        <w:t>3</w:t>
      </w:r>
      <w:r>
        <w:rPr>
          <w:rFonts w:hint="eastAsia"/>
          <w:color w:val="auto"/>
          <w:sz w:val="24"/>
          <w:highlight w:val="none"/>
        </w:rPr>
        <w:t>日；</w:t>
      </w:r>
    </w:p>
    <w:p>
      <w:pPr>
        <w:widowControl/>
        <w:numPr>
          <w:ilvl w:val="0"/>
          <w:numId w:val="11"/>
        </w:numPr>
        <w:shd w:val="clear" w:color="auto" w:fill="FFFFFF"/>
        <w:tabs>
          <w:tab w:val="left" w:pos="0"/>
          <w:tab w:val="left" w:pos="900"/>
        </w:tabs>
        <w:spacing w:line="360" w:lineRule="auto"/>
        <w:rPr>
          <w:color w:val="auto"/>
          <w:sz w:val="24"/>
          <w:highlight w:val="none"/>
        </w:rPr>
      </w:pPr>
      <w:r>
        <w:rPr>
          <w:rFonts w:hint="eastAsia"/>
          <w:color w:val="auto"/>
          <w:sz w:val="24"/>
          <w:highlight w:val="none"/>
        </w:rPr>
        <w:t>《山东省人民政府办公厅关于加强“两高”项目管理的通知》，鲁政办字[2021]57号；</w:t>
      </w:r>
    </w:p>
    <w:p>
      <w:pPr>
        <w:widowControl/>
        <w:numPr>
          <w:ilvl w:val="0"/>
          <w:numId w:val="11"/>
        </w:numPr>
        <w:shd w:val="clear" w:color="auto" w:fill="FFFFFF"/>
        <w:tabs>
          <w:tab w:val="left" w:pos="0"/>
          <w:tab w:val="left" w:pos="900"/>
        </w:tabs>
        <w:spacing w:line="360" w:lineRule="auto"/>
        <w:rPr>
          <w:color w:val="auto"/>
          <w:sz w:val="24"/>
          <w:highlight w:val="none"/>
        </w:rPr>
      </w:pPr>
      <w:r>
        <w:rPr>
          <w:rFonts w:hint="eastAsia"/>
          <w:color w:val="auto"/>
          <w:sz w:val="24"/>
          <w:highlight w:val="none"/>
        </w:rPr>
        <w:t>《关于印发山东省“两高”项目管理目录的通知》，鲁发改工业[2021]487号；</w:t>
      </w:r>
    </w:p>
    <w:p>
      <w:pPr>
        <w:widowControl/>
        <w:numPr>
          <w:ilvl w:val="0"/>
          <w:numId w:val="11"/>
        </w:numPr>
        <w:shd w:val="clear" w:color="auto" w:fill="FFFFFF"/>
        <w:tabs>
          <w:tab w:val="left" w:pos="0"/>
          <w:tab w:val="left" w:pos="900"/>
        </w:tabs>
        <w:spacing w:line="360" w:lineRule="auto"/>
        <w:rPr>
          <w:color w:val="auto"/>
          <w:sz w:val="24"/>
          <w:highlight w:val="none"/>
        </w:rPr>
      </w:pPr>
      <w:r>
        <w:rPr>
          <w:rFonts w:hint="eastAsia"/>
          <w:color w:val="auto"/>
          <w:sz w:val="24"/>
          <w:highlight w:val="none"/>
        </w:rPr>
        <w:t>《山东省人民政府办公厅关于印发坚决遏制“两高”项目盲目发展的若干措施的通知》，鲁政办字[2021]98号，2021年9月30日；</w:t>
      </w:r>
    </w:p>
    <w:p>
      <w:pPr>
        <w:widowControl/>
        <w:numPr>
          <w:ilvl w:val="0"/>
          <w:numId w:val="11"/>
        </w:numPr>
        <w:shd w:val="clear" w:color="auto" w:fill="FFFFFF"/>
        <w:tabs>
          <w:tab w:val="left" w:pos="0"/>
          <w:tab w:val="left" w:pos="900"/>
        </w:tabs>
        <w:spacing w:line="360" w:lineRule="auto"/>
        <w:rPr>
          <w:color w:val="auto"/>
          <w:sz w:val="24"/>
          <w:highlight w:val="none"/>
        </w:rPr>
      </w:pPr>
      <w:r>
        <w:rPr>
          <w:rFonts w:hint="eastAsia"/>
          <w:color w:val="auto"/>
          <w:sz w:val="24"/>
          <w:highlight w:val="none"/>
        </w:rPr>
        <w:t>《关于印发山东省深入打好蓝天保卫战行动计划(2021-2025年)、山东省深入打好碧水保卫战行动计划(2021-2025年)、山东省深入打好净土保卫战行动计划(2021-2025年)的通知》，鲁环委办〔2021〕30号，2021年8月22日；</w:t>
      </w:r>
    </w:p>
    <w:p>
      <w:pPr>
        <w:widowControl/>
        <w:numPr>
          <w:ilvl w:val="0"/>
          <w:numId w:val="11"/>
        </w:numPr>
        <w:shd w:val="clear" w:color="auto" w:fill="FFFFFF"/>
        <w:tabs>
          <w:tab w:val="left" w:pos="0"/>
          <w:tab w:val="left" w:pos="900"/>
        </w:tabs>
        <w:spacing w:line="360" w:lineRule="auto"/>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《山东省固体废物污染防治条例》</w:t>
      </w:r>
      <w:r>
        <w:rPr>
          <w:rFonts w:hint="eastAsia" w:ascii="Times New Roman" w:hAnsi="Times New Roman" w:cs="Times New Roman"/>
          <w:color w:val="auto"/>
          <w:sz w:val="24"/>
          <w:highlight w:val="none"/>
          <w:lang w:eastAsia="zh-CN"/>
        </w:rPr>
        <w:t>，2022年9月21日山东省第十三届人民代表大会常务委员会第三十八次会议通过，2023年1月1日起施行；</w:t>
      </w:r>
    </w:p>
    <w:p>
      <w:pPr>
        <w:widowControl/>
        <w:numPr>
          <w:ilvl w:val="0"/>
          <w:numId w:val="11"/>
        </w:numPr>
        <w:shd w:val="clear" w:color="auto" w:fill="FFFFFF"/>
        <w:tabs>
          <w:tab w:val="left" w:pos="0"/>
          <w:tab w:val="left" w:pos="900"/>
        </w:tabs>
        <w:spacing w:line="360" w:lineRule="auto"/>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山东省生态环境委员会关于印发《山东省贯彻落实〈中共中央、国务院关于深入打好污染防治攻坚战的意见〉的若干措施》的通知</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rPr>
        <w:t>鲁环委〔2022〕1号</w:t>
      </w:r>
      <w:r>
        <w:rPr>
          <w:rFonts w:hint="eastAsia" w:ascii="Times New Roman" w:hAnsi="Times New Roman" w:cs="Times New Roman"/>
          <w:color w:val="auto"/>
          <w:sz w:val="24"/>
          <w:highlight w:val="none"/>
          <w:lang w:eastAsia="zh-CN"/>
        </w:rPr>
        <w:t>，山东省生态环境委员会，2022年4月3日。</w:t>
      </w:r>
    </w:p>
    <w:p>
      <w:pPr>
        <w:pStyle w:val="149"/>
        <w:numPr>
          <w:ilvl w:val="0"/>
          <w:numId w:val="11"/>
        </w:numPr>
        <w:tabs>
          <w:tab w:val="left" w:pos="0"/>
          <w:tab w:val="left" w:pos="900"/>
        </w:tabs>
        <w:spacing w:beforeLines="0" w:afterLines="0" w:line="360" w:lineRule="auto"/>
        <w:ind w:leftChars="0" w:firstLineChars="0"/>
        <w:jc w:val="both"/>
        <w:textAlignment w:val="auto"/>
        <w:rPr>
          <w:rFonts w:ascii="Times New Roman" w:hAnsi="Times New Roman" w:eastAsia="宋体"/>
          <w:color w:val="auto"/>
          <w:highlight w:val="none"/>
          <w:u w:val="none"/>
        </w:rPr>
      </w:pPr>
      <w:r>
        <w:rPr>
          <w:rFonts w:ascii="Times New Roman" w:hAnsi="Times New Roman" w:eastAsia="宋体"/>
          <w:color w:val="auto"/>
          <w:highlight w:val="none"/>
          <w:u w:val="none"/>
        </w:rPr>
        <w:t>《枣庄市环境保护局关于加强对建设项目现状调查的通知》，枣环函[2013]74号，2013年9月12日；</w:t>
      </w:r>
    </w:p>
    <w:p>
      <w:pPr>
        <w:widowControl/>
        <w:numPr>
          <w:ilvl w:val="0"/>
          <w:numId w:val="11"/>
        </w:numPr>
        <w:shd w:val="clear" w:color="auto" w:fill="FFFFFF"/>
        <w:tabs>
          <w:tab w:val="left" w:pos="0"/>
          <w:tab w:val="left" w:pos="900"/>
        </w:tabs>
        <w:spacing w:before="100" w:beforeAutospacing="1" w:after="100" w:afterAutospacing="1" w:line="360" w:lineRule="auto"/>
        <w:rPr>
          <w:color w:val="auto"/>
          <w:sz w:val="24"/>
          <w:highlight w:val="none"/>
        </w:rPr>
      </w:pPr>
      <w:r>
        <w:rPr>
          <w:color w:val="auto"/>
          <w:highlight w:val="none"/>
        </w:rPr>
        <w:t>《</w:t>
      </w:r>
      <w:r>
        <w:rPr>
          <w:color w:val="auto"/>
          <w:sz w:val="24"/>
          <w:highlight w:val="none"/>
        </w:rPr>
        <w:t>枣庄市人民政府关于划定枣庄市大气污染排放控制区的通告》，2016年10月11日；</w:t>
      </w:r>
    </w:p>
    <w:p>
      <w:pPr>
        <w:widowControl/>
        <w:numPr>
          <w:ilvl w:val="0"/>
          <w:numId w:val="11"/>
        </w:numPr>
        <w:shd w:val="clear" w:color="auto" w:fill="FFFFFF"/>
        <w:tabs>
          <w:tab w:val="left" w:pos="0"/>
          <w:tab w:val="left" w:pos="900"/>
        </w:tabs>
        <w:spacing w:line="360" w:lineRule="auto"/>
        <w:rPr>
          <w:color w:val="auto"/>
          <w:sz w:val="24"/>
          <w:highlight w:val="none"/>
        </w:rPr>
      </w:pPr>
      <w:r>
        <w:rPr>
          <w:color w:val="auto"/>
          <w:sz w:val="24"/>
          <w:highlight w:val="none"/>
        </w:rPr>
        <w:t>《枣庄市生态环境局关于进一步加强建设项目环境影响评价管理工作的通知》，枣环函字</w:t>
      </w:r>
      <w:r>
        <w:rPr>
          <w:rFonts w:hint="eastAsia"/>
          <w:color w:val="auto"/>
          <w:sz w:val="24"/>
          <w:highlight w:val="none"/>
        </w:rPr>
        <w:t>[2019]</w:t>
      </w:r>
      <w:r>
        <w:rPr>
          <w:color w:val="auto"/>
          <w:sz w:val="24"/>
          <w:highlight w:val="none"/>
        </w:rPr>
        <w:t>78号，2019年12月16日；</w:t>
      </w:r>
    </w:p>
    <w:p>
      <w:pPr>
        <w:widowControl/>
        <w:numPr>
          <w:ilvl w:val="0"/>
          <w:numId w:val="11"/>
        </w:numPr>
        <w:shd w:val="clear" w:color="auto" w:fill="FFFFFF"/>
        <w:tabs>
          <w:tab w:val="left" w:pos="0"/>
          <w:tab w:val="left" w:pos="900"/>
        </w:tabs>
        <w:spacing w:line="360" w:lineRule="auto"/>
        <w:rPr>
          <w:color w:val="auto"/>
          <w:sz w:val="24"/>
          <w:highlight w:val="none"/>
        </w:rPr>
      </w:pPr>
      <w:r>
        <w:rPr>
          <w:rFonts w:hint="eastAsia"/>
          <w:color w:val="auto"/>
          <w:sz w:val="24"/>
          <w:highlight w:val="none"/>
        </w:rPr>
        <w:t>《枣庄市人民政府关于印发枣庄市“三线一单”生态环境分区管控方案的通知》，枣政字[2021]16号，2021年6月30日；</w:t>
      </w:r>
    </w:p>
    <w:p>
      <w:pPr>
        <w:widowControl/>
        <w:numPr>
          <w:ilvl w:val="0"/>
          <w:numId w:val="11"/>
        </w:numPr>
        <w:shd w:val="clear" w:color="auto" w:fill="FFFFFF"/>
        <w:tabs>
          <w:tab w:val="left" w:pos="0"/>
          <w:tab w:val="left" w:pos="900"/>
        </w:tabs>
        <w:spacing w:line="360" w:lineRule="auto"/>
        <w:rPr>
          <w:color w:val="auto"/>
          <w:sz w:val="24"/>
          <w:highlight w:val="none"/>
        </w:rPr>
      </w:pPr>
      <w:r>
        <w:rPr>
          <w:rFonts w:hint="eastAsia"/>
          <w:color w:val="auto"/>
          <w:sz w:val="24"/>
          <w:highlight w:val="none"/>
        </w:rPr>
        <w:t>《关于印发&lt;枣庄市“三线一单”生态环境分区管控方案&gt;配套文件的通知》，枣环委字[</w:t>
      </w:r>
      <w:r>
        <w:rPr>
          <w:color w:val="auto"/>
          <w:sz w:val="24"/>
          <w:highlight w:val="none"/>
        </w:rPr>
        <w:t>2021]3</w:t>
      </w:r>
      <w:r>
        <w:rPr>
          <w:rFonts w:hint="eastAsia"/>
          <w:color w:val="auto"/>
          <w:sz w:val="24"/>
          <w:highlight w:val="none"/>
        </w:rPr>
        <w:t>号，2</w:t>
      </w:r>
      <w:r>
        <w:rPr>
          <w:color w:val="auto"/>
          <w:sz w:val="24"/>
          <w:highlight w:val="none"/>
        </w:rPr>
        <w:t>021</w:t>
      </w:r>
      <w:r>
        <w:rPr>
          <w:rFonts w:hint="eastAsia"/>
          <w:color w:val="auto"/>
          <w:sz w:val="24"/>
          <w:highlight w:val="none"/>
        </w:rPr>
        <w:t>年6月3</w:t>
      </w:r>
      <w:r>
        <w:rPr>
          <w:color w:val="auto"/>
          <w:sz w:val="24"/>
          <w:highlight w:val="none"/>
        </w:rPr>
        <w:t>0</w:t>
      </w:r>
      <w:r>
        <w:rPr>
          <w:rFonts w:hint="eastAsia"/>
          <w:color w:val="auto"/>
          <w:sz w:val="24"/>
          <w:highlight w:val="none"/>
        </w:rPr>
        <w:t>日。</w:t>
      </w:r>
    </w:p>
    <w:bookmarkEnd w:id="28"/>
    <w:p>
      <w:pPr>
        <w:pStyle w:val="9"/>
        <w:spacing w:before="78" w:beforeLines="25" w:after="0" w:line="360" w:lineRule="auto"/>
        <w:rPr>
          <w:rFonts w:eastAsia="黑体"/>
          <w:b w:val="0"/>
          <w:color w:val="auto"/>
          <w:sz w:val="24"/>
          <w:szCs w:val="24"/>
          <w:highlight w:val="none"/>
        </w:rPr>
      </w:pPr>
      <w:bookmarkStart w:id="29" w:name="_Toc485905168"/>
      <w:r>
        <w:rPr>
          <w:rFonts w:eastAsia="黑体"/>
          <w:b w:val="0"/>
          <w:color w:val="auto"/>
          <w:sz w:val="24"/>
          <w:szCs w:val="24"/>
          <w:highlight w:val="none"/>
        </w:rPr>
        <w:t>1.1.6 相关规划</w:t>
      </w:r>
      <w:bookmarkEnd w:id="29"/>
    </w:p>
    <w:p>
      <w:pPr>
        <w:numPr>
          <w:ilvl w:val="0"/>
          <w:numId w:val="12"/>
        </w:numPr>
        <w:tabs>
          <w:tab w:val="left" w:pos="0"/>
          <w:tab w:val="left" w:pos="1008"/>
        </w:tabs>
        <w:adjustRightInd w:val="0"/>
        <w:spacing w:line="360" w:lineRule="auto"/>
        <w:rPr>
          <w:color w:val="auto"/>
          <w:kern w:val="0"/>
          <w:sz w:val="24"/>
          <w:szCs w:val="20"/>
          <w:highlight w:val="none"/>
        </w:rPr>
      </w:pPr>
      <w:r>
        <w:rPr>
          <w:color w:val="auto"/>
          <w:kern w:val="0"/>
          <w:sz w:val="24"/>
          <w:szCs w:val="20"/>
          <w:highlight w:val="none"/>
        </w:rPr>
        <w:t>《“十四五”土壤、地下水和农村生态环境保护规划》，环土壤</w:t>
      </w:r>
      <w:r>
        <w:rPr>
          <w:rFonts w:hint="eastAsia"/>
          <w:color w:val="auto"/>
          <w:sz w:val="24"/>
          <w:highlight w:val="none"/>
        </w:rPr>
        <w:t>[2021]</w:t>
      </w:r>
      <w:r>
        <w:rPr>
          <w:color w:val="auto"/>
          <w:kern w:val="0"/>
          <w:sz w:val="24"/>
          <w:szCs w:val="20"/>
          <w:highlight w:val="none"/>
        </w:rPr>
        <w:t>120号，2021年12月29日；</w:t>
      </w:r>
    </w:p>
    <w:p>
      <w:pPr>
        <w:numPr>
          <w:ilvl w:val="0"/>
          <w:numId w:val="12"/>
        </w:numPr>
        <w:tabs>
          <w:tab w:val="left" w:pos="0"/>
          <w:tab w:val="left" w:pos="1008"/>
        </w:tabs>
        <w:adjustRightInd w:val="0"/>
        <w:spacing w:line="360" w:lineRule="auto"/>
        <w:rPr>
          <w:color w:val="auto"/>
          <w:kern w:val="0"/>
          <w:sz w:val="24"/>
          <w:szCs w:val="24"/>
          <w:highlight w:val="none"/>
        </w:rPr>
      </w:pPr>
      <w:r>
        <w:rPr>
          <w:color w:val="auto"/>
          <w:kern w:val="0"/>
          <w:sz w:val="24"/>
          <w:szCs w:val="24"/>
          <w:highlight w:val="none"/>
        </w:rPr>
        <w:t>《山东省国民经济和社会发展第十四个五年规划和2035年远景目标纲要》，山东省第十三届人民代表大会第五次会议通过，2021年2月6日；</w:t>
      </w:r>
    </w:p>
    <w:p>
      <w:pPr>
        <w:numPr>
          <w:ilvl w:val="0"/>
          <w:numId w:val="12"/>
        </w:numPr>
        <w:tabs>
          <w:tab w:val="left" w:pos="0"/>
          <w:tab w:val="left" w:pos="1008"/>
        </w:tabs>
        <w:adjustRightInd w:val="0"/>
        <w:spacing w:line="360" w:lineRule="auto"/>
        <w:rPr>
          <w:color w:val="auto"/>
          <w:sz w:val="24"/>
          <w:szCs w:val="24"/>
          <w:highlight w:val="none"/>
        </w:rPr>
      </w:pPr>
      <w:r>
        <w:rPr>
          <w:color w:val="auto"/>
          <w:kern w:val="0"/>
          <w:sz w:val="24"/>
          <w:szCs w:val="24"/>
          <w:highlight w:val="none"/>
        </w:rPr>
        <w:t>《山东省“十四五”生态环境保护规划》，鲁政发</w:t>
      </w:r>
      <w:r>
        <w:rPr>
          <w:rFonts w:hint="eastAsia"/>
          <w:color w:val="auto"/>
          <w:sz w:val="24"/>
          <w:highlight w:val="none"/>
        </w:rPr>
        <w:t>[2021]</w:t>
      </w:r>
      <w:r>
        <w:rPr>
          <w:color w:val="auto"/>
          <w:kern w:val="0"/>
          <w:sz w:val="24"/>
          <w:szCs w:val="24"/>
          <w:highlight w:val="none"/>
        </w:rPr>
        <w:t>12号，2021年8月22日；</w:t>
      </w:r>
    </w:p>
    <w:p>
      <w:pPr>
        <w:numPr>
          <w:ilvl w:val="0"/>
          <w:numId w:val="12"/>
        </w:numPr>
        <w:tabs>
          <w:tab w:val="left" w:pos="0"/>
          <w:tab w:val="left" w:pos="1008"/>
        </w:tabs>
        <w:adjustRightInd w:val="0"/>
        <w:spacing w:line="360" w:lineRule="auto"/>
        <w:rPr>
          <w:color w:val="auto"/>
          <w:sz w:val="24"/>
          <w:szCs w:val="24"/>
          <w:highlight w:val="none"/>
        </w:rPr>
      </w:pPr>
      <w:r>
        <w:rPr>
          <w:color w:val="auto"/>
          <w:sz w:val="24"/>
          <w:szCs w:val="24"/>
          <w:highlight w:val="none"/>
        </w:rPr>
        <w:t>《山东省生态保护红线规划</w:t>
      </w:r>
      <w:r>
        <w:rPr>
          <w:rFonts w:hint="eastAsia"/>
          <w:color w:val="auto"/>
          <w:sz w:val="24"/>
          <w:szCs w:val="24"/>
          <w:highlight w:val="none"/>
        </w:rPr>
        <w:t>(</w:t>
      </w:r>
      <w:r>
        <w:rPr>
          <w:color w:val="auto"/>
          <w:sz w:val="24"/>
          <w:szCs w:val="24"/>
          <w:highlight w:val="none"/>
        </w:rPr>
        <w:t>2016-2020年</w:t>
      </w:r>
      <w:r>
        <w:rPr>
          <w:rFonts w:hint="eastAsia"/>
          <w:color w:val="auto"/>
          <w:sz w:val="24"/>
          <w:szCs w:val="24"/>
          <w:highlight w:val="none"/>
        </w:rPr>
        <w:t>)</w:t>
      </w:r>
      <w:r>
        <w:rPr>
          <w:color w:val="auto"/>
          <w:sz w:val="24"/>
          <w:szCs w:val="24"/>
          <w:highlight w:val="none"/>
        </w:rPr>
        <w:t>》，山东省人民政府，鲁政字[2016]173号，2016年8月15日；</w:t>
      </w:r>
    </w:p>
    <w:p>
      <w:pPr>
        <w:pStyle w:val="149"/>
        <w:numPr>
          <w:ilvl w:val="0"/>
          <w:numId w:val="12"/>
        </w:numPr>
        <w:tabs>
          <w:tab w:val="left" w:pos="0"/>
          <w:tab w:val="left" w:pos="1008"/>
        </w:tabs>
        <w:spacing w:beforeLines="0" w:afterLines="0" w:line="360" w:lineRule="auto"/>
        <w:ind w:leftChars="0" w:firstLineChars="0"/>
        <w:jc w:val="both"/>
        <w:textAlignment w:val="auto"/>
        <w:rPr>
          <w:rFonts w:ascii="Times New Roman" w:hAnsi="Times New Roman" w:eastAsia="宋体"/>
          <w:bCs w:val="0"/>
          <w:color w:val="auto"/>
          <w:highlight w:val="none"/>
          <w:u w:val="none"/>
        </w:rPr>
      </w:pPr>
      <w:r>
        <w:rPr>
          <w:rFonts w:hint="eastAsia" w:ascii="Times New Roman" w:hAnsi="Times New Roman" w:eastAsia="宋体"/>
          <w:bCs w:val="0"/>
          <w:color w:val="auto"/>
          <w:highlight w:val="none"/>
          <w:u w:val="none"/>
        </w:rPr>
        <w:t>《枣庄市“十四五”生态环境保护规划》，枣政发[2021]15号，2021年12月30日；</w:t>
      </w:r>
    </w:p>
    <w:p>
      <w:pPr>
        <w:pStyle w:val="149"/>
        <w:numPr>
          <w:ilvl w:val="0"/>
          <w:numId w:val="12"/>
        </w:numPr>
        <w:tabs>
          <w:tab w:val="left" w:pos="0"/>
          <w:tab w:val="left" w:pos="1008"/>
        </w:tabs>
        <w:spacing w:beforeLines="0" w:afterLines="0" w:line="360" w:lineRule="auto"/>
        <w:ind w:leftChars="0" w:firstLineChars="0"/>
        <w:jc w:val="both"/>
        <w:textAlignment w:val="auto"/>
        <w:rPr>
          <w:rFonts w:ascii="Times New Roman" w:hAnsi="Times New Roman" w:eastAsia="宋体"/>
          <w:bCs w:val="0"/>
          <w:color w:val="auto"/>
          <w:highlight w:val="none"/>
          <w:u w:val="none"/>
        </w:rPr>
      </w:pPr>
      <w:r>
        <w:rPr>
          <w:rFonts w:ascii="Times New Roman" w:hAnsi="Times New Roman" w:eastAsia="宋体"/>
          <w:bCs w:val="0"/>
          <w:color w:val="auto"/>
          <w:highlight w:val="none"/>
          <w:u w:val="none"/>
        </w:rPr>
        <w:t>《枣庄市城市总体规划(2011-2020年)》，枣庄市人民政府，2011年10月</w:t>
      </w:r>
      <w:r>
        <w:rPr>
          <w:rFonts w:hint="eastAsia" w:ascii="Times New Roman" w:hAnsi="Times New Roman" w:eastAsia="宋体"/>
          <w:bCs w:val="0"/>
          <w:color w:val="auto"/>
          <w:highlight w:val="none"/>
          <w:u w:val="none"/>
        </w:rPr>
        <w:t>。</w:t>
      </w:r>
    </w:p>
    <w:p>
      <w:pPr>
        <w:pStyle w:val="9"/>
        <w:spacing w:before="78" w:beforeLines="25" w:after="0" w:line="360" w:lineRule="auto"/>
        <w:rPr>
          <w:rFonts w:eastAsia="黑体"/>
          <w:b w:val="0"/>
          <w:color w:val="auto"/>
          <w:sz w:val="24"/>
          <w:szCs w:val="24"/>
          <w:highlight w:val="none"/>
        </w:rPr>
      </w:pPr>
      <w:bookmarkStart w:id="30" w:name="_Toc438043779"/>
      <w:bookmarkStart w:id="31" w:name="_Toc438043111"/>
      <w:r>
        <w:rPr>
          <w:rFonts w:eastAsia="黑体"/>
          <w:b w:val="0"/>
          <w:color w:val="auto"/>
          <w:sz w:val="24"/>
          <w:szCs w:val="24"/>
          <w:highlight w:val="none"/>
        </w:rPr>
        <w:t>1.1.7 技术导则、技术规范</w:t>
      </w:r>
      <w:bookmarkEnd w:id="30"/>
      <w:bookmarkEnd w:id="31"/>
    </w:p>
    <w:p>
      <w:pPr>
        <w:pStyle w:val="149"/>
        <w:numPr>
          <w:ilvl w:val="0"/>
          <w:numId w:val="13"/>
        </w:numPr>
        <w:tabs>
          <w:tab w:val="left" w:pos="0"/>
          <w:tab w:val="left" w:pos="1008"/>
        </w:tabs>
        <w:spacing w:beforeLines="0" w:afterLines="0" w:line="360" w:lineRule="auto"/>
        <w:ind w:leftChars="0" w:firstLineChars="0"/>
        <w:jc w:val="both"/>
        <w:textAlignment w:val="auto"/>
        <w:rPr>
          <w:rFonts w:ascii="Times New Roman" w:hAnsi="Times New Roman" w:eastAsia="宋体"/>
          <w:bCs w:val="0"/>
          <w:color w:val="auto"/>
          <w:highlight w:val="none"/>
          <w:u w:val="none"/>
        </w:rPr>
      </w:pPr>
      <w:r>
        <w:rPr>
          <w:rFonts w:ascii="Times New Roman" w:hAnsi="Times New Roman" w:eastAsia="宋体"/>
          <w:bCs w:val="0"/>
          <w:color w:val="auto"/>
          <w:highlight w:val="none"/>
          <w:u w:val="none"/>
        </w:rPr>
        <w:t>《环境影响评价技术导则  总纲》(HJ 2.1-2016)；</w:t>
      </w:r>
    </w:p>
    <w:p>
      <w:pPr>
        <w:pStyle w:val="149"/>
        <w:numPr>
          <w:ilvl w:val="0"/>
          <w:numId w:val="13"/>
        </w:numPr>
        <w:tabs>
          <w:tab w:val="left" w:pos="0"/>
          <w:tab w:val="left" w:pos="1008"/>
        </w:tabs>
        <w:spacing w:beforeLines="0" w:afterLines="0" w:line="360" w:lineRule="auto"/>
        <w:ind w:leftChars="0" w:firstLineChars="0"/>
        <w:jc w:val="both"/>
        <w:textAlignment w:val="auto"/>
        <w:rPr>
          <w:rFonts w:ascii="Times New Roman" w:hAnsi="Times New Roman" w:eastAsia="宋体"/>
          <w:bCs w:val="0"/>
          <w:color w:val="auto"/>
          <w:highlight w:val="none"/>
          <w:u w:val="none"/>
        </w:rPr>
      </w:pPr>
      <w:r>
        <w:rPr>
          <w:rFonts w:ascii="Times New Roman" w:hAnsi="Times New Roman" w:eastAsia="宋体"/>
          <w:bCs w:val="0"/>
          <w:color w:val="auto"/>
          <w:highlight w:val="none"/>
          <w:u w:val="none"/>
        </w:rPr>
        <w:t>《环境影响评价技术导则  大气环境》(HJ 2.2-2018)；</w:t>
      </w:r>
    </w:p>
    <w:p>
      <w:pPr>
        <w:pStyle w:val="149"/>
        <w:numPr>
          <w:ilvl w:val="0"/>
          <w:numId w:val="13"/>
        </w:numPr>
        <w:tabs>
          <w:tab w:val="left" w:pos="0"/>
          <w:tab w:val="left" w:pos="1008"/>
        </w:tabs>
        <w:spacing w:beforeLines="0" w:afterLines="0" w:line="360" w:lineRule="auto"/>
        <w:ind w:leftChars="0" w:firstLineChars="0"/>
        <w:jc w:val="both"/>
        <w:textAlignment w:val="auto"/>
        <w:rPr>
          <w:rFonts w:ascii="Times New Roman" w:hAnsi="Times New Roman" w:eastAsia="宋体"/>
          <w:bCs w:val="0"/>
          <w:color w:val="auto"/>
          <w:highlight w:val="none"/>
          <w:u w:val="none"/>
        </w:rPr>
      </w:pPr>
      <w:r>
        <w:rPr>
          <w:rFonts w:ascii="Times New Roman" w:hAnsi="Times New Roman" w:eastAsia="宋体"/>
          <w:bCs w:val="0"/>
          <w:color w:val="auto"/>
          <w:highlight w:val="none"/>
          <w:u w:val="none"/>
        </w:rPr>
        <w:t>《环境影响评价技术导则  地表水环境》(HJ2.3-2018)；</w:t>
      </w:r>
    </w:p>
    <w:p>
      <w:pPr>
        <w:pStyle w:val="149"/>
        <w:numPr>
          <w:ilvl w:val="0"/>
          <w:numId w:val="13"/>
        </w:numPr>
        <w:tabs>
          <w:tab w:val="left" w:pos="0"/>
          <w:tab w:val="left" w:pos="1008"/>
        </w:tabs>
        <w:spacing w:beforeLines="0" w:afterLines="0" w:line="360" w:lineRule="auto"/>
        <w:ind w:leftChars="0" w:firstLineChars="0"/>
        <w:jc w:val="both"/>
        <w:textAlignment w:val="auto"/>
        <w:rPr>
          <w:rFonts w:ascii="Times New Roman" w:hAnsi="Times New Roman" w:eastAsia="宋体"/>
          <w:bCs w:val="0"/>
          <w:color w:val="auto"/>
          <w:highlight w:val="none"/>
          <w:u w:val="none"/>
        </w:rPr>
      </w:pPr>
      <w:r>
        <w:rPr>
          <w:rFonts w:ascii="Times New Roman" w:hAnsi="Times New Roman" w:eastAsia="宋体"/>
          <w:bCs w:val="0"/>
          <w:color w:val="auto"/>
          <w:highlight w:val="none"/>
          <w:u w:val="none"/>
        </w:rPr>
        <w:t>《环境影响评价技术导则  地下水环境》(HJ 610-2016)；</w:t>
      </w:r>
    </w:p>
    <w:p>
      <w:pPr>
        <w:pStyle w:val="149"/>
        <w:numPr>
          <w:ilvl w:val="0"/>
          <w:numId w:val="13"/>
        </w:numPr>
        <w:tabs>
          <w:tab w:val="left" w:pos="0"/>
          <w:tab w:val="left" w:pos="1008"/>
        </w:tabs>
        <w:spacing w:beforeLines="0" w:afterLines="0" w:line="360" w:lineRule="auto"/>
        <w:ind w:leftChars="0" w:firstLineChars="0"/>
        <w:jc w:val="both"/>
        <w:textAlignment w:val="auto"/>
        <w:rPr>
          <w:rFonts w:ascii="Times New Roman" w:hAnsi="Times New Roman" w:eastAsia="宋体"/>
          <w:bCs w:val="0"/>
          <w:color w:val="auto"/>
          <w:highlight w:val="none"/>
          <w:u w:val="none"/>
        </w:rPr>
      </w:pPr>
      <w:r>
        <w:rPr>
          <w:rFonts w:ascii="Times New Roman" w:hAnsi="Times New Roman" w:eastAsia="宋体"/>
          <w:bCs w:val="0"/>
          <w:color w:val="auto"/>
          <w:highlight w:val="none"/>
          <w:u w:val="none"/>
        </w:rPr>
        <w:t>《环境影响评价技术导则  声环境》(HJ 2.4-20</w:t>
      </w:r>
      <w:r>
        <w:rPr>
          <w:rFonts w:hint="eastAsia" w:ascii="Times New Roman" w:hAnsi="Times New Roman" w:eastAsia="宋体"/>
          <w:bCs w:val="0"/>
          <w:color w:val="auto"/>
          <w:highlight w:val="none"/>
          <w:u w:val="none"/>
        </w:rPr>
        <w:t>21</w:t>
      </w:r>
      <w:r>
        <w:rPr>
          <w:rFonts w:ascii="Times New Roman" w:hAnsi="Times New Roman" w:eastAsia="宋体"/>
          <w:bCs w:val="0"/>
          <w:color w:val="auto"/>
          <w:highlight w:val="none"/>
          <w:u w:val="none"/>
        </w:rPr>
        <w:t>)；</w:t>
      </w:r>
    </w:p>
    <w:p>
      <w:pPr>
        <w:pStyle w:val="149"/>
        <w:numPr>
          <w:ilvl w:val="0"/>
          <w:numId w:val="13"/>
        </w:numPr>
        <w:tabs>
          <w:tab w:val="left" w:pos="0"/>
          <w:tab w:val="left" w:pos="1008"/>
        </w:tabs>
        <w:spacing w:beforeLines="0" w:afterLines="0" w:line="360" w:lineRule="auto"/>
        <w:ind w:leftChars="0" w:firstLineChars="0"/>
        <w:jc w:val="both"/>
        <w:textAlignment w:val="auto"/>
        <w:rPr>
          <w:rFonts w:ascii="Times New Roman" w:hAnsi="Times New Roman" w:eastAsia="宋体"/>
          <w:bCs w:val="0"/>
          <w:color w:val="auto"/>
          <w:highlight w:val="none"/>
          <w:u w:val="none"/>
        </w:rPr>
      </w:pPr>
      <w:r>
        <w:rPr>
          <w:rFonts w:ascii="Times New Roman" w:hAnsi="Times New Roman" w:eastAsia="宋体"/>
          <w:bCs w:val="0"/>
          <w:color w:val="auto"/>
          <w:highlight w:val="none"/>
          <w:u w:val="none"/>
        </w:rPr>
        <w:t>《环境影响评价技术导则  生态影响》</w:t>
      </w:r>
      <w:r>
        <w:rPr>
          <w:rFonts w:hint="eastAsia" w:ascii="Times New Roman" w:hAnsi="Times New Roman" w:eastAsia="宋体"/>
          <w:bCs w:val="0"/>
          <w:color w:val="auto"/>
          <w:highlight w:val="none"/>
          <w:u w:val="none"/>
        </w:rPr>
        <w:t>(</w:t>
      </w:r>
      <w:r>
        <w:rPr>
          <w:rFonts w:ascii="Times New Roman" w:hAnsi="Times New Roman" w:eastAsia="宋体"/>
          <w:bCs w:val="0"/>
          <w:color w:val="auto"/>
          <w:highlight w:val="none"/>
          <w:u w:val="none"/>
        </w:rPr>
        <w:t>HJ19-20</w:t>
      </w:r>
      <w:r>
        <w:rPr>
          <w:rFonts w:hint="eastAsia" w:ascii="Times New Roman" w:hAnsi="Times New Roman" w:eastAsia="宋体"/>
          <w:bCs w:val="0"/>
          <w:color w:val="auto"/>
          <w:highlight w:val="none"/>
          <w:u w:val="none"/>
        </w:rPr>
        <w:t>22)</w:t>
      </w:r>
      <w:r>
        <w:rPr>
          <w:rFonts w:ascii="Times New Roman" w:hAnsi="Times New Roman" w:eastAsia="宋体"/>
          <w:bCs w:val="0"/>
          <w:color w:val="auto"/>
          <w:highlight w:val="none"/>
          <w:u w:val="none"/>
        </w:rPr>
        <w:t>；</w:t>
      </w:r>
    </w:p>
    <w:p>
      <w:pPr>
        <w:pStyle w:val="149"/>
        <w:numPr>
          <w:ilvl w:val="0"/>
          <w:numId w:val="13"/>
        </w:numPr>
        <w:tabs>
          <w:tab w:val="left" w:pos="0"/>
          <w:tab w:val="left" w:pos="1008"/>
        </w:tabs>
        <w:spacing w:beforeLines="0" w:afterLines="0" w:line="360" w:lineRule="auto"/>
        <w:ind w:leftChars="0" w:firstLineChars="0"/>
        <w:jc w:val="both"/>
        <w:textAlignment w:val="auto"/>
        <w:rPr>
          <w:rFonts w:ascii="Times New Roman" w:hAnsi="Times New Roman" w:eastAsia="宋体"/>
          <w:bCs w:val="0"/>
          <w:color w:val="auto"/>
          <w:highlight w:val="none"/>
          <w:u w:val="none"/>
        </w:rPr>
      </w:pPr>
      <w:r>
        <w:rPr>
          <w:rFonts w:ascii="Times New Roman" w:hAnsi="Times New Roman" w:eastAsia="宋体"/>
          <w:bCs w:val="0"/>
          <w:color w:val="auto"/>
          <w:highlight w:val="none"/>
          <w:u w:val="none"/>
        </w:rPr>
        <w:t>《环境影响评价技术导则  土壤环境</w:t>
      </w:r>
      <w:r>
        <w:rPr>
          <w:rFonts w:hint="eastAsia" w:ascii="Times New Roman" w:hAnsi="Times New Roman" w:eastAsia="宋体"/>
          <w:bCs w:val="0"/>
          <w:color w:val="auto"/>
          <w:highlight w:val="none"/>
          <w:u w:val="none"/>
        </w:rPr>
        <w:t>(</w:t>
      </w:r>
      <w:r>
        <w:rPr>
          <w:rFonts w:ascii="Times New Roman" w:hAnsi="Times New Roman" w:eastAsia="宋体"/>
          <w:bCs w:val="0"/>
          <w:color w:val="auto"/>
          <w:highlight w:val="none"/>
          <w:u w:val="none"/>
        </w:rPr>
        <w:t>试行</w:t>
      </w:r>
      <w:r>
        <w:rPr>
          <w:rFonts w:hint="eastAsia" w:ascii="Times New Roman" w:hAnsi="Times New Roman" w:eastAsia="宋体"/>
          <w:bCs w:val="0"/>
          <w:color w:val="auto"/>
          <w:highlight w:val="none"/>
          <w:u w:val="none"/>
        </w:rPr>
        <w:t>)</w:t>
      </w:r>
      <w:r>
        <w:rPr>
          <w:rFonts w:ascii="Times New Roman" w:hAnsi="Times New Roman" w:eastAsia="宋体"/>
          <w:bCs w:val="0"/>
          <w:color w:val="auto"/>
          <w:highlight w:val="none"/>
          <w:u w:val="none"/>
        </w:rPr>
        <w:t>》</w:t>
      </w:r>
      <w:r>
        <w:rPr>
          <w:rFonts w:hint="eastAsia" w:ascii="Times New Roman" w:hAnsi="Times New Roman" w:eastAsia="宋体"/>
          <w:bCs w:val="0"/>
          <w:color w:val="auto"/>
          <w:highlight w:val="none"/>
          <w:u w:val="none"/>
        </w:rPr>
        <w:t>(</w:t>
      </w:r>
      <w:r>
        <w:rPr>
          <w:rFonts w:ascii="Times New Roman" w:hAnsi="Times New Roman" w:eastAsia="宋体"/>
          <w:bCs w:val="0"/>
          <w:color w:val="auto"/>
          <w:highlight w:val="none"/>
          <w:u w:val="none"/>
        </w:rPr>
        <w:t>HJ964-2018</w:t>
      </w:r>
      <w:r>
        <w:rPr>
          <w:rFonts w:hint="eastAsia" w:ascii="Times New Roman" w:hAnsi="Times New Roman" w:eastAsia="宋体"/>
          <w:bCs w:val="0"/>
          <w:color w:val="auto"/>
          <w:highlight w:val="none"/>
          <w:u w:val="none"/>
        </w:rPr>
        <w:t>)</w:t>
      </w:r>
      <w:r>
        <w:rPr>
          <w:rFonts w:ascii="Times New Roman" w:hAnsi="Times New Roman" w:eastAsia="宋体"/>
          <w:bCs w:val="0"/>
          <w:color w:val="auto"/>
          <w:highlight w:val="none"/>
          <w:u w:val="none"/>
        </w:rPr>
        <w:t>；</w:t>
      </w:r>
    </w:p>
    <w:p>
      <w:pPr>
        <w:pStyle w:val="149"/>
        <w:numPr>
          <w:ilvl w:val="0"/>
          <w:numId w:val="13"/>
        </w:numPr>
        <w:tabs>
          <w:tab w:val="left" w:pos="0"/>
          <w:tab w:val="left" w:pos="1008"/>
        </w:tabs>
        <w:spacing w:beforeLines="0" w:afterLines="0" w:line="360" w:lineRule="auto"/>
        <w:ind w:leftChars="0" w:firstLineChars="0"/>
        <w:jc w:val="both"/>
        <w:textAlignment w:val="auto"/>
        <w:rPr>
          <w:rFonts w:ascii="Times New Roman" w:hAnsi="Times New Roman" w:eastAsia="宋体"/>
          <w:bCs w:val="0"/>
          <w:color w:val="auto"/>
          <w:highlight w:val="none"/>
          <w:u w:val="none"/>
        </w:rPr>
      </w:pPr>
      <w:r>
        <w:rPr>
          <w:rFonts w:ascii="Times New Roman" w:hAnsi="Times New Roman" w:eastAsia="宋体"/>
          <w:bCs w:val="0"/>
          <w:color w:val="auto"/>
          <w:highlight w:val="none"/>
          <w:u w:val="none"/>
        </w:rPr>
        <w:t>《建设项目环境风险评价技术导则》(HJ169-2018)；</w:t>
      </w:r>
    </w:p>
    <w:p>
      <w:pPr>
        <w:pStyle w:val="149"/>
        <w:numPr>
          <w:ilvl w:val="0"/>
          <w:numId w:val="13"/>
        </w:numPr>
        <w:tabs>
          <w:tab w:val="left" w:pos="0"/>
          <w:tab w:val="left" w:pos="1008"/>
        </w:tabs>
        <w:spacing w:beforeLines="0" w:afterLines="0" w:line="360" w:lineRule="auto"/>
        <w:ind w:leftChars="0" w:firstLineChars="0"/>
        <w:jc w:val="both"/>
        <w:textAlignment w:val="auto"/>
        <w:rPr>
          <w:rFonts w:ascii="Times New Roman" w:hAnsi="Times New Roman" w:eastAsia="宋体"/>
          <w:bCs w:val="0"/>
          <w:color w:val="auto"/>
          <w:highlight w:val="none"/>
          <w:u w:val="none"/>
        </w:rPr>
      </w:pPr>
      <w:r>
        <w:rPr>
          <w:rFonts w:ascii="Times New Roman" w:hAnsi="Times New Roman" w:eastAsia="宋体"/>
          <w:bCs w:val="0"/>
          <w:color w:val="auto"/>
          <w:highlight w:val="none"/>
          <w:u w:val="none"/>
        </w:rPr>
        <w:t>《建设项目危险废物环境影响评价指南》</w:t>
      </w:r>
      <w:r>
        <w:rPr>
          <w:rFonts w:hint="eastAsia" w:ascii="Times New Roman" w:hAnsi="Times New Roman" w:eastAsia="宋体"/>
          <w:bCs w:val="0"/>
          <w:color w:val="auto"/>
          <w:highlight w:val="none"/>
          <w:u w:val="none"/>
        </w:rPr>
        <w:t>(</w:t>
      </w:r>
      <w:r>
        <w:rPr>
          <w:rFonts w:ascii="Times New Roman" w:hAnsi="Times New Roman" w:eastAsia="宋体"/>
          <w:bCs w:val="0"/>
          <w:color w:val="auto"/>
          <w:highlight w:val="none"/>
          <w:u w:val="none"/>
        </w:rPr>
        <w:t>环保部公告2017年第43号</w:t>
      </w:r>
      <w:r>
        <w:rPr>
          <w:rFonts w:hint="eastAsia" w:ascii="Times New Roman" w:hAnsi="Times New Roman" w:eastAsia="宋体"/>
          <w:bCs w:val="0"/>
          <w:color w:val="auto"/>
          <w:highlight w:val="none"/>
          <w:u w:val="none"/>
        </w:rPr>
        <w:t>)</w:t>
      </w:r>
      <w:r>
        <w:rPr>
          <w:rFonts w:ascii="Times New Roman" w:hAnsi="Times New Roman" w:eastAsia="宋体"/>
          <w:bCs w:val="0"/>
          <w:color w:val="auto"/>
          <w:highlight w:val="none"/>
          <w:u w:val="none"/>
        </w:rPr>
        <w:t>；</w:t>
      </w:r>
    </w:p>
    <w:p>
      <w:pPr>
        <w:pStyle w:val="149"/>
        <w:numPr>
          <w:ilvl w:val="0"/>
          <w:numId w:val="13"/>
        </w:numPr>
        <w:tabs>
          <w:tab w:val="left" w:pos="0"/>
          <w:tab w:val="left" w:pos="1008"/>
        </w:tabs>
        <w:spacing w:beforeLines="0" w:afterLines="0" w:line="360" w:lineRule="auto"/>
        <w:ind w:leftChars="0" w:firstLineChars="0"/>
        <w:jc w:val="both"/>
        <w:textAlignment w:val="auto"/>
        <w:rPr>
          <w:rFonts w:ascii="Times New Roman" w:hAnsi="Times New Roman" w:eastAsia="宋体"/>
          <w:bCs w:val="0"/>
          <w:color w:val="auto"/>
          <w:highlight w:val="none"/>
          <w:u w:val="none"/>
        </w:rPr>
      </w:pPr>
      <w:r>
        <w:rPr>
          <w:rFonts w:ascii="Times New Roman" w:hAnsi="Times New Roman" w:eastAsia="宋体"/>
          <w:bCs w:val="0"/>
          <w:color w:val="auto"/>
          <w:highlight w:val="none"/>
          <w:u w:val="none"/>
        </w:rPr>
        <w:t>《建设项目环境影响技术评估导则》</w:t>
      </w:r>
      <w:r>
        <w:rPr>
          <w:rFonts w:hint="eastAsia" w:ascii="Times New Roman" w:hAnsi="Times New Roman" w:eastAsia="宋体"/>
          <w:bCs w:val="0"/>
          <w:color w:val="auto"/>
          <w:highlight w:val="none"/>
          <w:u w:val="none"/>
        </w:rPr>
        <w:t>(</w:t>
      </w:r>
      <w:r>
        <w:rPr>
          <w:rFonts w:ascii="Times New Roman" w:hAnsi="Times New Roman" w:eastAsia="宋体"/>
          <w:bCs w:val="0"/>
          <w:color w:val="auto"/>
          <w:highlight w:val="none"/>
          <w:u w:val="none"/>
        </w:rPr>
        <w:t>HJ 616-2011</w:t>
      </w:r>
      <w:r>
        <w:rPr>
          <w:rFonts w:hint="eastAsia" w:ascii="Times New Roman" w:hAnsi="Times New Roman" w:eastAsia="宋体"/>
          <w:bCs w:val="0"/>
          <w:color w:val="auto"/>
          <w:highlight w:val="none"/>
          <w:u w:val="none"/>
        </w:rPr>
        <w:t>)</w:t>
      </w:r>
      <w:r>
        <w:rPr>
          <w:rFonts w:ascii="Times New Roman" w:hAnsi="Times New Roman" w:eastAsia="宋体"/>
          <w:bCs w:val="0"/>
          <w:color w:val="auto"/>
          <w:highlight w:val="none"/>
          <w:u w:val="none"/>
        </w:rPr>
        <w:t>；</w:t>
      </w:r>
    </w:p>
    <w:p>
      <w:pPr>
        <w:pStyle w:val="149"/>
        <w:numPr>
          <w:ilvl w:val="0"/>
          <w:numId w:val="13"/>
        </w:numPr>
        <w:tabs>
          <w:tab w:val="left" w:pos="0"/>
          <w:tab w:val="left" w:pos="1008"/>
        </w:tabs>
        <w:spacing w:beforeLines="0" w:afterLines="0" w:line="360" w:lineRule="auto"/>
        <w:ind w:leftChars="0" w:firstLineChars="0"/>
        <w:jc w:val="both"/>
        <w:textAlignment w:val="auto"/>
        <w:rPr>
          <w:rFonts w:ascii="Times New Roman" w:hAnsi="Times New Roman" w:eastAsia="宋体"/>
          <w:bCs w:val="0"/>
          <w:color w:val="auto"/>
          <w:highlight w:val="none"/>
          <w:u w:val="none"/>
        </w:rPr>
      </w:pPr>
      <w:r>
        <w:rPr>
          <w:rFonts w:ascii="Times New Roman" w:hAnsi="Times New Roman" w:eastAsia="宋体"/>
          <w:bCs w:val="0"/>
          <w:color w:val="auto"/>
          <w:highlight w:val="none"/>
          <w:u w:val="none"/>
        </w:rPr>
        <w:t>《污染源源强核算技术指南 准则》</w:t>
      </w:r>
      <w:r>
        <w:rPr>
          <w:rFonts w:hint="eastAsia" w:ascii="Times New Roman" w:hAnsi="Times New Roman" w:eastAsia="宋体"/>
          <w:bCs w:val="0"/>
          <w:color w:val="auto"/>
          <w:highlight w:val="none"/>
          <w:u w:val="none"/>
        </w:rPr>
        <w:t>(</w:t>
      </w:r>
      <w:r>
        <w:rPr>
          <w:rFonts w:ascii="Times New Roman" w:hAnsi="Times New Roman" w:eastAsia="宋体"/>
          <w:bCs w:val="0"/>
          <w:color w:val="auto"/>
          <w:highlight w:val="none"/>
          <w:u w:val="none"/>
        </w:rPr>
        <w:t>HJ884-2018</w:t>
      </w:r>
      <w:r>
        <w:rPr>
          <w:rFonts w:hint="eastAsia" w:ascii="Times New Roman" w:hAnsi="Times New Roman" w:eastAsia="宋体"/>
          <w:bCs w:val="0"/>
          <w:color w:val="auto"/>
          <w:highlight w:val="none"/>
          <w:u w:val="none"/>
        </w:rPr>
        <w:t>)</w:t>
      </w:r>
      <w:r>
        <w:rPr>
          <w:rFonts w:ascii="Times New Roman" w:hAnsi="Times New Roman" w:eastAsia="宋体"/>
          <w:bCs w:val="0"/>
          <w:color w:val="auto"/>
          <w:highlight w:val="none"/>
          <w:u w:val="none"/>
        </w:rPr>
        <w:t>；</w:t>
      </w:r>
    </w:p>
    <w:p>
      <w:pPr>
        <w:pStyle w:val="149"/>
        <w:numPr>
          <w:ilvl w:val="0"/>
          <w:numId w:val="13"/>
        </w:numPr>
        <w:tabs>
          <w:tab w:val="left" w:pos="0"/>
          <w:tab w:val="left" w:pos="1008"/>
        </w:tabs>
        <w:spacing w:beforeLines="0" w:afterLines="0" w:line="360" w:lineRule="auto"/>
        <w:ind w:leftChars="0" w:firstLineChars="0"/>
        <w:jc w:val="both"/>
        <w:textAlignment w:val="auto"/>
        <w:rPr>
          <w:rFonts w:ascii="Times New Roman" w:hAnsi="Times New Roman" w:eastAsia="宋体"/>
          <w:bCs w:val="0"/>
          <w:color w:val="auto"/>
          <w:highlight w:val="none"/>
          <w:u w:val="none"/>
        </w:rPr>
      </w:pPr>
      <w:r>
        <w:rPr>
          <w:rFonts w:ascii="Times New Roman" w:hAnsi="Times New Roman" w:eastAsia="宋体"/>
          <w:bCs w:val="0"/>
          <w:color w:val="auto"/>
          <w:highlight w:val="none"/>
          <w:u w:val="none"/>
        </w:rPr>
        <w:t>《排污许可证申请与核发技术规范 总则》</w:t>
      </w:r>
      <w:r>
        <w:rPr>
          <w:rFonts w:hint="eastAsia" w:ascii="Times New Roman" w:hAnsi="Times New Roman" w:eastAsia="宋体"/>
          <w:bCs w:val="0"/>
          <w:color w:val="auto"/>
          <w:highlight w:val="none"/>
          <w:u w:val="none"/>
        </w:rPr>
        <w:t>(</w:t>
      </w:r>
      <w:r>
        <w:rPr>
          <w:rFonts w:ascii="Times New Roman" w:hAnsi="Times New Roman" w:eastAsia="宋体"/>
          <w:bCs w:val="0"/>
          <w:color w:val="auto"/>
          <w:highlight w:val="none"/>
          <w:u w:val="none"/>
        </w:rPr>
        <w:t>HJ942-2018</w:t>
      </w:r>
      <w:r>
        <w:rPr>
          <w:rFonts w:hint="eastAsia" w:ascii="Times New Roman" w:hAnsi="Times New Roman" w:eastAsia="宋体"/>
          <w:bCs w:val="0"/>
          <w:color w:val="auto"/>
          <w:highlight w:val="none"/>
          <w:u w:val="none"/>
        </w:rPr>
        <w:t>)</w:t>
      </w:r>
      <w:r>
        <w:rPr>
          <w:rFonts w:ascii="Times New Roman" w:hAnsi="Times New Roman" w:eastAsia="宋体"/>
          <w:bCs w:val="0"/>
          <w:color w:val="auto"/>
          <w:highlight w:val="none"/>
          <w:u w:val="none"/>
        </w:rPr>
        <w:t>；</w:t>
      </w:r>
    </w:p>
    <w:p>
      <w:pPr>
        <w:pStyle w:val="149"/>
        <w:numPr>
          <w:ilvl w:val="0"/>
          <w:numId w:val="13"/>
        </w:numPr>
        <w:tabs>
          <w:tab w:val="left" w:pos="0"/>
          <w:tab w:val="left" w:pos="1008"/>
        </w:tabs>
        <w:spacing w:beforeLines="0" w:afterLines="0" w:line="360" w:lineRule="auto"/>
        <w:ind w:leftChars="0" w:firstLineChars="0"/>
        <w:jc w:val="both"/>
        <w:textAlignment w:val="auto"/>
        <w:rPr>
          <w:rFonts w:ascii="Times New Roman" w:hAnsi="Times New Roman" w:eastAsia="宋体"/>
          <w:bCs w:val="0"/>
          <w:color w:val="auto"/>
          <w:highlight w:val="none"/>
          <w:u w:val="none"/>
        </w:rPr>
      </w:pPr>
      <w:r>
        <w:rPr>
          <w:rFonts w:ascii="Times New Roman" w:hAnsi="Times New Roman" w:eastAsia="宋体"/>
          <w:bCs w:val="0"/>
          <w:color w:val="auto"/>
          <w:highlight w:val="none"/>
          <w:u w:val="none"/>
        </w:rPr>
        <w:t>《</w:t>
      </w:r>
      <w:r>
        <w:rPr>
          <w:rFonts w:hint="eastAsia" w:ascii="Times New Roman" w:hAnsi="Times New Roman" w:eastAsia="宋体"/>
          <w:bCs w:val="0"/>
          <w:color w:val="auto"/>
          <w:highlight w:val="none"/>
          <w:u w:val="none"/>
        </w:rPr>
        <w:t>排污许可证申请与核发技术规范 废弃资源加工工业</w:t>
      </w:r>
      <w:r>
        <w:rPr>
          <w:rFonts w:ascii="Times New Roman" w:hAnsi="Times New Roman" w:eastAsia="宋体"/>
          <w:bCs w:val="0"/>
          <w:color w:val="auto"/>
          <w:highlight w:val="none"/>
          <w:u w:val="none"/>
        </w:rPr>
        <w:t>》</w:t>
      </w:r>
      <w:r>
        <w:rPr>
          <w:rFonts w:hint="eastAsia" w:ascii="Times New Roman" w:hAnsi="Times New Roman" w:eastAsia="宋体"/>
          <w:bCs w:val="0"/>
          <w:color w:val="auto"/>
          <w:highlight w:val="none"/>
          <w:u w:val="none"/>
        </w:rPr>
        <w:t>(</w:t>
      </w:r>
      <w:r>
        <w:rPr>
          <w:rFonts w:ascii="Times New Roman" w:hAnsi="Times New Roman" w:eastAsia="宋体"/>
          <w:bCs w:val="0"/>
          <w:color w:val="auto"/>
          <w:highlight w:val="none"/>
          <w:u w:val="none"/>
        </w:rPr>
        <w:t>HJ</w:t>
      </w:r>
      <w:r>
        <w:rPr>
          <w:rFonts w:hint="eastAsia" w:ascii="Times New Roman" w:hAnsi="Times New Roman" w:eastAsia="宋体"/>
          <w:bCs w:val="0"/>
          <w:color w:val="auto"/>
          <w:highlight w:val="none"/>
          <w:u w:val="none"/>
        </w:rPr>
        <w:t>1034-2019)</w:t>
      </w:r>
      <w:r>
        <w:rPr>
          <w:rFonts w:ascii="Times New Roman" w:hAnsi="Times New Roman" w:eastAsia="宋体"/>
          <w:bCs w:val="0"/>
          <w:color w:val="auto"/>
          <w:highlight w:val="none"/>
          <w:u w:val="none"/>
        </w:rPr>
        <w:t>；</w:t>
      </w:r>
    </w:p>
    <w:p>
      <w:pPr>
        <w:pStyle w:val="149"/>
        <w:numPr>
          <w:ilvl w:val="0"/>
          <w:numId w:val="13"/>
        </w:numPr>
        <w:tabs>
          <w:tab w:val="left" w:pos="0"/>
          <w:tab w:val="left" w:pos="1008"/>
        </w:tabs>
        <w:spacing w:beforeLines="0" w:afterLines="0" w:line="360" w:lineRule="auto"/>
        <w:ind w:leftChars="0" w:firstLineChars="0"/>
        <w:jc w:val="both"/>
        <w:textAlignment w:val="auto"/>
        <w:rPr>
          <w:rFonts w:ascii="Times New Roman" w:hAnsi="Times New Roman" w:eastAsia="宋体"/>
          <w:bCs w:val="0"/>
          <w:color w:val="auto"/>
          <w:highlight w:val="none"/>
          <w:u w:val="none"/>
        </w:rPr>
      </w:pPr>
      <w:r>
        <w:rPr>
          <w:rFonts w:hint="eastAsia" w:ascii="Times New Roman" w:hAnsi="Times New Roman" w:eastAsia="宋体"/>
          <w:bCs w:val="0"/>
          <w:color w:val="auto"/>
          <w:highlight w:val="none"/>
          <w:u w:val="none"/>
        </w:rPr>
        <w:t>《排污许可证申请与核发技术规范 橡胶和塑料制品工业》(HJ1122-2020)；</w:t>
      </w:r>
    </w:p>
    <w:p>
      <w:pPr>
        <w:pStyle w:val="149"/>
        <w:numPr>
          <w:ilvl w:val="0"/>
          <w:numId w:val="13"/>
        </w:numPr>
        <w:tabs>
          <w:tab w:val="left" w:pos="0"/>
          <w:tab w:val="left" w:pos="1008"/>
        </w:tabs>
        <w:spacing w:beforeLines="0" w:afterLines="0" w:line="360" w:lineRule="auto"/>
        <w:ind w:leftChars="0" w:firstLineChars="0"/>
        <w:jc w:val="both"/>
        <w:textAlignment w:val="auto"/>
        <w:rPr>
          <w:rFonts w:ascii="Times New Roman" w:hAnsi="Times New Roman" w:eastAsia="宋体"/>
          <w:bCs w:val="0"/>
          <w:color w:val="auto"/>
          <w:highlight w:val="none"/>
          <w:u w:val="none"/>
        </w:rPr>
      </w:pPr>
      <w:r>
        <w:rPr>
          <w:rFonts w:ascii="Times New Roman" w:hAnsi="Times New Roman" w:eastAsia="宋体"/>
          <w:bCs w:val="0"/>
          <w:color w:val="auto"/>
          <w:highlight w:val="none"/>
          <w:u w:val="none"/>
        </w:rPr>
        <w:t>《排污单位环境管理台账及排污许可证执行报告技术规范 总则</w:t>
      </w:r>
      <w:r>
        <w:rPr>
          <w:rFonts w:hint="eastAsia" w:ascii="Times New Roman" w:hAnsi="Times New Roman" w:eastAsia="宋体"/>
          <w:bCs w:val="0"/>
          <w:color w:val="auto"/>
          <w:highlight w:val="none"/>
          <w:u w:val="none"/>
        </w:rPr>
        <w:t>(</w:t>
      </w:r>
      <w:r>
        <w:rPr>
          <w:rFonts w:ascii="Times New Roman" w:hAnsi="Times New Roman" w:eastAsia="宋体"/>
          <w:bCs w:val="0"/>
          <w:color w:val="auto"/>
          <w:highlight w:val="none"/>
          <w:u w:val="none"/>
        </w:rPr>
        <w:t>试行</w:t>
      </w:r>
      <w:r>
        <w:rPr>
          <w:rFonts w:hint="eastAsia" w:ascii="Times New Roman" w:hAnsi="Times New Roman" w:eastAsia="宋体"/>
          <w:bCs w:val="0"/>
          <w:color w:val="auto"/>
          <w:highlight w:val="none"/>
          <w:u w:val="none"/>
        </w:rPr>
        <w:t>)</w:t>
      </w:r>
      <w:r>
        <w:rPr>
          <w:rFonts w:ascii="Times New Roman" w:hAnsi="Times New Roman" w:eastAsia="宋体"/>
          <w:bCs w:val="0"/>
          <w:color w:val="auto"/>
          <w:highlight w:val="none"/>
          <w:u w:val="none"/>
        </w:rPr>
        <w:t>》</w:t>
      </w:r>
      <w:r>
        <w:rPr>
          <w:rFonts w:hint="eastAsia" w:ascii="Times New Roman" w:hAnsi="Times New Roman" w:eastAsia="宋体"/>
          <w:bCs w:val="0"/>
          <w:color w:val="auto"/>
          <w:highlight w:val="none"/>
          <w:u w:val="none"/>
        </w:rPr>
        <w:t>(</w:t>
      </w:r>
      <w:r>
        <w:rPr>
          <w:rFonts w:ascii="Times New Roman" w:hAnsi="Times New Roman" w:eastAsia="宋体"/>
          <w:bCs w:val="0"/>
          <w:color w:val="auto"/>
          <w:highlight w:val="none"/>
          <w:u w:val="none"/>
        </w:rPr>
        <w:t>HJ944-2018</w:t>
      </w:r>
      <w:r>
        <w:rPr>
          <w:rFonts w:hint="eastAsia" w:ascii="Times New Roman" w:hAnsi="Times New Roman" w:eastAsia="宋体"/>
          <w:bCs w:val="0"/>
          <w:color w:val="auto"/>
          <w:highlight w:val="none"/>
          <w:u w:val="none"/>
        </w:rPr>
        <w:t>)</w:t>
      </w:r>
      <w:r>
        <w:rPr>
          <w:rFonts w:ascii="Times New Roman" w:hAnsi="Times New Roman" w:eastAsia="宋体"/>
          <w:bCs w:val="0"/>
          <w:color w:val="auto"/>
          <w:highlight w:val="none"/>
          <w:u w:val="none"/>
        </w:rPr>
        <w:t>；</w:t>
      </w:r>
    </w:p>
    <w:p>
      <w:pPr>
        <w:numPr>
          <w:ilvl w:val="0"/>
          <w:numId w:val="13"/>
        </w:numPr>
        <w:tabs>
          <w:tab w:val="left" w:pos="480"/>
          <w:tab w:val="left" w:pos="1080"/>
        </w:tabs>
        <w:spacing w:line="360" w:lineRule="auto"/>
        <w:rPr>
          <w:color w:val="auto"/>
          <w:kern w:val="0"/>
          <w:sz w:val="24"/>
          <w:highlight w:val="none"/>
        </w:rPr>
      </w:pPr>
      <w:r>
        <w:rPr>
          <w:color w:val="auto"/>
          <w:kern w:val="0"/>
          <w:sz w:val="24"/>
          <w:highlight w:val="none"/>
        </w:rPr>
        <w:t>《建设项目竣工环境保护验收技术指南 污染影响类》</w:t>
      </w:r>
      <w:r>
        <w:rPr>
          <w:rFonts w:hint="eastAsia"/>
          <w:color w:val="auto"/>
          <w:kern w:val="0"/>
          <w:sz w:val="24"/>
          <w:highlight w:val="none"/>
        </w:rPr>
        <w:t>(</w:t>
      </w:r>
      <w:r>
        <w:rPr>
          <w:color w:val="auto"/>
          <w:kern w:val="0"/>
          <w:sz w:val="24"/>
          <w:highlight w:val="none"/>
        </w:rPr>
        <w:t>生态环境部公告2018年第9号</w:t>
      </w:r>
      <w:r>
        <w:rPr>
          <w:rFonts w:hint="eastAsia"/>
          <w:color w:val="auto"/>
          <w:kern w:val="0"/>
          <w:sz w:val="24"/>
          <w:highlight w:val="none"/>
        </w:rPr>
        <w:t>)</w:t>
      </w:r>
      <w:r>
        <w:rPr>
          <w:color w:val="auto"/>
          <w:kern w:val="0"/>
          <w:sz w:val="24"/>
          <w:highlight w:val="none"/>
        </w:rPr>
        <w:t>；</w:t>
      </w:r>
    </w:p>
    <w:p>
      <w:pPr>
        <w:numPr>
          <w:ilvl w:val="0"/>
          <w:numId w:val="13"/>
        </w:numPr>
        <w:tabs>
          <w:tab w:val="left" w:pos="480"/>
          <w:tab w:val="left" w:pos="1080"/>
        </w:tabs>
        <w:spacing w:line="360" w:lineRule="auto"/>
        <w:rPr>
          <w:color w:val="auto"/>
          <w:kern w:val="0"/>
          <w:sz w:val="24"/>
          <w:highlight w:val="none"/>
        </w:rPr>
      </w:pPr>
      <w:r>
        <w:rPr>
          <w:color w:val="auto"/>
          <w:kern w:val="0"/>
          <w:sz w:val="24"/>
          <w:highlight w:val="none"/>
        </w:rPr>
        <w:t>《排污单位自行监测技术指南 总则》</w:t>
      </w:r>
      <w:r>
        <w:rPr>
          <w:rFonts w:hint="eastAsia"/>
          <w:color w:val="auto"/>
          <w:kern w:val="0"/>
          <w:sz w:val="24"/>
          <w:highlight w:val="none"/>
        </w:rPr>
        <w:t>(</w:t>
      </w:r>
      <w:r>
        <w:rPr>
          <w:color w:val="auto"/>
          <w:kern w:val="0"/>
          <w:sz w:val="24"/>
          <w:highlight w:val="none"/>
        </w:rPr>
        <w:t>HJ 819-2017</w:t>
      </w:r>
      <w:r>
        <w:rPr>
          <w:rFonts w:hint="eastAsia"/>
          <w:color w:val="auto"/>
          <w:kern w:val="0"/>
          <w:sz w:val="24"/>
          <w:highlight w:val="none"/>
        </w:rPr>
        <w:t>)</w:t>
      </w:r>
      <w:r>
        <w:rPr>
          <w:color w:val="auto"/>
          <w:kern w:val="0"/>
          <w:sz w:val="24"/>
          <w:highlight w:val="none"/>
        </w:rPr>
        <w:t>；</w:t>
      </w:r>
    </w:p>
    <w:p>
      <w:pPr>
        <w:numPr>
          <w:ilvl w:val="0"/>
          <w:numId w:val="13"/>
        </w:numPr>
        <w:tabs>
          <w:tab w:val="left" w:pos="480"/>
          <w:tab w:val="left" w:pos="1080"/>
        </w:tabs>
        <w:spacing w:line="360" w:lineRule="auto"/>
        <w:rPr>
          <w:color w:val="auto"/>
          <w:kern w:val="0"/>
          <w:sz w:val="24"/>
          <w:highlight w:val="none"/>
        </w:rPr>
      </w:pPr>
      <w:r>
        <w:rPr>
          <w:rFonts w:hint="eastAsia"/>
          <w:color w:val="auto"/>
          <w:kern w:val="0"/>
          <w:sz w:val="24"/>
          <w:highlight w:val="none"/>
        </w:rPr>
        <w:t>《废塑料污染控制技术规范》(HJ364-2022)；</w:t>
      </w:r>
    </w:p>
    <w:p>
      <w:pPr>
        <w:numPr>
          <w:ilvl w:val="0"/>
          <w:numId w:val="13"/>
        </w:numPr>
        <w:tabs>
          <w:tab w:val="left" w:pos="480"/>
          <w:tab w:val="left" w:pos="1080"/>
        </w:tabs>
        <w:spacing w:line="360" w:lineRule="auto"/>
        <w:rPr>
          <w:color w:val="auto"/>
          <w:kern w:val="0"/>
          <w:sz w:val="24"/>
          <w:highlight w:val="none"/>
        </w:rPr>
      </w:pPr>
      <w:r>
        <w:rPr>
          <w:color w:val="auto"/>
          <w:kern w:val="0"/>
          <w:sz w:val="24"/>
          <w:highlight w:val="none"/>
        </w:rPr>
        <w:t>《企业突发环境事件风险评估指南</w:t>
      </w:r>
      <w:r>
        <w:rPr>
          <w:rFonts w:hint="eastAsia"/>
          <w:color w:val="auto"/>
          <w:kern w:val="0"/>
          <w:sz w:val="24"/>
          <w:highlight w:val="none"/>
        </w:rPr>
        <w:t>(</w:t>
      </w:r>
      <w:r>
        <w:rPr>
          <w:color w:val="auto"/>
          <w:kern w:val="0"/>
          <w:sz w:val="24"/>
          <w:highlight w:val="none"/>
        </w:rPr>
        <w:t>试行</w:t>
      </w:r>
      <w:r>
        <w:rPr>
          <w:rFonts w:hint="eastAsia"/>
          <w:color w:val="auto"/>
          <w:kern w:val="0"/>
          <w:sz w:val="24"/>
          <w:highlight w:val="none"/>
        </w:rPr>
        <w:t>)</w:t>
      </w:r>
      <w:r>
        <w:rPr>
          <w:color w:val="auto"/>
          <w:kern w:val="0"/>
          <w:sz w:val="24"/>
          <w:highlight w:val="none"/>
        </w:rPr>
        <w:t>》（环办[2014]34号）；</w:t>
      </w:r>
    </w:p>
    <w:p>
      <w:pPr>
        <w:numPr>
          <w:ilvl w:val="0"/>
          <w:numId w:val="13"/>
        </w:numPr>
        <w:tabs>
          <w:tab w:val="left" w:pos="480"/>
          <w:tab w:val="left" w:pos="1080"/>
        </w:tabs>
        <w:spacing w:line="360" w:lineRule="auto"/>
        <w:rPr>
          <w:color w:val="auto"/>
          <w:kern w:val="0"/>
          <w:sz w:val="24"/>
          <w:highlight w:val="none"/>
        </w:rPr>
      </w:pPr>
      <w:r>
        <w:rPr>
          <w:color w:val="auto"/>
          <w:kern w:val="0"/>
          <w:sz w:val="24"/>
          <w:highlight w:val="none"/>
        </w:rPr>
        <w:t>《企业突发环境事件风险分级方法》</w:t>
      </w:r>
      <w:r>
        <w:rPr>
          <w:rFonts w:hint="eastAsia"/>
          <w:color w:val="auto"/>
          <w:kern w:val="0"/>
          <w:sz w:val="24"/>
          <w:highlight w:val="none"/>
        </w:rPr>
        <w:t>(</w:t>
      </w:r>
      <w:r>
        <w:rPr>
          <w:color w:val="auto"/>
          <w:kern w:val="0"/>
          <w:sz w:val="24"/>
          <w:highlight w:val="none"/>
        </w:rPr>
        <w:t>HJ 941-2018</w:t>
      </w:r>
      <w:r>
        <w:rPr>
          <w:rFonts w:hint="eastAsia"/>
          <w:color w:val="auto"/>
          <w:kern w:val="0"/>
          <w:sz w:val="24"/>
          <w:highlight w:val="none"/>
        </w:rPr>
        <w:t>)</w:t>
      </w:r>
      <w:r>
        <w:rPr>
          <w:color w:val="auto"/>
          <w:kern w:val="0"/>
          <w:sz w:val="24"/>
          <w:highlight w:val="none"/>
        </w:rPr>
        <w:t>；</w:t>
      </w:r>
    </w:p>
    <w:p>
      <w:pPr>
        <w:pStyle w:val="149"/>
        <w:numPr>
          <w:ilvl w:val="0"/>
          <w:numId w:val="13"/>
        </w:numPr>
        <w:tabs>
          <w:tab w:val="left" w:pos="0"/>
          <w:tab w:val="left" w:pos="1008"/>
        </w:tabs>
        <w:spacing w:beforeLines="0" w:afterLines="0" w:line="360" w:lineRule="auto"/>
        <w:ind w:leftChars="0" w:firstLineChars="0"/>
        <w:jc w:val="both"/>
        <w:textAlignment w:val="auto"/>
        <w:rPr>
          <w:rFonts w:ascii="Times New Roman" w:hAnsi="Times New Roman" w:eastAsia="宋体"/>
          <w:bCs w:val="0"/>
          <w:color w:val="auto"/>
          <w:highlight w:val="none"/>
          <w:u w:val="none"/>
        </w:rPr>
      </w:pPr>
      <w:r>
        <w:rPr>
          <w:rFonts w:ascii="Times New Roman" w:hAnsi="Times New Roman" w:eastAsia="宋体"/>
          <w:bCs w:val="0"/>
          <w:color w:val="auto"/>
          <w:highlight w:val="none"/>
          <w:u w:val="none"/>
        </w:rPr>
        <w:t>《大气污染治理工程技术导则》(HJ2000-2010)；</w:t>
      </w:r>
    </w:p>
    <w:p>
      <w:pPr>
        <w:pStyle w:val="149"/>
        <w:numPr>
          <w:ilvl w:val="0"/>
          <w:numId w:val="13"/>
        </w:numPr>
        <w:tabs>
          <w:tab w:val="left" w:pos="0"/>
          <w:tab w:val="left" w:pos="1008"/>
        </w:tabs>
        <w:spacing w:beforeLines="0" w:afterLines="0" w:line="360" w:lineRule="auto"/>
        <w:ind w:leftChars="0" w:firstLineChars="0"/>
        <w:jc w:val="both"/>
        <w:textAlignment w:val="auto"/>
        <w:rPr>
          <w:rFonts w:ascii="Times New Roman" w:hAnsi="Times New Roman" w:eastAsia="宋体"/>
          <w:bCs w:val="0"/>
          <w:color w:val="auto"/>
          <w:highlight w:val="none"/>
          <w:u w:val="none"/>
        </w:rPr>
      </w:pPr>
      <w:r>
        <w:rPr>
          <w:rFonts w:ascii="Times New Roman" w:hAnsi="Times New Roman" w:eastAsia="宋体"/>
          <w:bCs w:val="0"/>
          <w:color w:val="auto"/>
          <w:highlight w:val="none"/>
          <w:u w:val="none"/>
        </w:rPr>
        <w:t>《水污染治理工程技术导则》(HJ2015-2012)；</w:t>
      </w:r>
    </w:p>
    <w:p>
      <w:pPr>
        <w:pStyle w:val="149"/>
        <w:numPr>
          <w:ilvl w:val="0"/>
          <w:numId w:val="13"/>
        </w:numPr>
        <w:tabs>
          <w:tab w:val="left" w:pos="0"/>
          <w:tab w:val="left" w:pos="1008"/>
        </w:tabs>
        <w:spacing w:beforeLines="0" w:afterLines="0" w:line="360" w:lineRule="auto"/>
        <w:ind w:leftChars="0" w:firstLineChars="0"/>
        <w:jc w:val="both"/>
        <w:textAlignment w:val="auto"/>
        <w:rPr>
          <w:rFonts w:ascii="Times New Roman" w:hAnsi="Times New Roman" w:eastAsia="宋体"/>
          <w:bCs w:val="0"/>
          <w:color w:val="auto"/>
          <w:highlight w:val="none"/>
          <w:u w:val="none"/>
        </w:rPr>
      </w:pPr>
      <w:r>
        <w:rPr>
          <w:rFonts w:ascii="Times New Roman" w:hAnsi="Times New Roman" w:eastAsia="宋体"/>
          <w:bCs w:val="0"/>
          <w:color w:val="auto"/>
          <w:highlight w:val="none"/>
          <w:u w:val="none"/>
        </w:rPr>
        <w:t>《危险化学品目录(2015版)》；</w:t>
      </w:r>
    </w:p>
    <w:p>
      <w:pPr>
        <w:pStyle w:val="149"/>
        <w:numPr>
          <w:ilvl w:val="0"/>
          <w:numId w:val="13"/>
        </w:numPr>
        <w:tabs>
          <w:tab w:val="left" w:pos="1008"/>
        </w:tabs>
        <w:spacing w:beforeLines="0" w:afterLines="0" w:line="360" w:lineRule="auto"/>
        <w:ind w:leftChars="0" w:firstLineChars="0"/>
        <w:jc w:val="both"/>
        <w:textAlignment w:val="auto"/>
        <w:rPr>
          <w:rFonts w:ascii="Times New Roman" w:hAnsi="Times New Roman" w:eastAsia="宋体"/>
          <w:bCs w:val="0"/>
          <w:color w:val="auto"/>
          <w:kern w:val="2"/>
          <w:szCs w:val="24"/>
          <w:highlight w:val="none"/>
          <w:u w:val="none"/>
        </w:rPr>
      </w:pPr>
      <w:r>
        <w:rPr>
          <w:rFonts w:ascii="Times New Roman" w:hAnsi="Times New Roman" w:eastAsia="宋体"/>
          <w:bCs w:val="0"/>
          <w:color w:val="auto"/>
          <w:kern w:val="2"/>
          <w:szCs w:val="24"/>
          <w:highlight w:val="none"/>
          <w:u w:val="none"/>
        </w:rPr>
        <w:t>《国家危险废物名录(2021版)》；</w:t>
      </w:r>
    </w:p>
    <w:p>
      <w:pPr>
        <w:pStyle w:val="149"/>
        <w:numPr>
          <w:ilvl w:val="0"/>
          <w:numId w:val="13"/>
        </w:numPr>
        <w:tabs>
          <w:tab w:val="left" w:pos="1008"/>
        </w:tabs>
        <w:spacing w:beforeLines="0" w:afterLines="0" w:line="360" w:lineRule="auto"/>
        <w:ind w:leftChars="0" w:firstLineChars="0"/>
        <w:jc w:val="both"/>
        <w:textAlignment w:val="auto"/>
        <w:rPr>
          <w:rFonts w:ascii="Times New Roman" w:hAnsi="Times New Roman" w:eastAsia="宋体"/>
          <w:bCs w:val="0"/>
          <w:color w:val="auto"/>
          <w:kern w:val="2"/>
          <w:szCs w:val="24"/>
          <w:highlight w:val="none"/>
          <w:u w:val="none"/>
        </w:rPr>
      </w:pPr>
      <w:r>
        <w:rPr>
          <w:rFonts w:ascii="Times New Roman" w:hAnsi="Times New Roman" w:eastAsia="宋体"/>
          <w:bCs w:val="0"/>
          <w:color w:val="auto"/>
          <w:kern w:val="2"/>
          <w:szCs w:val="24"/>
          <w:highlight w:val="none"/>
          <w:u w:val="none"/>
        </w:rPr>
        <w:t>《有毒有害大气污染物名录</w:t>
      </w:r>
      <w:r>
        <w:rPr>
          <w:rFonts w:hint="eastAsia" w:ascii="Times New Roman" w:hAnsi="Times New Roman" w:eastAsia="宋体"/>
          <w:bCs w:val="0"/>
          <w:color w:val="auto"/>
          <w:kern w:val="2"/>
          <w:szCs w:val="24"/>
          <w:highlight w:val="none"/>
          <w:u w:val="none"/>
        </w:rPr>
        <w:t>(</w:t>
      </w:r>
      <w:r>
        <w:rPr>
          <w:rFonts w:ascii="Times New Roman" w:hAnsi="Times New Roman" w:eastAsia="宋体"/>
          <w:bCs w:val="0"/>
          <w:color w:val="auto"/>
          <w:kern w:val="2"/>
          <w:szCs w:val="24"/>
          <w:highlight w:val="none"/>
          <w:u w:val="none"/>
        </w:rPr>
        <w:t>2018年</w:t>
      </w:r>
      <w:r>
        <w:rPr>
          <w:rFonts w:hint="eastAsia" w:ascii="Times New Roman" w:hAnsi="Times New Roman" w:eastAsia="宋体"/>
          <w:bCs w:val="0"/>
          <w:color w:val="auto"/>
          <w:kern w:val="2"/>
          <w:szCs w:val="24"/>
          <w:highlight w:val="none"/>
          <w:u w:val="none"/>
        </w:rPr>
        <w:t>)</w:t>
      </w:r>
      <w:r>
        <w:rPr>
          <w:rFonts w:ascii="Times New Roman" w:hAnsi="Times New Roman" w:eastAsia="宋体"/>
          <w:bCs w:val="0"/>
          <w:color w:val="auto"/>
          <w:kern w:val="2"/>
          <w:szCs w:val="24"/>
          <w:highlight w:val="none"/>
          <w:u w:val="none"/>
        </w:rPr>
        <w:t>》</w:t>
      </w:r>
      <w:r>
        <w:rPr>
          <w:rFonts w:hint="eastAsia" w:ascii="Times New Roman" w:hAnsi="Times New Roman" w:eastAsia="宋体"/>
          <w:bCs w:val="0"/>
          <w:color w:val="auto"/>
          <w:kern w:val="2"/>
          <w:szCs w:val="24"/>
          <w:highlight w:val="none"/>
          <w:u w:val="none"/>
        </w:rPr>
        <w:t>(</w:t>
      </w:r>
      <w:r>
        <w:rPr>
          <w:rFonts w:ascii="Times New Roman" w:hAnsi="Times New Roman" w:eastAsia="宋体"/>
          <w:bCs w:val="0"/>
          <w:color w:val="auto"/>
          <w:kern w:val="2"/>
          <w:szCs w:val="24"/>
          <w:highlight w:val="none"/>
          <w:u w:val="none"/>
        </w:rPr>
        <w:t>生态环境部、卫生健康委公告2019年 第4号</w:t>
      </w:r>
      <w:r>
        <w:rPr>
          <w:rFonts w:hint="eastAsia" w:ascii="Times New Roman" w:hAnsi="Times New Roman" w:eastAsia="宋体"/>
          <w:bCs w:val="0"/>
          <w:color w:val="auto"/>
          <w:kern w:val="2"/>
          <w:szCs w:val="24"/>
          <w:highlight w:val="none"/>
          <w:u w:val="none"/>
        </w:rPr>
        <w:t>)</w:t>
      </w:r>
      <w:r>
        <w:rPr>
          <w:rFonts w:ascii="Times New Roman" w:hAnsi="Times New Roman" w:eastAsia="宋体"/>
          <w:bCs w:val="0"/>
          <w:color w:val="auto"/>
          <w:kern w:val="2"/>
          <w:szCs w:val="24"/>
          <w:highlight w:val="none"/>
          <w:u w:val="none"/>
        </w:rPr>
        <w:t>；</w:t>
      </w:r>
    </w:p>
    <w:p>
      <w:pPr>
        <w:pStyle w:val="149"/>
        <w:numPr>
          <w:ilvl w:val="0"/>
          <w:numId w:val="13"/>
        </w:numPr>
        <w:tabs>
          <w:tab w:val="left" w:pos="1008"/>
        </w:tabs>
        <w:spacing w:beforeLines="0" w:afterLines="0" w:line="360" w:lineRule="auto"/>
        <w:ind w:leftChars="0" w:firstLineChars="0"/>
        <w:jc w:val="both"/>
        <w:textAlignment w:val="auto"/>
        <w:rPr>
          <w:rFonts w:ascii="Times New Roman" w:hAnsi="Times New Roman" w:eastAsia="宋体"/>
          <w:bCs w:val="0"/>
          <w:color w:val="auto"/>
          <w:kern w:val="2"/>
          <w:szCs w:val="24"/>
          <w:highlight w:val="none"/>
          <w:u w:val="none"/>
        </w:rPr>
      </w:pPr>
      <w:r>
        <w:rPr>
          <w:rFonts w:ascii="Times New Roman" w:hAnsi="Times New Roman" w:eastAsia="宋体"/>
          <w:bCs w:val="0"/>
          <w:color w:val="auto"/>
          <w:kern w:val="2"/>
          <w:szCs w:val="24"/>
          <w:highlight w:val="none"/>
          <w:u w:val="none"/>
        </w:rPr>
        <w:t>《危险废物鉴别标准 通则》(GB 5085.7-2019)；</w:t>
      </w:r>
    </w:p>
    <w:p>
      <w:pPr>
        <w:pStyle w:val="149"/>
        <w:numPr>
          <w:ilvl w:val="0"/>
          <w:numId w:val="13"/>
        </w:numPr>
        <w:tabs>
          <w:tab w:val="left" w:pos="1008"/>
        </w:tabs>
        <w:spacing w:beforeLines="0" w:afterLines="0" w:line="360" w:lineRule="auto"/>
        <w:ind w:leftChars="0" w:firstLineChars="0"/>
        <w:jc w:val="both"/>
        <w:textAlignment w:val="auto"/>
        <w:rPr>
          <w:rFonts w:ascii="Times New Roman" w:hAnsi="Times New Roman" w:eastAsia="宋体"/>
          <w:bCs w:val="0"/>
          <w:color w:val="auto"/>
          <w:kern w:val="2"/>
          <w:szCs w:val="24"/>
          <w:highlight w:val="none"/>
          <w:u w:val="none"/>
        </w:rPr>
      </w:pPr>
      <w:r>
        <w:rPr>
          <w:rFonts w:ascii="Times New Roman" w:hAnsi="Times New Roman" w:eastAsia="宋体"/>
          <w:bCs w:val="0"/>
          <w:color w:val="auto"/>
          <w:kern w:val="2"/>
          <w:szCs w:val="24"/>
          <w:highlight w:val="none"/>
          <w:u w:val="none"/>
        </w:rPr>
        <w:t>《危险废物污染防治技术政策》；</w:t>
      </w:r>
    </w:p>
    <w:p>
      <w:pPr>
        <w:numPr>
          <w:ilvl w:val="0"/>
          <w:numId w:val="13"/>
        </w:numPr>
        <w:tabs>
          <w:tab w:val="left" w:pos="480"/>
          <w:tab w:val="left" w:pos="1080"/>
        </w:tabs>
        <w:spacing w:line="360" w:lineRule="auto"/>
        <w:rPr>
          <w:color w:val="auto"/>
          <w:kern w:val="0"/>
          <w:sz w:val="24"/>
          <w:highlight w:val="none"/>
        </w:rPr>
      </w:pPr>
      <w:r>
        <w:rPr>
          <w:color w:val="auto"/>
          <w:kern w:val="0"/>
          <w:sz w:val="24"/>
          <w:highlight w:val="none"/>
        </w:rPr>
        <w:t>《危险废物收集 贮存 运输技术规范》(HJ 2025-2012)</w:t>
      </w:r>
      <w:r>
        <w:rPr>
          <w:rFonts w:hint="eastAsia"/>
          <w:color w:val="auto"/>
          <w:kern w:val="0"/>
          <w:sz w:val="24"/>
          <w:highlight w:val="none"/>
          <w:lang w:eastAsia="zh-CN"/>
        </w:rPr>
        <w:t>；</w:t>
      </w:r>
    </w:p>
    <w:p>
      <w:pPr>
        <w:numPr>
          <w:ilvl w:val="0"/>
          <w:numId w:val="13"/>
        </w:numPr>
        <w:tabs>
          <w:tab w:val="left" w:pos="1008"/>
        </w:tabs>
        <w:adjustRightInd w:val="0"/>
        <w:spacing w:line="360" w:lineRule="auto"/>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《工业企业土壤和地下水自行监测技术指南》(HJ1209-2021)</w:t>
      </w:r>
      <w:r>
        <w:rPr>
          <w:rFonts w:hint="eastAsia" w:ascii="Times New Roman" w:hAnsi="Times New Roman" w:eastAsia="宋体" w:cs="Times New Roman"/>
          <w:color w:val="auto"/>
          <w:sz w:val="24"/>
          <w:highlight w:val="none"/>
          <w:lang w:eastAsia="zh-CN"/>
        </w:rPr>
        <w:t>；</w:t>
      </w:r>
    </w:p>
    <w:p>
      <w:pPr>
        <w:numPr>
          <w:ilvl w:val="0"/>
          <w:numId w:val="13"/>
        </w:numPr>
        <w:tabs>
          <w:tab w:val="left" w:pos="1008"/>
        </w:tabs>
        <w:adjustRightInd w:val="0"/>
        <w:spacing w:line="360" w:lineRule="auto"/>
        <w:rPr>
          <w:color w:val="auto"/>
          <w:kern w:val="0"/>
          <w:sz w:val="24"/>
          <w:highlight w:val="none"/>
        </w:rPr>
      </w:pPr>
      <w:r>
        <w:rPr>
          <w:rFonts w:hint="eastAsia" w:ascii="Times New Roman" w:hAnsi="Times New Roman" w:eastAsia="宋体" w:cs="Times New Roman"/>
          <w:color w:val="auto"/>
          <w:sz w:val="24"/>
          <w:highlight w:val="none"/>
          <w:lang w:eastAsia="zh-CN"/>
        </w:rPr>
        <w:t>《突发环境事件应急监测技术规范》（HJ 589-2021）。</w:t>
      </w:r>
    </w:p>
    <w:p>
      <w:pPr>
        <w:pStyle w:val="9"/>
        <w:spacing w:before="78" w:beforeLines="25" w:after="0" w:line="360" w:lineRule="auto"/>
        <w:rPr>
          <w:rFonts w:eastAsia="黑体"/>
          <w:b w:val="0"/>
          <w:color w:val="auto"/>
          <w:sz w:val="24"/>
          <w:szCs w:val="24"/>
          <w:highlight w:val="none"/>
        </w:rPr>
      </w:pPr>
      <w:bookmarkStart w:id="32" w:name="_Toc438043113"/>
      <w:bookmarkStart w:id="33" w:name="_Toc438043781"/>
      <w:r>
        <w:rPr>
          <w:rFonts w:eastAsia="黑体"/>
          <w:b w:val="0"/>
          <w:color w:val="auto"/>
          <w:sz w:val="24"/>
          <w:szCs w:val="24"/>
          <w:highlight w:val="none"/>
        </w:rPr>
        <w:t>1.1.8 项目相关技术资料依据</w:t>
      </w:r>
      <w:bookmarkEnd w:id="32"/>
      <w:bookmarkEnd w:id="33"/>
    </w:p>
    <w:p>
      <w:pPr>
        <w:pStyle w:val="149"/>
        <w:numPr>
          <w:ilvl w:val="0"/>
          <w:numId w:val="14"/>
        </w:numPr>
        <w:tabs>
          <w:tab w:val="left" w:pos="0"/>
          <w:tab w:val="left" w:pos="1008"/>
        </w:tabs>
        <w:spacing w:beforeLines="0" w:afterLines="0" w:line="360" w:lineRule="auto"/>
        <w:ind w:leftChars="0" w:firstLineChars="0"/>
        <w:jc w:val="both"/>
        <w:textAlignment w:val="auto"/>
        <w:rPr>
          <w:rFonts w:ascii="Times New Roman" w:hAnsi="Times New Roman" w:eastAsia="宋体"/>
          <w:bCs w:val="0"/>
          <w:color w:val="auto"/>
          <w:kern w:val="2"/>
          <w:szCs w:val="24"/>
          <w:highlight w:val="none"/>
          <w:u w:val="none"/>
        </w:rPr>
      </w:pPr>
      <w:r>
        <w:rPr>
          <w:rFonts w:ascii="Times New Roman" w:hAnsi="Times New Roman" w:eastAsia="宋体"/>
          <w:bCs w:val="0"/>
          <w:color w:val="auto"/>
          <w:kern w:val="2"/>
          <w:szCs w:val="24"/>
          <w:highlight w:val="none"/>
          <w:u w:val="none"/>
        </w:rPr>
        <w:t>《</w:t>
      </w:r>
      <w:bookmarkStart w:id="34" w:name="_Hlk96241427"/>
      <w:r>
        <w:rPr>
          <w:rFonts w:hint="eastAsia" w:ascii="Times New Roman" w:hAnsi="Times New Roman" w:eastAsia="宋体"/>
          <w:bCs w:val="0"/>
          <w:color w:val="auto"/>
          <w:kern w:val="2"/>
          <w:szCs w:val="24"/>
          <w:highlight w:val="none"/>
          <w:u w:val="none"/>
        </w:rPr>
        <w:t>山东付新环保科技有限公司</w:t>
      </w:r>
      <w:bookmarkEnd w:id="34"/>
      <w:r>
        <w:rPr>
          <w:rFonts w:hint="eastAsia" w:ascii="Times New Roman" w:hAnsi="Times New Roman" w:eastAsia="宋体"/>
          <w:bCs w:val="0"/>
          <w:color w:val="auto"/>
          <w:kern w:val="2"/>
          <w:szCs w:val="24"/>
          <w:highlight w:val="none"/>
          <w:u w:val="none"/>
        </w:rPr>
        <w:t>绿色高性能复合管项目</w:t>
      </w:r>
      <w:r>
        <w:rPr>
          <w:rFonts w:ascii="Times New Roman" w:hAnsi="Times New Roman" w:eastAsia="宋体"/>
          <w:bCs w:val="0"/>
          <w:color w:val="auto"/>
          <w:kern w:val="2"/>
          <w:szCs w:val="24"/>
          <w:highlight w:val="none"/>
          <w:u w:val="none"/>
        </w:rPr>
        <w:t>环境影响评价委托书》，202</w:t>
      </w:r>
      <w:r>
        <w:rPr>
          <w:rFonts w:hint="eastAsia" w:ascii="Times New Roman" w:hAnsi="Times New Roman" w:eastAsia="宋体"/>
          <w:bCs w:val="0"/>
          <w:color w:val="auto"/>
          <w:kern w:val="2"/>
          <w:szCs w:val="24"/>
          <w:highlight w:val="none"/>
          <w:u w:val="none"/>
        </w:rPr>
        <w:t>2</w:t>
      </w:r>
      <w:r>
        <w:rPr>
          <w:rFonts w:ascii="Times New Roman" w:hAnsi="Times New Roman" w:eastAsia="宋体"/>
          <w:bCs w:val="0"/>
          <w:color w:val="auto"/>
          <w:kern w:val="2"/>
          <w:szCs w:val="24"/>
          <w:highlight w:val="none"/>
          <w:u w:val="none"/>
        </w:rPr>
        <w:t>年</w:t>
      </w:r>
      <w:r>
        <w:rPr>
          <w:rFonts w:hint="eastAsia" w:ascii="Times New Roman" w:hAnsi="Times New Roman" w:eastAsia="宋体"/>
          <w:bCs w:val="0"/>
          <w:color w:val="auto"/>
          <w:kern w:val="2"/>
          <w:szCs w:val="24"/>
          <w:highlight w:val="none"/>
          <w:u w:val="none"/>
        </w:rPr>
        <w:t>6</w:t>
      </w:r>
      <w:r>
        <w:rPr>
          <w:rFonts w:ascii="Times New Roman" w:hAnsi="Times New Roman" w:eastAsia="宋体"/>
          <w:bCs w:val="0"/>
          <w:color w:val="auto"/>
          <w:kern w:val="2"/>
          <w:szCs w:val="24"/>
          <w:highlight w:val="none"/>
          <w:u w:val="none"/>
        </w:rPr>
        <w:t>月22日；</w:t>
      </w:r>
    </w:p>
    <w:p>
      <w:pPr>
        <w:pStyle w:val="149"/>
        <w:numPr>
          <w:ilvl w:val="0"/>
          <w:numId w:val="14"/>
        </w:numPr>
        <w:tabs>
          <w:tab w:val="left" w:pos="0"/>
          <w:tab w:val="left" w:pos="1008"/>
        </w:tabs>
        <w:spacing w:beforeLines="0" w:afterLines="0" w:line="360" w:lineRule="auto"/>
        <w:ind w:leftChars="0" w:firstLineChars="0"/>
        <w:jc w:val="both"/>
        <w:textAlignment w:val="auto"/>
        <w:rPr>
          <w:rFonts w:ascii="Times New Roman" w:hAnsi="Times New Roman" w:eastAsia="宋体"/>
          <w:bCs w:val="0"/>
          <w:color w:val="auto"/>
          <w:kern w:val="2"/>
          <w:szCs w:val="24"/>
          <w:highlight w:val="none"/>
          <w:u w:val="none"/>
        </w:rPr>
      </w:pPr>
      <w:r>
        <w:rPr>
          <w:rFonts w:ascii="Times New Roman" w:hAnsi="Times New Roman" w:eastAsia="宋体"/>
          <w:bCs w:val="0"/>
          <w:color w:val="auto"/>
          <w:kern w:val="2"/>
          <w:szCs w:val="24"/>
          <w:highlight w:val="none"/>
          <w:u w:val="none"/>
        </w:rPr>
        <w:t>《</w:t>
      </w:r>
      <w:r>
        <w:rPr>
          <w:rFonts w:hint="eastAsia" w:ascii="Times New Roman" w:hAnsi="Times New Roman" w:eastAsia="宋体"/>
          <w:bCs w:val="0"/>
          <w:color w:val="auto"/>
          <w:kern w:val="2"/>
          <w:szCs w:val="24"/>
          <w:highlight w:val="none"/>
          <w:u w:val="none"/>
        </w:rPr>
        <w:t>山东付新环保科技有限公司绿色高性能复合管项目</w:t>
      </w:r>
      <w:r>
        <w:rPr>
          <w:rFonts w:hint="eastAsia" w:ascii="Times New Roman" w:hAnsi="Times New Roman" w:eastAsia="宋体"/>
          <w:bCs w:val="0"/>
          <w:color w:val="auto"/>
          <w:kern w:val="2"/>
          <w:szCs w:val="24"/>
          <w:highlight w:val="none"/>
          <w:u w:val="none"/>
          <w:lang w:val="en-US" w:eastAsia="zh-CN"/>
        </w:rPr>
        <w:t>备案证明</w:t>
      </w:r>
      <w:r>
        <w:rPr>
          <w:rFonts w:ascii="Times New Roman" w:hAnsi="Times New Roman" w:eastAsia="宋体"/>
          <w:bCs w:val="0"/>
          <w:color w:val="auto"/>
          <w:kern w:val="2"/>
          <w:szCs w:val="24"/>
          <w:highlight w:val="none"/>
          <w:u w:val="none"/>
        </w:rPr>
        <w:t>》，202</w:t>
      </w:r>
      <w:r>
        <w:rPr>
          <w:rFonts w:hint="eastAsia" w:ascii="Times New Roman" w:hAnsi="Times New Roman" w:eastAsia="宋体"/>
          <w:bCs w:val="0"/>
          <w:color w:val="auto"/>
          <w:kern w:val="2"/>
          <w:szCs w:val="24"/>
          <w:highlight w:val="none"/>
          <w:u w:val="none"/>
        </w:rPr>
        <w:t>2</w:t>
      </w:r>
      <w:r>
        <w:rPr>
          <w:rFonts w:ascii="Times New Roman" w:hAnsi="Times New Roman" w:eastAsia="宋体"/>
          <w:bCs w:val="0"/>
          <w:color w:val="auto"/>
          <w:kern w:val="2"/>
          <w:szCs w:val="24"/>
          <w:highlight w:val="none"/>
          <w:u w:val="none"/>
        </w:rPr>
        <w:t>年</w:t>
      </w:r>
      <w:r>
        <w:rPr>
          <w:rFonts w:hint="eastAsia" w:ascii="Times New Roman" w:hAnsi="Times New Roman" w:eastAsia="宋体"/>
          <w:bCs w:val="0"/>
          <w:color w:val="auto"/>
          <w:kern w:val="2"/>
          <w:szCs w:val="24"/>
          <w:highlight w:val="none"/>
          <w:u w:val="none"/>
        </w:rPr>
        <w:t>6</w:t>
      </w:r>
      <w:r>
        <w:rPr>
          <w:rFonts w:ascii="Times New Roman" w:hAnsi="Times New Roman" w:eastAsia="宋体"/>
          <w:bCs w:val="0"/>
          <w:color w:val="auto"/>
          <w:kern w:val="2"/>
          <w:szCs w:val="24"/>
          <w:highlight w:val="none"/>
          <w:u w:val="none"/>
        </w:rPr>
        <w:t>月；</w:t>
      </w:r>
    </w:p>
    <w:p>
      <w:pPr>
        <w:pStyle w:val="149"/>
        <w:numPr>
          <w:ilvl w:val="0"/>
          <w:numId w:val="14"/>
        </w:numPr>
        <w:tabs>
          <w:tab w:val="left" w:pos="0"/>
          <w:tab w:val="left" w:pos="1008"/>
        </w:tabs>
        <w:spacing w:beforeLines="0" w:afterLines="0" w:line="360" w:lineRule="auto"/>
        <w:ind w:leftChars="0" w:firstLineChars="0"/>
        <w:jc w:val="both"/>
        <w:textAlignment w:val="auto"/>
        <w:rPr>
          <w:rFonts w:ascii="Times New Roman" w:hAnsi="Times New Roman" w:eastAsia="宋体"/>
          <w:bCs w:val="0"/>
          <w:color w:val="auto"/>
          <w:kern w:val="2"/>
          <w:szCs w:val="24"/>
          <w:highlight w:val="none"/>
          <w:u w:val="none"/>
        </w:rPr>
      </w:pPr>
      <w:r>
        <w:rPr>
          <w:rFonts w:ascii="Times New Roman" w:hAnsi="Times New Roman" w:eastAsia="宋体"/>
          <w:bCs w:val="0"/>
          <w:color w:val="auto"/>
          <w:kern w:val="2"/>
          <w:szCs w:val="24"/>
          <w:highlight w:val="none"/>
          <w:u w:val="none"/>
        </w:rPr>
        <w:t>《关于</w:t>
      </w:r>
      <w:r>
        <w:rPr>
          <w:rFonts w:hint="eastAsia" w:ascii="Times New Roman" w:hAnsi="Times New Roman" w:eastAsia="宋体"/>
          <w:bCs w:val="0"/>
          <w:color w:val="auto"/>
          <w:kern w:val="2"/>
          <w:szCs w:val="24"/>
          <w:highlight w:val="none"/>
          <w:u w:val="none"/>
        </w:rPr>
        <w:t>山东付新环保科技有限公司绿色高性能复合管项目</w:t>
      </w:r>
      <w:r>
        <w:rPr>
          <w:rFonts w:ascii="Times New Roman" w:hAnsi="Times New Roman" w:eastAsia="宋体"/>
          <w:bCs w:val="0"/>
          <w:color w:val="auto"/>
          <w:kern w:val="2"/>
          <w:szCs w:val="24"/>
          <w:highlight w:val="none"/>
          <w:u w:val="none"/>
        </w:rPr>
        <w:t>环境影响评价执行标准的意见》，枣庄市生态环境局</w:t>
      </w:r>
      <w:r>
        <w:rPr>
          <w:rFonts w:hint="eastAsia" w:ascii="Times New Roman" w:hAnsi="Times New Roman" w:eastAsia="宋体"/>
          <w:bCs w:val="0"/>
          <w:color w:val="auto"/>
          <w:kern w:val="2"/>
          <w:szCs w:val="24"/>
          <w:highlight w:val="none"/>
          <w:u w:val="none"/>
        </w:rPr>
        <w:t>峄城</w:t>
      </w:r>
      <w:r>
        <w:rPr>
          <w:rFonts w:ascii="Times New Roman" w:hAnsi="Times New Roman" w:eastAsia="宋体"/>
          <w:bCs w:val="0"/>
          <w:color w:val="auto"/>
          <w:kern w:val="2"/>
          <w:szCs w:val="24"/>
          <w:highlight w:val="none"/>
          <w:u w:val="none"/>
        </w:rPr>
        <w:t>分局，202</w:t>
      </w:r>
      <w:r>
        <w:rPr>
          <w:rFonts w:hint="eastAsia" w:ascii="Times New Roman" w:hAnsi="Times New Roman" w:eastAsia="宋体"/>
          <w:bCs w:val="0"/>
          <w:color w:val="auto"/>
          <w:kern w:val="2"/>
          <w:szCs w:val="24"/>
          <w:highlight w:val="none"/>
          <w:u w:val="none"/>
        </w:rPr>
        <w:t>2</w:t>
      </w:r>
      <w:r>
        <w:rPr>
          <w:rFonts w:ascii="Times New Roman" w:hAnsi="Times New Roman" w:eastAsia="宋体"/>
          <w:bCs w:val="0"/>
          <w:color w:val="auto"/>
          <w:kern w:val="2"/>
          <w:szCs w:val="24"/>
          <w:highlight w:val="none"/>
          <w:u w:val="none"/>
        </w:rPr>
        <w:t>年</w:t>
      </w:r>
      <w:r>
        <w:rPr>
          <w:rFonts w:hint="eastAsia" w:ascii="Times New Roman" w:hAnsi="Times New Roman" w:eastAsia="宋体"/>
          <w:bCs w:val="0"/>
          <w:color w:val="auto"/>
          <w:kern w:val="2"/>
          <w:szCs w:val="24"/>
          <w:highlight w:val="none"/>
          <w:u w:val="none"/>
          <w:lang w:val="en-US" w:eastAsia="zh-CN"/>
        </w:rPr>
        <w:t>11</w:t>
      </w:r>
      <w:r>
        <w:rPr>
          <w:rFonts w:ascii="Times New Roman" w:hAnsi="Times New Roman" w:eastAsia="宋体"/>
          <w:bCs w:val="0"/>
          <w:color w:val="auto"/>
          <w:kern w:val="2"/>
          <w:szCs w:val="24"/>
          <w:highlight w:val="none"/>
          <w:u w:val="none"/>
        </w:rPr>
        <w:t>月；</w:t>
      </w:r>
    </w:p>
    <w:p>
      <w:pPr>
        <w:numPr>
          <w:ilvl w:val="0"/>
          <w:numId w:val="14"/>
        </w:numPr>
        <w:spacing w:line="360" w:lineRule="auto"/>
        <w:rPr>
          <w:color w:val="auto"/>
          <w:sz w:val="24"/>
          <w:highlight w:val="none"/>
        </w:rPr>
      </w:pPr>
      <w:r>
        <w:rPr>
          <w:rFonts w:hint="eastAsia"/>
          <w:color w:val="auto"/>
          <w:sz w:val="24"/>
          <w:highlight w:val="none"/>
        </w:rPr>
        <w:t>环境</w:t>
      </w:r>
      <w:r>
        <w:rPr>
          <w:color w:val="auto"/>
          <w:sz w:val="24"/>
          <w:highlight w:val="none"/>
        </w:rPr>
        <w:t>检测报告，</w:t>
      </w:r>
      <w:r>
        <w:rPr>
          <w:rFonts w:hint="eastAsia"/>
          <w:color w:val="auto"/>
          <w:sz w:val="24"/>
          <w:highlight w:val="none"/>
        </w:rPr>
        <w:t>山东宜维检测有限公司</w:t>
      </w:r>
      <w:r>
        <w:rPr>
          <w:color w:val="auto"/>
          <w:sz w:val="24"/>
          <w:highlight w:val="none"/>
        </w:rPr>
        <w:t>，202</w:t>
      </w:r>
      <w:r>
        <w:rPr>
          <w:rFonts w:hint="eastAsia"/>
          <w:color w:val="auto"/>
          <w:sz w:val="24"/>
          <w:highlight w:val="none"/>
        </w:rPr>
        <w:t>2</w:t>
      </w:r>
      <w:r>
        <w:rPr>
          <w:color w:val="auto"/>
          <w:sz w:val="24"/>
          <w:highlight w:val="none"/>
        </w:rPr>
        <w:t>年</w:t>
      </w:r>
      <w:r>
        <w:rPr>
          <w:rFonts w:hint="eastAsia"/>
          <w:color w:val="auto"/>
          <w:sz w:val="24"/>
          <w:highlight w:val="none"/>
        </w:rPr>
        <w:t>7</w:t>
      </w:r>
      <w:r>
        <w:rPr>
          <w:color w:val="auto"/>
          <w:sz w:val="24"/>
          <w:highlight w:val="none"/>
        </w:rPr>
        <w:t>月。</w:t>
      </w:r>
    </w:p>
    <w:p>
      <w:pPr>
        <w:pStyle w:val="100"/>
        <w:spacing w:before="109" w:beforeLines="35"/>
        <w:rPr>
          <w:rFonts w:ascii="Times New Roman" w:hAnsi="Times New Roman"/>
          <w:color w:val="auto"/>
          <w:highlight w:val="none"/>
        </w:rPr>
      </w:pPr>
      <w:bookmarkStart w:id="35" w:name="_Toc319092746"/>
      <w:bookmarkStart w:id="36" w:name="_Toc401277255"/>
      <w:bookmarkStart w:id="37" w:name="_Toc54732718"/>
      <w:bookmarkStart w:id="38" w:name="_Toc66281267"/>
      <w:bookmarkStart w:id="39" w:name="_Toc30951749"/>
      <w:bookmarkStart w:id="40" w:name="_Toc508700043"/>
      <w:bookmarkStart w:id="41" w:name="_Toc370896304"/>
      <w:bookmarkStart w:id="42" w:name="_Toc33984718"/>
      <w:bookmarkStart w:id="43" w:name="_Toc319092660"/>
      <w:bookmarkStart w:id="44" w:name="_Toc23015"/>
      <w:bookmarkStart w:id="45" w:name="_Toc6752343"/>
      <w:bookmarkStart w:id="46" w:name="_Toc283890605"/>
      <w:r>
        <w:rPr>
          <w:rFonts w:ascii="Times New Roman" w:hAnsi="Times New Roman"/>
          <w:color w:val="auto"/>
          <w:highlight w:val="none"/>
        </w:rPr>
        <w:t>1.2 评价原则、目的、指导思想与评价重点</w:t>
      </w:r>
      <w:bookmarkEnd w:id="35"/>
      <w:bookmarkEnd w:id="36"/>
      <w:bookmarkEnd w:id="37"/>
      <w:bookmarkEnd w:id="38"/>
      <w:bookmarkEnd w:id="39"/>
      <w:bookmarkEnd w:id="40"/>
      <w:bookmarkEnd w:id="41"/>
      <w:bookmarkEnd w:id="42"/>
      <w:bookmarkEnd w:id="43"/>
      <w:bookmarkEnd w:id="44"/>
      <w:bookmarkEnd w:id="45"/>
      <w:bookmarkEnd w:id="46"/>
    </w:p>
    <w:p>
      <w:pPr>
        <w:keepNext/>
        <w:keepLines/>
        <w:spacing w:before="93" w:beforeLines="30" w:line="360" w:lineRule="auto"/>
        <w:outlineLvl w:val="2"/>
        <w:rPr>
          <w:rFonts w:eastAsia="黑体"/>
          <w:bCs/>
          <w:color w:val="auto"/>
          <w:sz w:val="24"/>
          <w:szCs w:val="32"/>
          <w:highlight w:val="none"/>
        </w:rPr>
      </w:pPr>
      <w:r>
        <w:rPr>
          <w:rFonts w:eastAsia="黑体"/>
          <w:bCs/>
          <w:color w:val="auto"/>
          <w:sz w:val="24"/>
          <w:szCs w:val="32"/>
          <w:highlight w:val="none"/>
        </w:rPr>
        <w:t>1.2.1 评价原则</w:t>
      </w:r>
    </w:p>
    <w:p>
      <w:pPr>
        <w:spacing w:line="360" w:lineRule="auto"/>
        <w:ind w:firstLine="480" w:firstLineChars="200"/>
        <w:rPr>
          <w:color w:val="auto"/>
          <w:sz w:val="24"/>
          <w:highlight w:val="none"/>
        </w:rPr>
      </w:pPr>
      <w:r>
        <w:rPr>
          <w:color w:val="auto"/>
          <w:sz w:val="24"/>
          <w:highlight w:val="none"/>
        </w:rPr>
        <w:t>(1) 严格执行国家环保部“总量控制”、“源头控制”的要求，以“清洁生产”为纲，将“达标排放、清洁生产、节约用水、总量控制”原则贯彻于整个环评工作的始终。</w:t>
      </w:r>
    </w:p>
    <w:p>
      <w:pPr>
        <w:spacing w:line="360" w:lineRule="auto"/>
        <w:ind w:firstLine="480" w:firstLineChars="200"/>
        <w:rPr>
          <w:color w:val="auto"/>
          <w:sz w:val="24"/>
          <w:highlight w:val="none"/>
        </w:rPr>
      </w:pPr>
      <w:r>
        <w:rPr>
          <w:color w:val="auto"/>
          <w:sz w:val="24"/>
          <w:highlight w:val="none"/>
        </w:rPr>
        <w:t>(2) 本评价力争做到评价工作重点突出、内容具体、真实客观，最终得出的评价结论明确可信，提出的污染防治措施具有可操作性和实用性。</w:t>
      </w:r>
    </w:p>
    <w:p>
      <w:pPr>
        <w:spacing w:line="360" w:lineRule="auto"/>
        <w:ind w:firstLine="480" w:firstLineChars="200"/>
        <w:rPr>
          <w:color w:val="auto"/>
          <w:sz w:val="24"/>
          <w:highlight w:val="none"/>
        </w:rPr>
      </w:pPr>
      <w:r>
        <w:rPr>
          <w:color w:val="auto"/>
          <w:sz w:val="24"/>
          <w:highlight w:val="none"/>
        </w:rPr>
        <w:t>(3) 对本项目排放的废水、废气、固废、噪声等进行详细分析，采用一图一表的方式给出污染流程，按照“清污分流”、“一水多用”的原则，做好水平衡分析，落实各项污染治理措施，分析稳定排放的可行性和可靠性。</w:t>
      </w:r>
    </w:p>
    <w:p>
      <w:pPr>
        <w:spacing w:line="360" w:lineRule="auto"/>
        <w:ind w:firstLine="480" w:firstLineChars="200"/>
        <w:rPr>
          <w:color w:val="auto"/>
          <w:sz w:val="24"/>
          <w:highlight w:val="none"/>
        </w:rPr>
      </w:pPr>
      <w:r>
        <w:rPr>
          <w:color w:val="auto"/>
          <w:sz w:val="24"/>
          <w:highlight w:val="none"/>
        </w:rPr>
        <w:t>(4) 坚持针对性、科学性和实用性原则，对该建设项目可能产生的环境影响及危害给出客观而公正的评价。</w:t>
      </w:r>
    </w:p>
    <w:p>
      <w:pPr>
        <w:spacing w:line="360" w:lineRule="auto"/>
        <w:ind w:firstLine="480" w:firstLineChars="200"/>
        <w:rPr>
          <w:color w:val="auto"/>
          <w:sz w:val="24"/>
          <w:highlight w:val="none"/>
        </w:rPr>
      </w:pPr>
      <w:r>
        <w:rPr>
          <w:color w:val="auto"/>
          <w:sz w:val="24"/>
          <w:highlight w:val="none"/>
        </w:rPr>
        <w:t>(5) 从环境保护角度论证项目的可行性，并提出污染防治措施和建议，为本项目环境保护计划的实施及管理部门的决策提供依据，实现项目的经济效益、社会效益和环境效益的统一。</w:t>
      </w:r>
    </w:p>
    <w:p>
      <w:pPr>
        <w:pStyle w:val="9"/>
        <w:spacing w:before="78" w:beforeLines="25" w:after="0" w:line="360" w:lineRule="auto"/>
        <w:rPr>
          <w:rFonts w:eastAsia="黑体"/>
          <w:b w:val="0"/>
          <w:color w:val="auto"/>
          <w:sz w:val="24"/>
          <w:szCs w:val="24"/>
          <w:highlight w:val="none"/>
        </w:rPr>
      </w:pPr>
      <w:bookmarkStart w:id="47" w:name="_Toc438043783"/>
      <w:r>
        <w:rPr>
          <w:rFonts w:eastAsia="黑体"/>
          <w:b w:val="0"/>
          <w:color w:val="auto"/>
          <w:sz w:val="24"/>
          <w:szCs w:val="24"/>
          <w:highlight w:val="none"/>
        </w:rPr>
        <w:t>1.2.2 评价目的</w:t>
      </w:r>
      <w:bookmarkEnd w:id="47"/>
    </w:p>
    <w:p>
      <w:pPr>
        <w:pStyle w:val="50"/>
        <w:spacing w:after="0" w:line="360" w:lineRule="auto"/>
        <w:ind w:left="0" w:leftChars="0" w:firstLine="480" w:firstLineChars="200"/>
        <w:rPr>
          <w:rFonts w:ascii="Times New Roman" w:hAnsi="Times New Roman"/>
          <w:color w:val="auto"/>
          <w:sz w:val="24"/>
          <w:highlight w:val="none"/>
        </w:rPr>
      </w:pPr>
      <w:r>
        <w:rPr>
          <w:rFonts w:ascii="Times New Roman" w:hAnsi="Times New Roman"/>
          <w:color w:val="auto"/>
          <w:sz w:val="24"/>
          <w:highlight w:val="none"/>
        </w:rPr>
        <w:t>环境影响评价的目的是通过对项目所在区域大气、地表水、噪声环境现状监测与评价</w:t>
      </w:r>
      <w:r>
        <w:rPr>
          <w:rFonts w:ascii="Times New Roman" w:hAnsi="Times New Roman"/>
          <w:color w:val="auto"/>
          <w:sz w:val="24"/>
          <w:szCs w:val="24"/>
          <w:highlight w:val="none"/>
        </w:rPr>
        <w:t>，查明该区域内的环境质量现状；分析本项目排污环节，评价项目实施过程对周围环境可能产生影响的范围和程度，尤其对敏感区的影响；分析项目选址的环境可行性，从技术、经济、环境损益角度分析，评价建设项目环保措施的可行性，提出切</w:t>
      </w:r>
      <w:r>
        <w:rPr>
          <w:rFonts w:ascii="Times New Roman" w:hAnsi="Times New Roman"/>
          <w:color w:val="auto"/>
          <w:sz w:val="24"/>
          <w:highlight w:val="none"/>
        </w:rPr>
        <w:t>实可行的污染防治对策，达到减少污染、保护环境目的，为项目环境管理和环保设计提供科学依据。</w:t>
      </w:r>
    </w:p>
    <w:p>
      <w:pPr>
        <w:pStyle w:val="102"/>
        <w:ind w:firstLine="480"/>
        <w:rPr>
          <w:color w:val="auto"/>
          <w:highlight w:val="none"/>
        </w:rPr>
      </w:pPr>
      <w:r>
        <w:rPr>
          <w:color w:val="auto"/>
          <w:highlight w:val="none"/>
        </w:rPr>
        <w:t>(1) 根据建设项目的特点，开展建设项目所在地的自然环境、社会环境调查和环境质量现状的监测，确定环境评价的主要保护目标和评价重点；</w:t>
      </w:r>
    </w:p>
    <w:p>
      <w:pPr>
        <w:pStyle w:val="102"/>
        <w:ind w:firstLine="480"/>
        <w:rPr>
          <w:color w:val="auto"/>
          <w:highlight w:val="none"/>
        </w:rPr>
      </w:pPr>
      <w:r>
        <w:rPr>
          <w:color w:val="auto"/>
          <w:highlight w:val="none"/>
        </w:rPr>
        <w:t>(2) 对建设项目的工程内容进行分析，掌握对环境产生的不利影响，确定污染源和潜在污染因素，预测本项目污染物的排放量；</w:t>
      </w:r>
    </w:p>
    <w:p>
      <w:pPr>
        <w:pStyle w:val="102"/>
        <w:ind w:firstLine="480"/>
        <w:rPr>
          <w:color w:val="auto"/>
          <w:highlight w:val="none"/>
        </w:rPr>
      </w:pPr>
      <w:r>
        <w:rPr>
          <w:color w:val="auto"/>
          <w:highlight w:val="none"/>
        </w:rPr>
        <w:t>(3) 对建设项目在运营期造成的环境影响进行评价，确定影响范围和程度，提出相应的防范措施，并计算出本项目污染物的允许排放总量；</w:t>
      </w:r>
    </w:p>
    <w:p>
      <w:pPr>
        <w:pStyle w:val="102"/>
        <w:ind w:firstLine="480"/>
        <w:rPr>
          <w:color w:val="auto"/>
          <w:highlight w:val="none"/>
        </w:rPr>
      </w:pPr>
      <w:r>
        <w:rPr>
          <w:color w:val="auto"/>
          <w:highlight w:val="none"/>
        </w:rPr>
        <w:t>(4) 根据工程分析结果，对工程方案和环保措施进行可行性论证，同时对本建设项目的选址合理性给出明确的结论；</w:t>
      </w:r>
    </w:p>
    <w:p>
      <w:pPr>
        <w:pStyle w:val="102"/>
        <w:ind w:firstLine="480"/>
        <w:rPr>
          <w:color w:val="auto"/>
          <w:highlight w:val="none"/>
        </w:rPr>
      </w:pPr>
      <w:r>
        <w:rPr>
          <w:color w:val="auto"/>
          <w:highlight w:val="none"/>
        </w:rPr>
        <w:t>(5) 客观公正地进行事故风险评价，并根据评价结论，提出科学、经济、合理、可行的环境污染防治措施，为决策部门和建设、设计单位提供依据。</w:t>
      </w:r>
    </w:p>
    <w:p>
      <w:pPr>
        <w:pStyle w:val="9"/>
        <w:spacing w:before="78" w:beforeLines="25" w:after="0" w:line="360" w:lineRule="auto"/>
        <w:rPr>
          <w:rFonts w:eastAsia="黑体"/>
          <w:b w:val="0"/>
          <w:color w:val="auto"/>
          <w:sz w:val="24"/>
          <w:szCs w:val="24"/>
          <w:highlight w:val="none"/>
        </w:rPr>
      </w:pPr>
      <w:bookmarkStart w:id="48" w:name="_Toc438043785"/>
      <w:r>
        <w:rPr>
          <w:rFonts w:eastAsia="黑体"/>
          <w:b w:val="0"/>
          <w:color w:val="auto"/>
          <w:sz w:val="24"/>
          <w:szCs w:val="24"/>
          <w:highlight w:val="none"/>
        </w:rPr>
        <w:t>1.2.3 指导思想</w:t>
      </w:r>
      <w:bookmarkEnd w:id="48"/>
    </w:p>
    <w:p>
      <w:pPr>
        <w:tabs>
          <w:tab w:val="right" w:leader="dot" w:pos="9072"/>
        </w:tabs>
        <w:spacing w:line="360" w:lineRule="auto"/>
        <w:ind w:firstLine="480" w:firstLineChars="200"/>
        <w:rPr>
          <w:color w:val="auto"/>
          <w:sz w:val="24"/>
          <w:highlight w:val="none"/>
        </w:rPr>
      </w:pPr>
      <w:r>
        <w:rPr>
          <w:color w:val="auto"/>
          <w:sz w:val="24"/>
          <w:highlight w:val="none"/>
        </w:rPr>
        <w:t>(1) 以各项环境保护法规、评价技术规定、环境标准和本区域环境功能规划目标为依据，指导评价工作；</w:t>
      </w:r>
    </w:p>
    <w:p>
      <w:pPr>
        <w:tabs>
          <w:tab w:val="right" w:leader="dot" w:pos="9072"/>
        </w:tabs>
        <w:spacing w:line="360" w:lineRule="auto"/>
        <w:ind w:firstLine="480" w:firstLineChars="200"/>
        <w:rPr>
          <w:color w:val="auto"/>
          <w:sz w:val="24"/>
          <w:highlight w:val="none"/>
        </w:rPr>
      </w:pPr>
      <w:r>
        <w:rPr>
          <w:color w:val="auto"/>
          <w:sz w:val="24"/>
          <w:highlight w:val="none"/>
        </w:rPr>
        <w:t>(2) 以国家、山东省有关产业政策、环境保护政策和区域可持续发展战略思想要求为原则开展环评工作；</w:t>
      </w:r>
    </w:p>
    <w:p>
      <w:pPr>
        <w:tabs>
          <w:tab w:val="right" w:leader="dot" w:pos="9072"/>
        </w:tabs>
        <w:spacing w:line="360" w:lineRule="auto"/>
        <w:ind w:firstLine="480" w:firstLineChars="200"/>
        <w:rPr>
          <w:color w:val="auto"/>
          <w:sz w:val="24"/>
          <w:highlight w:val="none"/>
        </w:rPr>
      </w:pPr>
      <w:r>
        <w:rPr>
          <w:color w:val="auto"/>
          <w:sz w:val="24"/>
          <w:highlight w:val="none"/>
        </w:rPr>
        <w:t>(3) 根据项目特点，抓住影响环境的主要因子，有重点地进行评价；评价方法力求科学严谨，实事求是；分析论证力求客观公正；贯彻节能降耗、清洁生产、达标排放、总量控制的原则；</w:t>
      </w:r>
      <w:r>
        <w:rPr>
          <w:rFonts w:hint="eastAsia"/>
          <w:color w:val="auto"/>
          <w:sz w:val="24"/>
          <w:highlight w:val="none"/>
        </w:rPr>
        <w:t>提出</w:t>
      </w:r>
      <w:r>
        <w:rPr>
          <w:color w:val="auto"/>
          <w:sz w:val="24"/>
          <w:highlight w:val="none"/>
        </w:rPr>
        <w:t>的环保措施力求技术可靠、经济合理，注意可行性和合理性；尽量充分利用已有资料，评价拟建项目对环境的影响；</w:t>
      </w:r>
    </w:p>
    <w:p>
      <w:pPr>
        <w:tabs>
          <w:tab w:val="right" w:leader="dot" w:pos="9072"/>
        </w:tabs>
        <w:spacing w:line="360" w:lineRule="auto"/>
        <w:ind w:firstLine="480" w:firstLineChars="200"/>
        <w:rPr>
          <w:color w:val="auto"/>
          <w:sz w:val="24"/>
          <w:highlight w:val="none"/>
        </w:rPr>
      </w:pPr>
      <w:r>
        <w:rPr>
          <w:color w:val="auto"/>
          <w:sz w:val="24"/>
          <w:highlight w:val="none"/>
        </w:rPr>
        <w:t>(4) 坚持实事求是的科学态度，报告书力求做到内容全面、重点突出、条理清楚、针对性、实用性、可操作性强，评价结果明确可信，防治对策实用可行。</w:t>
      </w:r>
    </w:p>
    <w:p>
      <w:pPr>
        <w:pStyle w:val="9"/>
        <w:spacing w:before="78" w:beforeLines="25" w:after="0" w:line="360" w:lineRule="auto"/>
        <w:rPr>
          <w:rFonts w:eastAsia="黑体"/>
          <w:b w:val="0"/>
          <w:color w:val="auto"/>
          <w:sz w:val="24"/>
          <w:szCs w:val="24"/>
          <w:highlight w:val="none"/>
        </w:rPr>
      </w:pPr>
      <w:bookmarkStart w:id="49" w:name="_Toc438043786"/>
      <w:r>
        <w:rPr>
          <w:rFonts w:eastAsia="黑体"/>
          <w:b w:val="0"/>
          <w:color w:val="auto"/>
          <w:sz w:val="24"/>
          <w:szCs w:val="24"/>
          <w:highlight w:val="none"/>
        </w:rPr>
        <w:t>1.2.4 评价重点</w:t>
      </w:r>
      <w:bookmarkEnd w:id="49"/>
    </w:p>
    <w:p>
      <w:pPr>
        <w:pStyle w:val="102"/>
        <w:ind w:firstLine="480"/>
        <w:rPr>
          <w:color w:val="auto"/>
          <w:highlight w:val="none"/>
        </w:rPr>
      </w:pPr>
      <w:r>
        <w:rPr>
          <w:color w:val="auto"/>
          <w:highlight w:val="none"/>
        </w:rPr>
        <w:t>根据拟建项目的特点，结合区域环境质量现状，确定本次环境影响评价工作的重点为：在工程分析的基础上，重点进行大气环境影响评价</w:t>
      </w:r>
      <w:r>
        <w:rPr>
          <w:rFonts w:hint="eastAsia"/>
          <w:color w:val="auto"/>
          <w:highlight w:val="none"/>
        </w:rPr>
        <w:t>、水</w:t>
      </w:r>
      <w:r>
        <w:rPr>
          <w:color w:val="auto"/>
          <w:highlight w:val="none"/>
        </w:rPr>
        <w:t>环境影响评价、环境风险评价</w:t>
      </w:r>
      <w:r>
        <w:rPr>
          <w:rFonts w:hint="eastAsia"/>
          <w:color w:val="auto"/>
          <w:highlight w:val="none"/>
        </w:rPr>
        <w:t>、</w:t>
      </w:r>
      <w:r>
        <w:rPr>
          <w:color w:val="auto"/>
          <w:highlight w:val="none"/>
        </w:rPr>
        <w:t>污染防治措施及其技术经济论证、项目建设合理性分析。</w:t>
      </w:r>
    </w:p>
    <w:p>
      <w:pPr>
        <w:pStyle w:val="100"/>
        <w:spacing w:before="109" w:beforeLines="35"/>
        <w:rPr>
          <w:rFonts w:ascii="Times New Roman" w:hAnsi="Times New Roman"/>
          <w:color w:val="auto"/>
          <w:highlight w:val="none"/>
        </w:rPr>
      </w:pPr>
      <w:bookmarkStart w:id="50" w:name="_Toc116701196"/>
      <w:bookmarkStart w:id="51" w:name="_Toc6752344"/>
      <w:bookmarkStart w:id="52" w:name="_Toc38697217"/>
      <w:bookmarkStart w:id="53" w:name="_Toc30951750"/>
      <w:bookmarkStart w:id="54" w:name="_Toc166991836"/>
      <w:bookmarkStart w:id="55" w:name="_Toc508700044"/>
      <w:bookmarkStart w:id="56" w:name="_Toc194979779"/>
      <w:bookmarkStart w:id="57" w:name="_Toc401277256"/>
      <w:bookmarkStart w:id="58" w:name="_Toc166992091"/>
      <w:bookmarkStart w:id="59" w:name="_Toc192474071"/>
      <w:bookmarkStart w:id="60" w:name="_Toc287345282"/>
      <w:bookmarkStart w:id="61" w:name="_Toc192560883"/>
      <w:bookmarkStart w:id="62" w:name="_Toc33984719"/>
      <w:bookmarkStart w:id="63" w:name="_Toc288227798"/>
      <w:bookmarkStart w:id="64" w:name="_Toc98123993"/>
      <w:bookmarkStart w:id="65" w:name="_Toc188329939"/>
      <w:bookmarkStart w:id="66" w:name="_Toc264642208"/>
      <w:bookmarkStart w:id="67" w:name="_Toc265427650"/>
      <w:bookmarkStart w:id="68" w:name="_Toc54732719"/>
      <w:bookmarkStart w:id="69" w:name="_Toc29680"/>
      <w:bookmarkStart w:id="70" w:name="_Toc83433986"/>
      <w:bookmarkStart w:id="71" w:name="_Toc287342797"/>
      <w:bookmarkStart w:id="72" w:name="_Toc370896305"/>
      <w:bookmarkStart w:id="73" w:name="_Toc30295376"/>
      <w:bookmarkStart w:id="74" w:name="_Toc66281268"/>
      <w:r>
        <w:rPr>
          <w:rFonts w:ascii="Times New Roman" w:hAnsi="Times New Roman"/>
          <w:color w:val="auto"/>
          <w:highlight w:val="none"/>
        </w:rPr>
        <w:t>1.3 环境影响因子识别及确定</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pPr>
        <w:keepNext/>
        <w:keepLines/>
        <w:spacing w:before="93" w:beforeLines="30" w:line="360" w:lineRule="auto"/>
        <w:outlineLvl w:val="2"/>
        <w:rPr>
          <w:rFonts w:eastAsia="黑体"/>
          <w:bCs/>
          <w:color w:val="auto"/>
          <w:sz w:val="24"/>
          <w:szCs w:val="32"/>
          <w:highlight w:val="none"/>
        </w:rPr>
      </w:pPr>
      <w:bookmarkStart w:id="75" w:name="_Toc83433987"/>
      <w:bookmarkStart w:id="76" w:name="_Toc38697218"/>
      <w:r>
        <w:rPr>
          <w:rFonts w:eastAsia="黑体"/>
          <w:bCs/>
          <w:color w:val="auto"/>
          <w:sz w:val="24"/>
          <w:szCs w:val="32"/>
          <w:highlight w:val="none"/>
        </w:rPr>
        <w:t>1.3.1 环境影响因子识别</w:t>
      </w:r>
      <w:bookmarkEnd w:id="75"/>
      <w:bookmarkEnd w:id="76"/>
    </w:p>
    <w:p>
      <w:pPr>
        <w:pStyle w:val="102"/>
        <w:ind w:firstLine="480"/>
        <w:rPr>
          <w:color w:val="auto"/>
          <w:highlight w:val="none"/>
        </w:rPr>
      </w:pPr>
      <w:r>
        <w:rPr>
          <w:color w:val="auto"/>
          <w:highlight w:val="none"/>
        </w:rPr>
        <w:t>本工程建设实施过程分为建设过程（施工期）和生产运行（营运期）两个阶段，其环境影响因素识别分别进行。</w:t>
      </w:r>
    </w:p>
    <w:p>
      <w:pPr>
        <w:spacing w:line="360" w:lineRule="auto"/>
        <w:ind w:firstLine="480" w:firstLineChars="200"/>
        <w:rPr>
          <w:color w:val="auto"/>
          <w:sz w:val="24"/>
          <w:highlight w:val="none"/>
        </w:rPr>
      </w:pPr>
      <w:r>
        <w:rPr>
          <w:color w:val="auto"/>
          <w:sz w:val="24"/>
          <w:highlight w:val="none"/>
        </w:rPr>
        <w:t>(1) 施工期环境影响识别</w:t>
      </w:r>
    </w:p>
    <w:p>
      <w:pPr>
        <w:pStyle w:val="102"/>
        <w:ind w:firstLine="480"/>
        <w:rPr>
          <w:color w:val="auto"/>
          <w:highlight w:val="none"/>
        </w:rPr>
      </w:pPr>
      <w:r>
        <w:rPr>
          <w:color w:val="auto"/>
          <w:highlight w:val="none"/>
        </w:rPr>
        <w:t>施工期对环境的影响很大程度上取决于工程特点、施工季节及工程所处的地形、地貌等环境因素。拟建工程在施工期间，平整场地、土方挖掘时，将会带来地面建筑垃圾的堆放、运输及机械噪声；随着施工的进行，建设设备的运输、装卸及地面建(构)筑物的施工，将会产生二次扬尘和噪声；施工活动及人员所排放的废水、废渣及噪声等，对周围大气、声环境、水体、土壤等可能产生一定影响。但由于施工期短，故影响并不突出。本工程施工期主要环境影响因素见见表1.3-1。</w:t>
      </w:r>
    </w:p>
    <w:p>
      <w:pPr>
        <w:pStyle w:val="102"/>
        <w:ind w:firstLine="1920" w:firstLineChars="800"/>
        <w:rPr>
          <w:rFonts w:eastAsia="黑体"/>
          <w:color w:val="auto"/>
          <w:highlight w:val="none"/>
        </w:rPr>
      </w:pPr>
      <w:r>
        <w:rPr>
          <w:rFonts w:eastAsia="黑体"/>
          <w:color w:val="auto"/>
          <w:highlight w:val="none"/>
        </w:rPr>
        <w:t>表1.3-1   施工期环境影响识别</w:t>
      </w:r>
      <w:r>
        <w:rPr>
          <w:rFonts w:eastAsia="黑体"/>
          <w:color w:val="auto"/>
          <w:highlight w:val="none"/>
          <w:lang w:val="zh-CN"/>
        </w:rPr>
        <w:t>一览表</w:t>
      </w:r>
    </w:p>
    <w:tbl>
      <w:tblPr>
        <w:tblStyle w:val="59"/>
        <w:tblW w:w="88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4536"/>
        <w:gridCol w:w="32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23" w:type="dxa"/>
            <w:tcMar>
              <w:left w:w="57" w:type="dxa"/>
              <w:right w:w="57" w:type="dxa"/>
            </w:tcMar>
            <w:vAlign w:val="center"/>
          </w:tcPr>
          <w:p>
            <w:pPr>
              <w:pStyle w:val="155"/>
              <w:widowControl w:val="0"/>
              <w:spacing w:line="280" w:lineRule="exact"/>
              <w:textAlignment w:val="center"/>
              <w:rPr>
                <w:rFonts w:ascii="Times New Roman" w:hAnsi="Times New Roman" w:eastAsia="宋体"/>
                <w:color w:val="auto"/>
                <w:highlight w:val="none"/>
              </w:rPr>
            </w:pPr>
            <w:r>
              <w:rPr>
                <w:rFonts w:ascii="Times New Roman" w:hAnsi="Times New Roman" w:eastAsia="宋体"/>
                <w:color w:val="auto"/>
                <w:highlight w:val="none"/>
              </w:rPr>
              <w:t>环境要素</w:t>
            </w:r>
          </w:p>
        </w:tc>
        <w:tc>
          <w:tcPr>
            <w:tcW w:w="4536" w:type="dxa"/>
            <w:tcMar>
              <w:left w:w="57" w:type="dxa"/>
              <w:right w:w="57" w:type="dxa"/>
            </w:tcMar>
            <w:vAlign w:val="center"/>
          </w:tcPr>
          <w:p>
            <w:pPr>
              <w:pStyle w:val="155"/>
              <w:widowControl w:val="0"/>
              <w:spacing w:line="280" w:lineRule="exact"/>
              <w:textAlignment w:val="center"/>
              <w:rPr>
                <w:rFonts w:ascii="Times New Roman" w:hAnsi="Times New Roman" w:eastAsia="宋体"/>
                <w:color w:val="auto"/>
                <w:highlight w:val="none"/>
              </w:rPr>
            </w:pPr>
            <w:r>
              <w:rPr>
                <w:rFonts w:ascii="Times New Roman" w:hAnsi="Times New Roman" w:eastAsia="宋体"/>
                <w:color w:val="auto"/>
                <w:highlight w:val="none"/>
              </w:rPr>
              <w:t>产生影响的主要内容</w:t>
            </w:r>
          </w:p>
        </w:tc>
        <w:tc>
          <w:tcPr>
            <w:tcW w:w="3287" w:type="dxa"/>
            <w:tcMar>
              <w:left w:w="57" w:type="dxa"/>
              <w:right w:w="57" w:type="dxa"/>
            </w:tcMar>
            <w:vAlign w:val="center"/>
          </w:tcPr>
          <w:p>
            <w:pPr>
              <w:pStyle w:val="155"/>
              <w:widowControl w:val="0"/>
              <w:spacing w:line="280" w:lineRule="exact"/>
              <w:textAlignment w:val="center"/>
              <w:rPr>
                <w:rFonts w:ascii="Times New Roman" w:hAnsi="Times New Roman" w:eastAsia="宋体"/>
                <w:color w:val="auto"/>
                <w:highlight w:val="none"/>
              </w:rPr>
            </w:pPr>
            <w:r>
              <w:rPr>
                <w:rFonts w:ascii="Times New Roman" w:hAnsi="Times New Roman" w:eastAsia="宋体"/>
                <w:color w:val="auto"/>
                <w:highlight w:val="none"/>
              </w:rPr>
              <w:t>主要影响因素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23" w:type="dxa"/>
            <w:vMerge w:val="restart"/>
            <w:tcMar>
              <w:left w:w="57" w:type="dxa"/>
              <w:right w:w="57" w:type="dxa"/>
            </w:tcMar>
            <w:vAlign w:val="center"/>
          </w:tcPr>
          <w:p>
            <w:pPr>
              <w:pStyle w:val="155"/>
              <w:widowControl w:val="0"/>
              <w:spacing w:line="280" w:lineRule="exact"/>
              <w:textAlignment w:val="center"/>
              <w:rPr>
                <w:rFonts w:ascii="Times New Roman" w:hAnsi="Times New Roman" w:eastAsia="宋体"/>
                <w:color w:val="auto"/>
                <w:highlight w:val="none"/>
              </w:rPr>
            </w:pPr>
            <w:r>
              <w:rPr>
                <w:rFonts w:ascii="Times New Roman" w:hAnsi="Times New Roman" w:eastAsia="宋体"/>
                <w:color w:val="auto"/>
                <w:highlight w:val="none"/>
              </w:rPr>
              <w:t>环境空气</w:t>
            </w:r>
          </w:p>
        </w:tc>
        <w:tc>
          <w:tcPr>
            <w:tcW w:w="4536" w:type="dxa"/>
            <w:tcMar>
              <w:left w:w="57" w:type="dxa"/>
              <w:right w:w="57" w:type="dxa"/>
            </w:tcMar>
            <w:vAlign w:val="center"/>
          </w:tcPr>
          <w:p>
            <w:pPr>
              <w:pStyle w:val="155"/>
              <w:widowControl w:val="0"/>
              <w:spacing w:line="280" w:lineRule="exact"/>
              <w:textAlignment w:val="center"/>
              <w:rPr>
                <w:rFonts w:ascii="Times New Roman" w:hAnsi="Times New Roman" w:eastAsia="宋体"/>
                <w:color w:val="auto"/>
                <w:highlight w:val="none"/>
              </w:rPr>
            </w:pPr>
            <w:r>
              <w:rPr>
                <w:rFonts w:ascii="Times New Roman" w:hAnsi="Times New Roman" w:eastAsia="宋体"/>
                <w:color w:val="auto"/>
                <w:highlight w:val="none"/>
              </w:rPr>
              <w:t>土地平整、土方挖掘、回填土堆放、建材运输存放及使用</w:t>
            </w:r>
          </w:p>
        </w:tc>
        <w:tc>
          <w:tcPr>
            <w:tcW w:w="3287" w:type="dxa"/>
            <w:tcMar>
              <w:left w:w="57" w:type="dxa"/>
              <w:right w:w="57" w:type="dxa"/>
            </w:tcMar>
            <w:vAlign w:val="center"/>
          </w:tcPr>
          <w:p>
            <w:pPr>
              <w:pStyle w:val="155"/>
              <w:widowControl w:val="0"/>
              <w:spacing w:line="280" w:lineRule="exact"/>
              <w:textAlignment w:val="center"/>
              <w:rPr>
                <w:rFonts w:ascii="Times New Roman" w:hAnsi="Times New Roman" w:eastAsia="宋体"/>
                <w:color w:val="auto"/>
                <w:highlight w:val="none"/>
              </w:rPr>
            </w:pPr>
            <w:r>
              <w:rPr>
                <w:rFonts w:ascii="Times New Roman" w:hAnsi="Times New Roman" w:eastAsia="宋体"/>
                <w:color w:val="auto"/>
                <w:highlight w:val="none"/>
              </w:rPr>
              <w:t>扬 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23" w:type="dxa"/>
            <w:vMerge w:val="continue"/>
            <w:tcMar>
              <w:left w:w="57" w:type="dxa"/>
              <w:right w:w="57" w:type="dxa"/>
            </w:tcMar>
            <w:vAlign w:val="center"/>
          </w:tcPr>
          <w:p>
            <w:pPr>
              <w:pStyle w:val="155"/>
              <w:widowControl w:val="0"/>
              <w:spacing w:line="280" w:lineRule="exact"/>
              <w:textAlignment w:val="center"/>
              <w:rPr>
                <w:rFonts w:ascii="Times New Roman" w:hAnsi="Times New Roman" w:eastAsia="宋体"/>
                <w:color w:val="auto"/>
                <w:highlight w:val="none"/>
              </w:rPr>
            </w:pPr>
          </w:p>
        </w:tc>
        <w:tc>
          <w:tcPr>
            <w:tcW w:w="4536" w:type="dxa"/>
            <w:tcMar>
              <w:left w:w="57" w:type="dxa"/>
              <w:right w:w="57" w:type="dxa"/>
            </w:tcMar>
            <w:vAlign w:val="center"/>
          </w:tcPr>
          <w:p>
            <w:pPr>
              <w:widowControl/>
              <w:spacing w:line="240" w:lineRule="exact"/>
              <w:jc w:val="center"/>
              <w:rPr>
                <w:color w:val="auto"/>
                <w:highlight w:val="none"/>
              </w:rPr>
            </w:pPr>
            <w:r>
              <w:rPr>
                <w:color w:val="auto"/>
                <w:kern w:val="0"/>
                <w:highlight w:val="none"/>
              </w:rPr>
              <w:t>设备运输车辆尾气</w:t>
            </w:r>
          </w:p>
        </w:tc>
        <w:tc>
          <w:tcPr>
            <w:tcW w:w="3287" w:type="dxa"/>
            <w:tcMar>
              <w:left w:w="57" w:type="dxa"/>
              <w:right w:w="57" w:type="dxa"/>
            </w:tcMar>
            <w:vAlign w:val="center"/>
          </w:tcPr>
          <w:p>
            <w:pPr>
              <w:widowControl/>
              <w:spacing w:line="240" w:lineRule="exact"/>
              <w:jc w:val="center"/>
              <w:rPr>
                <w:color w:val="auto"/>
                <w:highlight w:val="none"/>
              </w:rPr>
            </w:pPr>
            <w:r>
              <w:rPr>
                <w:color w:val="auto"/>
                <w:highlight w:val="none"/>
              </w:rPr>
              <w:t>TSP、NO</w:t>
            </w:r>
            <w:r>
              <w:rPr>
                <w:color w:val="auto"/>
                <w:highlight w:val="none"/>
                <w:vertAlign w:val="subscript"/>
              </w:rPr>
              <w:t>X</w:t>
            </w:r>
            <w:r>
              <w:rPr>
                <w:color w:val="auto"/>
                <w:highlight w:val="none"/>
              </w:rPr>
              <w:t>、SO</w:t>
            </w:r>
            <w:r>
              <w:rPr>
                <w:color w:val="auto"/>
                <w:highlight w:val="none"/>
                <w:vertAlign w:val="subscript"/>
              </w:rPr>
              <w:t>2</w:t>
            </w:r>
            <w:r>
              <w:rPr>
                <w:color w:val="auto"/>
                <w:highlight w:val="none"/>
              </w:rPr>
              <w:t>、THC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23" w:type="dxa"/>
            <w:tcMar>
              <w:left w:w="57" w:type="dxa"/>
              <w:right w:w="57" w:type="dxa"/>
            </w:tcMar>
            <w:vAlign w:val="center"/>
          </w:tcPr>
          <w:p>
            <w:pPr>
              <w:pStyle w:val="155"/>
              <w:widowControl w:val="0"/>
              <w:spacing w:line="280" w:lineRule="exact"/>
              <w:textAlignment w:val="center"/>
              <w:rPr>
                <w:rFonts w:ascii="Times New Roman" w:hAnsi="Times New Roman" w:eastAsia="宋体"/>
                <w:color w:val="auto"/>
                <w:highlight w:val="none"/>
              </w:rPr>
            </w:pPr>
            <w:r>
              <w:rPr>
                <w:rFonts w:ascii="Times New Roman" w:hAnsi="Times New Roman" w:eastAsia="宋体"/>
                <w:color w:val="auto"/>
                <w:highlight w:val="none"/>
              </w:rPr>
              <w:t>水环境</w:t>
            </w:r>
          </w:p>
        </w:tc>
        <w:tc>
          <w:tcPr>
            <w:tcW w:w="4536" w:type="dxa"/>
            <w:tcMar>
              <w:left w:w="57" w:type="dxa"/>
              <w:right w:w="57" w:type="dxa"/>
            </w:tcMar>
            <w:vAlign w:val="center"/>
          </w:tcPr>
          <w:p>
            <w:pPr>
              <w:pStyle w:val="155"/>
              <w:widowControl w:val="0"/>
              <w:spacing w:line="280" w:lineRule="exact"/>
              <w:textAlignment w:val="center"/>
              <w:rPr>
                <w:rFonts w:ascii="Times New Roman" w:hAnsi="Times New Roman" w:eastAsia="宋体"/>
                <w:color w:val="auto"/>
                <w:highlight w:val="none"/>
              </w:rPr>
            </w:pPr>
            <w:r>
              <w:rPr>
                <w:rFonts w:ascii="Times New Roman" w:hAnsi="Times New Roman" w:eastAsia="宋体"/>
                <w:color w:val="auto"/>
                <w:highlight w:val="none"/>
              </w:rPr>
              <w:t>施工过程生产废水、机械清洗废水、施工人员生活废水等</w:t>
            </w:r>
          </w:p>
        </w:tc>
        <w:tc>
          <w:tcPr>
            <w:tcW w:w="3287" w:type="dxa"/>
            <w:tcMar>
              <w:left w:w="57" w:type="dxa"/>
              <w:right w:w="57" w:type="dxa"/>
            </w:tcMar>
            <w:vAlign w:val="center"/>
          </w:tcPr>
          <w:p>
            <w:pPr>
              <w:pStyle w:val="105"/>
              <w:rPr>
                <w:color w:val="auto"/>
                <w:highlight w:val="none"/>
              </w:rPr>
            </w:pPr>
            <w:r>
              <w:rPr>
                <w:color w:val="auto"/>
                <w:highlight w:val="none"/>
              </w:rPr>
              <w:t>COD、BOD</w:t>
            </w:r>
            <w:r>
              <w:rPr>
                <w:color w:val="auto"/>
                <w:highlight w:val="none"/>
                <w:vertAlign w:val="subscript"/>
              </w:rPr>
              <w:t>5</w:t>
            </w:r>
            <w:r>
              <w:rPr>
                <w:color w:val="auto"/>
                <w:highlight w:val="none"/>
              </w:rPr>
              <w:t>、氨氮、TP、TN、SS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23" w:type="dxa"/>
            <w:tcMar>
              <w:left w:w="57" w:type="dxa"/>
              <w:right w:w="57" w:type="dxa"/>
            </w:tcMar>
            <w:vAlign w:val="center"/>
          </w:tcPr>
          <w:p>
            <w:pPr>
              <w:pStyle w:val="155"/>
              <w:widowControl w:val="0"/>
              <w:spacing w:line="280" w:lineRule="exact"/>
              <w:textAlignment w:val="center"/>
              <w:rPr>
                <w:rFonts w:ascii="Times New Roman" w:hAnsi="Times New Roman" w:eastAsia="宋体"/>
                <w:color w:val="auto"/>
                <w:highlight w:val="none"/>
              </w:rPr>
            </w:pPr>
            <w:r>
              <w:rPr>
                <w:rFonts w:ascii="Times New Roman" w:hAnsi="Times New Roman" w:eastAsia="宋体"/>
                <w:color w:val="auto"/>
                <w:highlight w:val="none"/>
              </w:rPr>
              <w:t>声环境</w:t>
            </w:r>
          </w:p>
        </w:tc>
        <w:tc>
          <w:tcPr>
            <w:tcW w:w="4536" w:type="dxa"/>
            <w:tcMar>
              <w:left w:w="57" w:type="dxa"/>
              <w:right w:w="57" w:type="dxa"/>
            </w:tcMar>
            <w:vAlign w:val="center"/>
          </w:tcPr>
          <w:p>
            <w:pPr>
              <w:pStyle w:val="155"/>
              <w:widowControl w:val="0"/>
              <w:spacing w:line="280" w:lineRule="exact"/>
              <w:textAlignment w:val="center"/>
              <w:rPr>
                <w:rFonts w:ascii="Times New Roman" w:hAnsi="Times New Roman" w:eastAsia="宋体"/>
                <w:color w:val="auto"/>
                <w:highlight w:val="none"/>
              </w:rPr>
            </w:pPr>
            <w:r>
              <w:rPr>
                <w:rFonts w:ascii="Times New Roman" w:hAnsi="Times New Roman" w:eastAsia="宋体"/>
                <w:color w:val="auto"/>
                <w:highlight w:val="none"/>
              </w:rPr>
              <w:t>施工机械噪声</w:t>
            </w:r>
            <w:r>
              <w:rPr>
                <w:rFonts w:hint="eastAsia" w:ascii="Times New Roman" w:hAnsi="Times New Roman" w:eastAsia="宋体"/>
                <w:color w:val="auto"/>
                <w:highlight w:val="none"/>
              </w:rPr>
              <w:t>，</w:t>
            </w:r>
            <w:r>
              <w:rPr>
                <w:rFonts w:ascii="Times New Roman" w:hAnsi="Times New Roman" w:eastAsia="宋体"/>
                <w:color w:val="auto"/>
                <w:highlight w:val="none"/>
              </w:rPr>
              <w:t>设备运输、装卸、安装，车辆运输噪声</w:t>
            </w:r>
          </w:p>
        </w:tc>
        <w:tc>
          <w:tcPr>
            <w:tcW w:w="3287" w:type="dxa"/>
            <w:tcMar>
              <w:left w:w="57" w:type="dxa"/>
              <w:right w:w="57" w:type="dxa"/>
            </w:tcMar>
            <w:vAlign w:val="center"/>
          </w:tcPr>
          <w:p>
            <w:pPr>
              <w:pStyle w:val="155"/>
              <w:widowControl w:val="0"/>
              <w:spacing w:line="280" w:lineRule="exact"/>
              <w:textAlignment w:val="center"/>
              <w:rPr>
                <w:rFonts w:ascii="Times New Roman" w:hAnsi="Times New Roman" w:eastAsia="宋体"/>
                <w:color w:val="auto"/>
                <w:highlight w:val="none"/>
              </w:rPr>
            </w:pPr>
            <w:r>
              <w:rPr>
                <w:rFonts w:ascii="Times New Roman" w:hAnsi="Times New Roman" w:eastAsia="宋体"/>
                <w:color w:val="auto"/>
                <w:highlight w:val="none"/>
              </w:rPr>
              <w:t>噪 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23" w:type="dxa"/>
            <w:tcMar>
              <w:left w:w="57" w:type="dxa"/>
              <w:right w:w="57" w:type="dxa"/>
            </w:tcMar>
            <w:vAlign w:val="center"/>
          </w:tcPr>
          <w:p>
            <w:pPr>
              <w:pStyle w:val="155"/>
              <w:widowControl w:val="0"/>
              <w:spacing w:line="280" w:lineRule="exact"/>
              <w:textAlignment w:val="center"/>
              <w:rPr>
                <w:rFonts w:ascii="Times New Roman" w:hAnsi="Times New Roman" w:eastAsia="宋体"/>
                <w:color w:val="auto"/>
                <w:highlight w:val="none"/>
              </w:rPr>
            </w:pPr>
            <w:r>
              <w:rPr>
                <w:rFonts w:ascii="Times New Roman" w:hAnsi="Times New Roman" w:eastAsia="宋体"/>
                <w:color w:val="auto"/>
                <w:highlight w:val="none"/>
              </w:rPr>
              <w:t>生态环境</w:t>
            </w:r>
          </w:p>
        </w:tc>
        <w:tc>
          <w:tcPr>
            <w:tcW w:w="4536" w:type="dxa"/>
            <w:tcMar>
              <w:left w:w="57" w:type="dxa"/>
              <w:right w:w="57" w:type="dxa"/>
            </w:tcMar>
            <w:vAlign w:val="center"/>
          </w:tcPr>
          <w:p>
            <w:pPr>
              <w:pStyle w:val="155"/>
              <w:widowControl w:val="0"/>
              <w:spacing w:line="280" w:lineRule="exact"/>
              <w:textAlignment w:val="center"/>
              <w:rPr>
                <w:rFonts w:ascii="Times New Roman" w:hAnsi="Times New Roman" w:eastAsia="宋体"/>
                <w:color w:val="auto"/>
                <w:highlight w:val="none"/>
              </w:rPr>
            </w:pPr>
            <w:r>
              <w:rPr>
                <w:rFonts w:ascii="Times New Roman" w:hAnsi="Times New Roman" w:eastAsia="宋体"/>
                <w:color w:val="auto"/>
                <w:highlight w:val="none"/>
              </w:rPr>
              <w:t>土地平整、绿化挖掘及工程占地</w:t>
            </w:r>
          </w:p>
        </w:tc>
        <w:tc>
          <w:tcPr>
            <w:tcW w:w="3287" w:type="dxa"/>
            <w:tcMar>
              <w:left w:w="57" w:type="dxa"/>
              <w:right w:w="57" w:type="dxa"/>
            </w:tcMar>
            <w:vAlign w:val="center"/>
          </w:tcPr>
          <w:p>
            <w:pPr>
              <w:pStyle w:val="155"/>
              <w:widowControl w:val="0"/>
              <w:spacing w:line="280" w:lineRule="exact"/>
              <w:textAlignment w:val="center"/>
              <w:rPr>
                <w:rFonts w:ascii="Times New Roman" w:hAnsi="Times New Roman" w:eastAsia="宋体"/>
                <w:color w:val="auto"/>
                <w:highlight w:val="none"/>
              </w:rPr>
            </w:pPr>
            <w:r>
              <w:rPr>
                <w:rFonts w:ascii="Times New Roman" w:hAnsi="Times New Roman" w:eastAsia="宋体"/>
                <w:color w:val="auto"/>
                <w:highlight w:val="none"/>
              </w:rPr>
              <w:t>植被破坏、水土流失</w:t>
            </w:r>
          </w:p>
        </w:tc>
      </w:tr>
    </w:tbl>
    <w:p>
      <w:pPr>
        <w:spacing w:before="156" w:beforeLines="50" w:line="360" w:lineRule="auto"/>
        <w:ind w:firstLine="480" w:firstLineChars="200"/>
        <w:rPr>
          <w:color w:val="auto"/>
          <w:sz w:val="24"/>
          <w:highlight w:val="none"/>
        </w:rPr>
      </w:pPr>
      <w:r>
        <w:rPr>
          <w:color w:val="auto"/>
          <w:sz w:val="24"/>
          <w:highlight w:val="none"/>
        </w:rPr>
        <w:t>(2) 运营期环境影响识别</w:t>
      </w:r>
    </w:p>
    <w:p>
      <w:pPr>
        <w:pStyle w:val="156"/>
        <w:adjustRightInd/>
        <w:spacing w:line="348" w:lineRule="auto"/>
        <w:ind w:firstLineChars="200"/>
        <w:textAlignment w:val="auto"/>
        <w:rPr>
          <w:rFonts w:eastAsia="宋体"/>
          <w:color w:val="auto"/>
          <w:szCs w:val="24"/>
          <w:highlight w:val="none"/>
        </w:rPr>
      </w:pPr>
      <w:r>
        <w:rPr>
          <w:rFonts w:eastAsia="宋体"/>
          <w:color w:val="auto"/>
          <w:szCs w:val="24"/>
          <w:highlight w:val="none"/>
        </w:rPr>
        <w:t>项目运营期将产生废气、废水、噪声、固体废物污染，对周围环境产生一定影响。根据项目排污特点及所处自然、社会环境特征，确定运营期环境影响要素及其影响程度见表1.3-2。</w:t>
      </w:r>
    </w:p>
    <w:p>
      <w:pPr>
        <w:spacing w:line="360" w:lineRule="auto"/>
        <w:jc w:val="center"/>
        <w:rPr>
          <w:rFonts w:eastAsia="黑体"/>
          <w:color w:val="auto"/>
          <w:sz w:val="24"/>
          <w:highlight w:val="none"/>
        </w:rPr>
      </w:pPr>
      <w:r>
        <w:rPr>
          <w:rFonts w:eastAsia="黑体"/>
          <w:color w:val="auto"/>
          <w:sz w:val="24"/>
          <w:highlight w:val="none"/>
        </w:rPr>
        <w:t>表1.3-2   运营期环境影响识别一览表</w:t>
      </w:r>
    </w:p>
    <w:tbl>
      <w:tblPr>
        <w:tblStyle w:val="59"/>
        <w:tblW w:w="5000" w:type="pct"/>
        <w:jc w:val="center"/>
        <w:tblBorders>
          <w:top w:val="single" w:color="auto" w:sz="12" w:space="0"/>
          <w:left w:val="single" w:color="FFFFFF" w:sz="2" w:space="0"/>
          <w:bottom w:val="single" w:color="auto" w:sz="12" w:space="0"/>
          <w:right w:val="single" w:color="FFFFFF" w:sz="2" w:space="0"/>
          <w:insideH w:val="single" w:color="auto" w:sz="4" w:space="0"/>
          <w:insideV w:val="single" w:color="auto" w:sz="4" w:space="0"/>
        </w:tblBorders>
        <w:tblLayout w:type="autofit"/>
        <w:tblCellMar>
          <w:top w:w="0" w:type="dxa"/>
          <w:left w:w="108" w:type="dxa"/>
          <w:bottom w:w="0" w:type="dxa"/>
          <w:right w:w="108" w:type="dxa"/>
        </w:tblCellMar>
      </w:tblPr>
      <w:tblGrid>
        <w:gridCol w:w="2135"/>
        <w:gridCol w:w="1719"/>
        <w:gridCol w:w="1720"/>
        <w:gridCol w:w="1720"/>
        <w:gridCol w:w="1709"/>
      </w:tblGrid>
      <w:tr>
        <w:tblPrEx>
          <w:tblBorders>
            <w:top w:val="single" w:color="auto" w:sz="12" w:space="0"/>
            <w:left w:val="single" w:color="FFFFFF" w:sz="2" w:space="0"/>
            <w:bottom w:val="single" w:color="auto" w:sz="12" w:space="0"/>
            <w:right w:val="single" w:color="FFFFFF" w:sz="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86" w:type="pct"/>
            <w:vAlign w:val="center"/>
          </w:tcPr>
          <w:p>
            <w:pPr>
              <w:jc w:val="center"/>
              <w:rPr>
                <w:color w:val="auto"/>
                <w:szCs w:val="21"/>
                <w:highlight w:val="none"/>
              </w:rPr>
            </w:pPr>
            <w:r>
              <w:rPr>
                <w:color w:val="auto"/>
                <w:szCs w:val="21"/>
                <w:highlight w:val="none"/>
              </w:rPr>
              <mc:AlternateContent>
                <mc:Choice Requires="wps">
                  <w:drawing>
                    <wp:anchor distT="0" distB="0" distL="114300" distR="114300" simplePos="0" relativeHeight="251659264" behindDoc="0" locked="0" layoutInCell="1" allowOverlap="1">
                      <wp:simplePos x="0" y="0"/>
                      <wp:positionH relativeFrom="column">
                        <wp:posOffset>-62865</wp:posOffset>
                      </wp:positionH>
                      <wp:positionV relativeFrom="paragraph">
                        <wp:posOffset>9525</wp:posOffset>
                      </wp:positionV>
                      <wp:extent cx="1333500" cy="361950"/>
                      <wp:effectExtent l="13335" t="9525" r="5715" b="9525"/>
                      <wp:wrapNone/>
                      <wp:docPr id="875" name="AutoShape 995"/>
                      <wp:cNvGraphicFramePr/>
                      <a:graphic xmlns:a="http://schemas.openxmlformats.org/drawingml/2006/main">
                        <a:graphicData uri="http://schemas.microsoft.com/office/word/2010/wordprocessingShape">
                          <wps:wsp>
                            <wps:cNvCnPr>
                              <a:cxnSpLocks noChangeShapeType="1"/>
                            </wps:cNvCnPr>
                            <wps:spPr bwMode="auto">
                              <a:xfrm>
                                <a:off x="0" y="0"/>
                                <a:ext cx="1333500" cy="361950"/>
                              </a:xfrm>
                              <a:prstGeom prst="straightConnector1">
                                <a:avLst/>
                              </a:prstGeom>
                              <a:noFill/>
                              <a:ln w="9525">
                                <a:solidFill>
                                  <a:srgbClr val="000000"/>
                                </a:solidFill>
                                <a:round/>
                              </a:ln>
                            </wps:spPr>
                            <wps:bodyPr/>
                          </wps:wsp>
                        </a:graphicData>
                      </a:graphic>
                    </wp:anchor>
                  </w:drawing>
                </mc:Choice>
                <mc:Fallback>
                  <w:pict>
                    <v:shape id="AutoShape 995" o:spid="_x0000_s1026" o:spt="32" type="#_x0000_t32" style="position:absolute;left:0pt;margin-left:-4.95pt;margin-top:0.75pt;height:28.5pt;width:105pt;z-index:251659264;mso-width-relative:page;mso-height-relative:page;" filled="f" stroked="t" coordsize="21600,21600" o:gfxdata="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1KcbrUAAAABwEAAA8AAAAA&#10;AAAAAQAgAAAAIgAAAGRycy9kb3ducmV2LnhtbFBLAQIUABQAAAAIAIdO4kBTFHVU3wEAALsDAAAO&#10;AAAAAAAAAAEAIAAAACMBAABkcnMvZTJvRG9jLnhtbFBLBQYAAAAABgAGAFkBAAB0BQAAAAA=&#10;">
                      <v:fill on="f" focussize="0,0"/>
                      <v:stroke color="#000000" joinstyle="round"/>
                      <v:imagedata o:title=""/>
                      <o:lock v:ext="edit" aspectratio="f"/>
                    </v:shape>
                  </w:pict>
                </mc:Fallback>
              </mc:AlternateContent>
            </w:r>
            <w:r>
              <w:rPr>
                <w:color w:val="auto"/>
                <w:szCs w:val="21"/>
                <w:highlight w:val="none"/>
              </w:rPr>
              <w:t xml:space="preserve">         影响因子</w:t>
            </w:r>
          </w:p>
          <w:p>
            <w:pPr>
              <w:rPr>
                <w:color w:val="auto"/>
                <w:szCs w:val="21"/>
                <w:highlight w:val="none"/>
              </w:rPr>
            </w:pPr>
            <w:r>
              <w:rPr>
                <w:color w:val="auto"/>
                <w:szCs w:val="21"/>
                <w:highlight w:val="none"/>
              </w:rPr>
              <w:t>环境要素</w:t>
            </w:r>
          </w:p>
        </w:tc>
        <w:tc>
          <w:tcPr>
            <w:tcW w:w="955" w:type="pct"/>
            <w:vAlign w:val="center"/>
          </w:tcPr>
          <w:p>
            <w:pPr>
              <w:jc w:val="center"/>
              <w:rPr>
                <w:color w:val="auto"/>
                <w:szCs w:val="21"/>
                <w:highlight w:val="none"/>
              </w:rPr>
            </w:pPr>
            <w:r>
              <w:rPr>
                <w:color w:val="auto"/>
                <w:szCs w:val="21"/>
                <w:highlight w:val="none"/>
              </w:rPr>
              <w:t>废 气</w:t>
            </w:r>
          </w:p>
        </w:tc>
        <w:tc>
          <w:tcPr>
            <w:tcW w:w="955" w:type="pct"/>
            <w:vAlign w:val="center"/>
          </w:tcPr>
          <w:p>
            <w:pPr>
              <w:jc w:val="center"/>
              <w:rPr>
                <w:color w:val="auto"/>
                <w:szCs w:val="21"/>
                <w:highlight w:val="none"/>
              </w:rPr>
            </w:pPr>
            <w:r>
              <w:rPr>
                <w:color w:val="auto"/>
                <w:szCs w:val="21"/>
                <w:highlight w:val="none"/>
              </w:rPr>
              <w:t>废 水</w:t>
            </w:r>
          </w:p>
        </w:tc>
        <w:tc>
          <w:tcPr>
            <w:tcW w:w="955" w:type="pct"/>
            <w:vAlign w:val="center"/>
          </w:tcPr>
          <w:p>
            <w:pPr>
              <w:jc w:val="center"/>
              <w:rPr>
                <w:color w:val="auto"/>
                <w:szCs w:val="21"/>
                <w:highlight w:val="none"/>
              </w:rPr>
            </w:pPr>
            <w:r>
              <w:rPr>
                <w:color w:val="auto"/>
                <w:szCs w:val="21"/>
                <w:highlight w:val="none"/>
              </w:rPr>
              <w:t>固 废</w:t>
            </w:r>
          </w:p>
        </w:tc>
        <w:tc>
          <w:tcPr>
            <w:tcW w:w="949" w:type="pct"/>
            <w:vAlign w:val="center"/>
          </w:tcPr>
          <w:p>
            <w:pPr>
              <w:jc w:val="center"/>
              <w:rPr>
                <w:color w:val="auto"/>
                <w:szCs w:val="21"/>
                <w:highlight w:val="none"/>
              </w:rPr>
            </w:pPr>
            <w:r>
              <w:rPr>
                <w:color w:val="auto"/>
                <w:szCs w:val="21"/>
                <w:highlight w:val="none"/>
              </w:rPr>
              <w:t>设备噪声</w:t>
            </w:r>
          </w:p>
        </w:tc>
      </w:tr>
      <w:tr>
        <w:tblPrEx>
          <w:tblBorders>
            <w:top w:val="single" w:color="auto" w:sz="12" w:space="0"/>
            <w:left w:val="single" w:color="FFFFFF" w:sz="2" w:space="0"/>
            <w:bottom w:val="single" w:color="auto" w:sz="12" w:space="0"/>
            <w:right w:val="single" w:color="FFFFFF"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6" w:type="pct"/>
            <w:vAlign w:val="center"/>
          </w:tcPr>
          <w:p>
            <w:pPr>
              <w:jc w:val="center"/>
              <w:rPr>
                <w:color w:val="auto"/>
                <w:szCs w:val="21"/>
                <w:highlight w:val="none"/>
              </w:rPr>
            </w:pPr>
            <w:r>
              <w:rPr>
                <w:color w:val="auto"/>
                <w:szCs w:val="21"/>
                <w:highlight w:val="none"/>
              </w:rPr>
              <w:t>环境空气</w:t>
            </w:r>
          </w:p>
        </w:tc>
        <w:tc>
          <w:tcPr>
            <w:tcW w:w="955" w:type="pct"/>
            <w:vAlign w:val="center"/>
          </w:tcPr>
          <w:p>
            <w:pPr>
              <w:jc w:val="center"/>
              <w:rPr>
                <w:color w:val="auto"/>
                <w:szCs w:val="21"/>
                <w:highlight w:val="none"/>
              </w:rPr>
            </w:pPr>
            <w:r>
              <w:rPr>
                <w:rFonts w:ascii="Segoe UI Symbol" w:hAnsi="Segoe UI Symbol" w:cs="Segoe UI Symbol"/>
                <w:color w:val="auto"/>
                <w:szCs w:val="21"/>
                <w:highlight w:val="none"/>
              </w:rPr>
              <w:t>★★★</w:t>
            </w:r>
          </w:p>
        </w:tc>
        <w:tc>
          <w:tcPr>
            <w:tcW w:w="955" w:type="pct"/>
            <w:vAlign w:val="center"/>
          </w:tcPr>
          <w:p>
            <w:pPr>
              <w:jc w:val="center"/>
              <w:rPr>
                <w:color w:val="auto"/>
                <w:szCs w:val="21"/>
                <w:highlight w:val="none"/>
              </w:rPr>
            </w:pPr>
            <w:r>
              <w:rPr>
                <w:color w:val="auto"/>
                <w:szCs w:val="21"/>
                <w:highlight w:val="none"/>
              </w:rPr>
              <w:t>—</w:t>
            </w:r>
          </w:p>
        </w:tc>
        <w:tc>
          <w:tcPr>
            <w:tcW w:w="955" w:type="pct"/>
            <w:vAlign w:val="center"/>
          </w:tcPr>
          <w:p>
            <w:pPr>
              <w:jc w:val="center"/>
              <w:rPr>
                <w:color w:val="auto"/>
                <w:szCs w:val="21"/>
                <w:highlight w:val="none"/>
              </w:rPr>
            </w:pPr>
            <w:r>
              <w:rPr>
                <w:rFonts w:ascii="Segoe UI Symbol" w:hAnsi="Segoe UI Symbol" w:cs="Segoe UI Symbol"/>
                <w:color w:val="auto"/>
                <w:szCs w:val="21"/>
                <w:highlight w:val="none"/>
              </w:rPr>
              <w:t>★</w:t>
            </w:r>
          </w:p>
        </w:tc>
        <w:tc>
          <w:tcPr>
            <w:tcW w:w="949" w:type="pct"/>
            <w:vAlign w:val="center"/>
          </w:tcPr>
          <w:p>
            <w:pPr>
              <w:jc w:val="center"/>
              <w:rPr>
                <w:color w:val="auto"/>
                <w:szCs w:val="21"/>
                <w:highlight w:val="none"/>
              </w:rPr>
            </w:pPr>
            <w:r>
              <w:rPr>
                <w:color w:val="auto"/>
                <w:szCs w:val="21"/>
                <w:highlight w:val="none"/>
              </w:rPr>
              <w:t>—</w:t>
            </w:r>
          </w:p>
        </w:tc>
      </w:tr>
      <w:tr>
        <w:tblPrEx>
          <w:tblBorders>
            <w:top w:val="single" w:color="auto" w:sz="12" w:space="0"/>
            <w:left w:val="single" w:color="FFFFFF" w:sz="2" w:space="0"/>
            <w:bottom w:val="single" w:color="auto" w:sz="12" w:space="0"/>
            <w:right w:val="single" w:color="FFFFFF"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6" w:type="pct"/>
            <w:vAlign w:val="center"/>
          </w:tcPr>
          <w:p>
            <w:pPr>
              <w:jc w:val="center"/>
              <w:rPr>
                <w:color w:val="auto"/>
                <w:szCs w:val="21"/>
                <w:highlight w:val="none"/>
              </w:rPr>
            </w:pPr>
            <w:r>
              <w:rPr>
                <w:color w:val="auto"/>
                <w:szCs w:val="21"/>
                <w:highlight w:val="none"/>
              </w:rPr>
              <w:t>地表水</w:t>
            </w:r>
          </w:p>
        </w:tc>
        <w:tc>
          <w:tcPr>
            <w:tcW w:w="955" w:type="pct"/>
            <w:vAlign w:val="center"/>
          </w:tcPr>
          <w:p>
            <w:pPr>
              <w:jc w:val="center"/>
              <w:rPr>
                <w:color w:val="auto"/>
                <w:szCs w:val="21"/>
                <w:highlight w:val="none"/>
              </w:rPr>
            </w:pPr>
            <w:r>
              <w:rPr>
                <w:color w:val="auto"/>
                <w:szCs w:val="21"/>
                <w:highlight w:val="none"/>
              </w:rPr>
              <w:t>—</w:t>
            </w:r>
          </w:p>
        </w:tc>
        <w:tc>
          <w:tcPr>
            <w:tcW w:w="955" w:type="pct"/>
            <w:vAlign w:val="center"/>
          </w:tcPr>
          <w:p>
            <w:pPr>
              <w:jc w:val="center"/>
              <w:rPr>
                <w:color w:val="auto"/>
                <w:szCs w:val="21"/>
                <w:highlight w:val="none"/>
              </w:rPr>
            </w:pPr>
            <w:r>
              <w:rPr>
                <w:rFonts w:ascii="Segoe UI Symbol" w:hAnsi="Segoe UI Symbol" w:cs="Segoe UI Symbol"/>
                <w:color w:val="auto"/>
                <w:szCs w:val="21"/>
                <w:highlight w:val="none"/>
              </w:rPr>
              <w:t>★</w:t>
            </w:r>
          </w:p>
        </w:tc>
        <w:tc>
          <w:tcPr>
            <w:tcW w:w="955" w:type="pct"/>
            <w:vAlign w:val="center"/>
          </w:tcPr>
          <w:p>
            <w:pPr>
              <w:jc w:val="center"/>
              <w:rPr>
                <w:color w:val="auto"/>
                <w:szCs w:val="21"/>
                <w:highlight w:val="none"/>
              </w:rPr>
            </w:pPr>
            <w:r>
              <w:rPr>
                <w:rFonts w:ascii="Segoe UI Symbol" w:hAnsi="Segoe UI Symbol" w:cs="Segoe UI Symbol"/>
                <w:color w:val="auto"/>
                <w:szCs w:val="21"/>
                <w:highlight w:val="none"/>
              </w:rPr>
              <w:t>★</w:t>
            </w:r>
          </w:p>
        </w:tc>
        <w:tc>
          <w:tcPr>
            <w:tcW w:w="949" w:type="pct"/>
            <w:vAlign w:val="center"/>
          </w:tcPr>
          <w:p>
            <w:pPr>
              <w:jc w:val="center"/>
              <w:rPr>
                <w:color w:val="auto"/>
                <w:szCs w:val="21"/>
                <w:highlight w:val="none"/>
              </w:rPr>
            </w:pPr>
            <w:r>
              <w:rPr>
                <w:color w:val="auto"/>
                <w:szCs w:val="21"/>
                <w:highlight w:val="none"/>
              </w:rPr>
              <w:t>—</w:t>
            </w:r>
          </w:p>
        </w:tc>
      </w:tr>
      <w:tr>
        <w:tblPrEx>
          <w:tblBorders>
            <w:top w:val="single" w:color="auto" w:sz="12" w:space="0"/>
            <w:left w:val="single" w:color="FFFFFF" w:sz="2" w:space="0"/>
            <w:bottom w:val="single" w:color="auto" w:sz="12" w:space="0"/>
            <w:right w:val="single" w:color="FFFFFF"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6" w:type="pct"/>
            <w:vAlign w:val="center"/>
          </w:tcPr>
          <w:p>
            <w:pPr>
              <w:jc w:val="center"/>
              <w:rPr>
                <w:color w:val="auto"/>
                <w:szCs w:val="21"/>
                <w:highlight w:val="none"/>
              </w:rPr>
            </w:pPr>
            <w:r>
              <w:rPr>
                <w:color w:val="auto"/>
                <w:szCs w:val="21"/>
                <w:highlight w:val="none"/>
              </w:rPr>
              <w:t>地下水</w:t>
            </w:r>
          </w:p>
        </w:tc>
        <w:tc>
          <w:tcPr>
            <w:tcW w:w="955" w:type="pct"/>
            <w:vAlign w:val="center"/>
          </w:tcPr>
          <w:p>
            <w:pPr>
              <w:jc w:val="center"/>
              <w:rPr>
                <w:color w:val="auto"/>
                <w:szCs w:val="21"/>
                <w:highlight w:val="none"/>
              </w:rPr>
            </w:pPr>
            <w:r>
              <w:rPr>
                <w:color w:val="auto"/>
                <w:szCs w:val="21"/>
                <w:highlight w:val="none"/>
              </w:rPr>
              <w:t>—</w:t>
            </w:r>
          </w:p>
        </w:tc>
        <w:tc>
          <w:tcPr>
            <w:tcW w:w="955" w:type="pct"/>
            <w:vAlign w:val="center"/>
          </w:tcPr>
          <w:p>
            <w:pPr>
              <w:jc w:val="center"/>
              <w:rPr>
                <w:color w:val="auto"/>
                <w:szCs w:val="21"/>
                <w:highlight w:val="none"/>
              </w:rPr>
            </w:pPr>
            <w:r>
              <w:rPr>
                <w:rFonts w:ascii="Segoe UI Symbol" w:hAnsi="Segoe UI Symbol" w:cs="Segoe UI Symbol"/>
                <w:color w:val="auto"/>
                <w:szCs w:val="21"/>
                <w:highlight w:val="none"/>
              </w:rPr>
              <w:t>★</w:t>
            </w:r>
          </w:p>
        </w:tc>
        <w:tc>
          <w:tcPr>
            <w:tcW w:w="955" w:type="pct"/>
            <w:vAlign w:val="center"/>
          </w:tcPr>
          <w:p>
            <w:pPr>
              <w:jc w:val="center"/>
              <w:rPr>
                <w:color w:val="auto"/>
                <w:szCs w:val="21"/>
                <w:highlight w:val="none"/>
              </w:rPr>
            </w:pPr>
            <w:r>
              <w:rPr>
                <w:rFonts w:ascii="Segoe UI Symbol" w:hAnsi="Segoe UI Symbol" w:cs="Segoe UI Symbol"/>
                <w:color w:val="auto"/>
                <w:szCs w:val="21"/>
                <w:highlight w:val="none"/>
              </w:rPr>
              <w:t>★</w:t>
            </w:r>
          </w:p>
        </w:tc>
        <w:tc>
          <w:tcPr>
            <w:tcW w:w="949" w:type="pct"/>
            <w:vAlign w:val="center"/>
          </w:tcPr>
          <w:p>
            <w:pPr>
              <w:jc w:val="center"/>
              <w:rPr>
                <w:color w:val="auto"/>
                <w:szCs w:val="21"/>
                <w:highlight w:val="none"/>
              </w:rPr>
            </w:pPr>
            <w:r>
              <w:rPr>
                <w:color w:val="auto"/>
                <w:szCs w:val="21"/>
                <w:highlight w:val="none"/>
              </w:rPr>
              <w:t>—</w:t>
            </w:r>
          </w:p>
        </w:tc>
      </w:tr>
      <w:tr>
        <w:tblPrEx>
          <w:tblBorders>
            <w:top w:val="single" w:color="auto" w:sz="12" w:space="0"/>
            <w:left w:val="single" w:color="FFFFFF" w:sz="2" w:space="0"/>
            <w:bottom w:val="single" w:color="auto" w:sz="12" w:space="0"/>
            <w:right w:val="single" w:color="FFFFFF"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6" w:type="pct"/>
            <w:vAlign w:val="center"/>
          </w:tcPr>
          <w:p>
            <w:pPr>
              <w:jc w:val="center"/>
              <w:rPr>
                <w:color w:val="auto"/>
                <w:szCs w:val="21"/>
                <w:highlight w:val="none"/>
              </w:rPr>
            </w:pPr>
            <w:r>
              <w:rPr>
                <w:color w:val="auto"/>
                <w:szCs w:val="21"/>
                <w:highlight w:val="none"/>
              </w:rPr>
              <w:t>噪 声</w:t>
            </w:r>
          </w:p>
        </w:tc>
        <w:tc>
          <w:tcPr>
            <w:tcW w:w="955" w:type="pct"/>
            <w:vAlign w:val="center"/>
          </w:tcPr>
          <w:p>
            <w:pPr>
              <w:jc w:val="center"/>
              <w:rPr>
                <w:color w:val="auto"/>
                <w:szCs w:val="21"/>
                <w:highlight w:val="none"/>
              </w:rPr>
            </w:pPr>
            <w:r>
              <w:rPr>
                <w:color w:val="auto"/>
                <w:szCs w:val="21"/>
                <w:highlight w:val="none"/>
              </w:rPr>
              <w:t>—</w:t>
            </w:r>
          </w:p>
        </w:tc>
        <w:tc>
          <w:tcPr>
            <w:tcW w:w="955" w:type="pct"/>
            <w:vAlign w:val="center"/>
          </w:tcPr>
          <w:p>
            <w:pPr>
              <w:jc w:val="center"/>
              <w:rPr>
                <w:color w:val="auto"/>
                <w:szCs w:val="21"/>
                <w:highlight w:val="none"/>
              </w:rPr>
            </w:pPr>
            <w:r>
              <w:rPr>
                <w:color w:val="auto"/>
                <w:szCs w:val="21"/>
                <w:highlight w:val="none"/>
              </w:rPr>
              <w:t>—</w:t>
            </w:r>
          </w:p>
        </w:tc>
        <w:tc>
          <w:tcPr>
            <w:tcW w:w="955" w:type="pct"/>
            <w:vAlign w:val="center"/>
          </w:tcPr>
          <w:p>
            <w:pPr>
              <w:jc w:val="center"/>
              <w:rPr>
                <w:color w:val="auto"/>
                <w:szCs w:val="21"/>
                <w:highlight w:val="none"/>
              </w:rPr>
            </w:pPr>
            <w:r>
              <w:rPr>
                <w:color w:val="auto"/>
                <w:szCs w:val="21"/>
                <w:highlight w:val="none"/>
              </w:rPr>
              <w:t>—</w:t>
            </w:r>
          </w:p>
        </w:tc>
        <w:tc>
          <w:tcPr>
            <w:tcW w:w="949" w:type="pct"/>
            <w:vAlign w:val="center"/>
          </w:tcPr>
          <w:p>
            <w:pPr>
              <w:jc w:val="center"/>
              <w:rPr>
                <w:color w:val="auto"/>
                <w:szCs w:val="21"/>
                <w:highlight w:val="none"/>
              </w:rPr>
            </w:pPr>
            <w:r>
              <w:rPr>
                <w:rFonts w:ascii="Segoe UI Symbol" w:hAnsi="Segoe UI Symbol" w:cs="Segoe UI Symbol"/>
                <w:color w:val="auto"/>
                <w:szCs w:val="21"/>
                <w:highlight w:val="none"/>
              </w:rPr>
              <w:t>★</w:t>
            </w:r>
          </w:p>
        </w:tc>
      </w:tr>
      <w:tr>
        <w:tblPrEx>
          <w:tblBorders>
            <w:top w:val="single" w:color="auto" w:sz="12" w:space="0"/>
            <w:left w:val="single" w:color="FFFFFF" w:sz="2" w:space="0"/>
            <w:bottom w:val="single" w:color="auto" w:sz="12" w:space="0"/>
            <w:right w:val="single" w:color="FFFFFF"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6" w:type="pct"/>
            <w:vAlign w:val="center"/>
          </w:tcPr>
          <w:p>
            <w:pPr>
              <w:jc w:val="center"/>
              <w:rPr>
                <w:color w:val="auto"/>
                <w:szCs w:val="21"/>
                <w:highlight w:val="none"/>
              </w:rPr>
            </w:pPr>
            <w:r>
              <w:rPr>
                <w:color w:val="auto"/>
                <w:szCs w:val="21"/>
                <w:highlight w:val="none"/>
              </w:rPr>
              <w:t>土 壤</w:t>
            </w:r>
          </w:p>
        </w:tc>
        <w:tc>
          <w:tcPr>
            <w:tcW w:w="955" w:type="pct"/>
            <w:vAlign w:val="center"/>
          </w:tcPr>
          <w:p>
            <w:pPr>
              <w:jc w:val="center"/>
              <w:rPr>
                <w:color w:val="auto"/>
                <w:szCs w:val="21"/>
                <w:highlight w:val="none"/>
              </w:rPr>
            </w:pPr>
            <w:r>
              <w:rPr>
                <w:rFonts w:ascii="Segoe UI Symbol" w:hAnsi="Segoe UI Symbol" w:cs="Segoe UI Symbol"/>
                <w:color w:val="auto"/>
                <w:szCs w:val="21"/>
                <w:highlight w:val="none"/>
              </w:rPr>
              <w:t>★</w:t>
            </w:r>
          </w:p>
        </w:tc>
        <w:tc>
          <w:tcPr>
            <w:tcW w:w="955" w:type="pct"/>
            <w:vAlign w:val="center"/>
          </w:tcPr>
          <w:p>
            <w:pPr>
              <w:jc w:val="center"/>
              <w:rPr>
                <w:color w:val="auto"/>
                <w:szCs w:val="21"/>
                <w:highlight w:val="none"/>
              </w:rPr>
            </w:pPr>
            <w:r>
              <w:rPr>
                <w:rFonts w:ascii="Segoe UI Symbol" w:hAnsi="Segoe UI Symbol" w:cs="Segoe UI Symbol"/>
                <w:color w:val="auto"/>
                <w:szCs w:val="21"/>
                <w:highlight w:val="none"/>
              </w:rPr>
              <w:t>★</w:t>
            </w:r>
          </w:p>
        </w:tc>
        <w:tc>
          <w:tcPr>
            <w:tcW w:w="955" w:type="pct"/>
            <w:vAlign w:val="center"/>
          </w:tcPr>
          <w:p>
            <w:pPr>
              <w:jc w:val="center"/>
              <w:rPr>
                <w:color w:val="auto"/>
                <w:szCs w:val="21"/>
                <w:highlight w:val="none"/>
              </w:rPr>
            </w:pPr>
            <w:r>
              <w:rPr>
                <w:rFonts w:ascii="Segoe UI Symbol" w:hAnsi="Segoe UI Symbol" w:cs="Segoe UI Symbol"/>
                <w:color w:val="auto"/>
                <w:szCs w:val="21"/>
                <w:highlight w:val="none"/>
              </w:rPr>
              <w:t>★</w:t>
            </w:r>
          </w:p>
        </w:tc>
        <w:tc>
          <w:tcPr>
            <w:tcW w:w="949" w:type="pct"/>
            <w:vAlign w:val="center"/>
          </w:tcPr>
          <w:p>
            <w:pPr>
              <w:jc w:val="center"/>
              <w:rPr>
                <w:color w:val="auto"/>
                <w:szCs w:val="21"/>
                <w:highlight w:val="none"/>
              </w:rPr>
            </w:pPr>
            <w:r>
              <w:rPr>
                <w:color w:val="auto"/>
                <w:szCs w:val="21"/>
                <w:highlight w:val="none"/>
              </w:rPr>
              <w:t>—</w:t>
            </w:r>
          </w:p>
        </w:tc>
      </w:tr>
      <w:tr>
        <w:tblPrEx>
          <w:tblBorders>
            <w:top w:val="single" w:color="auto" w:sz="12" w:space="0"/>
            <w:left w:val="single" w:color="FFFFFF" w:sz="2" w:space="0"/>
            <w:bottom w:val="single" w:color="auto" w:sz="12" w:space="0"/>
            <w:right w:val="single" w:color="FFFFFF"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6" w:type="pct"/>
            <w:vAlign w:val="center"/>
          </w:tcPr>
          <w:p>
            <w:pPr>
              <w:jc w:val="center"/>
              <w:rPr>
                <w:color w:val="auto"/>
                <w:szCs w:val="21"/>
                <w:highlight w:val="none"/>
              </w:rPr>
            </w:pPr>
            <w:r>
              <w:rPr>
                <w:color w:val="auto"/>
                <w:szCs w:val="21"/>
                <w:highlight w:val="none"/>
              </w:rPr>
              <w:t>生 态</w:t>
            </w:r>
          </w:p>
        </w:tc>
        <w:tc>
          <w:tcPr>
            <w:tcW w:w="955" w:type="pct"/>
            <w:vAlign w:val="center"/>
          </w:tcPr>
          <w:p>
            <w:pPr>
              <w:jc w:val="center"/>
              <w:rPr>
                <w:color w:val="auto"/>
                <w:szCs w:val="21"/>
                <w:highlight w:val="none"/>
              </w:rPr>
            </w:pPr>
            <w:r>
              <w:rPr>
                <w:rFonts w:ascii="Segoe UI Symbol" w:hAnsi="Segoe UI Symbol" w:cs="Segoe UI Symbol"/>
                <w:color w:val="auto"/>
                <w:szCs w:val="21"/>
                <w:highlight w:val="none"/>
              </w:rPr>
              <w:t>★★</w:t>
            </w:r>
          </w:p>
        </w:tc>
        <w:tc>
          <w:tcPr>
            <w:tcW w:w="955" w:type="pct"/>
            <w:vAlign w:val="center"/>
          </w:tcPr>
          <w:p>
            <w:pPr>
              <w:jc w:val="center"/>
              <w:rPr>
                <w:color w:val="auto"/>
                <w:szCs w:val="21"/>
                <w:highlight w:val="none"/>
              </w:rPr>
            </w:pPr>
            <w:r>
              <w:rPr>
                <w:rFonts w:ascii="Segoe UI Symbol" w:hAnsi="Segoe UI Symbol" w:cs="Segoe UI Symbol"/>
                <w:color w:val="auto"/>
                <w:szCs w:val="21"/>
                <w:highlight w:val="none"/>
              </w:rPr>
              <w:t>★</w:t>
            </w:r>
          </w:p>
        </w:tc>
        <w:tc>
          <w:tcPr>
            <w:tcW w:w="955" w:type="pct"/>
            <w:vAlign w:val="center"/>
          </w:tcPr>
          <w:p>
            <w:pPr>
              <w:jc w:val="center"/>
              <w:rPr>
                <w:color w:val="auto"/>
                <w:szCs w:val="21"/>
                <w:highlight w:val="none"/>
              </w:rPr>
            </w:pPr>
            <w:r>
              <w:rPr>
                <w:rFonts w:ascii="Segoe UI Symbol" w:hAnsi="Segoe UI Symbol" w:cs="Segoe UI Symbol"/>
                <w:color w:val="auto"/>
                <w:szCs w:val="21"/>
                <w:highlight w:val="none"/>
              </w:rPr>
              <w:t>★</w:t>
            </w:r>
          </w:p>
        </w:tc>
        <w:tc>
          <w:tcPr>
            <w:tcW w:w="949" w:type="pct"/>
            <w:vAlign w:val="center"/>
          </w:tcPr>
          <w:p>
            <w:pPr>
              <w:jc w:val="center"/>
              <w:rPr>
                <w:color w:val="auto"/>
                <w:szCs w:val="21"/>
                <w:highlight w:val="none"/>
              </w:rPr>
            </w:pPr>
            <w:r>
              <w:rPr>
                <w:color w:val="auto"/>
                <w:szCs w:val="21"/>
                <w:highlight w:val="none"/>
              </w:rPr>
              <w:t>—</w:t>
            </w:r>
          </w:p>
        </w:tc>
      </w:tr>
      <w:tr>
        <w:tblPrEx>
          <w:tblBorders>
            <w:top w:val="single" w:color="auto" w:sz="12" w:space="0"/>
            <w:left w:val="single" w:color="FFFFFF" w:sz="2" w:space="0"/>
            <w:bottom w:val="single" w:color="auto" w:sz="12" w:space="0"/>
            <w:right w:val="single" w:color="FFFFFF"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6" w:type="pct"/>
            <w:vAlign w:val="center"/>
          </w:tcPr>
          <w:p>
            <w:pPr>
              <w:jc w:val="center"/>
              <w:rPr>
                <w:color w:val="auto"/>
                <w:szCs w:val="21"/>
                <w:highlight w:val="none"/>
              </w:rPr>
            </w:pPr>
            <w:r>
              <w:rPr>
                <w:color w:val="auto"/>
                <w:szCs w:val="21"/>
                <w:highlight w:val="none"/>
              </w:rPr>
              <w:t>环境风险</w:t>
            </w:r>
          </w:p>
        </w:tc>
        <w:tc>
          <w:tcPr>
            <w:tcW w:w="3814" w:type="pct"/>
            <w:gridSpan w:val="4"/>
            <w:vAlign w:val="center"/>
          </w:tcPr>
          <w:p>
            <w:pPr>
              <w:jc w:val="center"/>
              <w:rPr>
                <w:color w:val="auto"/>
                <w:szCs w:val="21"/>
                <w:highlight w:val="none"/>
              </w:rPr>
            </w:pPr>
            <w:r>
              <w:rPr>
                <w:rFonts w:ascii="Segoe UI Symbol" w:hAnsi="Segoe UI Symbol" w:cs="Segoe UI Symbol"/>
                <w:color w:val="auto"/>
                <w:szCs w:val="21"/>
                <w:highlight w:val="none"/>
              </w:rPr>
              <w:t>★★</w:t>
            </w:r>
          </w:p>
        </w:tc>
      </w:tr>
    </w:tbl>
    <w:p>
      <w:pPr>
        <w:jc w:val="left"/>
        <w:rPr>
          <w:rFonts w:eastAsia="黑体"/>
          <w:color w:val="auto"/>
          <w:highlight w:val="none"/>
        </w:rPr>
      </w:pPr>
      <w:r>
        <w:rPr>
          <w:b/>
          <w:bCs/>
          <w:color w:val="auto"/>
          <w:szCs w:val="21"/>
          <w:highlight w:val="none"/>
        </w:rPr>
        <w:t>注：</w:t>
      </w:r>
      <w:r>
        <w:rPr>
          <w:rFonts w:ascii="Segoe UI Symbol" w:hAnsi="Segoe UI Symbol" w:cs="Segoe UI Symbol"/>
          <w:color w:val="auto"/>
          <w:szCs w:val="21"/>
          <w:highlight w:val="none"/>
        </w:rPr>
        <w:t>★★★★</w:t>
      </w:r>
      <w:r>
        <w:rPr>
          <w:color w:val="auto"/>
          <w:szCs w:val="21"/>
          <w:highlight w:val="none"/>
        </w:rPr>
        <w:t>—“重大”影响，</w:t>
      </w:r>
      <w:r>
        <w:rPr>
          <w:rFonts w:ascii="Segoe UI Symbol" w:hAnsi="Segoe UI Symbol" w:cs="Segoe UI Symbol"/>
          <w:color w:val="auto"/>
          <w:szCs w:val="21"/>
          <w:highlight w:val="none"/>
        </w:rPr>
        <w:t>★★★</w:t>
      </w:r>
      <w:r>
        <w:rPr>
          <w:color w:val="auto"/>
          <w:szCs w:val="21"/>
          <w:highlight w:val="none"/>
        </w:rPr>
        <w:t>—“较大”影响，</w:t>
      </w:r>
      <w:r>
        <w:rPr>
          <w:rFonts w:ascii="Segoe UI Symbol" w:hAnsi="Segoe UI Symbol" w:cs="Segoe UI Symbol"/>
          <w:color w:val="auto"/>
          <w:szCs w:val="21"/>
          <w:highlight w:val="none"/>
        </w:rPr>
        <w:t>★★</w:t>
      </w:r>
      <w:r>
        <w:rPr>
          <w:color w:val="auto"/>
          <w:szCs w:val="21"/>
          <w:highlight w:val="none"/>
        </w:rPr>
        <w:t>—“轻度”影响，</w:t>
      </w:r>
      <w:r>
        <w:rPr>
          <w:rFonts w:ascii="Segoe UI Symbol" w:hAnsi="Segoe UI Symbol" w:cs="Segoe UI Symbol"/>
          <w:color w:val="auto"/>
          <w:szCs w:val="21"/>
          <w:highlight w:val="none"/>
        </w:rPr>
        <w:t>★</w:t>
      </w:r>
      <w:r>
        <w:rPr>
          <w:color w:val="auto"/>
          <w:szCs w:val="21"/>
          <w:highlight w:val="none"/>
        </w:rPr>
        <w:t>—“微小”影响。</w:t>
      </w:r>
    </w:p>
    <w:p>
      <w:pPr>
        <w:pStyle w:val="9"/>
        <w:spacing w:before="234" w:beforeLines="75" w:after="0" w:line="360" w:lineRule="auto"/>
        <w:rPr>
          <w:rFonts w:eastAsia="黑体"/>
          <w:b w:val="0"/>
          <w:color w:val="auto"/>
          <w:sz w:val="24"/>
          <w:szCs w:val="24"/>
          <w:highlight w:val="none"/>
        </w:rPr>
      </w:pPr>
      <w:bookmarkStart w:id="77" w:name="_Toc438043789"/>
      <w:r>
        <w:rPr>
          <w:rFonts w:eastAsia="黑体"/>
          <w:b w:val="0"/>
          <w:color w:val="auto"/>
          <w:sz w:val="24"/>
          <w:szCs w:val="24"/>
          <w:highlight w:val="none"/>
        </w:rPr>
        <w:t>1.3.2 评价因子的确定</w:t>
      </w:r>
      <w:bookmarkEnd w:id="77"/>
    </w:p>
    <w:p>
      <w:pPr>
        <w:spacing w:line="360" w:lineRule="auto"/>
        <w:ind w:firstLine="480" w:firstLineChars="200"/>
        <w:jc w:val="left"/>
        <w:rPr>
          <w:color w:val="auto"/>
          <w:sz w:val="24"/>
          <w:highlight w:val="none"/>
        </w:rPr>
      </w:pPr>
      <w:r>
        <w:rPr>
          <w:color w:val="auto"/>
          <w:sz w:val="24"/>
          <w:highlight w:val="none"/>
        </w:rPr>
        <w:t>根据拟建工程情况、周围环境特征及功能区划，确定本次评价工作的现状评价因子及影响预测因子见表1.3-3。</w:t>
      </w:r>
    </w:p>
    <w:p>
      <w:pPr>
        <w:spacing w:line="360" w:lineRule="auto"/>
        <w:ind w:firstLine="480" w:firstLineChars="200"/>
        <w:jc w:val="center"/>
        <w:rPr>
          <w:rFonts w:eastAsia="黑体"/>
          <w:bCs/>
          <w:color w:val="auto"/>
          <w:kern w:val="28"/>
          <w:sz w:val="24"/>
          <w:highlight w:val="none"/>
          <w:lang w:val="en-GB"/>
        </w:rPr>
      </w:pPr>
      <w:r>
        <w:rPr>
          <w:rFonts w:eastAsia="黑体"/>
          <w:color w:val="auto"/>
          <w:sz w:val="24"/>
          <w:highlight w:val="none"/>
        </w:rPr>
        <w:t>表1.3-3   评价因子确定表一览表</w:t>
      </w:r>
    </w:p>
    <w:tbl>
      <w:tblPr>
        <w:tblStyle w:val="59"/>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97"/>
        <w:gridCol w:w="1425"/>
        <w:gridCol w:w="936"/>
        <w:gridCol w:w="4140"/>
        <w:gridCol w:w="144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blHeader/>
        </w:trPr>
        <w:tc>
          <w:tcPr>
            <w:tcW w:w="507" w:type="pct"/>
            <w:tcBorders>
              <w:top w:val="single" w:color="auto" w:sz="12" w:space="0"/>
              <w:bottom w:val="single" w:color="auto" w:sz="6" w:space="0"/>
              <w:tl2br w:val="single" w:color="auto" w:sz="4" w:space="0"/>
            </w:tcBorders>
            <w:tcMar>
              <w:top w:w="28" w:type="dxa"/>
              <w:left w:w="28" w:type="dxa"/>
              <w:bottom w:w="28" w:type="dxa"/>
              <w:right w:w="28" w:type="dxa"/>
            </w:tcMar>
            <w:vAlign w:val="center"/>
          </w:tcPr>
          <w:p>
            <w:pPr>
              <w:spacing w:line="220" w:lineRule="exact"/>
              <w:jc w:val="right"/>
              <w:rPr>
                <w:color w:val="auto"/>
                <w:szCs w:val="21"/>
                <w:highlight w:val="none"/>
              </w:rPr>
            </w:pPr>
            <w:r>
              <w:rPr>
                <w:color w:val="auto"/>
                <w:szCs w:val="21"/>
                <w:highlight w:val="none"/>
              </w:rPr>
              <w:t>项目</w:t>
            </w:r>
          </w:p>
          <w:p>
            <w:pPr>
              <w:spacing w:line="220" w:lineRule="exact"/>
              <w:rPr>
                <w:color w:val="auto"/>
                <w:szCs w:val="21"/>
                <w:highlight w:val="none"/>
              </w:rPr>
            </w:pPr>
            <w:r>
              <w:rPr>
                <w:color w:val="auto"/>
                <w:szCs w:val="21"/>
                <w:highlight w:val="none"/>
              </w:rPr>
              <w:t>专题</w:t>
            </w:r>
          </w:p>
        </w:tc>
        <w:tc>
          <w:tcPr>
            <w:tcW w:w="806" w:type="pct"/>
            <w:tcBorders>
              <w:right w:val="single" w:color="auto" w:sz="4" w:space="0"/>
            </w:tcBorders>
            <w:tcMar>
              <w:top w:w="28" w:type="dxa"/>
              <w:left w:w="28" w:type="dxa"/>
              <w:bottom w:w="28" w:type="dxa"/>
              <w:right w:w="28" w:type="dxa"/>
            </w:tcMar>
            <w:vAlign w:val="center"/>
          </w:tcPr>
          <w:p>
            <w:pPr>
              <w:pStyle w:val="105"/>
              <w:rPr>
                <w:color w:val="auto"/>
                <w:highlight w:val="none"/>
              </w:rPr>
            </w:pPr>
            <w:r>
              <w:rPr>
                <w:color w:val="auto"/>
                <w:highlight w:val="none"/>
              </w:rPr>
              <w:t>主要污染源</w:t>
            </w:r>
          </w:p>
        </w:tc>
        <w:tc>
          <w:tcPr>
            <w:tcW w:w="2870" w:type="pct"/>
            <w:gridSpan w:val="2"/>
            <w:tcBorders>
              <w:left w:val="single" w:color="auto" w:sz="4" w:space="0"/>
            </w:tcBorders>
            <w:tcMar>
              <w:top w:w="28" w:type="dxa"/>
              <w:left w:w="28" w:type="dxa"/>
              <w:bottom w:w="28" w:type="dxa"/>
              <w:right w:w="28" w:type="dxa"/>
            </w:tcMar>
            <w:vAlign w:val="center"/>
          </w:tcPr>
          <w:p>
            <w:pPr>
              <w:pStyle w:val="105"/>
              <w:rPr>
                <w:color w:val="auto"/>
                <w:highlight w:val="none"/>
              </w:rPr>
            </w:pPr>
            <w:r>
              <w:rPr>
                <w:color w:val="auto"/>
                <w:highlight w:val="none"/>
              </w:rPr>
              <w:t>现状评价因子</w:t>
            </w:r>
          </w:p>
        </w:tc>
        <w:tc>
          <w:tcPr>
            <w:tcW w:w="815" w:type="pct"/>
            <w:tcMar>
              <w:top w:w="28" w:type="dxa"/>
              <w:left w:w="28" w:type="dxa"/>
              <w:bottom w:w="28" w:type="dxa"/>
              <w:right w:w="28" w:type="dxa"/>
            </w:tcMar>
            <w:vAlign w:val="center"/>
          </w:tcPr>
          <w:p>
            <w:pPr>
              <w:pStyle w:val="105"/>
              <w:rPr>
                <w:color w:val="auto"/>
                <w:highlight w:val="none"/>
              </w:rPr>
            </w:pPr>
            <w:r>
              <w:rPr>
                <w:color w:val="auto"/>
                <w:highlight w:val="none"/>
              </w:rPr>
              <w:t>影响评价因子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7" w:type="pct"/>
            <w:tcBorders>
              <w:top w:val="single" w:color="auto" w:sz="6" w:space="0"/>
            </w:tcBorders>
            <w:tcMar>
              <w:top w:w="28" w:type="dxa"/>
              <w:left w:w="28" w:type="dxa"/>
              <w:bottom w:w="28" w:type="dxa"/>
              <w:right w:w="28" w:type="dxa"/>
            </w:tcMar>
            <w:vAlign w:val="center"/>
          </w:tcPr>
          <w:p>
            <w:pPr>
              <w:spacing w:line="240" w:lineRule="exact"/>
              <w:jc w:val="center"/>
              <w:rPr>
                <w:color w:val="auto"/>
                <w:szCs w:val="21"/>
                <w:highlight w:val="none"/>
              </w:rPr>
            </w:pPr>
            <w:r>
              <w:rPr>
                <w:color w:val="auto"/>
                <w:szCs w:val="21"/>
                <w:highlight w:val="none"/>
              </w:rPr>
              <w:t>环境空气</w:t>
            </w:r>
          </w:p>
        </w:tc>
        <w:tc>
          <w:tcPr>
            <w:tcW w:w="806" w:type="pct"/>
            <w:tcBorders>
              <w:right w:val="single" w:color="auto" w:sz="4" w:space="0"/>
            </w:tcBorders>
            <w:tcMar>
              <w:top w:w="28" w:type="dxa"/>
              <w:left w:w="28" w:type="dxa"/>
              <w:bottom w:w="28" w:type="dxa"/>
              <w:right w:w="28" w:type="dxa"/>
            </w:tcMar>
            <w:vAlign w:val="center"/>
          </w:tcPr>
          <w:p>
            <w:pPr>
              <w:spacing w:line="240" w:lineRule="exact"/>
              <w:jc w:val="center"/>
              <w:rPr>
                <w:color w:val="auto"/>
                <w:szCs w:val="21"/>
                <w:highlight w:val="none"/>
              </w:rPr>
            </w:pPr>
            <w:r>
              <w:rPr>
                <w:color w:val="auto"/>
                <w:szCs w:val="21"/>
                <w:highlight w:val="none"/>
              </w:rPr>
              <w:t>生产工艺废气</w:t>
            </w:r>
            <w:r>
              <w:rPr>
                <w:rFonts w:hint="eastAsia"/>
                <w:color w:val="auto"/>
                <w:szCs w:val="21"/>
                <w:highlight w:val="none"/>
              </w:rPr>
              <w:t>、</w:t>
            </w:r>
          </w:p>
          <w:p>
            <w:pPr>
              <w:spacing w:line="240" w:lineRule="exact"/>
              <w:jc w:val="center"/>
              <w:rPr>
                <w:color w:val="auto"/>
                <w:szCs w:val="21"/>
                <w:highlight w:val="none"/>
              </w:rPr>
            </w:pPr>
            <w:r>
              <w:rPr>
                <w:color w:val="auto"/>
                <w:szCs w:val="21"/>
                <w:highlight w:val="none"/>
              </w:rPr>
              <w:t>无组织排放</w:t>
            </w:r>
          </w:p>
        </w:tc>
        <w:tc>
          <w:tcPr>
            <w:tcW w:w="2870" w:type="pct"/>
            <w:gridSpan w:val="2"/>
            <w:tcBorders>
              <w:left w:val="single" w:color="auto" w:sz="4" w:space="0"/>
            </w:tcBorders>
            <w:tcMar>
              <w:top w:w="28" w:type="dxa"/>
              <w:left w:w="28" w:type="dxa"/>
              <w:bottom w:w="28" w:type="dxa"/>
              <w:right w:w="28" w:type="dxa"/>
            </w:tcMar>
            <w:vAlign w:val="center"/>
          </w:tcPr>
          <w:p>
            <w:pPr>
              <w:spacing w:line="240" w:lineRule="exact"/>
              <w:jc w:val="center"/>
              <w:rPr>
                <w:color w:val="auto"/>
                <w:szCs w:val="21"/>
                <w:highlight w:val="none"/>
              </w:rPr>
            </w:pPr>
            <w:r>
              <w:rPr>
                <w:color w:val="auto"/>
                <w:szCs w:val="21"/>
                <w:highlight w:val="none"/>
              </w:rPr>
              <w:t>PM</w:t>
            </w:r>
            <w:r>
              <w:rPr>
                <w:color w:val="auto"/>
                <w:szCs w:val="21"/>
                <w:highlight w:val="none"/>
                <w:vertAlign w:val="subscript"/>
              </w:rPr>
              <w:t>10</w:t>
            </w:r>
            <w:r>
              <w:rPr>
                <w:color w:val="auto"/>
                <w:szCs w:val="21"/>
                <w:highlight w:val="none"/>
              </w:rPr>
              <w:t>、</w:t>
            </w:r>
            <w:r>
              <w:rPr>
                <w:rFonts w:hint="eastAsia"/>
                <w:color w:val="auto"/>
                <w:szCs w:val="21"/>
                <w:highlight w:val="none"/>
              </w:rPr>
              <w:t>TSP、</w:t>
            </w:r>
            <w:r>
              <w:rPr>
                <w:rFonts w:hint="eastAsia"/>
                <w:color w:val="auto"/>
                <w:highlight w:val="none"/>
              </w:rPr>
              <w:t>VOCs</w:t>
            </w:r>
          </w:p>
        </w:tc>
        <w:tc>
          <w:tcPr>
            <w:tcW w:w="815" w:type="pct"/>
            <w:tcMar>
              <w:top w:w="28" w:type="dxa"/>
              <w:left w:w="28" w:type="dxa"/>
              <w:bottom w:w="28" w:type="dxa"/>
              <w:right w:w="28" w:type="dxa"/>
            </w:tcMar>
            <w:vAlign w:val="center"/>
          </w:tcPr>
          <w:p>
            <w:pPr>
              <w:spacing w:line="240" w:lineRule="exact"/>
              <w:jc w:val="center"/>
              <w:rPr>
                <w:color w:val="auto"/>
                <w:szCs w:val="21"/>
                <w:highlight w:val="none"/>
              </w:rPr>
            </w:pPr>
            <w:r>
              <w:rPr>
                <w:color w:val="auto"/>
                <w:szCs w:val="21"/>
                <w:highlight w:val="none"/>
              </w:rPr>
              <w:t>PM</w:t>
            </w:r>
            <w:r>
              <w:rPr>
                <w:color w:val="auto"/>
                <w:szCs w:val="21"/>
                <w:highlight w:val="none"/>
                <w:vertAlign w:val="subscript"/>
              </w:rPr>
              <w:t>10</w:t>
            </w:r>
            <w:r>
              <w:rPr>
                <w:color w:val="auto"/>
                <w:szCs w:val="21"/>
                <w:highlight w:val="none"/>
              </w:rPr>
              <w:t>、</w:t>
            </w:r>
            <w:r>
              <w:rPr>
                <w:rFonts w:hint="eastAsia"/>
                <w:color w:val="auto"/>
                <w:szCs w:val="21"/>
                <w:highlight w:val="none"/>
              </w:rPr>
              <w:t>TSP、</w:t>
            </w:r>
            <w:r>
              <w:rPr>
                <w:color w:val="auto"/>
                <w:highlight w:val="none"/>
              </w:rPr>
              <w:t>VOCs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7" w:type="pct"/>
            <w:tcBorders>
              <w:top w:val="single" w:color="auto" w:sz="6" w:space="0"/>
            </w:tcBorders>
            <w:tcMar>
              <w:top w:w="28" w:type="dxa"/>
              <w:left w:w="28" w:type="dxa"/>
              <w:bottom w:w="28" w:type="dxa"/>
              <w:right w:w="28" w:type="dxa"/>
            </w:tcMar>
            <w:vAlign w:val="center"/>
          </w:tcPr>
          <w:p>
            <w:pPr>
              <w:spacing w:line="240" w:lineRule="exact"/>
              <w:jc w:val="center"/>
              <w:rPr>
                <w:color w:val="auto"/>
                <w:szCs w:val="21"/>
                <w:highlight w:val="none"/>
              </w:rPr>
            </w:pPr>
            <w:r>
              <w:rPr>
                <w:color w:val="auto"/>
                <w:szCs w:val="21"/>
                <w:highlight w:val="none"/>
              </w:rPr>
              <w:t>地表水</w:t>
            </w:r>
          </w:p>
        </w:tc>
        <w:tc>
          <w:tcPr>
            <w:tcW w:w="806" w:type="pct"/>
            <w:tcBorders>
              <w:right w:val="single" w:color="auto" w:sz="4" w:space="0"/>
            </w:tcBorders>
            <w:tcMar>
              <w:top w:w="28" w:type="dxa"/>
              <w:left w:w="28" w:type="dxa"/>
              <w:bottom w:w="28" w:type="dxa"/>
              <w:right w:w="28" w:type="dxa"/>
            </w:tcMar>
            <w:vAlign w:val="center"/>
          </w:tcPr>
          <w:p>
            <w:pPr>
              <w:spacing w:line="240" w:lineRule="exact"/>
              <w:jc w:val="center"/>
              <w:rPr>
                <w:color w:val="auto"/>
                <w:szCs w:val="21"/>
                <w:highlight w:val="none"/>
              </w:rPr>
            </w:pPr>
            <w:r>
              <w:rPr>
                <w:color w:val="auto"/>
                <w:szCs w:val="21"/>
                <w:highlight w:val="none"/>
              </w:rPr>
              <w:t>生活污水</w:t>
            </w:r>
          </w:p>
        </w:tc>
        <w:tc>
          <w:tcPr>
            <w:tcW w:w="2870" w:type="pct"/>
            <w:gridSpan w:val="2"/>
            <w:tcBorders>
              <w:left w:val="single" w:color="auto" w:sz="4" w:space="0"/>
            </w:tcBorders>
            <w:tcMar>
              <w:top w:w="28" w:type="dxa"/>
              <w:left w:w="28" w:type="dxa"/>
              <w:bottom w:w="28" w:type="dxa"/>
              <w:right w:w="28" w:type="dxa"/>
            </w:tcMar>
            <w:vAlign w:val="center"/>
          </w:tcPr>
          <w:p>
            <w:pPr>
              <w:pStyle w:val="105"/>
              <w:rPr>
                <w:color w:val="auto"/>
                <w:szCs w:val="21"/>
                <w:highlight w:val="none"/>
              </w:rPr>
            </w:pPr>
            <w:r>
              <w:rPr>
                <w:rFonts w:hint="eastAsia"/>
                <w:color w:val="auto"/>
                <w:highlight w:val="none"/>
              </w:rPr>
              <w:t>p</w:t>
            </w:r>
            <w:r>
              <w:rPr>
                <w:color w:val="auto"/>
                <w:highlight w:val="none"/>
              </w:rPr>
              <w:t>H、COD、BOD</w:t>
            </w:r>
            <w:r>
              <w:rPr>
                <w:color w:val="auto"/>
                <w:highlight w:val="none"/>
                <w:vertAlign w:val="subscript"/>
              </w:rPr>
              <w:t>5</w:t>
            </w:r>
            <w:r>
              <w:rPr>
                <w:color w:val="auto"/>
                <w:highlight w:val="none"/>
              </w:rPr>
              <w:t>、高指数、氨氮、总氮、总磷、铜、锌、砷、铅、镉、硒、汞、六价铬、硫化物、石油类、挥发酚、氰化物、氰化物</w:t>
            </w:r>
          </w:p>
        </w:tc>
        <w:tc>
          <w:tcPr>
            <w:tcW w:w="815" w:type="pct"/>
            <w:tcMar>
              <w:top w:w="28" w:type="dxa"/>
              <w:left w:w="28" w:type="dxa"/>
              <w:bottom w:w="28" w:type="dxa"/>
              <w:right w:w="28" w:type="dxa"/>
            </w:tcMar>
            <w:vAlign w:val="center"/>
          </w:tcPr>
          <w:p>
            <w:pPr>
              <w:spacing w:line="240" w:lineRule="exact"/>
              <w:jc w:val="center"/>
              <w:rPr>
                <w:color w:val="auto"/>
                <w:szCs w:val="21"/>
                <w:highlight w:val="none"/>
              </w:rPr>
            </w:pPr>
            <w:r>
              <w:rPr>
                <w:rStyle w:val="121"/>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7" w:type="pct"/>
            <w:tcMar>
              <w:top w:w="28" w:type="dxa"/>
              <w:left w:w="28" w:type="dxa"/>
              <w:bottom w:w="28" w:type="dxa"/>
              <w:right w:w="28" w:type="dxa"/>
            </w:tcMar>
            <w:vAlign w:val="center"/>
          </w:tcPr>
          <w:p>
            <w:pPr>
              <w:spacing w:line="240" w:lineRule="exact"/>
              <w:jc w:val="center"/>
              <w:rPr>
                <w:color w:val="auto"/>
                <w:szCs w:val="21"/>
                <w:highlight w:val="none"/>
              </w:rPr>
            </w:pPr>
            <w:r>
              <w:rPr>
                <w:color w:val="auto"/>
                <w:szCs w:val="21"/>
                <w:highlight w:val="none"/>
              </w:rPr>
              <w:t>地下水</w:t>
            </w:r>
          </w:p>
        </w:tc>
        <w:tc>
          <w:tcPr>
            <w:tcW w:w="806" w:type="pct"/>
            <w:tcBorders>
              <w:right w:val="single" w:color="auto" w:sz="4" w:space="0"/>
            </w:tcBorders>
            <w:tcMar>
              <w:top w:w="28" w:type="dxa"/>
              <w:left w:w="28" w:type="dxa"/>
              <w:bottom w:w="28" w:type="dxa"/>
              <w:right w:w="28" w:type="dxa"/>
            </w:tcMar>
            <w:vAlign w:val="center"/>
          </w:tcPr>
          <w:p>
            <w:pPr>
              <w:spacing w:line="240" w:lineRule="exact"/>
              <w:jc w:val="center"/>
              <w:rPr>
                <w:color w:val="auto"/>
                <w:szCs w:val="21"/>
                <w:highlight w:val="none"/>
              </w:rPr>
            </w:pPr>
            <w:r>
              <w:rPr>
                <w:color w:val="auto"/>
                <w:szCs w:val="21"/>
                <w:highlight w:val="none"/>
              </w:rPr>
              <w:t>生活污水</w:t>
            </w:r>
          </w:p>
        </w:tc>
        <w:tc>
          <w:tcPr>
            <w:tcW w:w="2870" w:type="pct"/>
            <w:gridSpan w:val="2"/>
            <w:tcBorders>
              <w:left w:val="single" w:color="auto" w:sz="4" w:space="0"/>
            </w:tcBorders>
            <w:tcMar>
              <w:top w:w="28" w:type="dxa"/>
              <w:left w:w="28" w:type="dxa"/>
              <w:bottom w:w="28" w:type="dxa"/>
              <w:right w:w="28" w:type="dxa"/>
            </w:tcMar>
            <w:vAlign w:val="center"/>
          </w:tcPr>
          <w:p>
            <w:pPr>
              <w:spacing w:line="240" w:lineRule="exact"/>
              <w:jc w:val="center"/>
              <w:rPr>
                <w:color w:val="auto"/>
                <w:szCs w:val="21"/>
                <w:highlight w:val="none"/>
              </w:rPr>
            </w:pPr>
            <w:r>
              <w:rPr>
                <w:rFonts w:hint="eastAsia"/>
                <w:color w:val="auto"/>
                <w:szCs w:val="21"/>
                <w:highlight w:val="none"/>
              </w:rPr>
              <w:t>K</w:t>
            </w:r>
            <w:r>
              <w:rPr>
                <w:rFonts w:hint="eastAsia"/>
                <w:color w:val="auto"/>
                <w:szCs w:val="21"/>
                <w:highlight w:val="none"/>
                <w:vertAlign w:val="superscript"/>
              </w:rPr>
              <w:t>+</w:t>
            </w:r>
            <w:r>
              <w:rPr>
                <w:rFonts w:hint="eastAsia"/>
                <w:color w:val="auto"/>
                <w:szCs w:val="21"/>
                <w:highlight w:val="none"/>
              </w:rPr>
              <w:t>、Na</w:t>
            </w:r>
            <w:r>
              <w:rPr>
                <w:rFonts w:hint="eastAsia"/>
                <w:color w:val="auto"/>
                <w:szCs w:val="21"/>
                <w:highlight w:val="none"/>
                <w:vertAlign w:val="superscript"/>
              </w:rPr>
              <w:t>+</w:t>
            </w:r>
            <w:r>
              <w:rPr>
                <w:rFonts w:hint="eastAsia"/>
                <w:color w:val="auto"/>
                <w:szCs w:val="21"/>
                <w:highlight w:val="none"/>
              </w:rPr>
              <w:t>、Ca</w:t>
            </w:r>
            <w:r>
              <w:rPr>
                <w:rFonts w:hint="eastAsia"/>
                <w:color w:val="auto"/>
                <w:szCs w:val="21"/>
                <w:highlight w:val="none"/>
                <w:vertAlign w:val="superscript"/>
              </w:rPr>
              <w:t>2+</w:t>
            </w:r>
            <w:r>
              <w:rPr>
                <w:rFonts w:hint="eastAsia"/>
                <w:color w:val="auto"/>
                <w:szCs w:val="21"/>
                <w:highlight w:val="none"/>
              </w:rPr>
              <w:t>、Mg</w:t>
            </w:r>
            <w:r>
              <w:rPr>
                <w:rFonts w:hint="eastAsia"/>
                <w:color w:val="auto"/>
                <w:szCs w:val="21"/>
                <w:highlight w:val="none"/>
                <w:vertAlign w:val="superscript"/>
              </w:rPr>
              <w:t>2+</w:t>
            </w:r>
            <w:r>
              <w:rPr>
                <w:rFonts w:hint="eastAsia"/>
                <w:color w:val="auto"/>
                <w:szCs w:val="21"/>
                <w:highlight w:val="none"/>
              </w:rPr>
              <w:t>、HCO</w:t>
            </w:r>
            <w:r>
              <w:rPr>
                <w:rFonts w:hint="eastAsia"/>
                <w:color w:val="auto"/>
                <w:szCs w:val="21"/>
                <w:highlight w:val="none"/>
                <w:vertAlign w:val="subscript"/>
              </w:rPr>
              <w:t>3</w:t>
            </w:r>
            <w:r>
              <w:rPr>
                <w:rFonts w:hint="eastAsia"/>
                <w:color w:val="auto"/>
                <w:szCs w:val="21"/>
                <w:highlight w:val="none"/>
                <w:vertAlign w:val="superscript"/>
              </w:rPr>
              <w:t>﹣</w:t>
            </w:r>
            <w:r>
              <w:rPr>
                <w:rFonts w:hint="eastAsia"/>
                <w:color w:val="auto"/>
                <w:szCs w:val="21"/>
                <w:highlight w:val="none"/>
              </w:rPr>
              <w:t>、CO</w:t>
            </w:r>
            <w:r>
              <w:rPr>
                <w:rFonts w:hint="eastAsia"/>
                <w:color w:val="auto"/>
                <w:szCs w:val="21"/>
                <w:highlight w:val="none"/>
                <w:vertAlign w:val="subscript"/>
              </w:rPr>
              <w:t>3</w:t>
            </w:r>
            <w:r>
              <w:rPr>
                <w:rFonts w:hint="eastAsia"/>
                <w:color w:val="auto"/>
                <w:szCs w:val="21"/>
                <w:highlight w:val="none"/>
                <w:vertAlign w:val="superscript"/>
              </w:rPr>
              <w:t>2﹣</w:t>
            </w:r>
            <w:r>
              <w:rPr>
                <w:rFonts w:hint="eastAsia"/>
                <w:color w:val="auto"/>
                <w:szCs w:val="21"/>
                <w:highlight w:val="none"/>
              </w:rPr>
              <w:t>、pH、色度、总硬度、溶解性总固体、硫酸盐、氯化物、铁、锰、挥发性酚类、耗氧量、氨氮、硫化物、总大肠菌群、菌落总数、硝酸盐、亚硝酸盐、氰化物、氟化物、汞、砷、镉、铬(六价)、铅、阴离子表面活性剂</w:t>
            </w:r>
          </w:p>
        </w:tc>
        <w:tc>
          <w:tcPr>
            <w:tcW w:w="815" w:type="pct"/>
            <w:tcMar>
              <w:top w:w="28" w:type="dxa"/>
              <w:left w:w="28" w:type="dxa"/>
              <w:bottom w:w="28" w:type="dxa"/>
              <w:right w:w="28" w:type="dxa"/>
            </w:tcMar>
            <w:vAlign w:val="center"/>
          </w:tcPr>
          <w:p>
            <w:pPr>
              <w:spacing w:line="240" w:lineRule="exact"/>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7" w:type="pct"/>
            <w:tcMar>
              <w:top w:w="28" w:type="dxa"/>
              <w:left w:w="28" w:type="dxa"/>
              <w:bottom w:w="28" w:type="dxa"/>
              <w:right w:w="28" w:type="dxa"/>
            </w:tcMar>
            <w:vAlign w:val="center"/>
          </w:tcPr>
          <w:p>
            <w:pPr>
              <w:spacing w:line="240" w:lineRule="exact"/>
              <w:jc w:val="center"/>
              <w:rPr>
                <w:color w:val="auto"/>
                <w:szCs w:val="21"/>
                <w:highlight w:val="none"/>
              </w:rPr>
            </w:pPr>
            <w:r>
              <w:rPr>
                <w:color w:val="auto"/>
                <w:szCs w:val="21"/>
                <w:highlight w:val="none"/>
              </w:rPr>
              <w:t>噪声</w:t>
            </w:r>
          </w:p>
        </w:tc>
        <w:tc>
          <w:tcPr>
            <w:tcW w:w="806" w:type="pct"/>
            <w:tcBorders>
              <w:right w:val="single" w:color="auto" w:sz="4" w:space="0"/>
            </w:tcBorders>
            <w:tcMar>
              <w:top w:w="28" w:type="dxa"/>
              <w:left w:w="28" w:type="dxa"/>
              <w:bottom w:w="28" w:type="dxa"/>
              <w:right w:w="28" w:type="dxa"/>
            </w:tcMar>
            <w:vAlign w:val="center"/>
          </w:tcPr>
          <w:p>
            <w:pPr>
              <w:snapToGrid w:val="0"/>
              <w:spacing w:line="240" w:lineRule="exact"/>
              <w:jc w:val="center"/>
              <w:rPr>
                <w:color w:val="auto"/>
                <w:szCs w:val="21"/>
                <w:highlight w:val="none"/>
              </w:rPr>
            </w:pPr>
            <w:r>
              <w:rPr>
                <w:color w:val="auto"/>
                <w:szCs w:val="21"/>
                <w:highlight w:val="none"/>
              </w:rPr>
              <w:t>各类生产及辅助设备</w:t>
            </w:r>
          </w:p>
        </w:tc>
        <w:tc>
          <w:tcPr>
            <w:tcW w:w="2870" w:type="pct"/>
            <w:gridSpan w:val="2"/>
            <w:tcBorders>
              <w:left w:val="single" w:color="auto" w:sz="4" w:space="0"/>
            </w:tcBorders>
            <w:tcMar>
              <w:top w:w="28" w:type="dxa"/>
              <w:left w:w="28" w:type="dxa"/>
              <w:bottom w:w="28" w:type="dxa"/>
              <w:right w:w="28" w:type="dxa"/>
            </w:tcMar>
            <w:vAlign w:val="center"/>
          </w:tcPr>
          <w:p>
            <w:pPr>
              <w:pStyle w:val="105"/>
              <w:rPr>
                <w:color w:val="auto"/>
                <w:highlight w:val="none"/>
              </w:rPr>
            </w:pPr>
            <w:r>
              <w:rPr>
                <w:color w:val="auto"/>
                <w:highlight w:val="none"/>
              </w:rPr>
              <w:t>L</w:t>
            </w:r>
            <w:r>
              <w:rPr>
                <w:color w:val="auto"/>
                <w:highlight w:val="none"/>
                <w:vertAlign w:val="subscript"/>
              </w:rPr>
              <w:t>Aeq</w:t>
            </w:r>
          </w:p>
        </w:tc>
        <w:tc>
          <w:tcPr>
            <w:tcW w:w="815" w:type="pct"/>
            <w:tcMar>
              <w:top w:w="28" w:type="dxa"/>
              <w:left w:w="28" w:type="dxa"/>
              <w:bottom w:w="28" w:type="dxa"/>
              <w:right w:w="28" w:type="dxa"/>
            </w:tcMar>
            <w:vAlign w:val="center"/>
          </w:tcPr>
          <w:p>
            <w:pPr>
              <w:pStyle w:val="105"/>
              <w:rPr>
                <w:color w:val="auto"/>
                <w:highlight w:val="none"/>
              </w:rPr>
            </w:pPr>
            <w:r>
              <w:rPr>
                <w:color w:val="auto"/>
                <w:highlight w:val="none"/>
              </w:rPr>
              <w:t>L</w:t>
            </w:r>
            <w:r>
              <w:rPr>
                <w:color w:val="auto"/>
                <w:highlight w:val="none"/>
                <w:vertAlign w:val="subscript"/>
              </w:rPr>
              <w:t>Aeq</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7" w:type="pct"/>
            <w:tcMar>
              <w:top w:w="28" w:type="dxa"/>
              <w:left w:w="28" w:type="dxa"/>
              <w:bottom w:w="28" w:type="dxa"/>
              <w:right w:w="28" w:type="dxa"/>
            </w:tcMar>
            <w:vAlign w:val="center"/>
          </w:tcPr>
          <w:p>
            <w:pPr>
              <w:spacing w:line="240" w:lineRule="exact"/>
              <w:jc w:val="center"/>
              <w:rPr>
                <w:color w:val="auto"/>
                <w:szCs w:val="21"/>
                <w:highlight w:val="none"/>
              </w:rPr>
            </w:pPr>
            <w:r>
              <w:rPr>
                <w:color w:val="auto"/>
                <w:szCs w:val="21"/>
                <w:highlight w:val="none"/>
              </w:rPr>
              <w:t>土壤环境</w:t>
            </w:r>
          </w:p>
        </w:tc>
        <w:tc>
          <w:tcPr>
            <w:tcW w:w="806" w:type="pct"/>
            <w:tcBorders>
              <w:right w:val="single" w:color="auto" w:sz="4" w:space="0"/>
            </w:tcBorders>
            <w:tcMar>
              <w:top w:w="28" w:type="dxa"/>
              <w:left w:w="28" w:type="dxa"/>
              <w:bottom w:w="28" w:type="dxa"/>
              <w:right w:w="28" w:type="dxa"/>
            </w:tcMar>
            <w:vAlign w:val="center"/>
          </w:tcPr>
          <w:p>
            <w:pPr>
              <w:spacing w:line="240" w:lineRule="exact"/>
              <w:jc w:val="center"/>
              <w:rPr>
                <w:color w:val="auto"/>
                <w:szCs w:val="21"/>
                <w:highlight w:val="none"/>
              </w:rPr>
            </w:pPr>
            <w:r>
              <w:rPr>
                <w:color w:val="auto"/>
                <w:szCs w:val="21"/>
                <w:highlight w:val="none"/>
              </w:rPr>
              <w:t>项目产生的废水、废气和固体废物</w:t>
            </w:r>
          </w:p>
        </w:tc>
        <w:tc>
          <w:tcPr>
            <w:tcW w:w="529" w:type="pct"/>
            <w:tcBorders>
              <w:top w:val="single" w:color="auto" w:sz="6" w:space="0"/>
              <w:left w:val="single" w:color="auto" w:sz="4" w:space="0"/>
              <w:bottom w:val="single" w:color="auto" w:sz="6" w:space="0"/>
              <w:right w:val="single" w:color="auto" w:sz="4" w:space="0"/>
            </w:tcBorders>
            <w:tcMar>
              <w:top w:w="28" w:type="dxa"/>
              <w:left w:w="28" w:type="dxa"/>
              <w:bottom w:w="28" w:type="dxa"/>
              <w:right w:w="28" w:type="dxa"/>
            </w:tcMar>
            <w:vAlign w:val="center"/>
          </w:tcPr>
          <w:p>
            <w:pPr>
              <w:pStyle w:val="183"/>
              <w:adjustRightInd/>
              <w:spacing w:line="240" w:lineRule="exact"/>
              <w:jc w:val="center"/>
              <w:rPr>
                <w:rFonts w:ascii="Times New Roman" w:eastAsia="宋体" w:cs="Times New Roman"/>
                <w:color w:val="auto"/>
                <w:kern w:val="2"/>
                <w:sz w:val="21"/>
                <w:szCs w:val="21"/>
                <w:highlight w:val="none"/>
              </w:rPr>
            </w:pPr>
            <w:r>
              <w:rPr>
                <w:rFonts w:ascii="Times New Roman" w:eastAsia="宋体" w:cs="Times New Roman"/>
                <w:color w:val="auto"/>
                <w:kern w:val="2"/>
                <w:sz w:val="21"/>
                <w:szCs w:val="21"/>
                <w:highlight w:val="none"/>
              </w:rPr>
              <w:t>建设用地</w:t>
            </w:r>
          </w:p>
        </w:tc>
        <w:tc>
          <w:tcPr>
            <w:tcW w:w="2340" w:type="pct"/>
            <w:tcBorders>
              <w:left w:val="single" w:color="auto" w:sz="4" w:space="0"/>
            </w:tcBorders>
            <w:vAlign w:val="center"/>
          </w:tcPr>
          <w:p>
            <w:pPr>
              <w:pStyle w:val="183"/>
              <w:adjustRightInd/>
              <w:spacing w:line="240" w:lineRule="exact"/>
              <w:jc w:val="center"/>
              <w:rPr>
                <w:rFonts w:ascii="Times New Roman" w:eastAsia="宋体" w:cs="Times New Roman"/>
                <w:color w:val="auto"/>
                <w:kern w:val="2"/>
                <w:sz w:val="21"/>
                <w:szCs w:val="21"/>
                <w:highlight w:val="none"/>
              </w:rPr>
            </w:pPr>
            <w:r>
              <w:rPr>
                <w:rFonts w:ascii="Times New Roman" w:eastAsia="宋体" w:cs="Times New Roman"/>
                <w:color w:val="auto"/>
                <w:kern w:val="2"/>
                <w:sz w:val="21"/>
                <w:szCs w:val="21"/>
                <w:highlight w:val="none"/>
              </w:rPr>
              <w:t>镉、汞、砷、铅、铬、铜、镍、锌、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共45项</w:t>
            </w:r>
          </w:p>
        </w:tc>
        <w:tc>
          <w:tcPr>
            <w:tcW w:w="815" w:type="pct"/>
            <w:tcMar>
              <w:top w:w="28" w:type="dxa"/>
              <w:left w:w="28" w:type="dxa"/>
              <w:bottom w:w="28" w:type="dxa"/>
              <w:right w:w="28" w:type="dxa"/>
            </w:tcMar>
            <w:vAlign w:val="center"/>
          </w:tcPr>
          <w:p>
            <w:pPr>
              <w:spacing w:line="240" w:lineRule="exact"/>
              <w:ind w:left="125" w:hanging="124" w:hangingChars="52"/>
              <w:jc w:val="center"/>
              <w:rPr>
                <w:color w:val="auto"/>
                <w:szCs w:val="21"/>
                <w:highlight w:val="none"/>
              </w:rPr>
            </w:pPr>
            <w:r>
              <w:rPr>
                <w:rStyle w:val="121"/>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7" w:type="pct"/>
            <w:tcMar>
              <w:top w:w="28" w:type="dxa"/>
              <w:left w:w="28" w:type="dxa"/>
              <w:bottom w:w="28" w:type="dxa"/>
              <w:right w:w="28" w:type="dxa"/>
            </w:tcMar>
            <w:vAlign w:val="center"/>
          </w:tcPr>
          <w:p>
            <w:pPr>
              <w:spacing w:line="240" w:lineRule="exact"/>
              <w:jc w:val="center"/>
              <w:rPr>
                <w:color w:val="auto"/>
                <w:szCs w:val="21"/>
                <w:highlight w:val="none"/>
              </w:rPr>
            </w:pPr>
            <w:r>
              <w:rPr>
                <w:color w:val="auto"/>
                <w:szCs w:val="21"/>
                <w:highlight w:val="none"/>
              </w:rPr>
              <w:t>生态环境</w:t>
            </w:r>
          </w:p>
        </w:tc>
        <w:tc>
          <w:tcPr>
            <w:tcW w:w="4492" w:type="pct"/>
            <w:gridSpan w:val="4"/>
            <w:tcMar>
              <w:top w:w="28" w:type="dxa"/>
              <w:left w:w="28" w:type="dxa"/>
              <w:bottom w:w="28" w:type="dxa"/>
              <w:right w:w="28" w:type="dxa"/>
            </w:tcMar>
            <w:vAlign w:val="center"/>
          </w:tcPr>
          <w:p>
            <w:pPr>
              <w:spacing w:line="240" w:lineRule="exact"/>
              <w:jc w:val="center"/>
              <w:rPr>
                <w:color w:val="auto"/>
                <w:szCs w:val="21"/>
                <w:highlight w:val="none"/>
              </w:rPr>
            </w:pPr>
            <w:r>
              <w:rPr>
                <w:color w:val="auto"/>
                <w:szCs w:val="21"/>
                <w:highlight w:val="none"/>
              </w:rPr>
              <w:t>用地性质、废气、废水等对生态的影响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7" w:type="pct"/>
            <w:tcMar>
              <w:top w:w="28" w:type="dxa"/>
              <w:left w:w="28" w:type="dxa"/>
              <w:bottom w:w="28" w:type="dxa"/>
              <w:right w:w="28" w:type="dxa"/>
            </w:tcMar>
            <w:vAlign w:val="center"/>
          </w:tcPr>
          <w:p>
            <w:pPr>
              <w:spacing w:line="240" w:lineRule="exact"/>
              <w:jc w:val="center"/>
              <w:rPr>
                <w:color w:val="auto"/>
                <w:szCs w:val="21"/>
                <w:highlight w:val="none"/>
              </w:rPr>
            </w:pPr>
            <w:r>
              <w:rPr>
                <w:color w:val="auto"/>
                <w:szCs w:val="21"/>
                <w:highlight w:val="none"/>
              </w:rPr>
              <w:t>固废环境</w:t>
            </w:r>
          </w:p>
        </w:tc>
        <w:tc>
          <w:tcPr>
            <w:tcW w:w="4492" w:type="pct"/>
            <w:gridSpan w:val="4"/>
            <w:tcMar>
              <w:top w:w="28" w:type="dxa"/>
              <w:left w:w="28" w:type="dxa"/>
              <w:bottom w:w="28" w:type="dxa"/>
              <w:right w:w="28" w:type="dxa"/>
            </w:tcMar>
            <w:vAlign w:val="center"/>
          </w:tcPr>
          <w:p>
            <w:pPr>
              <w:spacing w:line="240" w:lineRule="exact"/>
              <w:ind w:left="15" w:leftChars="-45" w:right="-94" w:rightChars="-45" w:hanging="109" w:hangingChars="52"/>
              <w:jc w:val="center"/>
              <w:rPr>
                <w:color w:val="auto"/>
                <w:szCs w:val="21"/>
                <w:highlight w:val="none"/>
              </w:rPr>
            </w:pPr>
            <w:r>
              <w:rPr>
                <w:color w:val="auto"/>
                <w:highlight w:val="none"/>
              </w:rPr>
              <w:t>生活垃圾、一般固废、危险废物等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7" w:type="pct"/>
            <w:tcMar>
              <w:top w:w="28" w:type="dxa"/>
              <w:left w:w="28" w:type="dxa"/>
              <w:bottom w:w="28" w:type="dxa"/>
              <w:right w:w="28" w:type="dxa"/>
            </w:tcMar>
            <w:vAlign w:val="center"/>
          </w:tcPr>
          <w:p>
            <w:pPr>
              <w:spacing w:line="240" w:lineRule="exact"/>
              <w:jc w:val="center"/>
              <w:rPr>
                <w:color w:val="auto"/>
                <w:szCs w:val="21"/>
                <w:highlight w:val="none"/>
              </w:rPr>
            </w:pPr>
            <w:r>
              <w:rPr>
                <w:color w:val="auto"/>
                <w:szCs w:val="21"/>
                <w:highlight w:val="none"/>
              </w:rPr>
              <w:t>环境风险</w:t>
            </w:r>
          </w:p>
        </w:tc>
        <w:tc>
          <w:tcPr>
            <w:tcW w:w="4492" w:type="pct"/>
            <w:gridSpan w:val="4"/>
            <w:tcMar>
              <w:top w:w="28" w:type="dxa"/>
              <w:left w:w="28" w:type="dxa"/>
              <w:bottom w:w="28" w:type="dxa"/>
              <w:right w:w="28" w:type="dxa"/>
            </w:tcMar>
            <w:vAlign w:val="center"/>
          </w:tcPr>
          <w:p>
            <w:pPr>
              <w:spacing w:line="240" w:lineRule="exact"/>
              <w:jc w:val="center"/>
              <w:rPr>
                <w:color w:val="auto"/>
                <w:szCs w:val="21"/>
                <w:highlight w:val="none"/>
              </w:rPr>
            </w:pPr>
            <w:r>
              <w:rPr>
                <w:rFonts w:hint="eastAsia"/>
                <w:color w:val="auto"/>
                <w:highlight w:val="none"/>
              </w:rPr>
              <w:t>主要风险物质为矿物油类、危废等；主要风险事故类型为</w:t>
            </w:r>
            <w:r>
              <w:rPr>
                <w:color w:val="auto"/>
                <w:highlight w:val="none"/>
              </w:rPr>
              <w:t>泄漏</w:t>
            </w:r>
            <w:r>
              <w:rPr>
                <w:rFonts w:hint="eastAsia"/>
                <w:color w:val="auto"/>
                <w:highlight w:val="none"/>
              </w:rPr>
              <w:t>及</w:t>
            </w:r>
            <w:r>
              <w:rPr>
                <w:color w:val="auto"/>
                <w:highlight w:val="none"/>
              </w:rPr>
              <w:t>火灾爆炸</w:t>
            </w:r>
            <w:r>
              <w:rPr>
                <w:rFonts w:hint="eastAsia"/>
                <w:color w:val="auto"/>
                <w:highlight w:val="none"/>
              </w:rPr>
              <w:t>。</w:t>
            </w:r>
          </w:p>
        </w:tc>
      </w:tr>
    </w:tbl>
    <w:p>
      <w:pPr>
        <w:pStyle w:val="100"/>
        <w:spacing w:before="156"/>
        <w:rPr>
          <w:rFonts w:ascii="Times New Roman" w:hAnsi="Times New Roman"/>
          <w:color w:val="auto"/>
          <w:highlight w:val="none"/>
        </w:rPr>
      </w:pPr>
      <w:bookmarkStart w:id="78" w:name="_Toc54732720"/>
      <w:bookmarkStart w:id="79" w:name="_Toc6752345"/>
      <w:bookmarkStart w:id="80" w:name="_Toc66281269"/>
      <w:bookmarkStart w:id="81" w:name="_Toc33984720"/>
      <w:bookmarkStart w:id="82" w:name="_Toc5268"/>
      <w:bookmarkStart w:id="83" w:name="_Toc508700045"/>
      <w:bookmarkStart w:id="84" w:name="_Toc30951751"/>
      <w:r>
        <w:rPr>
          <w:rFonts w:ascii="Times New Roman" w:hAnsi="Times New Roman"/>
          <w:color w:val="auto"/>
          <w:highlight w:val="none"/>
        </w:rPr>
        <w:t>1.4 评价标准</w:t>
      </w:r>
      <w:bookmarkEnd w:id="78"/>
      <w:bookmarkEnd w:id="79"/>
      <w:bookmarkEnd w:id="80"/>
      <w:bookmarkEnd w:id="81"/>
      <w:bookmarkEnd w:id="82"/>
      <w:bookmarkEnd w:id="83"/>
      <w:bookmarkEnd w:id="84"/>
    </w:p>
    <w:p>
      <w:pPr>
        <w:pStyle w:val="101"/>
        <w:spacing w:before="78"/>
        <w:rPr>
          <w:rFonts w:ascii="Times New Roman" w:hAnsi="Times New Roman"/>
          <w:color w:val="auto"/>
          <w:highlight w:val="none"/>
        </w:rPr>
      </w:pPr>
      <w:r>
        <w:rPr>
          <w:rFonts w:ascii="Times New Roman" w:hAnsi="Times New Roman"/>
          <w:color w:val="auto"/>
          <w:highlight w:val="none"/>
        </w:rPr>
        <w:t>1.4.1 环境质量标准</w:t>
      </w:r>
    </w:p>
    <w:p>
      <w:pPr>
        <w:spacing w:line="360" w:lineRule="auto"/>
        <w:ind w:firstLine="480" w:firstLineChars="200"/>
        <w:jc w:val="left"/>
        <w:rPr>
          <w:color w:val="auto"/>
          <w:sz w:val="24"/>
          <w:highlight w:val="none"/>
        </w:rPr>
      </w:pPr>
      <w:r>
        <w:rPr>
          <w:color w:val="auto"/>
          <w:sz w:val="24"/>
          <w:highlight w:val="none"/>
        </w:rPr>
        <w:t>根据《关于</w:t>
      </w:r>
      <w:r>
        <w:rPr>
          <w:rFonts w:hint="eastAsia"/>
          <w:color w:val="auto"/>
          <w:sz w:val="24"/>
          <w:highlight w:val="none"/>
        </w:rPr>
        <w:t>山东付新环保科技有限公司绿色高性能复合管项目</w:t>
      </w:r>
      <w:r>
        <w:rPr>
          <w:color w:val="auto"/>
          <w:sz w:val="24"/>
          <w:highlight w:val="none"/>
        </w:rPr>
        <w:t>环境影响评价执行标准的意见》，本次环评执行的有关环境质量标准见表1.4-1。</w:t>
      </w:r>
    </w:p>
    <w:p>
      <w:pPr>
        <w:pStyle w:val="103"/>
        <w:spacing w:line="240" w:lineRule="auto"/>
        <w:rPr>
          <w:rFonts w:ascii="Times New Roman" w:hAnsi="Times New Roman"/>
          <w:color w:val="auto"/>
          <w:highlight w:val="none"/>
        </w:rPr>
      </w:pPr>
      <w:r>
        <w:rPr>
          <w:rFonts w:ascii="Times New Roman" w:hAnsi="Times New Roman"/>
          <w:color w:val="auto"/>
          <w:highlight w:val="none"/>
        </w:rPr>
        <w:t>表1.4-1   环境质量标准一览表</w:t>
      </w:r>
    </w:p>
    <w:tbl>
      <w:tblPr>
        <w:tblStyle w:val="59"/>
        <w:tblW w:w="494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3936"/>
        <w:gridCol w:w="36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pct"/>
            <w:vAlign w:val="center"/>
          </w:tcPr>
          <w:p>
            <w:pPr>
              <w:pStyle w:val="221"/>
              <w:rPr>
                <w:color w:val="auto"/>
                <w:highlight w:val="none"/>
              </w:rPr>
            </w:pPr>
            <w:r>
              <w:rPr>
                <w:color w:val="auto"/>
                <w:highlight w:val="none"/>
              </w:rPr>
              <w:t>项  目</w:t>
            </w:r>
          </w:p>
        </w:tc>
        <w:tc>
          <w:tcPr>
            <w:tcW w:w="2209" w:type="pct"/>
            <w:vAlign w:val="center"/>
          </w:tcPr>
          <w:p>
            <w:pPr>
              <w:pStyle w:val="221"/>
              <w:rPr>
                <w:color w:val="auto"/>
                <w:highlight w:val="none"/>
              </w:rPr>
            </w:pPr>
            <w:r>
              <w:rPr>
                <w:color w:val="auto"/>
                <w:highlight w:val="none"/>
              </w:rPr>
              <w:t>执行标准</w:t>
            </w:r>
          </w:p>
        </w:tc>
        <w:tc>
          <w:tcPr>
            <w:tcW w:w="2040" w:type="pct"/>
            <w:vAlign w:val="center"/>
          </w:tcPr>
          <w:p>
            <w:pPr>
              <w:pStyle w:val="221"/>
              <w:rPr>
                <w:color w:val="auto"/>
                <w:highlight w:val="none"/>
              </w:rPr>
            </w:pPr>
            <w:r>
              <w:rPr>
                <w:color w:val="auto"/>
                <w:highlight w:val="none"/>
              </w:rPr>
              <w:t>标准分级或分类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pct"/>
            <w:vMerge w:val="restart"/>
            <w:vAlign w:val="center"/>
          </w:tcPr>
          <w:p>
            <w:pPr>
              <w:pStyle w:val="221"/>
              <w:rPr>
                <w:color w:val="auto"/>
                <w:highlight w:val="none"/>
              </w:rPr>
            </w:pPr>
            <w:r>
              <w:rPr>
                <w:color w:val="auto"/>
                <w:highlight w:val="none"/>
              </w:rPr>
              <w:t>环境空气</w:t>
            </w:r>
          </w:p>
        </w:tc>
        <w:tc>
          <w:tcPr>
            <w:tcW w:w="2209" w:type="pct"/>
            <w:vAlign w:val="center"/>
          </w:tcPr>
          <w:p>
            <w:pPr>
              <w:pStyle w:val="105"/>
              <w:rPr>
                <w:color w:val="auto"/>
                <w:szCs w:val="21"/>
                <w:highlight w:val="none"/>
              </w:rPr>
            </w:pPr>
            <w:r>
              <w:rPr>
                <w:color w:val="auto"/>
                <w:szCs w:val="21"/>
                <w:highlight w:val="none"/>
              </w:rPr>
              <w:t>《环境空气质量标准》(GB3095-2012)</w:t>
            </w:r>
          </w:p>
        </w:tc>
        <w:tc>
          <w:tcPr>
            <w:tcW w:w="2040" w:type="pct"/>
            <w:vAlign w:val="center"/>
          </w:tcPr>
          <w:p>
            <w:pPr>
              <w:pStyle w:val="105"/>
              <w:rPr>
                <w:color w:val="auto"/>
                <w:szCs w:val="21"/>
                <w:highlight w:val="none"/>
              </w:rPr>
            </w:pPr>
            <w:r>
              <w:rPr>
                <w:color w:val="auto"/>
                <w:szCs w:val="21"/>
                <w:highlight w:val="none"/>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pct"/>
            <w:vMerge w:val="continue"/>
            <w:vAlign w:val="center"/>
          </w:tcPr>
          <w:p>
            <w:pPr>
              <w:pStyle w:val="221"/>
              <w:rPr>
                <w:color w:val="auto"/>
                <w:highlight w:val="none"/>
              </w:rPr>
            </w:pPr>
          </w:p>
        </w:tc>
        <w:tc>
          <w:tcPr>
            <w:tcW w:w="2209" w:type="pct"/>
            <w:vAlign w:val="center"/>
          </w:tcPr>
          <w:p>
            <w:pPr>
              <w:pStyle w:val="105"/>
              <w:rPr>
                <w:color w:val="auto"/>
                <w:szCs w:val="21"/>
                <w:highlight w:val="none"/>
              </w:rPr>
            </w:pPr>
            <w:r>
              <w:rPr>
                <w:color w:val="auto"/>
                <w:szCs w:val="21"/>
                <w:highlight w:val="none"/>
              </w:rPr>
              <w:t>《大气污染物综合排放标准》(GB16297-1996)</w:t>
            </w:r>
          </w:p>
        </w:tc>
        <w:tc>
          <w:tcPr>
            <w:tcW w:w="2040" w:type="pct"/>
            <w:vAlign w:val="center"/>
          </w:tcPr>
          <w:p>
            <w:pPr>
              <w:pStyle w:val="105"/>
              <w:rPr>
                <w:color w:val="auto"/>
                <w:szCs w:val="21"/>
                <w:highlight w:val="none"/>
              </w:rPr>
            </w:pPr>
            <w:r>
              <w:rPr>
                <w:color w:val="auto"/>
                <w:szCs w:val="21"/>
                <w:highlight w:val="none"/>
              </w:rPr>
              <w:t>参照表2中非甲烷总烃周界外浓度最高点限值的1/2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pct"/>
            <w:vAlign w:val="center"/>
          </w:tcPr>
          <w:p>
            <w:pPr>
              <w:pStyle w:val="221"/>
              <w:rPr>
                <w:color w:val="auto"/>
                <w:highlight w:val="none"/>
              </w:rPr>
            </w:pPr>
            <w:r>
              <w:rPr>
                <w:color w:val="auto"/>
                <w:highlight w:val="none"/>
              </w:rPr>
              <w:t>地表水</w:t>
            </w:r>
          </w:p>
        </w:tc>
        <w:tc>
          <w:tcPr>
            <w:tcW w:w="2209" w:type="pct"/>
            <w:vAlign w:val="center"/>
          </w:tcPr>
          <w:p>
            <w:pPr>
              <w:pStyle w:val="221"/>
              <w:rPr>
                <w:color w:val="auto"/>
                <w:highlight w:val="none"/>
              </w:rPr>
            </w:pPr>
            <w:r>
              <w:rPr>
                <w:color w:val="auto"/>
                <w:highlight w:val="none"/>
              </w:rPr>
              <w:t>《地表水环境质量标准》(GB3838-2002)</w:t>
            </w:r>
          </w:p>
        </w:tc>
        <w:tc>
          <w:tcPr>
            <w:tcW w:w="2040" w:type="pct"/>
            <w:vAlign w:val="center"/>
          </w:tcPr>
          <w:p>
            <w:pPr>
              <w:pStyle w:val="221"/>
              <w:rPr>
                <w:color w:val="auto"/>
                <w:highlight w:val="none"/>
              </w:rPr>
            </w:pPr>
            <w:r>
              <w:rPr>
                <w:color w:val="auto"/>
                <w:highlight w:val="none"/>
              </w:rPr>
              <w:t>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pct"/>
            <w:vAlign w:val="center"/>
          </w:tcPr>
          <w:p>
            <w:pPr>
              <w:pStyle w:val="221"/>
              <w:rPr>
                <w:color w:val="auto"/>
                <w:highlight w:val="none"/>
              </w:rPr>
            </w:pPr>
            <w:r>
              <w:rPr>
                <w:color w:val="auto"/>
                <w:highlight w:val="none"/>
              </w:rPr>
              <w:t>地下水</w:t>
            </w:r>
          </w:p>
        </w:tc>
        <w:tc>
          <w:tcPr>
            <w:tcW w:w="2209" w:type="pct"/>
            <w:vAlign w:val="center"/>
          </w:tcPr>
          <w:p>
            <w:pPr>
              <w:pStyle w:val="221"/>
              <w:rPr>
                <w:color w:val="auto"/>
                <w:highlight w:val="none"/>
              </w:rPr>
            </w:pPr>
            <w:r>
              <w:rPr>
                <w:color w:val="auto"/>
                <w:highlight w:val="none"/>
              </w:rPr>
              <w:t>《地下水质量标准》(GB/T14848-2017)</w:t>
            </w:r>
          </w:p>
        </w:tc>
        <w:tc>
          <w:tcPr>
            <w:tcW w:w="2040" w:type="pct"/>
            <w:vAlign w:val="center"/>
          </w:tcPr>
          <w:p>
            <w:pPr>
              <w:pStyle w:val="221"/>
              <w:rPr>
                <w:color w:val="auto"/>
                <w:highlight w:val="none"/>
              </w:rPr>
            </w:pPr>
            <w:r>
              <w:rPr>
                <w:color w:val="auto"/>
                <w:highlight w:val="none"/>
              </w:rPr>
              <w:t>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pct"/>
            <w:vAlign w:val="center"/>
          </w:tcPr>
          <w:p>
            <w:pPr>
              <w:pStyle w:val="221"/>
              <w:rPr>
                <w:color w:val="auto"/>
                <w:highlight w:val="none"/>
              </w:rPr>
            </w:pPr>
            <w:r>
              <w:rPr>
                <w:color w:val="auto"/>
                <w:highlight w:val="none"/>
              </w:rPr>
              <w:t>声环境</w:t>
            </w:r>
          </w:p>
        </w:tc>
        <w:tc>
          <w:tcPr>
            <w:tcW w:w="2209" w:type="pct"/>
            <w:vAlign w:val="center"/>
          </w:tcPr>
          <w:p>
            <w:pPr>
              <w:pStyle w:val="221"/>
              <w:rPr>
                <w:color w:val="auto"/>
                <w:highlight w:val="none"/>
              </w:rPr>
            </w:pPr>
            <w:r>
              <w:rPr>
                <w:color w:val="auto"/>
                <w:highlight w:val="none"/>
              </w:rPr>
              <w:t>《声环境质量标准》(GB3096-2008)</w:t>
            </w:r>
          </w:p>
        </w:tc>
        <w:tc>
          <w:tcPr>
            <w:tcW w:w="2040" w:type="pct"/>
            <w:vAlign w:val="center"/>
          </w:tcPr>
          <w:p>
            <w:pPr>
              <w:pStyle w:val="221"/>
              <w:rPr>
                <w:color w:val="auto"/>
                <w:highlight w:val="none"/>
              </w:rPr>
            </w:pPr>
            <w:r>
              <w:rPr>
                <w:rFonts w:hint="eastAsia"/>
                <w:color w:val="auto"/>
                <w:highlight w:val="none"/>
              </w:rPr>
              <w:t>2</w:t>
            </w:r>
            <w:r>
              <w:rPr>
                <w:color w:val="auto"/>
                <w:highlight w:val="none"/>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pct"/>
            <w:tcMar>
              <w:top w:w="28" w:type="dxa"/>
              <w:left w:w="57" w:type="dxa"/>
              <w:bottom w:w="28" w:type="dxa"/>
              <w:right w:w="57" w:type="dxa"/>
            </w:tcMar>
            <w:vAlign w:val="center"/>
          </w:tcPr>
          <w:p>
            <w:pPr>
              <w:pStyle w:val="155"/>
              <w:spacing w:line="240" w:lineRule="exact"/>
              <w:rPr>
                <w:rFonts w:ascii="Times New Roman" w:hAnsi="Times New Roman"/>
                <w:color w:val="auto"/>
                <w:highlight w:val="none"/>
              </w:rPr>
            </w:pPr>
            <w:r>
              <w:rPr>
                <w:rFonts w:ascii="Times New Roman" w:hAnsi="Times New Roman" w:eastAsia="宋体"/>
                <w:color w:val="auto"/>
                <w:highlight w:val="none"/>
              </w:rPr>
              <w:t>土壤环境</w:t>
            </w:r>
          </w:p>
        </w:tc>
        <w:tc>
          <w:tcPr>
            <w:tcW w:w="2209" w:type="pct"/>
            <w:tcMar>
              <w:top w:w="28" w:type="dxa"/>
              <w:left w:w="57" w:type="dxa"/>
              <w:bottom w:w="28" w:type="dxa"/>
              <w:right w:w="57" w:type="dxa"/>
            </w:tcMar>
            <w:vAlign w:val="center"/>
          </w:tcPr>
          <w:p>
            <w:pPr>
              <w:pStyle w:val="105"/>
              <w:rPr>
                <w:color w:val="auto"/>
                <w:highlight w:val="none"/>
              </w:rPr>
            </w:pPr>
            <w:r>
              <w:rPr>
                <w:color w:val="auto"/>
                <w:highlight w:val="none"/>
              </w:rPr>
              <w:t>《土壤环境质量 建设用地土壤污染风险管控标准（试行）》(GB36600-2018)</w:t>
            </w:r>
          </w:p>
        </w:tc>
        <w:tc>
          <w:tcPr>
            <w:tcW w:w="2040" w:type="pct"/>
            <w:vAlign w:val="center"/>
          </w:tcPr>
          <w:p>
            <w:pPr>
              <w:pStyle w:val="105"/>
              <w:rPr>
                <w:color w:val="auto"/>
                <w:highlight w:val="none"/>
              </w:rPr>
            </w:pPr>
            <w:r>
              <w:rPr>
                <w:color w:val="auto"/>
                <w:highlight w:val="none"/>
              </w:rPr>
              <w:t>表1第二类用地标准</w:t>
            </w:r>
          </w:p>
        </w:tc>
      </w:tr>
    </w:tbl>
    <w:p>
      <w:pPr>
        <w:spacing w:before="156" w:beforeLines="50" w:line="360" w:lineRule="auto"/>
        <w:ind w:firstLine="480" w:firstLineChars="200"/>
        <w:rPr>
          <w:color w:val="auto"/>
          <w:sz w:val="24"/>
          <w:highlight w:val="none"/>
        </w:rPr>
      </w:pPr>
      <w:r>
        <w:rPr>
          <w:color w:val="auto"/>
          <w:sz w:val="24"/>
          <w:highlight w:val="none"/>
          <w:lang w:val="zh-CN"/>
        </w:rPr>
        <w:t>(1) 环境空气质量</w:t>
      </w:r>
    </w:p>
    <w:p>
      <w:pPr>
        <w:spacing w:line="360" w:lineRule="auto"/>
        <w:ind w:firstLine="480" w:firstLineChars="200"/>
        <w:rPr>
          <w:bCs/>
          <w:color w:val="auto"/>
          <w:sz w:val="24"/>
          <w:highlight w:val="none"/>
        </w:rPr>
      </w:pPr>
      <w:r>
        <w:rPr>
          <w:color w:val="auto"/>
          <w:sz w:val="24"/>
          <w:highlight w:val="none"/>
        </w:rPr>
        <w:t>环境空气质量中SO</w:t>
      </w:r>
      <w:r>
        <w:rPr>
          <w:color w:val="auto"/>
          <w:sz w:val="24"/>
          <w:highlight w:val="none"/>
          <w:vertAlign w:val="subscript"/>
        </w:rPr>
        <w:t>2</w:t>
      </w:r>
      <w:r>
        <w:rPr>
          <w:color w:val="auto"/>
          <w:sz w:val="24"/>
          <w:highlight w:val="none"/>
        </w:rPr>
        <w:t>、NO</w:t>
      </w:r>
      <w:r>
        <w:rPr>
          <w:color w:val="auto"/>
          <w:sz w:val="24"/>
          <w:highlight w:val="none"/>
          <w:vertAlign w:val="subscript"/>
        </w:rPr>
        <w:t>2</w:t>
      </w:r>
      <w:r>
        <w:rPr>
          <w:color w:val="auto"/>
          <w:sz w:val="24"/>
          <w:highlight w:val="none"/>
        </w:rPr>
        <w:t>、CO、O</w:t>
      </w:r>
      <w:r>
        <w:rPr>
          <w:rStyle w:val="1045"/>
          <w:color w:val="auto"/>
          <w:sz w:val="24"/>
          <w:highlight w:val="none"/>
        </w:rPr>
        <w:t>3</w:t>
      </w:r>
      <w:r>
        <w:rPr>
          <w:color w:val="auto"/>
          <w:sz w:val="24"/>
          <w:highlight w:val="none"/>
        </w:rPr>
        <w:t>、PM</w:t>
      </w:r>
      <w:r>
        <w:rPr>
          <w:color w:val="auto"/>
          <w:sz w:val="24"/>
          <w:highlight w:val="none"/>
          <w:vertAlign w:val="subscript"/>
        </w:rPr>
        <w:t>10</w:t>
      </w:r>
      <w:r>
        <w:rPr>
          <w:color w:val="auto"/>
          <w:sz w:val="24"/>
          <w:highlight w:val="none"/>
        </w:rPr>
        <w:t>、PM</w:t>
      </w:r>
      <w:r>
        <w:rPr>
          <w:color w:val="auto"/>
          <w:sz w:val="24"/>
          <w:highlight w:val="none"/>
          <w:vertAlign w:val="subscript"/>
        </w:rPr>
        <w:t>2.5</w:t>
      </w:r>
      <w:r>
        <w:rPr>
          <w:color w:val="auto"/>
          <w:sz w:val="24"/>
          <w:highlight w:val="none"/>
        </w:rPr>
        <w:t>、TSP均执行国家《环境空气质量标准》(GB3095-2012)中的二级标准；</w:t>
      </w:r>
      <w:r>
        <w:rPr>
          <w:rFonts w:hint="eastAsia"/>
          <w:bCs/>
          <w:color w:val="auto"/>
          <w:sz w:val="24"/>
          <w:highlight w:val="none"/>
        </w:rPr>
        <w:t>VOCs</w:t>
      </w:r>
      <w:r>
        <w:rPr>
          <w:color w:val="auto"/>
          <w:sz w:val="24"/>
          <w:highlight w:val="none"/>
        </w:rPr>
        <w:t>参照《大气污染物综合排放标准》(GB16297-1996)表2中非甲烷总烃周界外浓度最高点限值的1/2。其主要指标见表1.4-2。</w:t>
      </w:r>
    </w:p>
    <w:p>
      <w:pPr>
        <w:spacing w:line="360" w:lineRule="auto"/>
        <w:jc w:val="center"/>
        <w:rPr>
          <w:rFonts w:eastAsia="黑体"/>
          <w:bCs/>
          <w:color w:val="auto"/>
          <w:kern w:val="28"/>
          <w:sz w:val="24"/>
          <w:highlight w:val="none"/>
          <w:lang w:val="en-GB"/>
        </w:rPr>
      </w:pPr>
      <w:r>
        <w:rPr>
          <w:rFonts w:eastAsia="黑体"/>
          <w:color w:val="auto"/>
          <w:sz w:val="24"/>
          <w:highlight w:val="none"/>
        </w:rPr>
        <w:t>表1.4-2    环境空气质量标准一览表</w:t>
      </w:r>
    </w:p>
    <w:tbl>
      <w:tblPr>
        <w:tblStyle w:val="5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1147"/>
        <w:gridCol w:w="1617"/>
        <w:gridCol w:w="1113"/>
        <w:gridCol w:w="37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8" w:type="pct"/>
            <w:vMerge w:val="restart"/>
            <w:shd w:val="clear" w:color="auto" w:fill="auto"/>
            <w:vAlign w:val="center"/>
          </w:tcPr>
          <w:p>
            <w:pPr>
              <w:pStyle w:val="105"/>
              <w:spacing w:line="300" w:lineRule="exact"/>
              <w:rPr>
                <w:color w:val="auto"/>
                <w:szCs w:val="21"/>
                <w:highlight w:val="none"/>
              </w:rPr>
            </w:pPr>
            <w:r>
              <w:rPr>
                <w:color w:val="auto"/>
                <w:szCs w:val="21"/>
                <w:highlight w:val="none"/>
              </w:rPr>
              <w:t>污染物</w:t>
            </w:r>
          </w:p>
        </w:tc>
        <w:tc>
          <w:tcPr>
            <w:tcW w:w="2153" w:type="pct"/>
            <w:gridSpan w:val="3"/>
            <w:shd w:val="clear" w:color="auto" w:fill="auto"/>
            <w:vAlign w:val="center"/>
          </w:tcPr>
          <w:p>
            <w:pPr>
              <w:pStyle w:val="105"/>
              <w:spacing w:line="300" w:lineRule="exact"/>
              <w:rPr>
                <w:color w:val="auto"/>
                <w:szCs w:val="21"/>
                <w:highlight w:val="none"/>
              </w:rPr>
            </w:pPr>
            <w:r>
              <w:rPr>
                <w:color w:val="auto"/>
                <w:szCs w:val="21"/>
                <w:highlight w:val="none"/>
              </w:rPr>
              <w:t>标准浓度限值(mg/m</w:t>
            </w:r>
            <w:r>
              <w:rPr>
                <w:color w:val="auto"/>
                <w:szCs w:val="21"/>
                <w:highlight w:val="none"/>
                <w:vertAlign w:val="superscript"/>
              </w:rPr>
              <w:t>3</w:t>
            </w:r>
            <w:r>
              <w:rPr>
                <w:color w:val="auto"/>
                <w:szCs w:val="21"/>
                <w:highlight w:val="none"/>
              </w:rPr>
              <w:t>)</w:t>
            </w:r>
          </w:p>
        </w:tc>
        <w:tc>
          <w:tcPr>
            <w:tcW w:w="2078" w:type="pct"/>
            <w:vMerge w:val="restart"/>
            <w:shd w:val="clear" w:color="auto" w:fill="auto"/>
            <w:vAlign w:val="center"/>
          </w:tcPr>
          <w:p>
            <w:pPr>
              <w:pStyle w:val="105"/>
              <w:spacing w:line="300" w:lineRule="exact"/>
              <w:rPr>
                <w:color w:val="auto"/>
                <w:szCs w:val="21"/>
                <w:highlight w:val="none"/>
              </w:rPr>
            </w:pPr>
            <w:r>
              <w:rPr>
                <w:color w:val="auto"/>
                <w:szCs w:val="21"/>
                <w:highlight w:val="none"/>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8" w:type="pct"/>
            <w:vMerge w:val="continue"/>
            <w:shd w:val="clear" w:color="auto" w:fill="auto"/>
            <w:vAlign w:val="center"/>
          </w:tcPr>
          <w:p>
            <w:pPr>
              <w:pStyle w:val="105"/>
              <w:spacing w:line="300" w:lineRule="exact"/>
              <w:rPr>
                <w:color w:val="auto"/>
                <w:szCs w:val="21"/>
                <w:highlight w:val="none"/>
              </w:rPr>
            </w:pPr>
          </w:p>
        </w:tc>
        <w:tc>
          <w:tcPr>
            <w:tcW w:w="637" w:type="pct"/>
            <w:shd w:val="clear" w:color="auto" w:fill="auto"/>
            <w:vAlign w:val="center"/>
          </w:tcPr>
          <w:p>
            <w:pPr>
              <w:pStyle w:val="105"/>
              <w:spacing w:line="300" w:lineRule="exact"/>
              <w:rPr>
                <w:color w:val="auto"/>
                <w:szCs w:val="21"/>
                <w:highlight w:val="none"/>
              </w:rPr>
            </w:pPr>
            <w:r>
              <w:rPr>
                <w:color w:val="auto"/>
                <w:szCs w:val="21"/>
                <w:highlight w:val="none"/>
              </w:rPr>
              <w:t>1小时</w:t>
            </w:r>
          </w:p>
        </w:tc>
        <w:tc>
          <w:tcPr>
            <w:tcW w:w="898" w:type="pct"/>
            <w:shd w:val="clear" w:color="auto" w:fill="auto"/>
            <w:vAlign w:val="center"/>
          </w:tcPr>
          <w:p>
            <w:pPr>
              <w:pStyle w:val="105"/>
              <w:spacing w:line="300" w:lineRule="exact"/>
              <w:rPr>
                <w:color w:val="auto"/>
                <w:szCs w:val="21"/>
                <w:highlight w:val="none"/>
              </w:rPr>
            </w:pPr>
            <w:r>
              <w:rPr>
                <w:color w:val="auto"/>
                <w:szCs w:val="21"/>
                <w:highlight w:val="none"/>
              </w:rPr>
              <w:t>日平均</w:t>
            </w:r>
          </w:p>
        </w:tc>
        <w:tc>
          <w:tcPr>
            <w:tcW w:w="618" w:type="pct"/>
            <w:shd w:val="clear" w:color="auto" w:fill="auto"/>
            <w:vAlign w:val="center"/>
          </w:tcPr>
          <w:p>
            <w:pPr>
              <w:pStyle w:val="105"/>
              <w:spacing w:line="300" w:lineRule="exact"/>
              <w:rPr>
                <w:color w:val="auto"/>
                <w:szCs w:val="21"/>
                <w:highlight w:val="none"/>
              </w:rPr>
            </w:pPr>
            <w:r>
              <w:rPr>
                <w:color w:val="auto"/>
                <w:szCs w:val="21"/>
                <w:highlight w:val="none"/>
              </w:rPr>
              <w:t>年平均</w:t>
            </w:r>
          </w:p>
        </w:tc>
        <w:tc>
          <w:tcPr>
            <w:tcW w:w="2078" w:type="pct"/>
            <w:vMerge w:val="continue"/>
            <w:shd w:val="clear" w:color="auto" w:fill="auto"/>
            <w:vAlign w:val="center"/>
          </w:tcPr>
          <w:p>
            <w:pPr>
              <w:pStyle w:val="105"/>
              <w:spacing w:line="300" w:lineRule="exact"/>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8" w:type="pct"/>
            <w:shd w:val="clear" w:color="auto" w:fill="auto"/>
            <w:vAlign w:val="center"/>
          </w:tcPr>
          <w:p>
            <w:pPr>
              <w:pStyle w:val="105"/>
              <w:spacing w:line="300" w:lineRule="exact"/>
              <w:rPr>
                <w:color w:val="auto"/>
                <w:szCs w:val="21"/>
                <w:highlight w:val="none"/>
              </w:rPr>
            </w:pPr>
            <w:r>
              <w:rPr>
                <w:color w:val="auto"/>
                <w:szCs w:val="21"/>
                <w:highlight w:val="none"/>
              </w:rPr>
              <w:t>SO</w:t>
            </w:r>
            <w:r>
              <w:rPr>
                <w:color w:val="auto"/>
                <w:szCs w:val="21"/>
                <w:highlight w:val="none"/>
                <w:vertAlign w:val="subscript"/>
              </w:rPr>
              <w:t>2</w:t>
            </w:r>
          </w:p>
        </w:tc>
        <w:tc>
          <w:tcPr>
            <w:tcW w:w="637" w:type="pct"/>
            <w:shd w:val="clear" w:color="auto" w:fill="auto"/>
            <w:vAlign w:val="center"/>
          </w:tcPr>
          <w:p>
            <w:pPr>
              <w:pStyle w:val="105"/>
              <w:spacing w:line="300" w:lineRule="exact"/>
              <w:rPr>
                <w:color w:val="auto"/>
                <w:szCs w:val="21"/>
                <w:highlight w:val="none"/>
              </w:rPr>
            </w:pPr>
            <w:r>
              <w:rPr>
                <w:color w:val="auto"/>
                <w:szCs w:val="21"/>
                <w:highlight w:val="none"/>
              </w:rPr>
              <w:t>0.50</w:t>
            </w:r>
          </w:p>
        </w:tc>
        <w:tc>
          <w:tcPr>
            <w:tcW w:w="898" w:type="pct"/>
            <w:shd w:val="clear" w:color="auto" w:fill="auto"/>
            <w:vAlign w:val="center"/>
          </w:tcPr>
          <w:p>
            <w:pPr>
              <w:pStyle w:val="105"/>
              <w:spacing w:line="300" w:lineRule="exact"/>
              <w:rPr>
                <w:color w:val="auto"/>
                <w:szCs w:val="21"/>
                <w:highlight w:val="none"/>
              </w:rPr>
            </w:pPr>
            <w:r>
              <w:rPr>
                <w:color w:val="auto"/>
                <w:szCs w:val="21"/>
                <w:highlight w:val="none"/>
              </w:rPr>
              <w:t>0.15</w:t>
            </w:r>
          </w:p>
        </w:tc>
        <w:tc>
          <w:tcPr>
            <w:tcW w:w="618" w:type="pct"/>
            <w:shd w:val="clear" w:color="auto" w:fill="auto"/>
            <w:vAlign w:val="center"/>
          </w:tcPr>
          <w:p>
            <w:pPr>
              <w:pStyle w:val="105"/>
              <w:spacing w:line="300" w:lineRule="exact"/>
              <w:rPr>
                <w:color w:val="auto"/>
                <w:szCs w:val="21"/>
                <w:highlight w:val="none"/>
              </w:rPr>
            </w:pPr>
            <w:r>
              <w:rPr>
                <w:color w:val="auto"/>
                <w:szCs w:val="21"/>
                <w:highlight w:val="none"/>
              </w:rPr>
              <w:t>0.06</w:t>
            </w:r>
          </w:p>
        </w:tc>
        <w:tc>
          <w:tcPr>
            <w:tcW w:w="2078" w:type="pct"/>
            <w:vMerge w:val="restart"/>
            <w:shd w:val="clear" w:color="auto" w:fill="auto"/>
            <w:vAlign w:val="center"/>
          </w:tcPr>
          <w:p>
            <w:pPr>
              <w:pStyle w:val="105"/>
              <w:spacing w:line="260" w:lineRule="exact"/>
              <w:rPr>
                <w:color w:val="auto"/>
                <w:szCs w:val="21"/>
                <w:highlight w:val="none"/>
              </w:rPr>
            </w:pPr>
            <w:r>
              <w:rPr>
                <w:color w:val="auto"/>
                <w:szCs w:val="21"/>
                <w:highlight w:val="none"/>
              </w:rPr>
              <w:t>《环境空气质量标准》(GB3095-2012)</w:t>
            </w:r>
          </w:p>
          <w:p>
            <w:pPr>
              <w:pStyle w:val="105"/>
              <w:spacing w:line="260" w:lineRule="exact"/>
              <w:rPr>
                <w:color w:val="auto"/>
                <w:szCs w:val="21"/>
                <w:highlight w:val="none"/>
              </w:rPr>
            </w:pPr>
            <w:r>
              <w:rPr>
                <w:color w:val="auto"/>
                <w:szCs w:val="21"/>
                <w:highlight w:val="none"/>
              </w:rPr>
              <w:t>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8" w:type="pct"/>
            <w:shd w:val="clear" w:color="auto" w:fill="auto"/>
            <w:vAlign w:val="center"/>
          </w:tcPr>
          <w:p>
            <w:pPr>
              <w:pStyle w:val="105"/>
              <w:spacing w:line="300" w:lineRule="exact"/>
              <w:rPr>
                <w:color w:val="auto"/>
                <w:szCs w:val="21"/>
                <w:highlight w:val="none"/>
              </w:rPr>
            </w:pPr>
            <w:r>
              <w:rPr>
                <w:color w:val="auto"/>
                <w:szCs w:val="21"/>
                <w:highlight w:val="none"/>
              </w:rPr>
              <w:t>NO</w:t>
            </w:r>
            <w:r>
              <w:rPr>
                <w:color w:val="auto"/>
                <w:szCs w:val="21"/>
                <w:highlight w:val="none"/>
                <w:vertAlign w:val="subscript"/>
              </w:rPr>
              <w:t>2</w:t>
            </w:r>
          </w:p>
        </w:tc>
        <w:tc>
          <w:tcPr>
            <w:tcW w:w="637" w:type="pct"/>
            <w:shd w:val="clear" w:color="auto" w:fill="auto"/>
            <w:vAlign w:val="center"/>
          </w:tcPr>
          <w:p>
            <w:pPr>
              <w:pStyle w:val="105"/>
              <w:spacing w:line="300" w:lineRule="exact"/>
              <w:rPr>
                <w:color w:val="auto"/>
                <w:szCs w:val="21"/>
                <w:highlight w:val="none"/>
              </w:rPr>
            </w:pPr>
            <w:r>
              <w:rPr>
                <w:color w:val="auto"/>
                <w:szCs w:val="21"/>
                <w:highlight w:val="none"/>
              </w:rPr>
              <w:t>0.20</w:t>
            </w:r>
          </w:p>
        </w:tc>
        <w:tc>
          <w:tcPr>
            <w:tcW w:w="898" w:type="pct"/>
            <w:shd w:val="clear" w:color="auto" w:fill="auto"/>
            <w:vAlign w:val="center"/>
          </w:tcPr>
          <w:p>
            <w:pPr>
              <w:pStyle w:val="105"/>
              <w:spacing w:line="300" w:lineRule="exact"/>
              <w:rPr>
                <w:color w:val="auto"/>
                <w:szCs w:val="21"/>
                <w:highlight w:val="none"/>
              </w:rPr>
            </w:pPr>
            <w:r>
              <w:rPr>
                <w:color w:val="auto"/>
                <w:szCs w:val="21"/>
                <w:highlight w:val="none"/>
              </w:rPr>
              <w:t>0.08</w:t>
            </w:r>
          </w:p>
        </w:tc>
        <w:tc>
          <w:tcPr>
            <w:tcW w:w="618" w:type="pct"/>
            <w:shd w:val="clear" w:color="auto" w:fill="auto"/>
            <w:vAlign w:val="center"/>
          </w:tcPr>
          <w:p>
            <w:pPr>
              <w:pStyle w:val="105"/>
              <w:spacing w:line="300" w:lineRule="exact"/>
              <w:rPr>
                <w:color w:val="auto"/>
                <w:szCs w:val="21"/>
                <w:highlight w:val="none"/>
              </w:rPr>
            </w:pPr>
            <w:r>
              <w:rPr>
                <w:color w:val="auto"/>
                <w:szCs w:val="21"/>
                <w:highlight w:val="none"/>
              </w:rPr>
              <w:t>0.04</w:t>
            </w:r>
          </w:p>
        </w:tc>
        <w:tc>
          <w:tcPr>
            <w:tcW w:w="2078" w:type="pct"/>
            <w:vMerge w:val="continue"/>
            <w:shd w:val="clear" w:color="auto" w:fill="auto"/>
            <w:vAlign w:val="center"/>
          </w:tcPr>
          <w:p>
            <w:pPr>
              <w:pStyle w:val="105"/>
              <w:spacing w:line="260" w:lineRule="exact"/>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8" w:type="pct"/>
            <w:shd w:val="clear" w:color="auto" w:fill="auto"/>
            <w:vAlign w:val="center"/>
          </w:tcPr>
          <w:p>
            <w:pPr>
              <w:pStyle w:val="105"/>
              <w:spacing w:line="300" w:lineRule="exact"/>
              <w:rPr>
                <w:color w:val="auto"/>
                <w:szCs w:val="21"/>
                <w:highlight w:val="none"/>
              </w:rPr>
            </w:pPr>
            <w:r>
              <w:rPr>
                <w:color w:val="auto"/>
                <w:szCs w:val="21"/>
                <w:highlight w:val="none"/>
              </w:rPr>
              <w:t>CO</w:t>
            </w:r>
          </w:p>
        </w:tc>
        <w:tc>
          <w:tcPr>
            <w:tcW w:w="637" w:type="pct"/>
            <w:shd w:val="clear" w:color="auto" w:fill="auto"/>
            <w:vAlign w:val="center"/>
          </w:tcPr>
          <w:p>
            <w:pPr>
              <w:pStyle w:val="105"/>
              <w:spacing w:line="300" w:lineRule="exact"/>
              <w:rPr>
                <w:color w:val="auto"/>
                <w:szCs w:val="21"/>
                <w:highlight w:val="none"/>
              </w:rPr>
            </w:pPr>
            <w:r>
              <w:rPr>
                <w:color w:val="auto"/>
                <w:szCs w:val="21"/>
                <w:highlight w:val="none"/>
              </w:rPr>
              <w:t>10</w:t>
            </w:r>
          </w:p>
        </w:tc>
        <w:tc>
          <w:tcPr>
            <w:tcW w:w="898" w:type="pct"/>
            <w:shd w:val="clear" w:color="auto" w:fill="auto"/>
            <w:vAlign w:val="center"/>
          </w:tcPr>
          <w:p>
            <w:pPr>
              <w:pStyle w:val="105"/>
              <w:spacing w:line="300" w:lineRule="exact"/>
              <w:rPr>
                <w:color w:val="auto"/>
                <w:szCs w:val="21"/>
                <w:highlight w:val="none"/>
              </w:rPr>
            </w:pPr>
            <w:r>
              <w:rPr>
                <w:color w:val="auto"/>
                <w:szCs w:val="21"/>
                <w:highlight w:val="none"/>
              </w:rPr>
              <w:t>4</w:t>
            </w:r>
          </w:p>
        </w:tc>
        <w:tc>
          <w:tcPr>
            <w:tcW w:w="618" w:type="pct"/>
            <w:shd w:val="clear" w:color="auto" w:fill="auto"/>
            <w:vAlign w:val="center"/>
          </w:tcPr>
          <w:p>
            <w:pPr>
              <w:pStyle w:val="105"/>
              <w:spacing w:line="300" w:lineRule="exact"/>
              <w:rPr>
                <w:color w:val="auto"/>
                <w:szCs w:val="21"/>
                <w:highlight w:val="none"/>
              </w:rPr>
            </w:pPr>
            <w:r>
              <w:rPr>
                <w:color w:val="auto"/>
                <w:szCs w:val="21"/>
                <w:highlight w:val="none"/>
              </w:rPr>
              <w:t>—</w:t>
            </w:r>
          </w:p>
        </w:tc>
        <w:tc>
          <w:tcPr>
            <w:tcW w:w="2078" w:type="pct"/>
            <w:vMerge w:val="continue"/>
            <w:shd w:val="clear" w:color="auto" w:fill="auto"/>
            <w:vAlign w:val="center"/>
          </w:tcPr>
          <w:p>
            <w:pPr>
              <w:pStyle w:val="105"/>
              <w:spacing w:line="260" w:lineRule="exact"/>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8" w:type="pct"/>
            <w:shd w:val="clear" w:color="auto" w:fill="auto"/>
            <w:vAlign w:val="center"/>
          </w:tcPr>
          <w:p>
            <w:pPr>
              <w:pStyle w:val="105"/>
              <w:spacing w:line="300" w:lineRule="exact"/>
              <w:rPr>
                <w:color w:val="auto"/>
                <w:szCs w:val="21"/>
                <w:highlight w:val="none"/>
              </w:rPr>
            </w:pPr>
            <w:r>
              <w:rPr>
                <w:color w:val="auto"/>
                <w:szCs w:val="21"/>
                <w:highlight w:val="none"/>
              </w:rPr>
              <w:t>O</w:t>
            </w:r>
            <w:r>
              <w:rPr>
                <w:rStyle w:val="1045"/>
                <w:color w:val="auto"/>
                <w:szCs w:val="21"/>
                <w:highlight w:val="none"/>
              </w:rPr>
              <w:t>3</w:t>
            </w:r>
          </w:p>
        </w:tc>
        <w:tc>
          <w:tcPr>
            <w:tcW w:w="637" w:type="pct"/>
            <w:shd w:val="clear" w:color="auto" w:fill="auto"/>
            <w:vAlign w:val="center"/>
          </w:tcPr>
          <w:p>
            <w:pPr>
              <w:pStyle w:val="105"/>
              <w:spacing w:line="300" w:lineRule="exact"/>
              <w:rPr>
                <w:color w:val="auto"/>
                <w:szCs w:val="21"/>
                <w:highlight w:val="none"/>
              </w:rPr>
            </w:pPr>
            <w:r>
              <w:rPr>
                <w:color w:val="auto"/>
                <w:szCs w:val="21"/>
                <w:highlight w:val="none"/>
              </w:rPr>
              <w:t>200</w:t>
            </w:r>
          </w:p>
        </w:tc>
        <w:tc>
          <w:tcPr>
            <w:tcW w:w="898" w:type="pct"/>
            <w:shd w:val="clear" w:color="auto" w:fill="auto"/>
            <w:vAlign w:val="center"/>
          </w:tcPr>
          <w:p>
            <w:pPr>
              <w:pStyle w:val="105"/>
              <w:spacing w:line="300" w:lineRule="exact"/>
              <w:rPr>
                <w:color w:val="auto"/>
                <w:szCs w:val="21"/>
                <w:highlight w:val="none"/>
              </w:rPr>
            </w:pPr>
            <w:r>
              <w:rPr>
                <w:color w:val="auto"/>
                <w:szCs w:val="21"/>
                <w:highlight w:val="none"/>
              </w:rPr>
              <w:t>0.16（8</w:t>
            </w:r>
            <w:r>
              <w:rPr>
                <w:color w:val="auto"/>
                <w:highlight w:val="none"/>
              </w:rPr>
              <w:t>h平均</w:t>
            </w:r>
            <w:r>
              <w:rPr>
                <w:color w:val="auto"/>
                <w:szCs w:val="21"/>
                <w:highlight w:val="none"/>
              </w:rPr>
              <w:t>）</w:t>
            </w:r>
          </w:p>
        </w:tc>
        <w:tc>
          <w:tcPr>
            <w:tcW w:w="618" w:type="pct"/>
            <w:shd w:val="clear" w:color="auto" w:fill="auto"/>
            <w:vAlign w:val="center"/>
          </w:tcPr>
          <w:p>
            <w:pPr>
              <w:pStyle w:val="105"/>
              <w:spacing w:line="300" w:lineRule="exact"/>
              <w:rPr>
                <w:color w:val="auto"/>
                <w:szCs w:val="21"/>
                <w:highlight w:val="none"/>
              </w:rPr>
            </w:pPr>
            <w:r>
              <w:rPr>
                <w:color w:val="auto"/>
                <w:szCs w:val="21"/>
                <w:highlight w:val="none"/>
              </w:rPr>
              <w:t>—</w:t>
            </w:r>
          </w:p>
        </w:tc>
        <w:tc>
          <w:tcPr>
            <w:tcW w:w="2078" w:type="pct"/>
            <w:vMerge w:val="continue"/>
            <w:shd w:val="clear" w:color="auto" w:fill="auto"/>
            <w:vAlign w:val="center"/>
          </w:tcPr>
          <w:p>
            <w:pPr>
              <w:pStyle w:val="105"/>
              <w:spacing w:line="260" w:lineRule="exact"/>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8" w:type="pct"/>
            <w:shd w:val="clear" w:color="auto" w:fill="auto"/>
            <w:vAlign w:val="center"/>
          </w:tcPr>
          <w:p>
            <w:pPr>
              <w:pStyle w:val="105"/>
              <w:spacing w:line="300" w:lineRule="exact"/>
              <w:rPr>
                <w:color w:val="auto"/>
                <w:szCs w:val="21"/>
                <w:highlight w:val="none"/>
              </w:rPr>
            </w:pPr>
            <w:r>
              <w:rPr>
                <w:color w:val="auto"/>
                <w:szCs w:val="21"/>
                <w:highlight w:val="none"/>
              </w:rPr>
              <w:t>TSP</w:t>
            </w:r>
          </w:p>
        </w:tc>
        <w:tc>
          <w:tcPr>
            <w:tcW w:w="637" w:type="pct"/>
            <w:shd w:val="clear" w:color="auto" w:fill="auto"/>
            <w:vAlign w:val="center"/>
          </w:tcPr>
          <w:p>
            <w:pPr>
              <w:pStyle w:val="105"/>
              <w:spacing w:line="300" w:lineRule="exact"/>
              <w:rPr>
                <w:color w:val="auto"/>
                <w:szCs w:val="21"/>
                <w:highlight w:val="none"/>
              </w:rPr>
            </w:pPr>
            <w:r>
              <w:rPr>
                <w:color w:val="auto"/>
                <w:szCs w:val="21"/>
                <w:highlight w:val="none"/>
              </w:rPr>
              <w:t>—</w:t>
            </w:r>
          </w:p>
        </w:tc>
        <w:tc>
          <w:tcPr>
            <w:tcW w:w="898" w:type="pct"/>
            <w:shd w:val="clear" w:color="auto" w:fill="auto"/>
            <w:vAlign w:val="center"/>
          </w:tcPr>
          <w:p>
            <w:pPr>
              <w:pStyle w:val="105"/>
              <w:spacing w:line="300" w:lineRule="exact"/>
              <w:rPr>
                <w:color w:val="auto"/>
                <w:szCs w:val="21"/>
                <w:highlight w:val="none"/>
              </w:rPr>
            </w:pPr>
            <w:r>
              <w:rPr>
                <w:color w:val="auto"/>
                <w:szCs w:val="21"/>
                <w:highlight w:val="none"/>
              </w:rPr>
              <w:t>0.3</w:t>
            </w:r>
          </w:p>
        </w:tc>
        <w:tc>
          <w:tcPr>
            <w:tcW w:w="618" w:type="pct"/>
            <w:shd w:val="clear" w:color="auto" w:fill="auto"/>
            <w:vAlign w:val="center"/>
          </w:tcPr>
          <w:p>
            <w:pPr>
              <w:pStyle w:val="105"/>
              <w:spacing w:line="300" w:lineRule="exact"/>
              <w:rPr>
                <w:color w:val="auto"/>
                <w:szCs w:val="21"/>
                <w:highlight w:val="none"/>
              </w:rPr>
            </w:pPr>
            <w:r>
              <w:rPr>
                <w:color w:val="auto"/>
                <w:szCs w:val="21"/>
                <w:highlight w:val="none"/>
              </w:rPr>
              <w:t>0.2</w:t>
            </w:r>
          </w:p>
        </w:tc>
        <w:tc>
          <w:tcPr>
            <w:tcW w:w="2078" w:type="pct"/>
            <w:vMerge w:val="continue"/>
            <w:shd w:val="clear" w:color="auto" w:fill="auto"/>
            <w:vAlign w:val="center"/>
          </w:tcPr>
          <w:p>
            <w:pPr>
              <w:pStyle w:val="105"/>
              <w:spacing w:line="260" w:lineRule="exact"/>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8" w:type="pct"/>
            <w:shd w:val="clear" w:color="auto" w:fill="auto"/>
            <w:vAlign w:val="center"/>
          </w:tcPr>
          <w:p>
            <w:pPr>
              <w:pStyle w:val="105"/>
              <w:spacing w:line="300" w:lineRule="exact"/>
              <w:rPr>
                <w:color w:val="auto"/>
                <w:szCs w:val="21"/>
                <w:highlight w:val="none"/>
                <w:vertAlign w:val="subscript"/>
              </w:rPr>
            </w:pPr>
            <w:r>
              <w:rPr>
                <w:color w:val="auto"/>
                <w:szCs w:val="21"/>
                <w:highlight w:val="none"/>
              </w:rPr>
              <w:t>PM</w:t>
            </w:r>
            <w:r>
              <w:rPr>
                <w:color w:val="auto"/>
                <w:szCs w:val="21"/>
                <w:highlight w:val="none"/>
                <w:vertAlign w:val="subscript"/>
              </w:rPr>
              <w:t>10</w:t>
            </w:r>
          </w:p>
        </w:tc>
        <w:tc>
          <w:tcPr>
            <w:tcW w:w="637" w:type="pct"/>
            <w:shd w:val="clear" w:color="auto" w:fill="auto"/>
            <w:vAlign w:val="center"/>
          </w:tcPr>
          <w:p>
            <w:pPr>
              <w:pStyle w:val="105"/>
              <w:spacing w:line="300" w:lineRule="exact"/>
              <w:rPr>
                <w:color w:val="auto"/>
                <w:szCs w:val="21"/>
                <w:highlight w:val="none"/>
              </w:rPr>
            </w:pPr>
            <w:r>
              <w:rPr>
                <w:color w:val="auto"/>
                <w:szCs w:val="21"/>
                <w:highlight w:val="none"/>
              </w:rPr>
              <w:t>—</w:t>
            </w:r>
          </w:p>
        </w:tc>
        <w:tc>
          <w:tcPr>
            <w:tcW w:w="898" w:type="pct"/>
            <w:shd w:val="clear" w:color="auto" w:fill="auto"/>
            <w:vAlign w:val="center"/>
          </w:tcPr>
          <w:p>
            <w:pPr>
              <w:pStyle w:val="105"/>
              <w:spacing w:line="300" w:lineRule="exact"/>
              <w:rPr>
                <w:color w:val="auto"/>
                <w:szCs w:val="21"/>
                <w:highlight w:val="none"/>
              </w:rPr>
            </w:pPr>
            <w:r>
              <w:rPr>
                <w:color w:val="auto"/>
                <w:szCs w:val="21"/>
                <w:highlight w:val="none"/>
              </w:rPr>
              <w:t>0.15</w:t>
            </w:r>
          </w:p>
        </w:tc>
        <w:tc>
          <w:tcPr>
            <w:tcW w:w="618" w:type="pct"/>
            <w:shd w:val="clear" w:color="auto" w:fill="auto"/>
            <w:vAlign w:val="center"/>
          </w:tcPr>
          <w:p>
            <w:pPr>
              <w:pStyle w:val="105"/>
              <w:spacing w:line="300" w:lineRule="exact"/>
              <w:rPr>
                <w:color w:val="auto"/>
                <w:szCs w:val="21"/>
                <w:highlight w:val="none"/>
              </w:rPr>
            </w:pPr>
            <w:r>
              <w:rPr>
                <w:color w:val="auto"/>
                <w:szCs w:val="21"/>
                <w:highlight w:val="none"/>
              </w:rPr>
              <w:t>0.07</w:t>
            </w:r>
          </w:p>
        </w:tc>
        <w:tc>
          <w:tcPr>
            <w:tcW w:w="2078" w:type="pct"/>
            <w:vMerge w:val="continue"/>
            <w:shd w:val="clear" w:color="auto" w:fill="auto"/>
            <w:vAlign w:val="center"/>
          </w:tcPr>
          <w:p>
            <w:pPr>
              <w:pStyle w:val="105"/>
              <w:spacing w:line="260" w:lineRule="exact"/>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8" w:type="pct"/>
            <w:shd w:val="clear" w:color="auto" w:fill="auto"/>
            <w:vAlign w:val="center"/>
          </w:tcPr>
          <w:p>
            <w:pPr>
              <w:pStyle w:val="105"/>
              <w:spacing w:line="300" w:lineRule="exact"/>
              <w:rPr>
                <w:color w:val="auto"/>
                <w:szCs w:val="21"/>
                <w:highlight w:val="none"/>
              </w:rPr>
            </w:pPr>
            <w:r>
              <w:rPr>
                <w:color w:val="auto"/>
                <w:szCs w:val="21"/>
                <w:highlight w:val="none"/>
              </w:rPr>
              <w:t>PM</w:t>
            </w:r>
            <w:r>
              <w:rPr>
                <w:color w:val="auto"/>
                <w:szCs w:val="21"/>
                <w:highlight w:val="none"/>
                <w:vertAlign w:val="subscript"/>
              </w:rPr>
              <w:t>2.5</w:t>
            </w:r>
          </w:p>
        </w:tc>
        <w:tc>
          <w:tcPr>
            <w:tcW w:w="637" w:type="pct"/>
            <w:shd w:val="clear" w:color="auto" w:fill="auto"/>
            <w:vAlign w:val="center"/>
          </w:tcPr>
          <w:p>
            <w:pPr>
              <w:pStyle w:val="105"/>
              <w:spacing w:line="300" w:lineRule="exact"/>
              <w:rPr>
                <w:color w:val="auto"/>
                <w:szCs w:val="21"/>
                <w:highlight w:val="none"/>
              </w:rPr>
            </w:pPr>
            <w:r>
              <w:rPr>
                <w:color w:val="auto"/>
                <w:szCs w:val="21"/>
                <w:highlight w:val="none"/>
              </w:rPr>
              <w:t>—</w:t>
            </w:r>
          </w:p>
        </w:tc>
        <w:tc>
          <w:tcPr>
            <w:tcW w:w="898" w:type="pct"/>
            <w:shd w:val="clear" w:color="auto" w:fill="auto"/>
            <w:vAlign w:val="center"/>
          </w:tcPr>
          <w:p>
            <w:pPr>
              <w:pStyle w:val="105"/>
              <w:spacing w:line="300" w:lineRule="exact"/>
              <w:rPr>
                <w:color w:val="auto"/>
                <w:szCs w:val="21"/>
                <w:highlight w:val="none"/>
              </w:rPr>
            </w:pPr>
            <w:r>
              <w:rPr>
                <w:color w:val="auto"/>
                <w:szCs w:val="21"/>
                <w:highlight w:val="none"/>
              </w:rPr>
              <w:t>0.075</w:t>
            </w:r>
          </w:p>
        </w:tc>
        <w:tc>
          <w:tcPr>
            <w:tcW w:w="618" w:type="pct"/>
            <w:shd w:val="clear" w:color="auto" w:fill="auto"/>
            <w:vAlign w:val="center"/>
          </w:tcPr>
          <w:p>
            <w:pPr>
              <w:pStyle w:val="105"/>
              <w:spacing w:line="300" w:lineRule="exact"/>
              <w:rPr>
                <w:color w:val="auto"/>
                <w:szCs w:val="21"/>
                <w:highlight w:val="none"/>
              </w:rPr>
            </w:pPr>
            <w:r>
              <w:rPr>
                <w:color w:val="auto"/>
                <w:szCs w:val="21"/>
                <w:highlight w:val="none"/>
              </w:rPr>
              <w:t>0.035</w:t>
            </w:r>
          </w:p>
        </w:tc>
        <w:tc>
          <w:tcPr>
            <w:tcW w:w="2078" w:type="pct"/>
            <w:vMerge w:val="continue"/>
            <w:shd w:val="clear" w:color="auto" w:fill="auto"/>
            <w:vAlign w:val="center"/>
          </w:tcPr>
          <w:p>
            <w:pPr>
              <w:pStyle w:val="105"/>
              <w:spacing w:line="260" w:lineRule="exact"/>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8" w:type="pct"/>
            <w:shd w:val="clear" w:color="auto" w:fill="auto"/>
            <w:vAlign w:val="center"/>
          </w:tcPr>
          <w:p>
            <w:pPr>
              <w:pStyle w:val="105"/>
              <w:rPr>
                <w:rFonts w:hint="eastAsia" w:eastAsia="宋体"/>
                <w:color w:val="auto"/>
                <w:highlight w:val="none"/>
                <w:lang w:eastAsia="zh-CN"/>
              </w:rPr>
            </w:pPr>
            <w:r>
              <w:rPr>
                <w:rFonts w:hint="eastAsia"/>
                <w:color w:val="auto"/>
                <w:highlight w:val="none"/>
              </w:rPr>
              <w:t>VOCs</w:t>
            </w:r>
            <w:r>
              <w:rPr>
                <w:rFonts w:hint="eastAsia"/>
                <w:color w:val="auto"/>
                <w:highlight w:val="none"/>
                <w:lang w:eastAsia="zh-CN"/>
              </w:rPr>
              <w:t>（</w:t>
            </w:r>
            <w:r>
              <w:rPr>
                <w:rFonts w:hint="eastAsia"/>
                <w:color w:val="auto"/>
                <w:highlight w:val="none"/>
                <w:lang w:val="en-US" w:eastAsia="zh-CN"/>
              </w:rPr>
              <w:t>以非甲烷总烃计</w:t>
            </w:r>
            <w:r>
              <w:rPr>
                <w:rFonts w:hint="eastAsia"/>
                <w:color w:val="auto"/>
                <w:highlight w:val="none"/>
                <w:lang w:eastAsia="zh-CN"/>
              </w:rPr>
              <w:t>）</w:t>
            </w:r>
          </w:p>
        </w:tc>
        <w:tc>
          <w:tcPr>
            <w:tcW w:w="637" w:type="pct"/>
            <w:shd w:val="clear" w:color="auto" w:fill="auto"/>
            <w:vAlign w:val="center"/>
          </w:tcPr>
          <w:p>
            <w:pPr>
              <w:pStyle w:val="127"/>
              <w:rPr>
                <w:color w:val="auto"/>
                <w:sz w:val="21"/>
                <w:szCs w:val="21"/>
                <w:highlight w:val="none"/>
              </w:rPr>
            </w:pPr>
            <w:r>
              <w:rPr>
                <w:color w:val="auto"/>
                <w:sz w:val="21"/>
                <w:szCs w:val="21"/>
                <w:highlight w:val="none"/>
              </w:rPr>
              <w:t>2.0</w:t>
            </w:r>
          </w:p>
        </w:tc>
        <w:tc>
          <w:tcPr>
            <w:tcW w:w="898" w:type="pct"/>
            <w:shd w:val="clear" w:color="auto" w:fill="auto"/>
            <w:vAlign w:val="center"/>
          </w:tcPr>
          <w:p>
            <w:pPr>
              <w:pStyle w:val="105"/>
              <w:spacing w:line="300" w:lineRule="exact"/>
              <w:rPr>
                <w:color w:val="auto"/>
                <w:szCs w:val="21"/>
                <w:highlight w:val="none"/>
              </w:rPr>
            </w:pPr>
            <w:r>
              <w:rPr>
                <w:color w:val="auto"/>
                <w:szCs w:val="21"/>
                <w:highlight w:val="none"/>
              </w:rPr>
              <w:t>—</w:t>
            </w:r>
          </w:p>
        </w:tc>
        <w:tc>
          <w:tcPr>
            <w:tcW w:w="618" w:type="pct"/>
            <w:shd w:val="clear" w:color="auto" w:fill="auto"/>
            <w:vAlign w:val="center"/>
          </w:tcPr>
          <w:p>
            <w:pPr>
              <w:pStyle w:val="105"/>
              <w:spacing w:line="300" w:lineRule="exact"/>
              <w:rPr>
                <w:color w:val="auto"/>
                <w:szCs w:val="21"/>
                <w:highlight w:val="none"/>
              </w:rPr>
            </w:pPr>
            <w:r>
              <w:rPr>
                <w:color w:val="auto"/>
                <w:szCs w:val="21"/>
                <w:highlight w:val="none"/>
              </w:rPr>
              <w:t>—</w:t>
            </w:r>
          </w:p>
        </w:tc>
        <w:tc>
          <w:tcPr>
            <w:tcW w:w="2078" w:type="pct"/>
            <w:shd w:val="clear" w:color="auto" w:fill="auto"/>
            <w:vAlign w:val="center"/>
          </w:tcPr>
          <w:p>
            <w:pPr>
              <w:pStyle w:val="105"/>
              <w:spacing w:line="260" w:lineRule="exact"/>
              <w:rPr>
                <w:color w:val="auto"/>
                <w:szCs w:val="21"/>
                <w:highlight w:val="none"/>
              </w:rPr>
            </w:pPr>
            <w:r>
              <w:rPr>
                <w:color w:val="auto"/>
                <w:szCs w:val="21"/>
                <w:highlight w:val="none"/>
              </w:rPr>
              <w:t>参照《大气污染物综合排放标准》(GB16297-1996)表2中非甲烷总烃周界外浓度最高点限值的1/2</w:t>
            </w:r>
          </w:p>
        </w:tc>
      </w:tr>
    </w:tbl>
    <w:p>
      <w:pPr>
        <w:spacing w:line="360" w:lineRule="auto"/>
        <w:ind w:firstLine="480" w:firstLineChars="200"/>
        <w:rPr>
          <w:color w:val="auto"/>
          <w:sz w:val="24"/>
          <w:highlight w:val="none"/>
          <w:lang w:val="zh-CN"/>
        </w:rPr>
      </w:pPr>
      <w:r>
        <w:rPr>
          <w:color w:val="auto"/>
          <w:sz w:val="24"/>
          <w:highlight w:val="none"/>
          <w:lang w:val="zh-CN"/>
        </w:rPr>
        <w:t>(2) 地表水水质</w:t>
      </w:r>
    </w:p>
    <w:p>
      <w:pPr>
        <w:spacing w:line="360" w:lineRule="auto"/>
        <w:ind w:firstLine="480" w:firstLineChars="200"/>
        <w:rPr>
          <w:color w:val="auto"/>
          <w:sz w:val="24"/>
          <w:highlight w:val="none"/>
          <w:lang w:val="zh-CN"/>
        </w:rPr>
      </w:pPr>
      <w:r>
        <w:rPr>
          <w:color w:val="auto"/>
          <w:sz w:val="24"/>
          <w:highlight w:val="none"/>
        </w:rPr>
        <w:t>本项目</w:t>
      </w:r>
      <w:r>
        <w:rPr>
          <w:rFonts w:hint="eastAsia"/>
          <w:color w:val="auto"/>
          <w:sz w:val="24"/>
          <w:highlight w:val="none"/>
        </w:rPr>
        <w:t>无废水外排，</w:t>
      </w:r>
      <w:r>
        <w:rPr>
          <w:color w:val="auto"/>
          <w:sz w:val="24"/>
          <w:highlight w:val="none"/>
        </w:rPr>
        <w:t>按地表水环境功能区划分，</w:t>
      </w:r>
      <w:r>
        <w:rPr>
          <w:rFonts w:hint="eastAsia"/>
          <w:color w:val="auto"/>
          <w:sz w:val="24"/>
          <w:highlight w:val="none"/>
        </w:rPr>
        <w:t>峄城大沙河</w:t>
      </w:r>
      <w:r>
        <w:rPr>
          <w:color w:val="auto"/>
          <w:sz w:val="24"/>
          <w:highlight w:val="none"/>
        </w:rPr>
        <w:t>执行《地表水环境质量标准》(GB3838-2002)中的III类水标准。具体标准值见</w:t>
      </w:r>
      <w:r>
        <w:rPr>
          <w:color w:val="auto"/>
          <w:sz w:val="24"/>
          <w:highlight w:val="none"/>
          <w:lang w:val="zh-CN"/>
        </w:rPr>
        <w:t>表1.4-3。</w:t>
      </w:r>
    </w:p>
    <w:p>
      <w:pPr>
        <w:jc w:val="center"/>
        <w:rPr>
          <w:rFonts w:eastAsia="黑体"/>
          <w:color w:val="auto"/>
          <w:sz w:val="24"/>
          <w:highlight w:val="none"/>
        </w:rPr>
      </w:pPr>
      <w:bookmarkStart w:id="85" w:name="_Hlk46068268"/>
      <w:r>
        <w:rPr>
          <w:rFonts w:eastAsia="黑体"/>
          <w:color w:val="auto"/>
          <w:sz w:val="24"/>
          <w:highlight w:val="none"/>
        </w:rPr>
        <w:t>表1.4-3   地表水环境质量标准一览表   单位：mg/L，pH无量纲</w:t>
      </w:r>
    </w:p>
    <w:tbl>
      <w:tblPr>
        <w:tblStyle w:val="59"/>
        <w:tblW w:w="892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759"/>
        <w:gridCol w:w="1454"/>
        <w:gridCol w:w="1107"/>
        <w:gridCol w:w="1976"/>
        <w:gridCol w:w="16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序号</w:t>
            </w:r>
          </w:p>
        </w:tc>
        <w:tc>
          <w:tcPr>
            <w:tcW w:w="1759"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参数</w:t>
            </w:r>
          </w:p>
        </w:tc>
        <w:tc>
          <w:tcPr>
            <w:tcW w:w="1454"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标准值</w:t>
            </w:r>
          </w:p>
        </w:tc>
        <w:tc>
          <w:tcPr>
            <w:tcW w:w="1107"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序号</w:t>
            </w:r>
          </w:p>
        </w:tc>
        <w:tc>
          <w:tcPr>
            <w:tcW w:w="1976"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参</w:t>
            </w:r>
            <w:r>
              <w:rPr>
                <w:rFonts w:eastAsia="Times New Roman"/>
                <w:color w:val="auto"/>
                <w:highlight w:val="none"/>
              </w:rPr>
              <w:t xml:space="preserve"> </w:t>
            </w:r>
            <w:r>
              <w:rPr>
                <w:color w:val="auto"/>
                <w:highlight w:val="none"/>
              </w:rPr>
              <w:t>数</w:t>
            </w:r>
          </w:p>
        </w:tc>
        <w:tc>
          <w:tcPr>
            <w:tcW w:w="1624"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rFonts w:eastAsia="Times New Roman"/>
                <w:color w:val="auto"/>
                <w:highlight w:val="none"/>
              </w:rPr>
            </w:pPr>
            <w:r>
              <w:rPr>
                <w:rFonts w:eastAsia="Times New Roman"/>
                <w:color w:val="auto"/>
                <w:highlight w:val="none"/>
              </w:rPr>
              <w:t>1</w:t>
            </w:r>
          </w:p>
        </w:tc>
        <w:tc>
          <w:tcPr>
            <w:tcW w:w="1759"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pH</w:t>
            </w:r>
          </w:p>
        </w:tc>
        <w:tc>
          <w:tcPr>
            <w:tcW w:w="1454"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6~9</w:t>
            </w:r>
          </w:p>
        </w:tc>
        <w:tc>
          <w:tcPr>
            <w:tcW w:w="1107" w:type="dxa"/>
            <w:tcBorders>
              <w:tl2br w:val="nil"/>
              <w:tr2bl w:val="nil"/>
            </w:tcBorders>
            <w:vAlign w:val="center"/>
          </w:tcPr>
          <w:p>
            <w:pPr>
              <w:widowControl/>
              <w:spacing w:line="240" w:lineRule="exact"/>
              <w:jc w:val="center"/>
              <w:rPr>
                <w:color w:val="auto"/>
                <w:highlight w:val="none"/>
              </w:rPr>
            </w:pPr>
            <w:r>
              <w:rPr>
                <w:color w:val="auto"/>
                <w:highlight w:val="none"/>
              </w:rPr>
              <w:t>11</w:t>
            </w:r>
          </w:p>
        </w:tc>
        <w:tc>
          <w:tcPr>
            <w:tcW w:w="1976"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汞</w:t>
            </w:r>
          </w:p>
        </w:tc>
        <w:tc>
          <w:tcPr>
            <w:tcW w:w="1624"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008" w:type="dxa"/>
            <w:tcBorders>
              <w:tl2br w:val="nil"/>
              <w:tr2bl w:val="nil"/>
            </w:tcBorders>
            <w:vAlign w:val="center"/>
          </w:tcPr>
          <w:p>
            <w:pPr>
              <w:widowControl/>
              <w:spacing w:line="240" w:lineRule="exact"/>
              <w:jc w:val="center"/>
              <w:rPr>
                <w:color w:val="auto"/>
                <w:highlight w:val="none"/>
              </w:rPr>
            </w:pPr>
            <w:r>
              <w:rPr>
                <w:color w:val="auto"/>
                <w:highlight w:val="none"/>
              </w:rPr>
              <w:t>2</w:t>
            </w:r>
          </w:p>
        </w:tc>
        <w:tc>
          <w:tcPr>
            <w:tcW w:w="1759" w:type="dxa"/>
            <w:tcBorders>
              <w:tl2br w:val="nil"/>
              <w:tr2bl w:val="nil"/>
            </w:tcBorders>
            <w:vAlign w:val="center"/>
          </w:tcPr>
          <w:p>
            <w:pPr>
              <w:widowControl/>
              <w:spacing w:line="240" w:lineRule="exact"/>
              <w:jc w:val="center"/>
              <w:rPr>
                <w:color w:val="auto"/>
                <w:highlight w:val="none"/>
              </w:rPr>
            </w:pPr>
            <w:r>
              <w:rPr>
                <w:color w:val="auto"/>
                <w:highlight w:val="none"/>
              </w:rPr>
              <w:t>COD</w:t>
            </w:r>
          </w:p>
        </w:tc>
        <w:tc>
          <w:tcPr>
            <w:tcW w:w="1454" w:type="dxa"/>
            <w:tcBorders>
              <w:tl2br w:val="nil"/>
              <w:tr2bl w:val="nil"/>
            </w:tcBorders>
            <w:vAlign w:val="center"/>
          </w:tcPr>
          <w:p>
            <w:pPr>
              <w:widowControl/>
              <w:spacing w:line="240" w:lineRule="exact"/>
              <w:jc w:val="center"/>
              <w:rPr>
                <w:color w:val="auto"/>
                <w:highlight w:val="none"/>
              </w:rPr>
            </w:pPr>
            <w:r>
              <w:rPr>
                <w:color w:val="auto"/>
                <w:highlight w:val="none"/>
              </w:rPr>
              <w:t>20</w:t>
            </w:r>
          </w:p>
        </w:tc>
        <w:tc>
          <w:tcPr>
            <w:tcW w:w="1107" w:type="dxa"/>
            <w:tcBorders>
              <w:tl2br w:val="nil"/>
              <w:tr2bl w:val="nil"/>
            </w:tcBorders>
            <w:vAlign w:val="center"/>
          </w:tcPr>
          <w:p>
            <w:pPr>
              <w:widowControl/>
              <w:spacing w:line="240" w:lineRule="exact"/>
              <w:jc w:val="center"/>
              <w:rPr>
                <w:rFonts w:eastAsia="等线"/>
                <w:color w:val="auto"/>
                <w:highlight w:val="none"/>
              </w:rPr>
            </w:pPr>
            <w:r>
              <w:rPr>
                <w:color w:val="auto"/>
                <w:highlight w:val="none"/>
              </w:rPr>
              <w:t>12</w:t>
            </w:r>
          </w:p>
        </w:tc>
        <w:tc>
          <w:tcPr>
            <w:tcW w:w="1976"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镉</w:t>
            </w:r>
          </w:p>
        </w:tc>
        <w:tc>
          <w:tcPr>
            <w:tcW w:w="1624"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color w:val="auto"/>
                <w:highlight w:val="none"/>
              </w:rPr>
            </w:pPr>
            <w:r>
              <w:rPr>
                <w:color w:val="auto"/>
                <w:highlight w:val="none"/>
              </w:rPr>
              <w:t>3</w:t>
            </w:r>
          </w:p>
        </w:tc>
        <w:tc>
          <w:tcPr>
            <w:tcW w:w="1759" w:type="dxa"/>
            <w:tcBorders>
              <w:tl2br w:val="nil"/>
              <w:tr2bl w:val="nil"/>
            </w:tcBorders>
            <w:vAlign w:val="center"/>
          </w:tcPr>
          <w:p>
            <w:pPr>
              <w:widowControl/>
              <w:spacing w:line="240" w:lineRule="exact"/>
              <w:jc w:val="center"/>
              <w:rPr>
                <w:rFonts w:eastAsia="Times New Roman"/>
                <w:color w:val="auto"/>
                <w:highlight w:val="none"/>
                <w:vertAlign w:val="subscript"/>
              </w:rPr>
            </w:pPr>
            <w:r>
              <w:rPr>
                <w:color w:val="auto"/>
                <w:highlight w:val="none"/>
              </w:rPr>
              <w:t>BOD</w:t>
            </w:r>
            <w:r>
              <w:rPr>
                <w:rFonts w:eastAsia="Times New Roman"/>
                <w:color w:val="auto"/>
                <w:highlight w:val="none"/>
                <w:vertAlign w:val="subscript"/>
              </w:rPr>
              <w:t>5</w:t>
            </w:r>
          </w:p>
        </w:tc>
        <w:tc>
          <w:tcPr>
            <w:tcW w:w="1454"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4</w:t>
            </w:r>
          </w:p>
        </w:tc>
        <w:tc>
          <w:tcPr>
            <w:tcW w:w="1107" w:type="dxa"/>
            <w:tcBorders>
              <w:tl2br w:val="nil"/>
              <w:tr2bl w:val="nil"/>
            </w:tcBorders>
            <w:vAlign w:val="center"/>
          </w:tcPr>
          <w:p>
            <w:pPr>
              <w:widowControl/>
              <w:spacing w:line="240" w:lineRule="exact"/>
              <w:jc w:val="center"/>
              <w:rPr>
                <w:color w:val="auto"/>
                <w:highlight w:val="none"/>
              </w:rPr>
            </w:pPr>
            <w:r>
              <w:rPr>
                <w:color w:val="auto"/>
                <w:highlight w:val="none"/>
              </w:rPr>
              <w:t>13</w:t>
            </w:r>
          </w:p>
        </w:tc>
        <w:tc>
          <w:tcPr>
            <w:tcW w:w="1976" w:type="dxa"/>
            <w:tcBorders>
              <w:tl2br w:val="nil"/>
              <w:tr2bl w:val="nil"/>
            </w:tcBorders>
            <w:vAlign w:val="center"/>
          </w:tcPr>
          <w:p>
            <w:pPr>
              <w:widowControl/>
              <w:spacing w:line="240" w:lineRule="exact"/>
              <w:jc w:val="center"/>
              <w:rPr>
                <w:color w:val="auto"/>
                <w:highlight w:val="none"/>
              </w:rPr>
            </w:pPr>
            <w:r>
              <w:rPr>
                <w:color w:val="auto"/>
                <w:highlight w:val="none"/>
              </w:rPr>
              <w:t>六价铬</w:t>
            </w:r>
          </w:p>
        </w:tc>
        <w:tc>
          <w:tcPr>
            <w:tcW w:w="1624" w:type="dxa"/>
            <w:tcBorders>
              <w:tl2br w:val="nil"/>
              <w:tr2bl w:val="nil"/>
            </w:tcBorders>
            <w:vAlign w:val="center"/>
          </w:tcPr>
          <w:p>
            <w:pPr>
              <w:widowControl/>
              <w:spacing w:line="240" w:lineRule="exact"/>
              <w:jc w:val="center"/>
              <w:rPr>
                <w:color w:val="auto"/>
                <w:highlight w:val="none"/>
              </w:rPr>
            </w:pPr>
            <w:r>
              <w:rPr>
                <w:rFonts w:eastAsia="等线"/>
                <w:color w:val="auto"/>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rFonts w:eastAsia="Times New Roman"/>
                <w:color w:val="auto"/>
                <w:highlight w:val="none"/>
              </w:rPr>
            </w:pPr>
            <w:r>
              <w:rPr>
                <w:rFonts w:eastAsia="Times New Roman"/>
                <w:color w:val="auto"/>
                <w:highlight w:val="none"/>
              </w:rPr>
              <w:t>4</w:t>
            </w:r>
          </w:p>
        </w:tc>
        <w:tc>
          <w:tcPr>
            <w:tcW w:w="1759" w:type="dxa"/>
            <w:tcBorders>
              <w:tl2br w:val="nil"/>
              <w:tr2bl w:val="nil"/>
            </w:tcBorders>
            <w:vAlign w:val="center"/>
          </w:tcPr>
          <w:p>
            <w:pPr>
              <w:widowControl/>
              <w:spacing w:line="240" w:lineRule="exact"/>
              <w:jc w:val="center"/>
              <w:rPr>
                <w:color w:val="auto"/>
                <w:highlight w:val="none"/>
              </w:rPr>
            </w:pPr>
            <w:r>
              <w:rPr>
                <w:color w:val="auto"/>
                <w:highlight w:val="none"/>
              </w:rPr>
              <w:t>氨氮</w:t>
            </w:r>
          </w:p>
        </w:tc>
        <w:tc>
          <w:tcPr>
            <w:tcW w:w="1454" w:type="dxa"/>
            <w:tcBorders>
              <w:tl2br w:val="nil"/>
              <w:tr2bl w:val="nil"/>
            </w:tcBorders>
            <w:vAlign w:val="center"/>
          </w:tcPr>
          <w:p>
            <w:pPr>
              <w:widowControl/>
              <w:spacing w:line="240" w:lineRule="exact"/>
              <w:jc w:val="center"/>
              <w:rPr>
                <w:color w:val="auto"/>
                <w:highlight w:val="none"/>
              </w:rPr>
            </w:pPr>
            <w:r>
              <w:rPr>
                <w:color w:val="auto"/>
                <w:highlight w:val="none"/>
              </w:rPr>
              <w:t>1.0</w:t>
            </w:r>
          </w:p>
        </w:tc>
        <w:tc>
          <w:tcPr>
            <w:tcW w:w="1107" w:type="dxa"/>
            <w:tcBorders>
              <w:tl2br w:val="nil"/>
              <w:tr2bl w:val="nil"/>
            </w:tcBorders>
            <w:vAlign w:val="center"/>
          </w:tcPr>
          <w:p>
            <w:pPr>
              <w:widowControl/>
              <w:spacing w:line="240" w:lineRule="exact"/>
              <w:jc w:val="center"/>
              <w:rPr>
                <w:color w:val="auto"/>
                <w:highlight w:val="none"/>
              </w:rPr>
            </w:pPr>
            <w:r>
              <w:rPr>
                <w:color w:val="auto"/>
                <w:highlight w:val="none"/>
              </w:rPr>
              <w:t>14</w:t>
            </w:r>
          </w:p>
        </w:tc>
        <w:tc>
          <w:tcPr>
            <w:tcW w:w="1976"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铅</w:t>
            </w:r>
          </w:p>
        </w:tc>
        <w:tc>
          <w:tcPr>
            <w:tcW w:w="1624"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rFonts w:eastAsia="Times New Roman"/>
                <w:color w:val="auto"/>
                <w:highlight w:val="none"/>
              </w:rPr>
            </w:pPr>
            <w:r>
              <w:rPr>
                <w:rFonts w:eastAsia="Times New Roman"/>
                <w:color w:val="auto"/>
                <w:highlight w:val="none"/>
              </w:rPr>
              <w:t>5</w:t>
            </w:r>
          </w:p>
        </w:tc>
        <w:tc>
          <w:tcPr>
            <w:tcW w:w="1759"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总氮</w:t>
            </w:r>
          </w:p>
        </w:tc>
        <w:tc>
          <w:tcPr>
            <w:tcW w:w="1454"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1.0</w:t>
            </w:r>
          </w:p>
        </w:tc>
        <w:tc>
          <w:tcPr>
            <w:tcW w:w="1107" w:type="dxa"/>
            <w:tcBorders>
              <w:tl2br w:val="nil"/>
              <w:tr2bl w:val="nil"/>
            </w:tcBorders>
            <w:vAlign w:val="center"/>
          </w:tcPr>
          <w:p>
            <w:pPr>
              <w:widowControl/>
              <w:spacing w:line="240" w:lineRule="exact"/>
              <w:jc w:val="center"/>
              <w:rPr>
                <w:color w:val="auto"/>
                <w:highlight w:val="none"/>
              </w:rPr>
            </w:pPr>
            <w:r>
              <w:rPr>
                <w:color w:val="auto"/>
                <w:highlight w:val="none"/>
              </w:rPr>
              <w:t>15</w:t>
            </w:r>
          </w:p>
        </w:tc>
        <w:tc>
          <w:tcPr>
            <w:tcW w:w="1976"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硒</w:t>
            </w:r>
          </w:p>
        </w:tc>
        <w:tc>
          <w:tcPr>
            <w:tcW w:w="1624"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rFonts w:eastAsia="Times New Roman"/>
                <w:color w:val="auto"/>
                <w:highlight w:val="none"/>
              </w:rPr>
            </w:pPr>
            <w:r>
              <w:rPr>
                <w:rFonts w:eastAsia="Times New Roman"/>
                <w:color w:val="auto"/>
                <w:highlight w:val="none"/>
              </w:rPr>
              <w:t>6</w:t>
            </w:r>
          </w:p>
        </w:tc>
        <w:tc>
          <w:tcPr>
            <w:tcW w:w="1759"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总磷</w:t>
            </w:r>
          </w:p>
        </w:tc>
        <w:tc>
          <w:tcPr>
            <w:tcW w:w="1454" w:type="dxa"/>
            <w:tcBorders>
              <w:tl2br w:val="nil"/>
              <w:tr2bl w:val="nil"/>
            </w:tcBorders>
            <w:vAlign w:val="center"/>
          </w:tcPr>
          <w:p>
            <w:pPr>
              <w:widowControl/>
              <w:spacing w:line="240" w:lineRule="exact"/>
              <w:jc w:val="center"/>
              <w:rPr>
                <w:rFonts w:eastAsia="等线"/>
                <w:color w:val="auto"/>
                <w:highlight w:val="none"/>
              </w:rPr>
            </w:pPr>
            <w:r>
              <w:rPr>
                <w:color w:val="auto"/>
                <w:highlight w:val="none"/>
              </w:rPr>
              <w:t>0.2</w:t>
            </w:r>
          </w:p>
        </w:tc>
        <w:tc>
          <w:tcPr>
            <w:tcW w:w="1107" w:type="dxa"/>
            <w:tcBorders>
              <w:tl2br w:val="nil"/>
              <w:tr2bl w:val="nil"/>
            </w:tcBorders>
            <w:vAlign w:val="center"/>
          </w:tcPr>
          <w:p>
            <w:pPr>
              <w:widowControl/>
              <w:spacing w:line="240" w:lineRule="exact"/>
              <w:jc w:val="center"/>
              <w:rPr>
                <w:color w:val="auto"/>
                <w:highlight w:val="none"/>
              </w:rPr>
            </w:pPr>
            <w:r>
              <w:rPr>
                <w:rFonts w:eastAsia="等线"/>
                <w:color w:val="auto"/>
                <w:highlight w:val="none"/>
              </w:rPr>
              <w:t>16</w:t>
            </w:r>
          </w:p>
        </w:tc>
        <w:tc>
          <w:tcPr>
            <w:tcW w:w="1976"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氟化物</w:t>
            </w:r>
          </w:p>
        </w:tc>
        <w:tc>
          <w:tcPr>
            <w:tcW w:w="1624"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rFonts w:eastAsia="Times New Roman"/>
                <w:color w:val="auto"/>
                <w:highlight w:val="none"/>
              </w:rPr>
            </w:pPr>
            <w:r>
              <w:rPr>
                <w:rFonts w:eastAsia="Times New Roman"/>
                <w:color w:val="auto"/>
                <w:highlight w:val="none"/>
              </w:rPr>
              <w:t>7</w:t>
            </w:r>
          </w:p>
        </w:tc>
        <w:tc>
          <w:tcPr>
            <w:tcW w:w="1759"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高锰酸盐指数</w:t>
            </w:r>
          </w:p>
        </w:tc>
        <w:tc>
          <w:tcPr>
            <w:tcW w:w="1454"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6</w:t>
            </w:r>
          </w:p>
        </w:tc>
        <w:tc>
          <w:tcPr>
            <w:tcW w:w="1107" w:type="dxa"/>
            <w:tcBorders>
              <w:tl2br w:val="nil"/>
              <w:tr2bl w:val="nil"/>
            </w:tcBorders>
            <w:vAlign w:val="center"/>
          </w:tcPr>
          <w:p>
            <w:pPr>
              <w:widowControl/>
              <w:spacing w:line="240" w:lineRule="exact"/>
              <w:jc w:val="center"/>
              <w:rPr>
                <w:color w:val="auto"/>
                <w:highlight w:val="none"/>
              </w:rPr>
            </w:pPr>
            <w:r>
              <w:rPr>
                <w:color w:val="auto"/>
                <w:highlight w:val="none"/>
              </w:rPr>
              <w:t>17</w:t>
            </w:r>
          </w:p>
        </w:tc>
        <w:tc>
          <w:tcPr>
            <w:tcW w:w="1976"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氰化物</w:t>
            </w:r>
          </w:p>
        </w:tc>
        <w:tc>
          <w:tcPr>
            <w:tcW w:w="1624"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rFonts w:eastAsia="Times New Roman"/>
                <w:color w:val="auto"/>
                <w:highlight w:val="none"/>
              </w:rPr>
            </w:pPr>
            <w:r>
              <w:rPr>
                <w:rFonts w:eastAsia="Times New Roman"/>
                <w:color w:val="auto"/>
                <w:highlight w:val="none"/>
              </w:rPr>
              <w:t>8</w:t>
            </w:r>
          </w:p>
        </w:tc>
        <w:tc>
          <w:tcPr>
            <w:tcW w:w="1759" w:type="dxa"/>
            <w:tcBorders>
              <w:tl2br w:val="nil"/>
              <w:tr2bl w:val="nil"/>
            </w:tcBorders>
            <w:vAlign w:val="center"/>
          </w:tcPr>
          <w:p>
            <w:pPr>
              <w:widowControl/>
              <w:spacing w:line="240" w:lineRule="exact"/>
              <w:jc w:val="center"/>
              <w:rPr>
                <w:color w:val="auto"/>
                <w:highlight w:val="none"/>
              </w:rPr>
            </w:pPr>
            <w:r>
              <w:rPr>
                <w:color w:val="auto"/>
                <w:highlight w:val="none"/>
              </w:rPr>
              <w:t>铜</w:t>
            </w:r>
          </w:p>
        </w:tc>
        <w:tc>
          <w:tcPr>
            <w:tcW w:w="1454"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1.0</w:t>
            </w:r>
          </w:p>
        </w:tc>
        <w:tc>
          <w:tcPr>
            <w:tcW w:w="1107" w:type="dxa"/>
            <w:tcBorders>
              <w:tl2br w:val="nil"/>
              <w:tr2bl w:val="nil"/>
            </w:tcBorders>
            <w:vAlign w:val="center"/>
          </w:tcPr>
          <w:p>
            <w:pPr>
              <w:widowControl/>
              <w:spacing w:line="240" w:lineRule="exact"/>
              <w:jc w:val="center"/>
              <w:rPr>
                <w:color w:val="auto"/>
                <w:highlight w:val="none"/>
              </w:rPr>
            </w:pPr>
            <w:r>
              <w:rPr>
                <w:color w:val="auto"/>
                <w:highlight w:val="none"/>
              </w:rPr>
              <w:t>18</w:t>
            </w:r>
          </w:p>
        </w:tc>
        <w:tc>
          <w:tcPr>
            <w:tcW w:w="1976" w:type="dxa"/>
            <w:tcBorders>
              <w:tl2br w:val="nil"/>
              <w:tr2bl w:val="nil"/>
            </w:tcBorders>
            <w:vAlign w:val="center"/>
          </w:tcPr>
          <w:p>
            <w:pPr>
              <w:widowControl/>
              <w:spacing w:line="240" w:lineRule="exact"/>
              <w:jc w:val="center"/>
              <w:rPr>
                <w:color w:val="auto"/>
                <w:highlight w:val="none"/>
              </w:rPr>
            </w:pPr>
            <w:r>
              <w:rPr>
                <w:color w:val="auto"/>
                <w:highlight w:val="none"/>
              </w:rPr>
              <w:t>挥发酚</w:t>
            </w:r>
          </w:p>
        </w:tc>
        <w:tc>
          <w:tcPr>
            <w:tcW w:w="1624"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9</w:t>
            </w:r>
          </w:p>
        </w:tc>
        <w:tc>
          <w:tcPr>
            <w:tcW w:w="1759" w:type="dxa"/>
            <w:tcBorders>
              <w:tl2br w:val="nil"/>
              <w:tr2bl w:val="nil"/>
            </w:tcBorders>
            <w:vAlign w:val="center"/>
          </w:tcPr>
          <w:p>
            <w:pPr>
              <w:widowControl/>
              <w:spacing w:line="240" w:lineRule="exact"/>
              <w:jc w:val="center"/>
              <w:rPr>
                <w:color w:val="auto"/>
                <w:highlight w:val="none"/>
              </w:rPr>
            </w:pPr>
            <w:r>
              <w:rPr>
                <w:color w:val="auto"/>
                <w:highlight w:val="none"/>
              </w:rPr>
              <w:t>锌</w:t>
            </w:r>
          </w:p>
        </w:tc>
        <w:tc>
          <w:tcPr>
            <w:tcW w:w="1454"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1.0</w:t>
            </w:r>
          </w:p>
        </w:tc>
        <w:tc>
          <w:tcPr>
            <w:tcW w:w="1107" w:type="dxa"/>
            <w:tcBorders>
              <w:tl2br w:val="nil"/>
              <w:tr2bl w:val="nil"/>
            </w:tcBorders>
            <w:vAlign w:val="center"/>
          </w:tcPr>
          <w:p>
            <w:pPr>
              <w:widowControl/>
              <w:spacing w:line="240" w:lineRule="exact"/>
              <w:jc w:val="center"/>
              <w:rPr>
                <w:rFonts w:eastAsia="等线"/>
                <w:color w:val="auto"/>
                <w:highlight w:val="none"/>
              </w:rPr>
            </w:pPr>
            <w:r>
              <w:rPr>
                <w:color w:val="auto"/>
                <w:highlight w:val="none"/>
              </w:rPr>
              <w:t>19</w:t>
            </w:r>
          </w:p>
        </w:tc>
        <w:tc>
          <w:tcPr>
            <w:tcW w:w="1976" w:type="dxa"/>
            <w:tcBorders>
              <w:tl2br w:val="nil"/>
              <w:tr2bl w:val="nil"/>
            </w:tcBorders>
            <w:vAlign w:val="center"/>
          </w:tcPr>
          <w:p>
            <w:pPr>
              <w:widowControl/>
              <w:spacing w:line="240" w:lineRule="exact"/>
              <w:jc w:val="center"/>
              <w:rPr>
                <w:color w:val="auto"/>
                <w:highlight w:val="none"/>
              </w:rPr>
            </w:pPr>
            <w:r>
              <w:rPr>
                <w:color w:val="auto"/>
                <w:highlight w:val="none"/>
              </w:rPr>
              <w:t>石油类</w:t>
            </w:r>
          </w:p>
        </w:tc>
        <w:tc>
          <w:tcPr>
            <w:tcW w:w="1624"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rFonts w:eastAsia="Times New Roman"/>
                <w:color w:val="auto"/>
                <w:highlight w:val="none"/>
              </w:rPr>
            </w:pPr>
            <w:r>
              <w:rPr>
                <w:rFonts w:eastAsia="等线"/>
                <w:color w:val="auto"/>
                <w:highlight w:val="none"/>
              </w:rPr>
              <w:t>10</w:t>
            </w:r>
          </w:p>
        </w:tc>
        <w:tc>
          <w:tcPr>
            <w:tcW w:w="1759" w:type="dxa"/>
            <w:tcBorders>
              <w:tl2br w:val="nil"/>
              <w:tr2bl w:val="nil"/>
            </w:tcBorders>
            <w:vAlign w:val="center"/>
          </w:tcPr>
          <w:p>
            <w:pPr>
              <w:widowControl/>
              <w:spacing w:line="240" w:lineRule="exact"/>
              <w:jc w:val="center"/>
              <w:rPr>
                <w:color w:val="auto"/>
                <w:highlight w:val="none"/>
              </w:rPr>
            </w:pPr>
            <w:r>
              <w:rPr>
                <w:color w:val="auto"/>
                <w:highlight w:val="none"/>
              </w:rPr>
              <w:t>砷</w:t>
            </w:r>
          </w:p>
        </w:tc>
        <w:tc>
          <w:tcPr>
            <w:tcW w:w="1454"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0.05</w:t>
            </w:r>
          </w:p>
        </w:tc>
        <w:tc>
          <w:tcPr>
            <w:tcW w:w="1107"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20</w:t>
            </w:r>
          </w:p>
        </w:tc>
        <w:tc>
          <w:tcPr>
            <w:tcW w:w="1976" w:type="dxa"/>
            <w:tcBorders>
              <w:tl2br w:val="nil"/>
              <w:tr2bl w:val="nil"/>
            </w:tcBorders>
            <w:vAlign w:val="center"/>
          </w:tcPr>
          <w:p>
            <w:pPr>
              <w:widowControl/>
              <w:spacing w:line="240" w:lineRule="exact"/>
              <w:jc w:val="center"/>
              <w:rPr>
                <w:color w:val="auto"/>
                <w:highlight w:val="none"/>
              </w:rPr>
            </w:pPr>
            <w:r>
              <w:rPr>
                <w:color w:val="auto"/>
                <w:highlight w:val="none"/>
              </w:rPr>
              <w:t>硫化物</w:t>
            </w:r>
          </w:p>
        </w:tc>
        <w:tc>
          <w:tcPr>
            <w:tcW w:w="1624"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0.2</w:t>
            </w:r>
          </w:p>
        </w:tc>
      </w:tr>
      <w:bookmarkEnd w:id="85"/>
    </w:tbl>
    <w:p>
      <w:pPr>
        <w:spacing w:before="156" w:beforeLines="50" w:line="360" w:lineRule="auto"/>
        <w:ind w:firstLine="480" w:firstLineChars="200"/>
        <w:rPr>
          <w:color w:val="auto"/>
          <w:sz w:val="24"/>
          <w:highlight w:val="none"/>
          <w:lang w:val="zh-CN"/>
        </w:rPr>
      </w:pPr>
      <w:r>
        <w:rPr>
          <w:color w:val="auto"/>
          <w:sz w:val="24"/>
          <w:highlight w:val="none"/>
          <w:lang w:val="zh-CN"/>
        </w:rPr>
        <w:t>(3) 地下水水质</w:t>
      </w:r>
    </w:p>
    <w:p>
      <w:pPr>
        <w:spacing w:line="360" w:lineRule="auto"/>
        <w:ind w:firstLine="480" w:firstLineChars="200"/>
        <w:jc w:val="left"/>
        <w:rPr>
          <w:color w:val="auto"/>
          <w:sz w:val="24"/>
          <w:highlight w:val="none"/>
        </w:rPr>
      </w:pPr>
      <w:r>
        <w:rPr>
          <w:color w:val="auto"/>
          <w:sz w:val="24"/>
          <w:highlight w:val="none"/>
        </w:rPr>
        <w:t>项目区域地下水环境质量执行《地下水环境质量标准》(GB/T14848-2017)中的Ⅲ类水标准。具体标准值见表1.4-4。</w:t>
      </w:r>
    </w:p>
    <w:p>
      <w:pPr>
        <w:spacing w:line="360" w:lineRule="auto"/>
        <w:jc w:val="center"/>
        <w:rPr>
          <w:rFonts w:eastAsia="黑体"/>
          <w:color w:val="auto"/>
          <w:sz w:val="24"/>
          <w:highlight w:val="none"/>
        </w:rPr>
      </w:pPr>
      <w:bookmarkStart w:id="86" w:name="_Hlk46063829"/>
      <w:r>
        <w:rPr>
          <w:rFonts w:eastAsia="黑体"/>
          <w:color w:val="auto"/>
          <w:sz w:val="24"/>
          <w:highlight w:val="none"/>
        </w:rPr>
        <w:t>表1.4-4   地下水质量标准限值一览表   单位：mg/L，pH无量纲</w:t>
      </w:r>
    </w:p>
    <w:tbl>
      <w:tblPr>
        <w:tblStyle w:val="59"/>
        <w:tblW w:w="892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759"/>
        <w:gridCol w:w="1454"/>
        <w:gridCol w:w="1107"/>
        <w:gridCol w:w="1976"/>
        <w:gridCol w:w="16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序号</w:t>
            </w:r>
          </w:p>
        </w:tc>
        <w:tc>
          <w:tcPr>
            <w:tcW w:w="1759"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项目</w:t>
            </w:r>
          </w:p>
        </w:tc>
        <w:tc>
          <w:tcPr>
            <w:tcW w:w="1454"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标准值</w:t>
            </w:r>
          </w:p>
        </w:tc>
        <w:tc>
          <w:tcPr>
            <w:tcW w:w="1107"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序号</w:t>
            </w:r>
          </w:p>
        </w:tc>
        <w:tc>
          <w:tcPr>
            <w:tcW w:w="1976"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项目</w:t>
            </w:r>
          </w:p>
        </w:tc>
        <w:tc>
          <w:tcPr>
            <w:tcW w:w="1624"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1</w:t>
            </w:r>
          </w:p>
        </w:tc>
        <w:tc>
          <w:tcPr>
            <w:tcW w:w="1759"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pH（无量纲）</w:t>
            </w:r>
          </w:p>
        </w:tc>
        <w:tc>
          <w:tcPr>
            <w:tcW w:w="1454"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6.5~8.5</w:t>
            </w:r>
          </w:p>
        </w:tc>
        <w:tc>
          <w:tcPr>
            <w:tcW w:w="1107" w:type="dxa"/>
            <w:tcBorders>
              <w:tl2br w:val="nil"/>
              <w:tr2bl w:val="nil"/>
            </w:tcBorders>
            <w:vAlign w:val="center"/>
          </w:tcPr>
          <w:p>
            <w:pPr>
              <w:widowControl/>
              <w:spacing w:line="240" w:lineRule="exact"/>
              <w:jc w:val="center"/>
              <w:rPr>
                <w:color w:val="auto"/>
                <w:highlight w:val="none"/>
              </w:rPr>
            </w:pPr>
            <w:r>
              <w:rPr>
                <w:color w:val="auto"/>
                <w:highlight w:val="none"/>
              </w:rPr>
              <w:t>12</w:t>
            </w:r>
          </w:p>
        </w:tc>
        <w:tc>
          <w:tcPr>
            <w:tcW w:w="1976"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菌落总数(CFU/mL)</w:t>
            </w:r>
          </w:p>
        </w:tc>
        <w:tc>
          <w:tcPr>
            <w:tcW w:w="1624" w:type="dxa"/>
            <w:tcBorders>
              <w:tl2br w:val="nil"/>
              <w:tr2bl w:val="nil"/>
            </w:tcBorders>
            <w:vAlign w:val="center"/>
          </w:tcPr>
          <w:p>
            <w:pPr>
              <w:widowControl/>
              <w:spacing w:line="240" w:lineRule="exact"/>
              <w:jc w:val="center"/>
              <w:rPr>
                <w:rFonts w:eastAsia="等线"/>
                <w:color w:val="auto"/>
                <w:highlight w:val="none"/>
              </w:rPr>
            </w:pPr>
            <w:r>
              <w:rPr>
                <w:color w:val="auto"/>
                <w:highlight w:val="none"/>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color w:val="auto"/>
                <w:highlight w:val="none"/>
              </w:rPr>
            </w:pPr>
            <w:r>
              <w:rPr>
                <w:color w:val="auto"/>
                <w:highlight w:val="none"/>
              </w:rPr>
              <w:t>2</w:t>
            </w:r>
          </w:p>
        </w:tc>
        <w:tc>
          <w:tcPr>
            <w:tcW w:w="1759" w:type="dxa"/>
            <w:tcBorders>
              <w:tl2br w:val="nil"/>
              <w:tr2bl w:val="nil"/>
            </w:tcBorders>
            <w:vAlign w:val="center"/>
          </w:tcPr>
          <w:p>
            <w:pPr>
              <w:widowControl/>
              <w:spacing w:line="240" w:lineRule="exact"/>
              <w:jc w:val="center"/>
              <w:rPr>
                <w:color w:val="auto"/>
                <w:spacing w:val="-80"/>
                <w:highlight w:val="none"/>
              </w:rPr>
            </w:pPr>
            <w:r>
              <w:rPr>
                <w:color w:val="auto"/>
                <w:highlight w:val="none"/>
              </w:rPr>
              <w:t>总硬度</w:t>
            </w:r>
          </w:p>
        </w:tc>
        <w:tc>
          <w:tcPr>
            <w:tcW w:w="1454" w:type="dxa"/>
            <w:tcBorders>
              <w:tl2br w:val="nil"/>
              <w:tr2bl w:val="nil"/>
            </w:tcBorders>
            <w:vAlign w:val="center"/>
          </w:tcPr>
          <w:p>
            <w:pPr>
              <w:widowControl/>
              <w:spacing w:line="240" w:lineRule="exact"/>
              <w:jc w:val="center"/>
              <w:rPr>
                <w:color w:val="auto"/>
                <w:highlight w:val="none"/>
              </w:rPr>
            </w:pPr>
            <w:r>
              <w:rPr>
                <w:color w:val="auto"/>
                <w:highlight w:val="none"/>
              </w:rPr>
              <w:t>≤450</w:t>
            </w:r>
          </w:p>
        </w:tc>
        <w:tc>
          <w:tcPr>
            <w:tcW w:w="1107" w:type="dxa"/>
            <w:tcBorders>
              <w:tl2br w:val="nil"/>
              <w:tr2bl w:val="nil"/>
            </w:tcBorders>
            <w:vAlign w:val="center"/>
          </w:tcPr>
          <w:p>
            <w:pPr>
              <w:widowControl/>
              <w:spacing w:line="240" w:lineRule="exact"/>
              <w:jc w:val="center"/>
              <w:rPr>
                <w:color w:val="auto"/>
                <w:highlight w:val="none"/>
              </w:rPr>
            </w:pPr>
            <w:r>
              <w:rPr>
                <w:color w:val="auto"/>
                <w:highlight w:val="none"/>
              </w:rPr>
              <w:t>13</w:t>
            </w:r>
          </w:p>
        </w:tc>
        <w:tc>
          <w:tcPr>
            <w:tcW w:w="1976" w:type="dxa"/>
            <w:tcBorders>
              <w:tl2br w:val="nil"/>
              <w:tr2bl w:val="nil"/>
            </w:tcBorders>
            <w:vAlign w:val="center"/>
          </w:tcPr>
          <w:p>
            <w:pPr>
              <w:widowControl/>
              <w:spacing w:line="240" w:lineRule="exact"/>
              <w:jc w:val="center"/>
              <w:rPr>
                <w:color w:val="auto"/>
                <w:highlight w:val="none"/>
              </w:rPr>
            </w:pPr>
            <w:r>
              <w:rPr>
                <w:color w:val="auto"/>
                <w:highlight w:val="none"/>
              </w:rPr>
              <w:t>亚硝酸盐</w:t>
            </w:r>
          </w:p>
        </w:tc>
        <w:tc>
          <w:tcPr>
            <w:tcW w:w="1624" w:type="dxa"/>
            <w:tcBorders>
              <w:tl2br w:val="nil"/>
              <w:tr2bl w:val="nil"/>
            </w:tcBorders>
            <w:vAlign w:val="center"/>
          </w:tcPr>
          <w:p>
            <w:pPr>
              <w:widowControl/>
              <w:spacing w:line="240" w:lineRule="exact"/>
              <w:jc w:val="center"/>
              <w:rPr>
                <w:color w:val="auto"/>
                <w:highlight w:val="none"/>
              </w:rPr>
            </w:pPr>
            <w:r>
              <w:rPr>
                <w:color w:val="auto"/>
                <w:highlight w:val="none"/>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color w:val="auto"/>
                <w:highlight w:val="none"/>
              </w:rPr>
            </w:pPr>
            <w:r>
              <w:rPr>
                <w:color w:val="auto"/>
                <w:highlight w:val="none"/>
              </w:rPr>
              <w:t>3</w:t>
            </w:r>
          </w:p>
        </w:tc>
        <w:tc>
          <w:tcPr>
            <w:tcW w:w="1759" w:type="dxa"/>
            <w:tcBorders>
              <w:tl2br w:val="nil"/>
              <w:tr2bl w:val="nil"/>
            </w:tcBorders>
            <w:vAlign w:val="center"/>
          </w:tcPr>
          <w:p>
            <w:pPr>
              <w:widowControl/>
              <w:spacing w:line="240" w:lineRule="exact"/>
              <w:jc w:val="center"/>
              <w:rPr>
                <w:color w:val="auto"/>
                <w:spacing w:val="-80"/>
                <w:highlight w:val="none"/>
              </w:rPr>
            </w:pPr>
            <w:r>
              <w:rPr>
                <w:color w:val="auto"/>
                <w:highlight w:val="none"/>
              </w:rPr>
              <w:t>溶解性总固体</w:t>
            </w:r>
          </w:p>
        </w:tc>
        <w:tc>
          <w:tcPr>
            <w:tcW w:w="1454" w:type="dxa"/>
            <w:tcBorders>
              <w:tl2br w:val="nil"/>
              <w:tr2bl w:val="nil"/>
            </w:tcBorders>
            <w:vAlign w:val="center"/>
          </w:tcPr>
          <w:p>
            <w:pPr>
              <w:widowControl/>
              <w:spacing w:line="240" w:lineRule="exact"/>
              <w:jc w:val="center"/>
              <w:rPr>
                <w:color w:val="auto"/>
                <w:highlight w:val="none"/>
              </w:rPr>
            </w:pPr>
            <w:r>
              <w:rPr>
                <w:color w:val="auto"/>
                <w:highlight w:val="none"/>
              </w:rPr>
              <w:t>≤1000</w:t>
            </w:r>
          </w:p>
        </w:tc>
        <w:tc>
          <w:tcPr>
            <w:tcW w:w="1107" w:type="dxa"/>
            <w:tcBorders>
              <w:tl2br w:val="nil"/>
              <w:tr2bl w:val="nil"/>
            </w:tcBorders>
            <w:vAlign w:val="center"/>
          </w:tcPr>
          <w:p>
            <w:pPr>
              <w:widowControl/>
              <w:spacing w:line="240" w:lineRule="exact"/>
              <w:jc w:val="center"/>
              <w:rPr>
                <w:color w:val="auto"/>
                <w:highlight w:val="none"/>
              </w:rPr>
            </w:pPr>
            <w:r>
              <w:rPr>
                <w:color w:val="auto"/>
                <w:highlight w:val="none"/>
              </w:rPr>
              <w:t>14</w:t>
            </w:r>
          </w:p>
        </w:tc>
        <w:tc>
          <w:tcPr>
            <w:tcW w:w="1976" w:type="dxa"/>
            <w:tcBorders>
              <w:tl2br w:val="nil"/>
              <w:tr2bl w:val="nil"/>
            </w:tcBorders>
            <w:vAlign w:val="center"/>
          </w:tcPr>
          <w:p>
            <w:pPr>
              <w:widowControl/>
              <w:spacing w:line="240" w:lineRule="exact"/>
              <w:jc w:val="center"/>
              <w:rPr>
                <w:color w:val="auto"/>
                <w:highlight w:val="none"/>
              </w:rPr>
            </w:pPr>
            <w:r>
              <w:rPr>
                <w:color w:val="auto"/>
                <w:highlight w:val="none"/>
              </w:rPr>
              <w:t>硝酸盐</w:t>
            </w:r>
          </w:p>
        </w:tc>
        <w:tc>
          <w:tcPr>
            <w:tcW w:w="1624" w:type="dxa"/>
            <w:tcBorders>
              <w:tl2br w:val="nil"/>
              <w:tr2bl w:val="nil"/>
            </w:tcBorders>
            <w:vAlign w:val="center"/>
          </w:tcPr>
          <w:p>
            <w:pPr>
              <w:widowControl/>
              <w:spacing w:line="240" w:lineRule="exact"/>
              <w:jc w:val="center"/>
              <w:rPr>
                <w:color w:val="auto"/>
                <w:highlight w:val="none"/>
              </w:rPr>
            </w:pPr>
            <w:r>
              <w:rPr>
                <w:color w:val="auto"/>
                <w:highlight w:val="none"/>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color w:val="auto"/>
                <w:highlight w:val="none"/>
              </w:rPr>
            </w:pPr>
            <w:r>
              <w:rPr>
                <w:color w:val="auto"/>
                <w:highlight w:val="none"/>
              </w:rPr>
              <w:t>4</w:t>
            </w:r>
          </w:p>
        </w:tc>
        <w:tc>
          <w:tcPr>
            <w:tcW w:w="1759" w:type="dxa"/>
            <w:tcBorders>
              <w:tl2br w:val="nil"/>
              <w:tr2bl w:val="nil"/>
            </w:tcBorders>
            <w:vAlign w:val="center"/>
          </w:tcPr>
          <w:p>
            <w:pPr>
              <w:widowControl/>
              <w:spacing w:line="240" w:lineRule="exact"/>
              <w:jc w:val="center"/>
              <w:rPr>
                <w:color w:val="auto"/>
                <w:spacing w:val="-80"/>
                <w:highlight w:val="none"/>
              </w:rPr>
            </w:pPr>
            <w:r>
              <w:rPr>
                <w:color w:val="auto"/>
                <w:highlight w:val="none"/>
              </w:rPr>
              <w:t>硫酸盐</w:t>
            </w:r>
          </w:p>
        </w:tc>
        <w:tc>
          <w:tcPr>
            <w:tcW w:w="1454" w:type="dxa"/>
            <w:tcBorders>
              <w:tl2br w:val="nil"/>
              <w:tr2bl w:val="nil"/>
            </w:tcBorders>
            <w:vAlign w:val="center"/>
          </w:tcPr>
          <w:p>
            <w:pPr>
              <w:widowControl/>
              <w:spacing w:line="240" w:lineRule="exact"/>
              <w:jc w:val="center"/>
              <w:rPr>
                <w:color w:val="auto"/>
                <w:highlight w:val="none"/>
              </w:rPr>
            </w:pPr>
            <w:r>
              <w:rPr>
                <w:color w:val="auto"/>
                <w:highlight w:val="none"/>
              </w:rPr>
              <w:t>≤250</w:t>
            </w:r>
          </w:p>
        </w:tc>
        <w:tc>
          <w:tcPr>
            <w:tcW w:w="1107" w:type="dxa"/>
            <w:tcBorders>
              <w:tl2br w:val="nil"/>
              <w:tr2bl w:val="nil"/>
            </w:tcBorders>
            <w:vAlign w:val="center"/>
          </w:tcPr>
          <w:p>
            <w:pPr>
              <w:widowControl/>
              <w:spacing w:line="240" w:lineRule="exact"/>
              <w:jc w:val="center"/>
              <w:rPr>
                <w:color w:val="auto"/>
                <w:highlight w:val="none"/>
              </w:rPr>
            </w:pPr>
            <w:r>
              <w:rPr>
                <w:color w:val="auto"/>
                <w:highlight w:val="none"/>
              </w:rPr>
              <w:t>15</w:t>
            </w:r>
          </w:p>
        </w:tc>
        <w:tc>
          <w:tcPr>
            <w:tcW w:w="1976" w:type="dxa"/>
            <w:tcBorders>
              <w:tl2br w:val="nil"/>
              <w:tr2bl w:val="nil"/>
            </w:tcBorders>
            <w:vAlign w:val="center"/>
          </w:tcPr>
          <w:p>
            <w:pPr>
              <w:widowControl/>
              <w:spacing w:line="240" w:lineRule="exact"/>
              <w:jc w:val="center"/>
              <w:rPr>
                <w:color w:val="auto"/>
                <w:highlight w:val="none"/>
              </w:rPr>
            </w:pPr>
            <w:r>
              <w:rPr>
                <w:color w:val="auto"/>
                <w:highlight w:val="none"/>
              </w:rPr>
              <w:t>氰化物</w:t>
            </w:r>
          </w:p>
        </w:tc>
        <w:tc>
          <w:tcPr>
            <w:tcW w:w="1624" w:type="dxa"/>
            <w:tcBorders>
              <w:tl2br w:val="nil"/>
              <w:tr2bl w:val="nil"/>
            </w:tcBorders>
            <w:vAlign w:val="center"/>
          </w:tcPr>
          <w:p>
            <w:pPr>
              <w:widowControl/>
              <w:spacing w:line="240" w:lineRule="exact"/>
              <w:jc w:val="center"/>
              <w:rPr>
                <w:color w:val="auto"/>
                <w:highlight w:val="none"/>
              </w:rPr>
            </w:pPr>
            <w:r>
              <w:rPr>
                <w:color w:val="auto"/>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color w:val="auto"/>
                <w:highlight w:val="none"/>
              </w:rPr>
            </w:pPr>
            <w:r>
              <w:rPr>
                <w:color w:val="auto"/>
                <w:highlight w:val="none"/>
              </w:rPr>
              <w:t>5</w:t>
            </w:r>
          </w:p>
        </w:tc>
        <w:tc>
          <w:tcPr>
            <w:tcW w:w="1759" w:type="dxa"/>
            <w:tcBorders>
              <w:tl2br w:val="nil"/>
              <w:tr2bl w:val="nil"/>
            </w:tcBorders>
            <w:vAlign w:val="center"/>
          </w:tcPr>
          <w:p>
            <w:pPr>
              <w:widowControl/>
              <w:spacing w:line="240" w:lineRule="exact"/>
              <w:jc w:val="center"/>
              <w:rPr>
                <w:color w:val="auto"/>
                <w:spacing w:val="-80"/>
                <w:highlight w:val="none"/>
              </w:rPr>
            </w:pPr>
            <w:r>
              <w:rPr>
                <w:color w:val="auto"/>
                <w:highlight w:val="none"/>
              </w:rPr>
              <w:t>氯化物</w:t>
            </w:r>
          </w:p>
        </w:tc>
        <w:tc>
          <w:tcPr>
            <w:tcW w:w="1454" w:type="dxa"/>
            <w:tcBorders>
              <w:tl2br w:val="nil"/>
              <w:tr2bl w:val="nil"/>
            </w:tcBorders>
            <w:vAlign w:val="center"/>
          </w:tcPr>
          <w:p>
            <w:pPr>
              <w:widowControl/>
              <w:spacing w:line="240" w:lineRule="exact"/>
              <w:jc w:val="center"/>
              <w:rPr>
                <w:color w:val="auto"/>
                <w:highlight w:val="none"/>
              </w:rPr>
            </w:pPr>
            <w:r>
              <w:rPr>
                <w:color w:val="auto"/>
                <w:highlight w:val="none"/>
              </w:rPr>
              <w:t>≤250</w:t>
            </w:r>
          </w:p>
        </w:tc>
        <w:tc>
          <w:tcPr>
            <w:tcW w:w="1107" w:type="dxa"/>
            <w:tcBorders>
              <w:tl2br w:val="nil"/>
              <w:tr2bl w:val="nil"/>
            </w:tcBorders>
            <w:vAlign w:val="center"/>
          </w:tcPr>
          <w:p>
            <w:pPr>
              <w:widowControl/>
              <w:spacing w:line="240" w:lineRule="exact"/>
              <w:jc w:val="center"/>
              <w:rPr>
                <w:color w:val="auto"/>
                <w:highlight w:val="none"/>
              </w:rPr>
            </w:pPr>
            <w:r>
              <w:rPr>
                <w:color w:val="auto"/>
                <w:highlight w:val="none"/>
              </w:rPr>
              <w:t>16</w:t>
            </w:r>
          </w:p>
        </w:tc>
        <w:tc>
          <w:tcPr>
            <w:tcW w:w="1976" w:type="dxa"/>
            <w:tcBorders>
              <w:tl2br w:val="nil"/>
              <w:tr2bl w:val="nil"/>
            </w:tcBorders>
            <w:vAlign w:val="center"/>
          </w:tcPr>
          <w:p>
            <w:pPr>
              <w:widowControl/>
              <w:spacing w:line="240" w:lineRule="exact"/>
              <w:jc w:val="center"/>
              <w:rPr>
                <w:color w:val="auto"/>
                <w:highlight w:val="none"/>
              </w:rPr>
            </w:pPr>
            <w:r>
              <w:rPr>
                <w:color w:val="auto"/>
                <w:highlight w:val="none"/>
              </w:rPr>
              <w:t>氟化物</w:t>
            </w:r>
          </w:p>
        </w:tc>
        <w:tc>
          <w:tcPr>
            <w:tcW w:w="1624" w:type="dxa"/>
            <w:tcBorders>
              <w:tl2br w:val="nil"/>
              <w:tr2bl w:val="nil"/>
            </w:tcBorders>
            <w:vAlign w:val="center"/>
          </w:tcPr>
          <w:p>
            <w:pPr>
              <w:widowControl/>
              <w:spacing w:line="240" w:lineRule="exact"/>
              <w:jc w:val="center"/>
              <w:rPr>
                <w:color w:val="auto"/>
                <w:highlight w:val="none"/>
              </w:rPr>
            </w:pPr>
            <w:r>
              <w:rPr>
                <w:color w:val="auto"/>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color w:val="auto"/>
                <w:highlight w:val="none"/>
              </w:rPr>
            </w:pPr>
            <w:r>
              <w:rPr>
                <w:color w:val="auto"/>
                <w:highlight w:val="none"/>
              </w:rPr>
              <w:t>6</w:t>
            </w:r>
          </w:p>
        </w:tc>
        <w:tc>
          <w:tcPr>
            <w:tcW w:w="1759" w:type="dxa"/>
            <w:tcBorders>
              <w:tl2br w:val="nil"/>
              <w:tr2bl w:val="nil"/>
            </w:tcBorders>
            <w:vAlign w:val="center"/>
          </w:tcPr>
          <w:p>
            <w:pPr>
              <w:widowControl/>
              <w:spacing w:line="240" w:lineRule="exact"/>
              <w:jc w:val="center"/>
              <w:rPr>
                <w:color w:val="auto"/>
                <w:spacing w:val="-80"/>
                <w:highlight w:val="none"/>
              </w:rPr>
            </w:pPr>
            <w:r>
              <w:rPr>
                <w:color w:val="auto"/>
                <w:highlight w:val="none"/>
              </w:rPr>
              <w:t>铁</w:t>
            </w:r>
          </w:p>
        </w:tc>
        <w:tc>
          <w:tcPr>
            <w:tcW w:w="1454" w:type="dxa"/>
            <w:tcBorders>
              <w:tl2br w:val="nil"/>
              <w:tr2bl w:val="nil"/>
            </w:tcBorders>
            <w:vAlign w:val="center"/>
          </w:tcPr>
          <w:p>
            <w:pPr>
              <w:widowControl/>
              <w:spacing w:line="240" w:lineRule="exact"/>
              <w:jc w:val="center"/>
              <w:rPr>
                <w:color w:val="auto"/>
                <w:highlight w:val="none"/>
              </w:rPr>
            </w:pPr>
            <w:r>
              <w:rPr>
                <w:color w:val="auto"/>
                <w:highlight w:val="none"/>
              </w:rPr>
              <w:t>≤0.3</w:t>
            </w:r>
          </w:p>
        </w:tc>
        <w:tc>
          <w:tcPr>
            <w:tcW w:w="1107" w:type="dxa"/>
            <w:tcBorders>
              <w:tl2br w:val="nil"/>
              <w:tr2bl w:val="nil"/>
            </w:tcBorders>
            <w:vAlign w:val="center"/>
          </w:tcPr>
          <w:p>
            <w:pPr>
              <w:widowControl/>
              <w:spacing w:line="240" w:lineRule="exact"/>
              <w:jc w:val="center"/>
              <w:rPr>
                <w:color w:val="auto"/>
                <w:highlight w:val="none"/>
              </w:rPr>
            </w:pPr>
            <w:r>
              <w:rPr>
                <w:color w:val="auto"/>
                <w:highlight w:val="none"/>
              </w:rPr>
              <w:t>17</w:t>
            </w:r>
          </w:p>
        </w:tc>
        <w:tc>
          <w:tcPr>
            <w:tcW w:w="1976" w:type="dxa"/>
            <w:tcBorders>
              <w:tl2br w:val="nil"/>
              <w:tr2bl w:val="nil"/>
            </w:tcBorders>
            <w:vAlign w:val="center"/>
          </w:tcPr>
          <w:p>
            <w:pPr>
              <w:widowControl/>
              <w:spacing w:line="240" w:lineRule="exact"/>
              <w:jc w:val="center"/>
              <w:rPr>
                <w:color w:val="auto"/>
                <w:highlight w:val="none"/>
              </w:rPr>
            </w:pPr>
            <w:r>
              <w:rPr>
                <w:color w:val="auto"/>
                <w:highlight w:val="none"/>
              </w:rPr>
              <w:t>汞</w:t>
            </w:r>
          </w:p>
        </w:tc>
        <w:tc>
          <w:tcPr>
            <w:tcW w:w="1624" w:type="dxa"/>
            <w:tcBorders>
              <w:tl2br w:val="nil"/>
              <w:tr2bl w:val="nil"/>
            </w:tcBorders>
            <w:vAlign w:val="center"/>
          </w:tcPr>
          <w:p>
            <w:pPr>
              <w:widowControl/>
              <w:spacing w:line="240" w:lineRule="exact"/>
              <w:jc w:val="center"/>
              <w:rPr>
                <w:color w:val="auto"/>
                <w:highlight w:val="none"/>
              </w:rPr>
            </w:pPr>
            <w:r>
              <w:rPr>
                <w:color w:val="auto"/>
                <w:highlight w:val="none"/>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color w:val="auto"/>
                <w:highlight w:val="none"/>
              </w:rPr>
            </w:pPr>
            <w:r>
              <w:rPr>
                <w:color w:val="auto"/>
                <w:highlight w:val="none"/>
              </w:rPr>
              <w:t>7</w:t>
            </w:r>
          </w:p>
        </w:tc>
        <w:tc>
          <w:tcPr>
            <w:tcW w:w="1759" w:type="dxa"/>
            <w:tcBorders>
              <w:tl2br w:val="nil"/>
              <w:tr2bl w:val="nil"/>
            </w:tcBorders>
            <w:vAlign w:val="center"/>
          </w:tcPr>
          <w:p>
            <w:pPr>
              <w:widowControl/>
              <w:spacing w:line="240" w:lineRule="exact"/>
              <w:jc w:val="center"/>
              <w:rPr>
                <w:color w:val="auto"/>
                <w:spacing w:val="-80"/>
                <w:highlight w:val="none"/>
              </w:rPr>
            </w:pPr>
            <w:r>
              <w:rPr>
                <w:color w:val="auto"/>
                <w:highlight w:val="none"/>
              </w:rPr>
              <w:t>锰</w:t>
            </w:r>
          </w:p>
        </w:tc>
        <w:tc>
          <w:tcPr>
            <w:tcW w:w="1454" w:type="dxa"/>
            <w:tcBorders>
              <w:tl2br w:val="nil"/>
              <w:tr2bl w:val="nil"/>
            </w:tcBorders>
            <w:vAlign w:val="center"/>
          </w:tcPr>
          <w:p>
            <w:pPr>
              <w:widowControl/>
              <w:spacing w:line="240" w:lineRule="exact"/>
              <w:jc w:val="center"/>
              <w:rPr>
                <w:color w:val="auto"/>
                <w:highlight w:val="none"/>
              </w:rPr>
            </w:pPr>
            <w:r>
              <w:rPr>
                <w:color w:val="auto"/>
                <w:highlight w:val="none"/>
              </w:rPr>
              <w:t>≤0.1</w:t>
            </w:r>
          </w:p>
        </w:tc>
        <w:tc>
          <w:tcPr>
            <w:tcW w:w="1107" w:type="dxa"/>
            <w:tcBorders>
              <w:tl2br w:val="nil"/>
              <w:tr2bl w:val="nil"/>
            </w:tcBorders>
            <w:vAlign w:val="center"/>
          </w:tcPr>
          <w:p>
            <w:pPr>
              <w:widowControl/>
              <w:spacing w:line="240" w:lineRule="exact"/>
              <w:jc w:val="center"/>
              <w:rPr>
                <w:color w:val="auto"/>
                <w:highlight w:val="none"/>
              </w:rPr>
            </w:pPr>
            <w:r>
              <w:rPr>
                <w:color w:val="auto"/>
                <w:highlight w:val="none"/>
              </w:rPr>
              <w:t>18</w:t>
            </w:r>
          </w:p>
        </w:tc>
        <w:tc>
          <w:tcPr>
            <w:tcW w:w="1976" w:type="dxa"/>
            <w:tcBorders>
              <w:tl2br w:val="nil"/>
              <w:tr2bl w:val="nil"/>
            </w:tcBorders>
            <w:vAlign w:val="center"/>
          </w:tcPr>
          <w:p>
            <w:pPr>
              <w:widowControl/>
              <w:spacing w:line="240" w:lineRule="exact"/>
              <w:jc w:val="center"/>
              <w:rPr>
                <w:color w:val="auto"/>
                <w:highlight w:val="none"/>
              </w:rPr>
            </w:pPr>
            <w:r>
              <w:rPr>
                <w:color w:val="auto"/>
                <w:highlight w:val="none"/>
              </w:rPr>
              <w:t>砷</w:t>
            </w:r>
          </w:p>
        </w:tc>
        <w:tc>
          <w:tcPr>
            <w:tcW w:w="1624" w:type="dxa"/>
            <w:tcBorders>
              <w:tl2br w:val="nil"/>
              <w:tr2bl w:val="nil"/>
            </w:tcBorders>
            <w:vAlign w:val="center"/>
          </w:tcPr>
          <w:p>
            <w:pPr>
              <w:widowControl/>
              <w:spacing w:line="240" w:lineRule="exact"/>
              <w:jc w:val="center"/>
              <w:rPr>
                <w:color w:val="auto"/>
                <w:highlight w:val="none"/>
              </w:rPr>
            </w:pPr>
            <w:r>
              <w:rPr>
                <w:color w:val="auto"/>
                <w:highlight w:val="none"/>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color w:val="auto"/>
                <w:highlight w:val="none"/>
              </w:rPr>
            </w:pPr>
            <w:r>
              <w:rPr>
                <w:color w:val="auto"/>
                <w:highlight w:val="none"/>
              </w:rPr>
              <w:t>8</w:t>
            </w:r>
          </w:p>
        </w:tc>
        <w:tc>
          <w:tcPr>
            <w:tcW w:w="1759" w:type="dxa"/>
            <w:tcBorders>
              <w:tl2br w:val="nil"/>
              <w:tr2bl w:val="nil"/>
            </w:tcBorders>
            <w:vAlign w:val="center"/>
          </w:tcPr>
          <w:p>
            <w:pPr>
              <w:widowControl/>
              <w:spacing w:line="240" w:lineRule="exact"/>
              <w:jc w:val="center"/>
              <w:rPr>
                <w:color w:val="auto"/>
                <w:highlight w:val="none"/>
              </w:rPr>
            </w:pPr>
            <w:r>
              <w:rPr>
                <w:color w:val="auto"/>
                <w:highlight w:val="none"/>
              </w:rPr>
              <w:t>挥发性酚类</w:t>
            </w:r>
          </w:p>
        </w:tc>
        <w:tc>
          <w:tcPr>
            <w:tcW w:w="1454" w:type="dxa"/>
            <w:tcBorders>
              <w:tl2br w:val="nil"/>
              <w:tr2bl w:val="nil"/>
            </w:tcBorders>
            <w:vAlign w:val="center"/>
          </w:tcPr>
          <w:p>
            <w:pPr>
              <w:widowControl/>
              <w:spacing w:line="240" w:lineRule="exact"/>
              <w:jc w:val="center"/>
              <w:rPr>
                <w:color w:val="auto"/>
                <w:highlight w:val="none"/>
              </w:rPr>
            </w:pPr>
            <w:r>
              <w:rPr>
                <w:color w:val="auto"/>
                <w:highlight w:val="none"/>
              </w:rPr>
              <w:t>≤0.002</w:t>
            </w:r>
          </w:p>
        </w:tc>
        <w:tc>
          <w:tcPr>
            <w:tcW w:w="1107"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19</w:t>
            </w:r>
          </w:p>
        </w:tc>
        <w:tc>
          <w:tcPr>
            <w:tcW w:w="1976"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镉</w:t>
            </w:r>
          </w:p>
        </w:tc>
        <w:tc>
          <w:tcPr>
            <w:tcW w:w="1624"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color w:val="auto"/>
                <w:highlight w:val="none"/>
              </w:rPr>
            </w:pPr>
            <w:r>
              <w:rPr>
                <w:color w:val="auto"/>
                <w:highlight w:val="none"/>
              </w:rPr>
              <w:t>9</w:t>
            </w:r>
          </w:p>
        </w:tc>
        <w:tc>
          <w:tcPr>
            <w:tcW w:w="1759"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耗氧量</w:t>
            </w:r>
          </w:p>
        </w:tc>
        <w:tc>
          <w:tcPr>
            <w:tcW w:w="1454"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≤3.0</w:t>
            </w:r>
          </w:p>
        </w:tc>
        <w:tc>
          <w:tcPr>
            <w:tcW w:w="1107" w:type="dxa"/>
            <w:tcBorders>
              <w:tl2br w:val="nil"/>
              <w:tr2bl w:val="nil"/>
            </w:tcBorders>
            <w:vAlign w:val="center"/>
          </w:tcPr>
          <w:p>
            <w:pPr>
              <w:widowControl/>
              <w:spacing w:line="240" w:lineRule="exact"/>
              <w:jc w:val="center"/>
              <w:rPr>
                <w:color w:val="auto"/>
                <w:highlight w:val="none"/>
              </w:rPr>
            </w:pPr>
            <w:r>
              <w:rPr>
                <w:color w:val="auto"/>
                <w:highlight w:val="none"/>
              </w:rPr>
              <w:t>20</w:t>
            </w:r>
          </w:p>
        </w:tc>
        <w:tc>
          <w:tcPr>
            <w:tcW w:w="1976" w:type="dxa"/>
            <w:tcBorders>
              <w:tl2br w:val="nil"/>
              <w:tr2bl w:val="nil"/>
            </w:tcBorders>
            <w:vAlign w:val="center"/>
          </w:tcPr>
          <w:p>
            <w:pPr>
              <w:widowControl/>
              <w:spacing w:line="240" w:lineRule="exact"/>
              <w:jc w:val="center"/>
              <w:rPr>
                <w:color w:val="auto"/>
                <w:highlight w:val="none"/>
              </w:rPr>
            </w:pPr>
            <w:r>
              <w:rPr>
                <w:color w:val="auto"/>
                <w:highlight w:val="none"/>
              </w:rPr>
              <w:t>铬（六价）</w:t>
            </w:r>
          </w:p>
        </w:tc>
        <w:tc>
          <w:tcPr>
            <w:tcW w:w="1624" w:type="dxa"/>
            <w:tcBorders>
              <w:tl2br w:val="nil"/>
              <w:tr2bl w:val="nil"/>
            </w:tcBorders>
            <w:vAlign w:val="center"/>
          </w:tcPr>
          <w:p>
            <w:pPr>
              <w:widowControl/>
              <w:spacing w:line="240" w:lineRule="exact"/>
              <w:jc w:val="center"/>
              <w:rPr>
                <w:color w:val="auto"/>
                <w:highlight w:val="none"/>
              </w:rPr>
            </w:pPr>
            <w:r>
              <w:rPr>
                <w:color w:val="auto"/>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10</w:t>
            </w:r>
          </w:p>
        </w:tc>
        <w:tc>
          <w:tcPr>
            <w:tcW w:w="1759" w:type="dxa"/>
            <w:tcBorders>
              <w:tl2br w:val="nil"/>
              <w:tr2bl w:val="nil"/>
            </w:tcBorders>
            <w:vAlign w:val="center"/>
          </w:tcPr>
          <w:p>
            <w:pPr>
              <w:widowControl/>
              <w:spacing w:line="240" w:lineRule="exact"/>
              <w:jc w:val="center"/>
              <w:rPr>
                <w:color w:val="auto"/>
                <w:highlight w:val="none"/>
              </w:rPr>
            </w:pPr>
            <w:r>
              <w:rPr>
                <w:color w:val="auto"/>
                <w:highlight w:val="none"/>
              </w:rPr>
              <w:t>氨氮</w:t>
            </w:r>
          </w:p>
        </w:tc>
        <w:tc>
          <w:tcPr>
            <w:tcW w:w="1454" w:type="dxa"/>
            <w:tcBorders>
              <w:tl2br w:val="nil"/>
              <w:tr2bl w:val="nil"/>
            </w:tcBorders>
            <w:vAlign w:val="center"/>
          </w:tcPr>
          <w:p>
            <w:pPr>
              <w:widowControl/>
              <w:spacing w:line="240" w:lineRule="exact"/>
              <w:jc w:val="center"/>
              <w:rPr>
                <w:color w:val="auto"/>
                <w:highlight w:val="none"/>
              </w:rPr>
            </w:pPr>
            <w:r>
              <w:rPr>
                <w:color w:val="auto"/>
                <w:highlight w:val="none"/>
              </w:rPr>
              <w:t>≤0.50</w:t>
            </w:r>
          </w:p>
        </w:tc>
        <w:tc>
          <w:tcPr>
            <w:tcW w:w="1107" w:type="dxa"/>
            <w:tcBorders>
              <w:tl2br w:val="nil"/>
              <w:tr2bl w:val="nil"/>
            </w:tcBorders>
            <w:vAlign w:val="center"/>
          </w:tcPr>
          <w:p>
            <w:pPr>
              <w:widowControl/>
              <w:spacing w:line="240" w:lineRule="exact"/>
              <w:jc w:val="center"/>
              <w:rPr>
                <w:color w:val="auto"/>
                <w:highlight w:val="none"/>
              </w:rPr>
            </w:pPr>
            <w:r>
              <w:rPr>
                <w:color w:val="auto"/>
                <w:highlight w:val="none"/>
              </w:rPr>
              <w:t>21</w:t>
            </w:r>
          </w:p>
        </w:tc>
        <w:tc>
          <w:tcPr>
            <w:tcW w:w="1976"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铅</w:t>
            </w:r>
          </w:p>
        </w:tc>
        <w:tc>
          <w:tcPr>
            <w:tcW w:w="1624" w:type="dxa"/>
            <w:tcBorders>
              <w:tl2br w:val="nil"/>
              <w:tr2bl w:val="nil"/>
            </w:tcBorders>
            <w:vAlign w:val="center"/>
          </w:tcPr>
          <w:p>
            <w:pPr>
              <w:widowControl/>
              <w:spacing w:line="240" w:lineRule="exact"/>
              <w:jc w:val="center"/>
              <w:rPr>
                <w:rFonts w:eastAsia="等线"/>
                <w:color w:val="auto"/>
                <w:highlight w:val="none"/>
              </w:rPr>
            </w:pPr>
            <w:r>
              <w:rPr>
                <w:color w:val="auto"/>
                <w:highlight w:val="none"/>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11</w:t>
            </w:r>
          </w:p>
        </w:tc>
        <w:tc>
          <w:tcPr>
            <w:tcW w:w="1759"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总大肠菌群(CFU/100mL)</w:t>
            </w:r>
          </w:p>
        </w:tc>
        <w:tc>
          <w:tcPr>
            <w:tcW w:w="1454"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≤3.0</w:t>
            </w:r>
          </w:p>
        </w:tc>
        <w:tc>
          <w:tcPr>
            <w:tcW w:w="1107" w:type="dxa"/>
            <w:tcBorders>
              <w:tl2br w:val="nil"/>
              <w:tr2bl w:val="nil"/>
            </w:tcBorders>
            <w:vAlign w:val="center"/>
          </w:tcPr>
          <w:p>
            <w:pPr>
              <w:widowControl/>
              <w:spacing w:line="240" w:lineRule="exact"/>
              <w:jc w:val="center"/>
              <w:rPr>
                <w:color w:val="auto"/>
                <w:highlight w:val="none"/>
              </w:rPr>
            </w:pPr>
            <w:r>
              <w:rPr>
                <w:color w:val="auto"/>
                <w:highlight w:val="none"/>
              </w:rPr>
              <w:t>22</w:t>
            </w:r>
          </w:p>
        </w:tc>
        <w:tc>
          <w:tcPr>
            <w:tcW w:w="1976" w:type="dxa"/>
            <w:tcBorders>
              <w:tl2br w:val="nil"/>
              <w:tr2bl w:val="nil"/>
            </w:tcBorders>
            <w:vAlign w:val="center"/>
          </w:tcPr>
          <w:p>
            <w:pPr>
              <w:widowControl/>
              <w:spacing w:line="240" w:lineRule="exact"/>
              <w:jc w:val="center"/>
              <w:rPr>
                <w:rFonts w:eastAsia="Times New Roman"/>
                <w:color w:val="auto"/>
                <w:highlight w:val="none"/>
              </w:rPr>
            </w:pPr>
            <w:r>
              <w:rPr>
                <w:rFonts w:hint="eastAsia" w:ascii="宋体" w:hAnsi="宋体" w:cs="宋体"/>
                <w:color w:val="auto"/>
                <w:highlight w:val="none"/>
              </w:rPr>
              <w:t>阴离子表面活性剂</w:t>
            </w:r>
          </w:p>
        </w:tc>
        <w:tc>
          <w:tcPr>
            <w:tcW w:w="1624"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≤0.3</w:t>
            </w:r>
          </w:p>
        </w:tc>
      </w:tr>
      <w:bookmarkEnd w:id="86"/>
    </w:tbl>
    <w:p>
      <w:pPr>
        <w:spacing w:before="156" w:beforeLines="50" w:line="360" w:lineRule="auto"/>
        <w:ind w:firstLine="480" w:firstLineChars="200"/>
        <w:rPr>
          <w:color w:val="auto"/>
          <w:sz w:val="24"/>
          <w:highlight w:val="none"/>
          <w:lang w:val="zh-CN"/>
        </w:rPr>
      </w:pPr>
      <w:r>
        <w:rPr>
          <w:color w:val="auto"/>
          <w:sz w:val="24"/>
          <w:highlight w:val="none"/>
          <w:lang w:val="zh-CN"/>
        </w:rPr>
        <w:t>(4) 声环境</w:t>
      </w:r>
    </w:p>
    <w:p>
      <w:pPr>
        <w:pStyle w:val="102"/>
        <w:ind w:firstLine="480"/>
        <w:rPr>
          <w:color w:val="auto"/>
          <w:highlight w:val="none"/>
        </w:rPr>
      </w:pPr>
      <w:r>
        <w:rPr>
          <w:color w:val="auto"/>
          <w:highlight w:val="none"/>
        </w:rPr>
        <w:t>声环境执行《声环境质量标准》(GB3096-2008)中的</w:t>
      </w:r>
      <w:r>
        <w:rPr>
          <w:rFonts w:hint="eastAsia"/>
          <w:color w:val="auto"/>
          <w:highlight w:val="none"/>
        </w:rPr>
        <w:t>2</w:t>
      </w:r>
      <w:r>
        <w:rPr>
          <w:color w:val="auto"/>
          <w:highlight w:val="none"/>
        </w:rPr>
        <w:t>区标准，标准值见表1.4-5。</w:t>
      </w:r>
    </w:p>
    <w:p>
      <w:pPr>
        <w:pStyle w:val="158"/>
        <w:spacing w:before="0" w:after="0" w:afterAutospacing="0" w:line="360" w:lineRule="auto"/>
        <w:ind w:firstLine="480"/>
        <w:rPr>
          <w:rFonts w:cs="Times New Roman"/>
          <w:color w:val="auto"/>
          <w:highlight w:val="none"/>
        </w:rPr>
      </w:pPr>
      <w:r>
        <w:rPr>
          <w:rFonts w:cs="Times New Roman"/>
          <w:color w:val="auto"/>
          <w:highlight w:val="none"/>
        </w:rPr>
        <w:t>表1.4-5   声环境质量标准一览表</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99"/>
        <w:gridCol w:w="3400"/>
        <w:gridCol w:w="34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2" w:type="pct"/>
            <w:tcBorders>
              <w:tl2br w:val="nil"/>
              <w:tr2bl w:val="nil"/>
            </w:tcBorders>
            <w:vAlign w:val="center"/>
          </w:tcPr>
          <w:p>
            <w:pPr>
              <w:pStyle w:val="105"/>
              <w:rPr>
                <w:color w:val="auto"/>
                <w:highlight w:val="none"/>
              </w:rPr>
            </w:pPr>
            <w:r>
              <w:rPr>
                <w:color w:val="auto"/>
                <w:highlight w:val="none"/>
              </w:rPr>
              <w:t>类 别</w:t>
            </w:r>
          </w:p>
        </w:tc>
        <w:tc>
          <w:tcPr>
            <w:tcW w:w="1888" w:type="pct"/>
            <w:tcBorders>
              <w:tl2br w:val="nil"/>
              <w:tr2bl w:val="nil"/>
            </w:tcBorders>
            <w:vAlign w:val="center"/>
          </w:tcPr>
          <w:p>
            <w:pPr>
              <w:pStyle w:val="105"/>
              <w:rPr>
                <w:color w:val="auto"/>
                <w:highlight w:val="none"/>
              </w:rPr>
            </w:pPr>
            <w:r>
              <w:rPr>
                <w:color w:val="auto"/>
                <w:highlight w:val="none"/>
              </w:rPr>
              <w:t>昼间dB(A)</w:t>
            </w:r>
          </w:p>
        </w:tc>
        <w:tc>
          <w:tcPr>
            <w:tcW w:w="1888" w:type="pct"/>
            <w:tcBorders>
              <w:tl2br w:val="nil"/>
              <w:tr2bl w:val="nil"/>
            </w:tcBorders>
            <w:vAlign w:val="center"/>
          </w:tcPr>
          <w:p>
            <w:pPr>
              <w:pStyle w:val="105"/>
              <w:rPr>
                <w:color w:val="auto"/>
                <w:highlight w:val="none"/>
              </w:rPr>
            </w:pPr>
            <w:r>
              <w:rPr>
                <w:color w:val="auto"/>
                <w:highlight w:val="none"/>
              </w:rPr>
              <w:t>夜间dB(A)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222" w:type="pct"/>
            <w:tcBorders>
              <w:tl2br w:val="nil"/>
              <w:tr2bl w:val="nil"/>
            </w:tcBorders>
            <w:vAlign w:val="center"/>
          </w:tcPr>
          <w:p>
            <w:pPr>
              <w:pStyle w:val="105"/>
              <w:rPr>
                <w:color w:val="auto"/>
                <w:highlight w:val="none"/>
              </w:rPr>
            </w:pPr>
            <w:r>
              <w:rPr>
                <w:rFonts w:hint="eastAsia"/>
                <w:color w:val="auto"/>
                <w:highlight w:val="none"/>
              </w:rPr>
              <w:t>2</w:t>
            </w:r>
            <w:r>
              <w:rPr>
                <w:color w:val="auto"/>
                <w:highlight w:val="none"/>
              </w:rPr>
              <w:t>类区</w:t>
            </w:r>
          </w:p>
        </w:tc>
        <w:tc>
          <w:tcPr>
            <w:tcW w:w="1888" w:type="pct"/>
            <w:tcBorders>
              <w:tl2br w:val="nil"/>
              <w:tr2bl w:val="nil"/>
            </w:tcBorders>
            <w:vAlign w:val="center"/>
          </w:tcPr>
          <w:p>
            <w:pPr>
              <w:pStyle w:val="105"/>
              <w:rPr>
                <w:color w:val="auto"/>
                <w:highlight w:val="none"/>
              </w:rPr>
            </w:pPr>
            <w:r>
              <w:rPr>
                <w:rFonts w:hint="eastAsia"/>
                <w:color w:val="auto"/>
                <w:highlight w:val="none"/>
              </w:rPr>
              <w:t>60</w:t>
            </w:r>
          </w:p>
        </w:tc>
        <w:tc>
          <w:tcPr>
            <w:tcW w:w="1888" w:type="pct"/>
            <w:tcBorders>
              <w:tl2br w:val="nil"/>
              <w:tr2bl w:val="nil"/>
            </w:tcBorders>
            <w:vAlign w:val="center"/>
          </w:tcPr>
          <w:p>
            <w:pPr>
              <w:pStyle w:val="105"/>
              <w:rPr>
                <w:color w:val="auto"/>
                <w:highlight w:val="none"/>
              </w:rPr>
            </w:pPr>
            <w:r>
              <w:rPr>
                <w:rFonts w:hint="eastAsia"/>
                <w:color w:val="auto"/>
                <w:highlight w:val="none"/>
              </w:rPr>
              <w:t>50</w:t>
            </w:r>
          </w:p>
        </w:tc>
      </w:tr>
    </w:tbl>
    <w:p>
      <w:pPr>
        <w:spacing w:before="156" w:beforeLines="50" w:line="360" w:lineRule="auto"/>
        <w:ind w:firstLine="480" w:firstLineChars="200"/>
        <w:rPr>
          <w:color w:val="auto"/>
          <w:sz w:val="24"/>
          <w:highlight w:val="none"/>
          <w:lang w:val="zh-CN"/>
        </w:rPr>
      </w:pPr>
      <w:r>
        <w:rPr>
          <w:color w:val="auto"/>
          <w:sz w:val="24"/>
          <w:highlight w:val="none"/>
          <w:lang w:val="zh-CN"/>
        </w:rPr>
        <w:t>(5) 土壤环境质量标准</w:t>
      </w:r>
    </w:p>
    <w:p>
      <w:pPr>
        <w:pStyle w:val="102"/>
        <w:ind w:firstLine="480"/>
        <w:rPr>
          <w:color w:val="auto"/>
          <w:highlight w:val="none"/>
        </w:rPr>
      </w:pPr>
      <w:r>
        <w:rPr>
          <w:color w:val="auto"/>
          <w:highlight w:val="none"/>
        </w:rPr>
        <w:t>土壤执行《土壤环境质量 建设用地土壤污染风险管控标准</w:t>
      </w:r>
      <w:r>
        <w:rPr>
          <w:rFonts w:hint="eastAsia"/>
          <w:color w:val="auto"/>
          <w:kern w:val="0"/>
          <w:highlight w:val="none"/>
        </w:rPr>
        <w:t>(</w:t>
      </w:r>
      <w:r>
        <w:rPr>
          <w:color w:val="auto"/>
          <w:kern w:val="0"/>
          <w:highlight w:val="none"/>
        </w:rPr>
        <w:t>试行</w:t>
      </w:r>
      <w:r>
        <w:rPr>
          <w:rFonts w:hint="eastAsia"/>
          <w:color w:val="auto"/>
          <w:kern w:val="0"/>
          <w:highlight w:val="none"/>
        </w:rPr>
        <w:t>)</w:t>
      </w:r>
      <w:r>
        <w:rPr>
          <w:color w:val="auto"/>
          <w:highlight w:val="none"/>
        </w:rPr>
        <w:t>》(GB36600-2018)中表1第二类用地标准，标准值见表1.4-6</w:t>
      </w:r>
      <w:r>
        <w:rPr>
          <w:rFonts w:hint="eastAsia"/>
          <w:color w:val="auto"/>
          <w:highlight w:val="none"/>
        </w:rPr>
        <w:t>。</w:t>
      </w:r>
    </w:p>
    <w:p>
      <w:pPr>
        <w:pStyle w:val="103"/>
        <w:rPr>
          <w:rFonts w:ascii="Times New Roman" w:hAnsi="Times New Roman"/>
          <w:color w:val="auto"/>
          <w:highlight w:val="none"/>
        </w:rPr>
      </w:pPr>
      <w:r>
        <w:rPr>
          <w:rFonts w:ascii="Times New Roman" w:hAnsi="Times New Roman"/>
          <w:color w:val="auto"/>
          <w:highlight w:val="none"/>
        </w:rPr>
        <w:t xml:space="preserve">表1.4-6 </w:t>
      </w:r>
      <w:r>
        <w:rPr>
          <w:rFonts w:ascii="Times New Roman" w:hAnsi="Times New Roman"/>
          <w:color w:val="auto"/>
          <w:w w:val="95"/>
          <w:highlight w:val="none"/>
        </w:rPr>
        <w:t xml:space="preserve">建设用地土壤污染风险筛选值和管控值(基本项目)  </w:t>
      </w:r>
      <w:r>
        <w:rPr>
          <w:rFonts w:ascii="Times New Roman" w:hAnsi="Times New Roman"/>
          <w:color w:val="auto"/>
          <w:spacing w:val="-10"/>
          <w:sz w:val="21"/>
          <w:highlight w:val="none"/>
        </w:rPr>
        <w:t>单位：mg/kg，pH无量纲</w:t>
      </w:r>
    </w:p>
    <w:tbl>
      <w:tblPr>
        <w:tblStyle w:val="59"/>
        <w:tblW w:w="494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Layout w:type="autofit"/>
        <w:tblCellMar>
          <w:top w:w="0" w:type="dxa"/>
          <w:left w:w="108" w:type="dxa"/>
          <w:bottom w:w="0" w:type="dxa"/>
          <w:right w:w="108" w:type="dxa"/>
        </w:tblCellMar>
      </w:tblPr>
      <w:tblGrid>
        <w:gridCol w:w="745"/>
        <w:gridCol w:w="2243"/>
        <w:gridCol w:w="1477"/>
        <w:gridCol w:w="1478"/>
        <w:gridCol w:w="1477"/>
        <w:gridCol w:w="147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tblHeader/>
          <w:jc w:val="center"/>
        </w:trPr>
        <w:tc>
          <w:tcPr>
            <w:tcW w:w="419" w:type="pct"/>
            <w:vMerge w:val="restart"/>
            <w:shd w:val="clear" w:color="auto" w:fill="auto"/>
            <w:vAlign w:val="center"/>
          </w:tcPr>
          <w:p>
            <w:pPr>
              <w:widowControl/>
              <w:jc w:val="center"/>
              <w:rPr>
                <w:color w:val="auto"/>
                <w:kern w:val="0"/>
                <w:highlight w:val="none"/>
              </w:rPr>
            </w:pPr>
            <w:r>
              <w:rPr>
                <w:color w:val="auto"/>
                <w:kern w:val="0"/>
                <w:highlight w:val="none"/>
              </w:rPr>
              <w:t>序号</w:t>
            </w:r>
          </w:p>
        </w:tc>
        <w:tc>
          <w:tcPr>
            <w:tcW w:w="1261" w:type="pct"/>
            <w:vMerge w:val="restart"/>
            <w:shd w:val="clear" w:color="auto" w:fill="auto"/>
            <w:vAlign w:val="center"/>
          </w:tcPr>
          <w:p>
            <w:pPr>
              <w:widowControl/>
              <w:jc w:val="center"/>
              <w:rPr>
                <w:color w:val="auto"/>
                <w:kern w:val="0"/>
                <w:highlight w:val="none"/>
              </w:rPr>
            </w:pPr>
            <w:r>
              <w:rPr>
                <w:color w:val="auto"/>
                <w:kern w:val="0"/>
                <w:highlight w:val="none"/>
              </w:rPr>
              <w:t>污染物项目</w:t>
            </w:r>
          </w:p>
        </w:tc>
        <w:tc>
          <w:tcPr>
            <w:tcW w:w="1661" w:type="pct"/>
            <w:gridSpan w:val="2"/>
            <w:shd w:val="clear" w:color="auto" w:fill="auto"/>
            <w:vAlign w:val="center"/>
          </w:tcPr>
          <w:p>
            <w:pPr>
              <w:widowControl/>
              <w:jc w:val="center"/>
              <w:rPr>
                <w:color w:val="auto"/>
                <w:kern w:val="0"/>
                <w:highlight w:val="none"/>
              </w:rPr>
            </w:pPr>
            <w:r>
              <w:rPr>
                <w:color w:val="auto"/>
                <w:kern w:val="0"/>
                <w:highlight w:val="none"/>
              </w:rPr>
              <w:t>筛选值</w:t>
            </w:r>
          </w:p>
        </w:tc>
        <w:tc>
          <w:tcPr>
            <w:tcW w:w="1659" w:type="pct"/>
            <w:gridSpan w:val="2"/>
            <w:shd w:val="clear" w:color="auto" w:fill="auto"/>
            <w:vAlign w:val="center"/>
          </w:tcPr>
          <w:p>
            <w:pPr>
              <w:widowControl/>
              <w:jc w:val="center"/>
              <w:rPr>
                <w:color w:val="auto"/>
                <w:kern w:val="0"/>
                <w:highlight w:val="none"/>
              </w:rPr>
            </w:pPr>
            <w:r>
              <w:rPr>
                <w:color w:val="auto"/>
                <w:kern w:val="0"/>
                <w:highlight w:val="none"/>
              </w:rPr>
              <w:t>管制值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tblHeader/>
          <w:jc w:val="center"/>
        </w:trPr>
        <w:tc>
          <w:tcPr>
            <w:tcW w:w="419" w:type="pct"/>
            <w:vMerge w:val="continue"/>
            <w:vAlign w:val="center"/>
          </w:tcPr>
          <w:p>
            <w:pPr>
              <w:widowControl/>
              <w:jc w:val="left"/>
              <w:rPr>
                <w:color w:val="auto"/>
                <w:kern w:val="0"/>
                <w:highlight w:val="none"/>
              </w:rPr>
            </w:pPr>
          </w:p>
        </w:tc>
        <w:tc>
          <w:tcPr>
            <w:tcW w:w="1261" w:type="pct"/>
            <w:vMerge w:val="continue"/>
            <w:vAlign w:val="center"/>
          </w:tcPr>
          <w:p>
            <w:pPr>
              <w:widowControl/>
              <w:jc w:val="left"/>
              <w:rPr>
                <w:color w:val="auto"/>
                <w:kern w:val="0"/>
                <w:highlight w:val="none"/>
              </w:rPr>
            </w:pPr>
          </w:p>
        </w:tc>
        <w:tc>
          <w:tcPr>
            <w:tcW w:w="830" w:type="pct"/>
            <w:shd w:val="clear" w:color="auto" w:fill="auto"/>
            <w:vAlign w:val="center"/>
          </w:tcPr>
          <w:p>
            <w:pPr>
              <w:widowControl/>
              <w:jc w:val="center"/>
              <w:rPr>
                <w:color w:val="auto"/>
                <w:kern w:val="0"/>
                <w:highlight w:val="none"/>
              </w:rPr>
            </w:pPr>
            <w:r>
              <w:rPr>
                <w:color w:val="auto"/>
                <w:kern w:val="0"/>
                <w:highlight w:val="none"/>
              </w:rPr>
              <w:t>第一类用地</w:t>
            </w:r>
          </w:p>
        </w:tc>
        <w:tc>
          <w:tcPr>
            <w:tcW w:w="831" w:type="pct"/>
            <w:shd w:val="clear" w:color="auto" w:fill="auto"/>
            <w:vAlign w:val="center"/>
          </w:tcPr>
          <w:p>
            <w:pPr>
              <w:widowControl/>
              <w:jc w:val="center"/>
              <w:rPr>
                <w:color w:val="auto"/>
                <w:kern w:val="0"/>
                <w:highlight w:val="none"/>
              </w:rPr>
            </w:pPr>
            <w:r>
              <w:rPr>
                <w:color w:val="auto"/>
                <w:kern w:val="0"/>
                <w:highlight w:val="none"/>
              </w:rPr>
              <w:t>第二类用地</w:t>
            </w:r>
          </w:p>
        </w:tc>
        <w:tc>
          <w:tcPr>
            <w:tcW w:w="830" w:type="pct"/>
            <w:shd w:val="clear" w:color="auto" w:fill="auto"/>
            <w:vAlign w:val="center"/>
          </w:tcPr>
          <w:p>
            <w:pPr>
              <w:widowControl/>
              <w:jc w:val="center"/>
              <w:rPr>
                <w:color w:val="auto"/>
                <w:kern w:val="0"/>
                <w:highlight w:val="none"/>
              </w:rPr>
            </w:pPr>
            <w:r>
              <w:rPr>
                <w:color w:val="auto"/>
                <w:kern w:val="0"/>
                <w:highlight w:val="none"/>
              </w:rPr>
              <w:t>第一类用地</w:t>
            </w:r>
          </w:p>
        </w:tc>
        <w:tc>
          <w:tcPr>
            <w:tcW w:w="829" w:type="pct"/>
            <w:shd w:val="clear" w:color="auto" w:fill="auto"/>
            <w:vAlign w:val="center"/>
          </w:tcPr>
          <w:p>
            <w:pPr>
              <w:widowControl/>
              <w:jc w:val="center"/>
              <w:rPr>
                <w:color w:val="auto"/>
                <w:kern w:val="0"/>
                <w:highlight w:val="none"/>
              </w:rPr>
            </w:pPr>
            <w:r>
              <w:rPr>
                <w:color w:val="auto"/>
                <w:kern w:val="0"/>
                <w:highlight w:val="none"/>
              </w:rPr>
              <w:t>第二类用地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5000" w:type="pct"/>
            <w:gridSpan w:val="6"/>
            <w:shd w:val="clear" w:color="auto" w:fill="auto"/>
            <w:noWrap/>
            <w:vAlign w:val="center"/>
          </w:tcPr>
          <w:p>
            <w:pPr>
              <w:widowControl/>
              <w:jc w:val="left"/>
              <w:rPr>
                <w:color w:val="auto"/>
                <w:kern w:val="0"/>
                <w:sz w:val="22"/>
                <w:highlight w:val="none"/>
              </w:rPr>
            </w:pPr>
            <w:r>
              <w:rPr>
                <w:color w:val="auto"/>
                <w:kern w:val="0"/>
                <w:highlight w:val="none"/>
              </w:rPr>
              <w:t>重金属和无机物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1</w:t>
            </w:r>
          </w:p>
        </w:tc>
        <w:tc>
          <w:tcPr>
            <w:tcW w:w="1261" w:type="pct"/>
            <w:shd w:val="clear" w:color="auto" w:fill="auto"/>
            <w:vAlign w:val="center"/>
          </w:tcPr>
          <w:p>
            <w:pPr>
              <w:widowControl/>
              <w:jc w:val="center"/>
              <w:rPr>
                <w:color w:val="auto"/>
                <w:kern w:val="0"/>
                <w:highlight w:val="none"/>
              </w:rPr>
            </w:pPr>
            <w:r>
              <w:rPr>
                <w:color w:val="auto"/>
                <w:kern w:val="0"/>
                <w:highlight w:val="none"/>
              </w:rPr>
              <w:t>砷</w:t>
            </w:r>
          </w:p>
        </w:tc>
        <w:tc>
          <w:tcPr>
            <w:tcW w:w="830" w:type="pct"/>
            <w:shd w:val="clear" w:color="auto" w:fill="auto"/>
            <w:vAlign w:val="center"/>
          </w:tcPr>
          <w:p>
            <w:pPr>
              <w:widowControl/>
              <w:jc w:val="center"/>
              <w:rPr>
                <w:color w:val="auto"/>
                <w:kern w:val="0"/>
                <w:highlight w:val="none"/>
              </w:rPr>
            </w:pPr>
            <w:r>
              <w:rPr>
                <w:color w:val="auto"/>
                <w:kern w:val="0"/>
                <w:highlight w:val="none"/>
              </w:rPr>
              <w:t>20</w:t>
            </w:r>
            <w:r>
              <w:rPr>
                <w:rFonts w:hint="eastAsia" w:ascii="宋体" w:hAnsi="宋体" w:cs="宋体"/>
                <w:color w:val="auto"/>
                <w:kern w:val="0"/>
                <w:sz w:val="11"/>
                <w:szCs w:val="11"/>
                <w:highlight w:val="none"/>
              </w:rPr>
              <w:t>①</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60</w:t>
            </w:r>
            <w:r>
              <w:rPr>
                <w:rFonts w:hint="eastAsia" w:ascii="宋体" w:hAnsi="宋体" w:cs="宋体"/>
                <w:b/>
                <w:bCs/>
                <w:color w:val="auto"/>
                <w:kern w:val="0"/>
                <w:sz w:val="11"/>
                <w:szCs w:val="11"/>
                <w:highlight w:val="none"/>
              </w:rPr>
              <w:t>①</w:t>
            </w:r>
          </w:p>
        </w:tc>
        <w:tc>
          <w:tcPr>
            <w:tcW w:w="830" w:type="pct"/>
            <w:shd w:val="clear" w:color="auto" w:fill="auto"/>
            <w:vAlign w:val="center"/>
          </w:tcPr>
          <w:p>
            <w:pPr>
              <w:widowControl/>
              <w:jc w:val="center"/>
              <w:rPr>
                <w:color w:val="auto"/>
                <w:kern w:val="0"/>
                <w:highlight w:val="none"/>
              </w:rPr>
            </w:pPr>
            <w:r>
              <w:rPr>
                <w:color w:val="auto"/>
                <w:kern w:val="0"/>
                <w:highlight w:val="none"/>
              </w:rPr>
              <w:t>120</w:t>
            </w:r>
          </w:p>
        </w:tc>
        <w:tc>
          <w:tcPr>
            <w:tcW w:w="829" w:type="pct"/>
            <w:shd w:val="clear" w:color="auto" w:fill="auto"/>
            <w:vAlign w:val="center"/>
          </w:tcPr>
          <w:p>
            <w:pPr>
              <w:widowControl/>
              <w:jc w:val="center"/>
              <w:rPr>
                <w:color w:val="auto"/>
                <w:kern w:val="0"/>
                <w:highlight w:val="none"/>
              </w:rPr>
            </w:pPr>
            <w:r>
              <w:rPr>
                <w:color w:val="auto"/>
                <w:kern w:val="0"/>
                <w:highlight w:val="none"/>
              </w:rPr>
              <w:t>140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2</w:t>
            </w:r>
          </w:p>
        </w:tc>
        <w:tc>
          <w:tcPr>
            <w:tcW w:w="1261" w:type="pct"/>
            <w:shd w:val="clear" w:color="auto" w:fill="auto"/>
            <w:vAlign w:val="center"/>
          </w:tcPr>
          <w:p>
            <w:pPr>
              <w:widowControl/>
              <w:jc w:val="center"/>
              <w:rPr>
                <w:color w:val="auto"/>
                <w:kern w:val="0"/>
                <w:highlight w:val="none"/>
              </w:rPr>
            </w:pPr>
            <w:r>
              <w:rPr>
                <w:color w:val="auto"/>
                <w:kern w:val="0"/>
                <w:highlight w:val="none"/>
              </w:rPr>
              <w:t>镉</w:t>
            </w:r>
          </w:p>
        </w:tc>
        <w:tc>
          <w:tcPr>
            <w:tcW w:w="830" w:type="pct"/>
            <w:shd w:val="clear" w:color="auto" w:fill="auto"/>
            <w:vAlign w:val="center"/>
          </w:tcPr>
          <w:p>
            <w:pPr>
              <w:widowControl/>
              <w:jc w:val="center"/>
              <w:rPr>
                <w:color w:val="auto"/>
                <w:kern w:val="0"/>
                <w:highlight w:val="none"/>
              </w:rPr>
            </w:pPr>
            <w:r>
              <w:rPr>
                <w:color w:val="auto"/>
                <w:kern w:val="0"/>
                <w:highlight w:val="none"/>
              </w:rPr>
              <w:t>20</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65</w:t>
            </w:r>
          </w:p>
        </w:tc>
        <w:tc>
          <w:tcPr>
            <w:tcW w:w="830" w:type="pct"/>
            <w:shd w:val="clear" w:color="auto" w:fill="auto"/>
            <w:vAlign w:val="center"/>
          </w:tcPr>
          <w:p>
            <w:pPr>
              <w:widowControl/>
              <w:jc w:val="center"/>
              <w:rPr>
                <w:color w:val="auto"/>
                <w:kern w:val="0"/>
                <w:highlight w:val="none"/>
              </w:rPr>
            </w:pPr>
            <w:r>
              <w:rPr>
                <w:color w:val="auto"/>
                <w:kern w:val="0"/>
                <w:highlight w:val="none"/>
              </w:rPr>
              <w:t>47</w:t>
            </w:r>
          </w:p>
        </w:tc>
        <w:tc>
          <w:tcPr>
            <w:tcW w:w="829" w:type="pct"/>
            <w:shd w:val="clear" w:color="auto" w:fill="auto"/>
            <w:vAlign w:val="center"/>
          </w:tcPr>
          <w:p>
            <w:pPr>
              <w:widowControl/>
              <w:jc w:val="center"/>
              <w:rPr>
                <w:color w:val="auto"/>
                <w:kern w:val="0"/>
                <w:highlight w:val="none"/>
              </w:rPr>
            </w:pPr>
            <w:r>
              <w:rPr>
                <w:color w:val="auto"/>
                <w:kern w:val="0"/>
                <w:highlight w:val="none"/>
              </w:rPr>
              <w:t>172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3</w:t>
            </w:r>
          </w:p>
        </w:tc>
        <w:tc>
          <w:tcPr>
            <w:tcW w:w="1261" w:type="pct"/>
            <w:shd w:val="clear" w:color="auto" w:fill="auto"/>
            <w:vAlign w:val="center"/>
          </w:tcPr>
          <w:p>
            <w:pPr>
              <w:widowControl/>
              <w:jc w:val="center"/>
              <w:rPr>
                <w:color w:val="auto"/>
                <w:kern w:val="0"/>
                <w:highlight w:val="none"/>
              </w:rPr>
            </w:pPr>
            <w:r>
              <w:rPr>
                <w:color w:val="auto"/>
                <w:kern w:val="0"/>
                <w:highlight w:val="none"/>
              </w:rPr>
              <w:t>铬（六价）</w:t>
            </w:r>
          </w:p>
        </w:tc>
        <w:tc>
          <w:tcPr>
            <w:tcW w:w="830" w:type="pct"/>
            <w:shd w:val="clear" w:color="auto" w:fill="auto"/>
            <w:vAlign w:val="center"/>
          </w:tcPr>
          <w:p>
            <w:pPr>
              <w:widowControl/>
              <w:jc w:val="center"/>
              <w:rPr>
                <w:color w:val="auto"/>
                <w:kern w:val="0"/>
                <w:highlight w:val="none"/>
              </w:rPr>
            </w:pPr>
            <w:r>
              <w:rPr>
                <w:color w:val="auto"/>
                <w:kern w:val="0"/>
                <w:highlight w:val="none"/>
              </w:rPr>
              <w:t>3</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5.7</w:t>
            </w:r>
          </w:p>
        </w:tc>
        <w:tc>
          <w:tcPr>
            <w:tcW w:w="830" w:type="pct"/>
            <w:shd w:val="clear" w:color="auto" w:fill="auto"/>
            <w:vAlign w:val="center"/>
          </w:tcPr>
          <w:p>
            <w:pPr>
              <w:widowControl/>
              <w:jc w:val="center"/>
              <w:rPr>
                <w:color w:val="auto"/>
                <w:kern w:val="0"/>
                <w:highlight w:val="none"/>
              </w:rPr>
            </w:pPr>
            <w:r>
              <w:rPr>
                <w:color w:val="auto"/>
                <w:kern w:val="0"/>
                <w:highlight w:val="none"/>
              </w:rPr>
              <w:t>30</w:t>
            </w:r>
          </w:p>
        </w:tc>
        <w:tc>
          <w:tcPr>
            <w:tcW w:w="829" w:type="pct"/>
            <w:shd w:val="clear" w:color="auto" w:fill="auto"/>
            <w:vAlign w:val="center"/>
          </w:tcPr>
          <w:p>
            <w:pPr>
              <w:widowControl/>
              <w:jc w:val="center"/>
              <w:rPr>
                <w:color w:val="auto"/>
                <w:kern w:val="0"/>
                <w:highlight w:val="none"/>
              </w:rPr>
            </w:pPr>
            <w:r>
              <w:rPr>
                <w:color w:val="auto"/>
                <w:kern w:val="0"/>
                <w:highlight w:val="none"/>
              </w:rPr>
              <w:t>78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4</w:t>
            </w:r>
          </w:p>
        </w:tc>
        <w:tc>
          <w:tcPr>
            <w:tcW w:w="1261" w:type="pct"/>
            <w:shd w:val="clear" w:color="auto" w:fill="auto"/>
            <w:vAlign w:val="center"/>
          </w:tcPr>
          <w:p>
            <w:pPr>
              <w:widowControl/>
              <w:jc w:val="center"/>
              <w:rPr>
                <w:color w:val="auto"/>
                <w:kern w:val="0"/>
                <w:highlight w:val="none"/>
              </w:rPr>
            </w:pPr>
            <w:r>
              <w:rPr>
                <w:color w:val="auto"/>
                <w:kern w:val="0"/>
                <w:highlight w:val="none"/>
              </w:rPr>
              <w:t>铜</w:t>
            </w:r>
          </w:p>
        </w:tc>
        <w:tc>
          <w:tcPr>
            <w:tcW w:w="830" w:type="pct"/>
            <w:shd w:val="clear" w:color="auto" w:fill="auto"/>
            <w:vAlign w:val="center"/>
          </w:tcPr>
          <w:p>
            <w:pPr>
              <w:widowControl/>
              <w:jc w:val="center"/>
              <w:rPr>
                <w:color w:val="auto"/>
                <w:kern w:val="0"/>
                <w:highlight w:val="none"/>
              </w:rPr>
            </w:pPr>
            <w:r>
              <w:rPr>
                <w:color w:val="auto"/>
                <w:kern w:val="0"/>
                <w:highlight w:val="none"/>
              </w:rPr>
              <w:t>2000</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18000</w:t>
            </w:r>
          </w:p>
        </w:tc>
        <w:tc>
          <w:tcPr>
            <w:tcW w:w="830" w:type="pct"/>
            <w:shd w:val="clear" w:color="auto" w:fill="auto"/>
            <w:vAlign w:val="center"/>
          </w:tcPr>
          <w:p>
            <w:pPr>
              <w:widowControl/>
              <w:jc w:val="center"/>
              <w:rPr>
                <w:color w:val="auto"/>
                <w:kern w:val="0"/>
                <w:highlight w:val="none"/>
              </w:rPr>
            </w:pPr>
            <w:r>
              <w:rPr>
                <w:color w:val="auto"/>
                <w:kern w:val="0"/>
                <w:highlight w:val="none"/>
              </w:rPr>
              <w:t>8000</w:t>
            </w:r>
          </w:p>
        </w:tc>
        <w:tc>
          <w:tcPr>
            <w:tcW w:w="829" w:type="pct"/>
            <w:shd w:val="clear" w:color="auto" w:fill="auto"/>
            <w:vAlign w:val="center"/>
          </w:tcPr>
          <w:p>
            <w:pPr>
              <w:widowControl/>
              <w:jc w:val="center"/>
              <w:rPr>
                <w:color w:val="auto"/>
                <w:kern w:val="0"/>
                <w:highlight w:val="none"/>
              </w:rPr>
            </w:pPr>
            <w:r>
              <w:rPr>
                <w:color w:val="auto"/>
                <w:kern w:val="0"/>
                <w:highlight w:val="none"/>
              </w:rPr>
              <w:t>36000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5</w:t>
            </w:r>
          </w:p>
        </w:tc>
        <w:tc>
          <w:tcPr>
            <w:tcW w:w="1261" w:type="pct"/>
            <w:shd w:val="clear" w:color="auto" w:fill="auto"/>
            <w:vAlign w:val="center"/>
          </w:tcPr>
          <w:p>
            <w:pPr>
              <w:widowControl/>
              <w:jc w:val="center"/>
              <w:rPr>
                <w:color w:val="auto"/>
                <w:kern w:val="0"/>
                <w:highlight w:val="none"/>
              </w:rPr>
            </w:pPr>
            <w:r>
              <w:rPr>
                <w:color w:val="auto"/>
                <w:kern w:val="0"/>
                <w:highlight w:val="none"/>
              </w:rPr>
              <w:t>铅</w:t>
            </w:r>
          </w:p>
        </w:tc>
        <w:tc>
          <w:tcPr>
            <w:tcW w:w="830" w:type="pct"/>
            <w:shd w:val="clear" w:color="auto" w:fill="auto"/>
            <w:vAlign w:val="center"/>
          </w:tcPr>
          <w:p>
            <w:pPr>
              <w:widowControl/>
              <w:jc w:val="center"/>
              <w:rPr>
                <w:color w:val="auto"/>
                <w:kern w:val="0"/>
                <w:highlight w:val="none"/>
              </w:rPr>
            </w:pPr>
            <w:r>
              <w:rPr>
                <w:color w:val="auto"/>
                <w:kern w:val="0"/>
                <w:highlight w:val="none"/>
              </w:rPr>
              <w:t>400</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800</w:t>
            </w:r>
          </w:p>
        </w:tc>
        <w:tc>
          <w:tcPr>
            <w:tcW w:w="830" w:type="pct"/>
            <w:shd w:val="clear" w:color="auto" w:fill="auto"/>
            <w:vAlign w:val="center"/>
          </w:tcPr>
          <w:p>
            <w:pPr>
              <w:widowControl/>
              <w:jc w:val="center"/>
              <w:rPr>
                <w:color w:val="auto"/>
                <w:kern w:val="0"/>
                <w:highlight w:val="none"/>
              </w:rPr>
            </w:pPr>
            <w:r>
              <w:rPr>
                <w:color w:val="auto"/>
                <w:kern w:val="0"/>
                <w:highlight w:val="none"/>
              </w:rPr>
              <w:t>800</w:t>
            </w:r>
          </w:p>
        </w:tc>
        <w:tc>
          <w:tcPr>
            <w:tcW w:w="829" w:type="pct"/>
            <w:shd w:val="clear" w:color="auto" w:fill="auto"/>
            <w:vAlign w:val="center"/>
          </w:tcPr>
          <w:p>
            <w:pPr>
              <w:widowControl/>
              <w:jc w:val="center"/>
              <w:rPr>
                <w:color w:val="auto"/>
                <w:kern w:val="0"/>
                <w:highlight w:val="none"/>
              </w:rPr>
            </w:pPr>
            <w:r>
              <w:rPr>
                <w:color w:val="auto"/>
                <w:kern w:val="0"/>
                <w:highlight w:val="none"/>
              </w:rPr>
              <w:t>2500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6</w:t>
            </w:r>
          </w:p>
        </w:tc>
        <w:tc>
          <w:tcPr>
            <w:tcW w:w="1261" w:type="pct"/>
            <w:shd w:val="clear" w:color="auto" w:fill="auto"/>
            <w:vAlign w:val="center"/>
          </w:tcPr>
          <w:p>
            <w:pPr>
              <w:widowControl/>
              <w:jc w:val="center"/>
              <w:rPr>
                <w:color w:val="auto"/>
                <w:kern w:val="0"/>
                <w:highlight w:val="none"/>
              </w:rPr>
            </w:pPr>
            <w:r>
              <w:rPr>
                <w:color w:val="auto"/>
                <w:kern w:val="0"/>
                <w:highlight w:val="none"/>
              </w:rPr>
              <w:t>汞</w:t>
            </w:r>
          </w:p>
        </w:tc>
        <w:tc>
          <w:tcPr>
            <w:tcW w:w="830" w:type="pct"/>
            <w:shd w:val="clear" w:color="auto" w:fill="auto"/>
            <w:vAlign w:val="center"/>
          </w:tcPr>
          <w:p>
            <w:pPr>
              <w:widowControl/>
              <w:jc w:val="center"/>
              <w:rPr>
                <w:color w:val="auto"/>
                <w:kern w:val="0"/>
                <w:highlight w:val="none"/>
              </w:rPr>
            </w:pPr>
            <w:r>
              <w:rPr>
                <w:color w:val="auto"/>
                <w:kern w:val="0"/>
                <w:highlight w:val="none"/>
              </w:rPr>
              <w:t>8</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38</w:t>
            </w:r>
          </w:p>
        </w:tc>
        <w:tc>
          <w:tcPr>
            <w:tcW w:w="830" w:type="pct"/>
            <w:shd w:val="clear" w:color="auto" w:fill="auto"/>
            <w:vAlign w:val="center"/>
          </w:tcPr>
          <w:p>
            <w:pPr>
              <w:widowControl/>
              <w:jc w:val="center"/>
              <w:rPr>
                <w:color w:val="auto"/>
                <w:kern w:val="0"/>
                <w:highlight w:val="none"/>
              </w:rPr>
            </w:pPr>
            <w:r>
              <w:rPr>
                <w:color w:val="auto"/>
                <w:kern w:val="0"/>
                <w:highlight w:val="none"/>
              </w:rPr>
              <w:t>33</w:t>
            </w:r>
          </w:p>
        </w:tc>
        <w:tc>
          <w:tcPr>
            <w:tcW w:w="829" w:type="pct"/>
            <w:shd w:val="clear" w:color="auto" w:fill="auto"/>
            <w:vAlign w:val="center"/>
          </w:tcPr>
          <w:p>
            <w:pPr>
              <w:widowControl/>
              <w:jc w:val="center"/>
              <w:rPr>
                <w:color w:val="auto"/>
                <w:kern w:val="0"/>
                <w:highlight w:val="none"/>
              </w:rPr>
            </w:pPr>
            <w:r>
              <w:rPr>
                <w:color w:val="auto"/>
                <w:kern w:val="0"/>
                <w:highlight w:val="none"/>
              </w:rPr>
              <w:t>82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7</w:t>
            </w:r>
          </w:p>
        </w:tc>
        <w:tc>
          <w:tcPr>
            <w:tcW w:w="1261" w:type="pct"/>
            <w:shd w:val="clear" w:color="auto" w:fill="auto"/>
            <w:vAlign w:val="center"/>
          </w:tcPr>
          <w:p>
            <w:pPr>
              <w:widowControl/>
              <w:jc w:val="center"/>
              <w:rPr>
                <w:color w:val="auto"/>
                <w:kern w:val="0"/>
                <w:highlight w:val="none"/>
              </w:rPr>
            </w:pPr>
            <w:r>
              <w:rPr>
                <w:color w:val="auto"/>
                <w:kern w:val="0"/>
                <w:highlight w:val="none"/>
              </w:rPr>
              <w:t>镍</w:t>
            </w:r>
          </w:p>
        </w:tc>
        <w:tc>
          <w:tcPr>
            <w:tcW w:w="830" w:type="pct"/>
            <w:shd w:val="clear" w:color="auto" w:fill="auto"/>
            <w:vAlign w:val="center"/>
          </w:tcPr>
          <w:p>
            <w:pPr>
              <w:widowControl/>
              <w:jc w:val="center"/>
              <w:rPr>
                <w:color w:val="auto"/>
                <w:kern w:val="0"/>
                <w:highlight w:val="none"/>
              </w:rPr>
            </w:pPr>
            <w:r>
              <w:rPr>
                <w:color w:val="auto"/>
                <w:kern w:val="0"/>
                <w:highlight w:val="none"/>
              </w:rPr>
              <w:t>150</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900</w:t>
            </w:r>
          </w:p>
        </w:tc>
        <w:tc>
          <w:tcPr>
            <w:tcW w:w="830" w:type="pct"/>
            <w:shd w:val="clear" w:color="auto" w:fill="auto"/>
            <w:vAlign w:val="center"/>
          </w:tcPr>
          <w:p>
            <w:pPr>
              <w:widowControl/>
              <w:jc w:val="center"/>
              <w:rPr>
                <w:color w:val="auto"/>
                <w:kern w:val="0"/>
                <w:highlight w:val="none"/>
              </w:rPr>
            </w:pPr>
            <w:r>
              <w:rPr>
                <w:color w:val="auto"/>
                <w:kern w:val="0"/>
                <w:highlight w:val="none"/>
              </w:rPr>
              <w:t>600</w:t>
            </w:r>
          </w:p>
        </w:tc>
        <w:tc>
          <w:tcPr>
            <w:tcW w:w="829" w:type="pct"/>
            <w:shd w:val="clear" w:color="auto" w:fill="auto"/>
            <w:vAlign w:val="center"/>
          </w:tcPr>
          <w:p>
            <w:pPr>
              <w:widowControl/>
              <w:jc w:val="center"/>
              <w:rPr>
                <w:color w:val="auto"/>
                <w:kern w:val="0"/>
                <w:highlight w:val="none"/>
              </w:rPr>
            </w:pPr>
            <w:r>
              <w:rPr>
                <w:color w:val="auto"/>
                <w:kern w:val="0"/>
                <w:highlight w:val="none"/>
              </w:rPr>
              <w:t>2000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5000" w:type="pct"/>
            <w:gridSpan w:val="6"/>
            <w:shd w:val="clear" w:color="auto" w:fill="auto"/>
            <w:noWrap/>
            <w:vAlign w:val="center"/>
          </w:tcPr>
          <w:p>
            <w:pPr>
              <w:widowControl/>
              <w:jc w:val="left"/>
              <w:rPr>
                <w:color w:val="auto"/>
                <w:kern w:val="0"/>
                <w:sz w:val="22"/>
                <w:highlight w:val="none"/>
              </w:rPr>
            </w:pPr>
            <w:r>
              <w:rPr>
                <w:color w:val="auto"/>
                <w:kern w:val="0"/>
                <w:highlight w:val="none"/>
              </w:rPr>
              <w:t>挥发性有机物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8</w:t>
            </w:r>
          </w:p>
        </w:tc>
        <w:tc>
          <w:tcPr>
            <w:tcW w:w="1261" w:type="pct"/>
            <w:shd w:val="clear" w:color="auto" w:fill="auto"/>
            <w:vAlign w:val="center"/>
          </w:tcPr>
          <w:p>
            <w:pPr>
              <w:widowControl/>
              <w:jc w:val="center"/>
              <w:rPr>
                <w:color w:val="auto"/>
                <w:kern w:val="0"/>
                <w:highlight w:val="none"/>
              </w:rPr>
            </w:pPr>
            <w:r>
              <w:rPr>
                <w:color w:val="auto"/>
                <w:kern w:val="0"/>
                <w:highlight w:val="none"/>
              </w:rPr>
              <w:t>四氯化碳</w:t>
            </w:r>
          </w:p>
        </w:tc>
        <w:tc>
          <w:tcPr>
            <w:tcW w:w="830" w:type="pct"/>
            <w:shd w:val="clear" w:color="auto" w:fill="auto"/>
            <w:vAlign w:val="center"/>
          </w:tcPr>
          <w:p>
            <w:pPr>
              <w:widowControl/>
              <w:jc w:val="center"/>
              <w:rPr>
                <w:color w:val="auto"/>
                <w:kern w:val="0"/>
                <w:highlight w:val="none"/>
              </w:rPr>
            </w:pPr>
            <w:r>
              <w:rPr>
                <w:color w:val="auto"/>
                <w:kern w:val="0"/>
                <w:highlight w:val="none"/>
              </w:rPr>
              <w:t>0.9</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2.8</w:t>
            </w:r>
          </w:p>
        </w:tc>
        <w:tc>
          <w:tcPr>
            <w:tcW w:w="830" w:type="pct"/>
            <w:shd w:val="clear" w:color="auto" w:fill="auto"/>
            <w:vAlign w:val="center"/>
          </w:tcPr>
          <w:p>
            <w:pPr>
              <w:widowControl/>
              <w:jc w:val="center"/>
              <w:rPr>
                <w:color w:val="auto"/>
                <w:kern w:val="0"/>
                <w:highlight w:val="none"/>
              </w:rPr>
            </w:pPr>
            <w:r>
              <w:rPr>
                <w:color w:val="auto"/>
                <w:kern w:val="0"/>
                <w:highlight w:val="none"/>
              </w:rPr>
              <w:t>9</w:t>
            </w:r>
          </w:p>
        </w:tc>
        <w:tc>
          <w:tcPr>
            <w:tcW w:w="829" w:type="pct"/>
            <w:shd w:val="clear" w:color="auto" w:fill="auto"/>
            <w:vAlign w:val="center"/>
          </w:tcPr>
          <w:p>
            <w:pPr>
              <w:widowControl/>
              <w:jc w:val="center"/>
              <w:rPr>
                <w:color w:val="auto"/>
                <w:kern w:val="0"/>
                <w:highlight w:val="none"/>
              </w:rPr>
            </w:pPr>
            <w:r>
              <w:rPr>
                <w:color w:val="auto"/>
                <w:kern w:val="0"/>
                <w:highlight w:val="none"/>
              </w:rPr>
              <w:t>36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9</w:t>
            </w:r>
          </w:p>
        </w:tc>
        <w:tc>
          <w:tcPr>
            <w:tcW w:w="1261" w:type="pct"/>
            <w:shd w:val="clear" w:color="auto" w:fill="auto"/>
            <w:vAlign w:val="center"/>
          </w:tcPr>
          <w:p>
            <w:pPr>
              <w:widowControl/>
              <w:jc w:val="center"/>
              <w:rPr>
                <w:color w:val="auto"/>
                <w:kern w:val="0"/>
                <w:highlight w:val="none"/>
              </w:rPr>
            </w:pPr>
            <w:r>
              <w:rPr>
                <w:color w:val="auto"/>
                <w:kern w:val="0"/>
                <w:highlight w:val="none"/>
              </w:rPr>
              <w:t>氯仿</w:t>
            </w:r>
          </w:p>
        </w:tc>
        <w:tc>
          <w:tcPr>
            <w:tcW w:w="830" w:type="pct"/>
            <w:shd w:val="clear" w:color="auto" w:fill="auto"/>
            <w:vAlign w:val="center"/>
          </w:tcPr>
          <w:p>
            <w:pPr>
              <w:widowControl/>
              <w:jc w:val="center"/>
              <w:rPr>
                <w:color w:val="auto"/>
                <w:kern w:val="0"/>
                <w:highlight w:val="none"/>
              </w:rPr>
            </w:pPr>
            <w:r>
              <w:rPr>
                <w:color w:val="auto"/>
                <w:kern w:val="0"/>
                <w:highlight w:val="none"/>
              </w:rPr>
              <w:t>0.3</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0.9</w:t>
            </w:r>
          </w:p>
        </w:tc>
        <w:tc>
          <w:tcPr>
            <w:tcW w:w="830" w:type="pct"/>
            <w:shd w:val="clear" w:color="auto" w:fill="auto"/>
            <w:vAlign w:val="center"/>
          </w:tcPr>
          <w:p>
            <w:pPr>
              <w:widowControl/>
              <w:jc w:val="center"/>
              <w:rPr>
                <w:color w:val="auto"/>
                <w:kern w:val="0"/>
                <w:highlight w:val="none"/>
              </w:rPr>
            </w:pPr>
            <w:r>
              <w:rPr>
                <w:color w:val="auto"/>
                <w:kern w:val="0"/>
                <w:highlight w:val="none"/>
              </w:rPr>
              <w:t>5</w:t>
            </w:r>
          </w:p>
        </w:tc>
        <w:tc>
          <w:tcPr>
            <w:tcW w:w="829" w:type="pct"/>
            <w:shd w:val="clear" w:color="auto" w:fill="auto"/>
            <w:vAlign w:val="center"/>
          </w:tcPr>
          <w:p>
            <w:pPr>
              <w:widowControl/>
              <w:jc w:val="center"/>
              <w:rPr>
                <w:color w:val="auto"/>
                <w:kern w:val="0"/>
                <w:highlight w:val="none"/>
              </w:rPr>
            </w:pPr>
            <w:r>
              <w:rPr>
                <w:color w:val="auto"/>
                <w:kern w:val="0"/>
                <w:highlight w:val="none"/>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10</w:t>
            </w:r>
          </w:p>
        </w:tc>
        <w:tc>
          <w:tcPr>
            <w:tcW w:w="1261" w:type="pct"/>
            <w:shd w:val="clear" w:color="auto" w:fill="auto"/>
            <w:vAlign w:val="center"/>
          </w:tcPr>
          <w:p>
            <w:pPr>
              <w:widowControl/>
              <w:jc w:val="center"/>
              <w:rPr>
                <w:color w:val="auto"/>
                <w:kern w:val="0"/>
                <w:highlight w:val="none"/>
              </w:rPr>
            </w:pPr>
            <w:r>
              <w:rPr>
                <w:color w:val="auto"/>
                <w:kern w:val="0"/>
                <w:highlight w:val="none"/>
              </w:rPr>
              <w:t>氯甲烷</w:t>
            </w:r>
          </w:p>
        </w:tc>
        <w:tc>
          <w:tcPr>
            <w:tcW w:w="830" w:type="pct"/>
            <w:shd w:val="clear" w:color="auto" w:fill="auto"/>
            <w:vAlign w:val="center"/>
          </w:tcPr>
          <w:p>
            <w:pPr>
              <w:widowControl/>
              <w:jc w:val="center"/>
              <w:rPr>
                <w:color w:val="auto"/>
                <w:kern w:val="0"/>
                <w:highlight w:val="none"/>
              </w:rPr>
            </w:pPr>
            <w:r>
              <w:rPr>
                <w:color w:val="auto"/>
                <w:kern w:val="0"/>
                <w:highlight w:val="none"/>
              </w:rPr>
              <w:t>12</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37</w:t>
            </w:r>
          </w:p>
        </w:tc>
        <w:tc>
          <w:tcPr>
            <w:tcW w:w="830" w:type="pct"/>
            <w:shd w:val="clear" w:color="auto" w:fill="auto"/>
            <w:vAlign w:val="center"/>
          </w:tcPr>
          <w:p>
            <w:pPr>
              <w:widowControl/>
              <w:jc w:val="center"/>
              <w:rPr>
                <w:color w:val="auto"/>
                <w:kern w:val="0"/>
                <w:highlight w:val="none"/>
              </w:rPr>
            </w:pPr>
            <w:r>
              <w:rPr>
                <w:color w:val="auto"/>
                <w:kern w:val="0"/>
                <w:highlight w:val="none"/>
              </w:rPr>
              <w:t>21</w:t>
            </w:r>
          </w:p>
        </w:tc>
        <w:tc>
          <w:tcPr>
            <w:tcW w:w="829" w:type="pct"/>
            <w:shd w:val="clear" w:color="auto" w:fill="auto"/>
            <w:vAlign w:val="center"/>
          </w:tcPr>
          <w:p>
            <w:pPr>
              <w:widowControl/>
              <w:jc w:val="center"/>
              <w:rPr>
                <w:color w:val="auto"/>
                <w:kern w:val="0"/>
                <w:highlight w:val="none"/>
              </w:rPr>
            </w:pPr>
            <w:r>
              <w:rPr>
                <w:color w:val="auto"/>
                <w:kern w:val="0"/>
                <w:highlight w:val="none"/>
              </w:rPr>
              <w:t>120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11</w:t>
            </w:r>
          </w:p>
        </w:tc>
        <w:tc>
          <w:tcPr>
            <w:tcW w:w="1261" w:type="pct"/>
            <w:shd w:val="clear" w:color="auto" w:fill="auto"/>
            <w:vAlign w:val="center"/>
          </w:tcPr>
          <w:p>
            <w:pPr>
              <w:widowControl/>
              <w:jc w:val="center"/>
              <w:rPr>
                <w:color w:val="auto"/>
                <w:kern w:val="0"/>
                <w:highlight w:val="none"/>
              </w:rPr>
            </w:pPr>
            <w:r>
              <w:rPr>
                <w:color w:val="auto"/>
                <w:kern w:val="0"/>
                <w:highlight w:val="none"/>
              </w:rPr>
              <w:t>1,1-二氯乙烷</w:t>
            </w:r>
          </w:p>
        </w:tc>
        <w:tc>
          <w:tcPr>
            <w:tcW w:w="830" w:type="pct"/>
            <w:shd w:val="clear" w:color="auto" w:fill="auto"/>
            <w:vAlign w:val="center"/>
          </w:tcPr>
          <w:p>
            <w:pPr>
              <w:widowControl/>
              <w:jc w:val="center"/>
              <w:rPr>
                <w:color w:val="auto"/>
                <w:kern w:val="0"/>
                <w:highlight w:val="none"/>
              </w:rPr>
            </w:pPr>
            <w:r>
              <w:rPr>
                <w:color w:val="auto"/>
                <w:kern w:val="0"/>
                <w:highlight w:val="none"/>
              </w:rPr>
              <w:t>3</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9</w:t>
            </w:r>
          </w:p>
        </w:tc>
        <w:tc>
          <w:tcPr>
            <w:tcW w:w="830" w:type="pct"/>
            <w:shd w:val="clear" w:color="auto" w:fill="auto"/>
            <w:vAlign w:val="center"/>
          </w:tcPr>
          <w:p>
            <w:pPr>
              <w:widowControl/>
              <w:jc w:val="center"/>
              <w:rPr>
                <w:color w:val="auto"/>
                <w:kern w:val="0"/>
                <w:highlight w:val="none"/>
              </w:rPr>
            </w:pPr>
            <w:r>
              <w:rPr>
                <w:color w:val="auto"/>
                <w:kern w:val="0"/>
                <w:highlight w:val="none"/>
              </w:rPr>
              <w:t>20</w:t>
            </w:r>
          </w:p>
        </w:tc>
        <w:tc>
          <w:tcPr>
            <w:tcW w:w="829" w:type="pct"/>
            <w:shd w:val="clear" w:color="auto" w:fill="auto"/>
            <w:vAlign w:val="center"/>
          </w:tcPr>
          <w:p>
            <w:pPr>
              <w:widowControl/>
              <w:jc w:val="center"/>
              <w:rPr>
                <w:color w:val="auto"/>
                <w:kern w:val="0"/>
                <w:highlight w:val="none"/>
              </w:rPr>
            </w:pPr>
            <w:r>
              <w:rPr>
                <w:color w:val="auto"/>
                <w:kern w:val="0"/>
                <w:highlight w:val="none"/>
              </w:rPr>
              <w: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12</w:t>
            </w:r>
          </w:p>
        </w:tc>
        <w:tc>
          <w:tcPr>
            <w:tcW w:w="1261" w:type="pct"/>
            <w:shd w:val="clear" w:color="auto" w:fill="auto"/>
            <w:vAlign w:val="center"/>
          </w:tcPr>
          <w:p>
            <w:pPr>
              <w:widowControl/>
              <w:jc w:val="center"/>
              <w:rPr>
                <w:color w:val="auto"/>
                <w:kern w:val="0"/>
                <w:highlight w:val="none"/>
              </w:rPr>
            </w:pPr>
            <w:r>
              <w:rPr>
                <w:color w:val="auto"/>
                <w:kern w:val="0"/>
                <w:highlight w:val="none"/>
              </w:rPr>
              <w:t>1,2-二氯乙烷</w:t>
            </w:r>
          </w:p>
        </w:tc>
        <w:tc>
          <w:tcPr>
            <w:tcW w:w="830" w:type="pct"/>
            <w:shd w:val="clear" w:color="auto" w:fill="auto"/>
            <w:vAlign w:val="center"/>
          </w:tcPr>
          <w:p>
            <w:pPr>
              <w:widowControl/>
              <w:jc w:val="center"/>
              <w:rPr>
                <w:color w:val="auto"/>
                <w:kern w:val="0"/>
                <w:highlight w:val="none"/>
              </w:rPr>
            </w:pPr>
            <w:r>
              <w:rPr>
                <w:color w:val="auto"/>
                <w:kern w:val="0"/>
                <w:highlight w:val="none"/>
              </w:rPr>
              <w:t>0.52</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5</w:t>
            </w:r>
          </w:p>
        </w:tc>
        <w:tc>
          <w:tcPr>
            <w:tcW w:w="830" w:type="pct"/>
            <w:shd w:val="clear" w:color="auto" w:fill="auto"/>
            <w:vAlign w:val="center"/>
          </w:tcPr>
          <w:p>
            <w:pPr>
              <w:widowControl/>
              <w:jc w:val="center"/>
              <w:rPr>
                <w:color w:val="auto"/>
                <w:kern w:val="0"/>
                <w:highlight w:val="none"/>
              </w:rPr>
            </w:pPr>
            <w:r>
              <w:rPr>
                <w:color w:val="auto"/>
                <w:kern w:val="0"/>
                <w:highlight w:val="none"/>
              </w:rPr>
              <w:t>6</w:t>
            </w:r>
          </w:p>
        </w:tc>
        <w:tc>
          <w:tcPr>
            <w:tcW w:w="829" w:type="pct"/>
            <w:shd w:val="clear" w:color="auto" w:fill="auto"/>
            <w:vAlign w:val="center"/>
          </w:tcPr>
          <w:p>
            <w:pPr>
              <w:widowControl/>
              <w:jc w:val="center"/>
              <w:rPr>
                <w:color w:val="auto"/>
                <w:kern w:val="0"/>
                <w:highlight w:val="none"/>
              </w:rPr>
            </w:pPr>
            <w:r>
              <w:rPr>
                <w:color w:val="auto"/>
                <w:kern w:val="0"/>
                <w:highlight w:val="none"/>
              </w:rPr>
              <w:t>21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13</w:t>
            </w:r>
          </w:p>
        </w:tc>
        <w:tc>
          <w:tcPr>
            <w:tcW w:w="1261" w:type="pct"/>
            <w:shd w:val="clear" w:color="auto" w:fill="auto"/>
            <w:vAlign w:val="center"/>
          </w:tcPr>
          <w:p>
            <w:pPr>
              <w:widowControl/>
              <w:jc w:val="center"/>
              <w:rPr>
                <w:color w:val="auto"/>
                <w:kern w:val="0"/>
                <w:highlight w:val="none"/>
              </w:rPr>
            </w:pPr>
            <w:r>
              <w:rPr>
                <w:color w:val="auto"/>
                <w:kern w:val="0"/>
                <w:highlight w:val="none"/>
              </w:rPr>
              <w:t>1,1-二氯乙烯</w:t>
            </w:r>
          </w:p>
        </w:tc>
        <w:tc>
          <w:tcPr>
            <w:tcW w:w="830" w:type="pct"/>
            <w:shd w:val="clear" w:color="auto" w:fill="auto"/>
            <w:vAlign w:val="center"/>
          </w:tcPr>
          <w:p>
            <w:pPr>
              <w:widowControl/>
              <w:jc w:val="center"/>
              <w:rPr>
                <w:color w:val="auto"/>
                <w:kern w:val="0"/>
                <w:highlight w:val="none"/>
              </w:rPr>
            </w:pPr>
            <w:r>
              <w:rPr>
                <w:color w:val="auto"/>
                <w:kern w:val="0"/>
                <w:highlight w:val="none"/>
              </w:rPr>
              <w:t>12</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66</w:t>
            </w:r>
          </w:p>
        </w:tc>
        <w:tc>
          <w:tcPr>
            <w:tcW w:w="830" w:type="pct"/>
            <w:shd w:val="clear" w:color="auto" w:fill="auto"/>
            <w:vAlign w:val="center"/>
          </w:tcPr>
          <w:p>
            <w:pPr>
              <w:widowControl/>
              <w:jc w:val="center"/>
              <w:rPr>
                <w:color w:val="auto"/>
                <w:kern w:val="0"/>
                <w:highlight w:val="none"/>
              </w:rPr>
            </w:pPr>
            <w:r>
              <w:rPr>
                <w:color w:val="auto"/>
                <w:kern w:val="0"/>
                <w:highlight w:val="none"/>
              </w:rPr>
              <w:t>40</w:t>
            </w:r>
          </w:p>
        </w:tc>
        <w:tc>
          <w:tcPr>
            <w:tcW w:w="829" w:type="pct"/>
            <w:shd w:val="clear" w:color="auto" w:fill="auto"/>
            <w:vAlign w:val="center"/>
          </w:tcPr>
          <w:p>
            <w:pPr>
              <w:widowControl/>
              <w:jc w:val="center"/>
              <w:rPr>
                <w:color w:val="auto"/>
                <w:kern w:val="0"/>
                <w:highlight w:val="none"/>
              </w:rPr>
            </w:pPr>
            <w:r>
              <w:rPr>
                <w:color w:val="auto"/>
                <w:kern w:val="0"/>
                <w:highlight w:val="none"/>
              </w:rPr>
              <w:t>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14</w:t>
            </w:r>
          </w:p>
        </w:tc>
        <w:tc>
          <w:tcPr>
            <w:tcW w:w="1261" w:type="pct"/>
            <w:shd w:val="clear" w:color="auto" w:fill="auto"/>
            <w:vAlign w:val="center"/>
          </w:tcPr>
          <w:p>
            <w:pPr>
              <w:widowControl/>
              <w:jc w:val="center"/>
              <w:rPr>
                <w:color w:val="auto"/>
                <w:kern w:val="0"/>
                <w:highlight w:val="none"/>
              </w:rPr>
            </w:pPr>
            <w:r>
              <w:rPr>
                <w:color w:val="auto"/>
                <w:kern w:val="0"/>
                <w:highlight w:val="none"/>
              </w:rPr>
              <w:t>顺-1,2-二氯乙烯</w:t>
            </w:r>
          </w:p>
        </w:tc>
        <w:tc>
          <w:tcPr>
            <w:tcW w:w="830" w:type="pct"/>
            <w:shd w:val="clear" w:color="auto" w:fill="auto"/>
            <w:vAlign w:val="center"/>
          </w:tcPr>
          <w:p>
            <w:pPr>
              <w:widowControl/>
              <w:jc w:val="center"/>
              <w:rPr>
                <w:color w:val="auto"/>
                <w:kern w:val="0"/>
                <w:highlight w:val="none"/>
              </w:rPr>
            </w:pPr>
            <w:r>
              <w:rPr>
                <w:color w:val="auto"/>
                <w:kern w:val="0"/>
                <w:highlight w:val="none"/>
              </w:rPr>
              <w:t>66</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596</w:t>
            </w:r>
          </w:p>
        </w:tc>
        <w:tc>
          <w:tcPr>
            <w:tcW w:w="830" w:type="pct"/>
            <w:shd w:val="clear" w:color="auto" w:fill="auto"/>
            <w:vAlign w:val="center"/>
          </w:tcPr>
          <w:p>
            <w:pPr>
              <w:widowControl/>
              <w:jc w:val="center"/>
              <w:rPr>
                <w:color w:val="auto"/>
                <w:kern w:val="0"/>
                <w:highlight w:val="none"/>
              </w:rPr>
            </w:pPr>
            <w:r>
              <w:rPr>
                <w:color w:val="auto"/>
                <w:kern w:val="0"/>
                <w:highlight w:val="none"/>
              </w:rPr>
              <w:t>200</w:t>
            </w:r>
          </w:p>
        </w:tc>
        <w:tc>
          <w:tcPr>
            <w:tcW w:w="829" w:type="pct"/>
            <w:shd w:val="clear" w:color="auto" w:fill="auto"/>
            <w:vAlign w:val="center"/>
          </w:tcPr>
          <w:p>
            <w:pPr>
              <w:widowControl/>
              <w:jc w:val="center"/>
              <w:rPr>
                <w:color w:val="auto"/>
                <w:kern w:val="0"/>
                <w:highlight w:val="none"/>
              </w:rPr>
            </w:pPr>
            <w:r>
              <w:rPr>
                <w:color w:val="auto"/>
                <w:kern w:val="0"/>
                <w:highlight w:val="none"/>
              </w:rPr>
              <w:t>2000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15</w:t>
            </w:r>
          </w:p>
        </w:tc>
        <w:tc>
          <w:tcPr>
            <w:tcW w:w="1261" w:type="pct"/>
            <w:shd w:val="clear" w:color="auto" w:fill="auto"/>
            <w:vAlign w:val="center"/>
          </w:tcPr>
          <w:p>
            <w:pPr>
              <w:widowControl/>
              <w:jc w:val="center"/>
              <w:rPr>
                <w:color w:val="auto"/>
                <w:kern w:val="0"/>
                <w:highlight w:val="none"/>
              </w:rPr>
            </w:pPr>
            <w:r>
              <w:rPr>
                <w:color w:val="auto"/>
                <w:kern w:val="0"/>
                <w:highlight w:val="none"/>
              </w:rPr>
              <w:t>反-1,2-二氯乙烯</w:t>
            </w:r>
          </w:p>
        </w:tc>
        <w:tc>
          <w:tcPr>
            <w:tcW w:w="830" w:type="pct"/>
            <w:shd w:val="clear" w:color="auto" w:fill="auto"/>
            <w:vAlign w:val="center"/>
          </w:tcPr>
          <w:p>
            <w:pPr>
              <w:widowControl/>
              <w:jc w:val="center"/>
              <w:rPr>
                <w:color w:val="auto"/>
                <w:kern w:val="0"/>
                <w:highlight w:val="none"/>
              </w:rPr>
            </w:pPr>
            <w:r>
              <w:rPr>
                <w:color w:val="auto"/>
                <w:kern w:val="0"/>
                <w:highlight w:val="none"/>
              </w:rPr>
              <w:t>10</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54</w:t>
            </w:r>
          </w:p>
        </w:tc>
        <w:tc>
          <w:tcPr>
            <w:tcW w:w="830" w:type="pct"/>
            <w:shd w:val="clear" w:color="auto" w:fill="auto"/>
            <w:vAlign w:val="center"/>
          </w:tcPr>
          <w:p>
            <w:pPr>
              <w:widowControl/>
              <w:jc w:val="center"/>
              <w:rPr>
                <w:color w:val="auto"/>
                <w:kern w:val="0"/>
                <w:highlight w:val="none"/>
              </w:rPr>
            </w:pPr>
            <w:r>
              <w:rPr>
                <w:color w:val="auto"/>
                <w:kern w:val="0"/>
                <w:highlight w:val="none"/>
              </w:rPr>
              <w:t>31</w:t>
            </w:r>
          </w:p>
        </w:tc>
        <w:tc>
          <w:tcPr>
            <w:tcW w:w="829" w:type="pct"/>
            <w:shd w:val="clear" w:color="auto" w:fill="auto"/>
            <w:vAlign w:val="center"/>
          </w:tcPr>
          <w:p>
            <w:pPr>
              <w:widowControl/>
              <w:jc w:val="center"/>
              <w:rPr>
                <w:color w:val="auto"/>
                <w:kern w:val="0"/>
                <w:highlight w:val="none"/>
              </w:rPr>
            </w:pPr>
            <w:r>
              <w:rPr>
                <w:color w:val="auto"/>
                <w:kern w:val="0"/>
                <w:highlight w:val="none"/>
              </w:rPr>
              <w:t>163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16</w:t>
            </w:r>
          </w:p>
        </w:tc>
        <w:tc>
          <w:tcPr>
            <w:tcW w:w="1261" w:type="pct"/>
            <w:shd w:val="clear" w:color="auto" w:fill="auto"/>
            <w:vAlign w:val="center"/>
          </w:tcPr>
          <w:p>
            <w:pPr>
              <w:widowControl/>
              <w:jc w:val="center"/>
              <w:rPr>
                <w:color w:val="auto"/>
                <w:kern w:val="0"/>
                <w:highlight w:val="none"/>
              </w:rPr>
            </w:pPr>
            <w:r>
              <w:rPr>
                <w:color w:val="auto"/>
                <w:kern w:val="0"/>
                <w:highlight w:val="none"/>
              </w:rPr>
              <w:t>二氯甲烷</w:t>
            </w:r>
          </w:p>
        </w:tc>
        <w:tc>
          <w:tcPr>
            <w:tcW w:w="830" w:type="pct"/>
            <w:shd w:val="clear" w:color="auto" w:fill="auto"/>
            <w:vAlign w:val="center"/>
          </w:tcPr>
          <w:p>
            <w:pPr>
              <w:widowControl/>
              <w:jc w:val="center"/>
              <w:rPr>
                <w:color w:val="auto"/>
                <w:kern w:val="0"/>
                <w:highlight w:val="none"/>
              </w:rPr>
            </w:pPr>
            <w:r>
              <w:rPr>
                <w:color w:val="auto"/>
                <w:kern w:val="0"/>
                <w:highlight w:val="none"/>
              </w:rPr>
              <w:t>94</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616</w:t>
            </w:r>
          </w:p>
        </w:tc>
        <w:tc>
          <w:tcPr>
            <w:tcW w:w="830" w:type="pct"/>
            <w:shd w:val="clear" w:color="auto" w:fill="auto"/>
            <w:vAlign w:val="center"/>
          </w:tcPr>
          <w:p>
            <w:pPr>
              <w:widowControl/>
              <w:jc w:val="center"/>
              <w:rPr>
                <w:color w:val="auto"/>
                <w:kern w:val="0"/>
                <w:highlight w:val="none"/>
              </w:rPr>
            </w:pPr>
            <w:r>
              <w:rPr>
                <w:color w:val="auto"/>
                <w:kern w:val="0"/>
                <w:highlight w:val="none"/>
              </w:rPr>
              <w:t>300</w:t>
            </w:r>
          </w:p>
        </w:tc>
        <w:tc>
          <w:tcPr>
            <w:tcW w:w="829" w:type="pct"/>
            <w:shd w:val="clear" w:color="auto" w:fill="auto"/>
            <w:vAlign w:val="center"/>
          </w:tcPr>
          <w:p>
            <w:pPr>
              <w:widowControl/>
              <w:jc w:val="center"/>
              <w:rPr>
                <w:color w:val="auto"/>
                <w:kern w:val="0"/>
                <w:highlight w:val="none"/>
              </w:rPr>
            </w:pPr>
            <w:r>
              <w:rPr>
                <w:color w:val="auto"/>
                <w:kern w:val="0"/>
                <w:highlight w:val="none"/>
              </w:rPr>
              <w:t>2000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17</w:t>
            </w:r>
          </w:p>
        </w:tc>
        <w:tc>
          <w:tcPr>
            <w:tcW w:w="1261" w:type="pct"/>
            <w:shd w:val="clear" w:color="auto" w:fill="auto"/>
            <w:vAlign w:val="center"/>
          </w:tcPr>
          <w:p>
            <w:pPr>
              <w:widowControl/>
              <w:jc w:val="center"/>
              <w:rPr>
                <w:color w:val="auto"/>
                <w:kern w:val="0"/>
                <w:highlight w:val="none"/>
              </w:rPr>
            </w:pPr>
            <w:r>
              <w:rPr>
                <w:color w:val="auto"/>
                <w:kern w:val="0"/>
                <w:highlight w:val="none"/>
              </w:rPr>
              <w:t>1,2-二氯丙烷</w:t>
            </w:r>
          </w:p>
        </w:tc>
        <w:tc>
          <w:tcPr>
            <w:tcW w:w="830" w:type="pct"/>
            <w:shd w:val="clear" w:color="auto" w:fill="auto"/>
            <w:vAlign w:val="center"/>
          </w:tcPr>
          <w:p>
            <w:pPr>
              <w:widowControl/>
              <w:jc w:val="center"/>
              <w:rPr>
                <w:color w:val="auto"/>
                <w:kern w:val="0"/>
                <w:highlight w:val="none"/>
              </w:rPr>
            </w:pPr>
            <w:r>
              <w:rPr>
                <w:color w:val="auto"/>
                <w:kern w:val="0"/>
                <w:highlight w:val="none"/>
              </w:rPr>
              <w:t>1</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5</w:t>
            </w:r>
          </w:p>
        </w:tc>
        <w:tc>
          <w:tcPr>
            <w:tcW w:w="830" w:type="pct"/>
            <w:shd w:val="clear" w:color="auto" w:fill="auto"/>
            <w:vAlign w:val="center"/>
          </w:tcPr>
          <w:p>
            <w:pPr>
              <w:widowControl/>
              <w:jc w:val="center"/>
              <w:rPr>
                <w:color w:val="auto"/>
                <w:kern w:val="0"/>
                <w:highlight w:val="none"/>
              </w:rPr>
            </w:pPr>
            <w:r>
              <w:rPr>
                <w:color w:val="auto"/>
                <w:kern w:val="0"/>
                <w:highlight w:val="none"/>
              </w:rPr>
              <w:t>5</w:t>
            </w:r>
          </w:p>
        </w:tc>
        <w:tc>
          <w:tcPr>
            <w:tcW w:w="829" w:type="pct"/>
            <w:shd w:val="clear" w:color="auto" w:fill="auto"/>
            <w:vAlign w:val="center"/>
          </w:tcPr>
          <w:p>
            <w:pPr>
              <w:widowControl/>
              <w:jc w:val="center"/>
              <w:rPr>
                <w:color w:val="auto"/>
                <w:kern w:val="0"/>
                <w:highlight w:val="none"/>
              </w:rPr>
            </w:pPr>
            <w:r>
              <w:rPr>
                <w:color w:val="auto"/>
                <w:kern w:val="0"/>
                <w:highlight w:val="none"/>
              </w:rPr>
              <w:t>47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18</w:t>
            </w:r>
          </w:p>
        </w:tc>
        <w:tc>
          <w:tcPr>
            <w:tcW w:w="1261" w:type="pct"/>
            <w:shd w:val="clear" w:color="auto" w:fill="auto"/>
            <w:vAlign w:val="center"/>
          </w:tcPr>
          <w:p>
            <w:pPr>
              <w:widowControl/>
              <w:jc w:val="center"/>
              <w:rPr>
                <w:color w:val="auto"/>
                <w:kern w:val="0"/>
                <w:highlight w:val="none"/>
              </w:rPr>
            </w:pPr>
            <w:r>
              <w:rPr>
                <w:color w:val="auto"/>
                <w:kern w:val="0"/>
                <w:highlight w:val="none"/>
              </w:rPr>
              <w:t>1,1,1,2-四氯乙烷</w:t>
            </w:r>
          </w:p>
        </w:tc>
        <w:tc>
          <w:tcPr>
            <w:tcW w:w="830" w:type="pct"/>
            <w:shd w:val="clear" w:color="auto" w:fill="auto"/>
            <w:vAlign w:val="center"/>
          </w:tcPr>
          <w:p>
            <w:pPr>
              <w:widowControl/>
              <w:jc w:val="center"/>
              <w:rPr>
                <w:color w:val="auto"/>
                <w:kern w:val="0"/>
                <w:highlight w:val="none"/>
              </w:rPr>
            </w:pPr>
            <w:r>
              <w:rPr>
                <w:color w:val="auto"/>
                <w:kern w:val="0"/>
                <w:highlight w:val="none"/>
              </w:rPr>
              <w:t>2.6</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10</w:t>
            </w:r>
          </w:p>
        </w:tc>
        <w:tc>
          <w:tcPr>
            <w:tcW w:w="830" w:type="pct"/>
            <w:shd w:val="clear" w:color="auto" w:fill="auto"/>
            <w:vAlign w:val="center"/>
          </w:tcPr>
          <w:p>
            <w:pPr>
              <w:widowControl/>
              <w:jc w:val="center"/>
              <w:rPr>
                <w:color w:val="auto"/>
                <w:kern w:val="0"/>
                <w:highlight w:val="none"/>
              </w:rPr>
            </w:pPr>
            <w:r>
              <w:rPr>
                <w:color w:val="auto"/>
                <w:kern w:val="0"/>
                <w:highlight w:val="none"/>
              </w:rPr>
              <w:t>26</w:t>
            </w:r>
          </w:p>
        </w:tc>
        <w:tc>
          <w:tcPr>
            <w:tcW w:w="829" w:type="pct"/>
            <w:shd w:val="clear" w:color="auto" w:fill="auto"/>
            <w:vAlign w:val="center"/>
          </w:tcPr>
          <w:p>
            <w:pPr>
              <w:widowControl/>
              <w:jc w:val="center"/>
              <w:rPr>
                <w:color w:val="auto"/>
                <w:kern w:val="0"/>
                <w:highlight w:val="none"/>
              </w:rPr>
            </w:pPr>
            <w:r>
              <w:rPr>
                <w:color w:val="auto"/>
                <w:kern w:val="0"/>
                <w:highlight w:val="none"/>
              </w:rPr>
              <w: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19</w:t>
            </w:r>
          </w:p>
        </w:tc>
        <w:tc>
          <w:tcPr>
            <w:tcW w:w="1261" w:type="pct"/>
            <w:shd w:val="clear" w:color="auto" w:fill="auto"/>
            <w:vAlign w:val="center"/>
          </w:tcPr>
          <w:p>
            <w:pPr>
              <w:widowControl/>
              <w:jc w:val="center"/>
              <w:rPr>
                <w:color w:val="auto"/>
                <w:kern w:val="0"/>
                <w:highlight w:val="none"/>
              </w:rPr>
            </w:pPr>
            <w:r>
              <w:rPr>
                <w:color w:val="auto"/>
                <w:kern w:val="0"/>
                <w:highlight w:val="none"/>
              </w:rPr>
              <w:t>1,1,2,2-四氯乙烷</w:t>
            </w:r>
          </w:p>
        </w:tc>
        <w:tc>
          <w:tcPr>
            <w:tcW w:w="830" w:type="pct"/>
            <w:shd w:val="clear" w:color="auto" w:fill="auto"/>
            <w:vAlign w:val="center"/>
          </w:tcPr>
          <w:p>
            <w:pPr>
              <w:widowControl/>
              <w:jc w:val="center"/>
              <w:rPr>
                <w:color w:val="auto"/>
                <w:kern w:val="0"/>
                <w:highlight w:val="none"/>
              </w:rPr>
            </w:pPr>
            <w:r>
              <w:rPr>
                <w:color w:val="auto"/>
                <w:kern w:val="0"/>
                <w:highlight w:val="none"/>
              </w:rPr>
              <w:t>1.6</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6.8</w:t>
            </w:r>
          </w:p>
        </w:tc>
        <w:tc>
          <w:tcPr>
            <w:tcW w:w="830" w:type="pct"/>
            <w:shd w:val="clear" w:color="auto" w:fill="auto"/>
            <w:vAlign w:val="center"/>
          </w:tcPr>
          <w:p>
            <w:pPr>
              <w:widowControl/>
              <w:jc w:val="center"/>
              <w:rPr>
                <w:color w:val="auto"/>
                <w:kern w:val="0"/>
                <w:highlight w:val="none"/>
              </w:rPr>
            </w:pPr>
            <w:r>
              <w:rPr>
                <w:color w:val="auto"/>
                <w:kern w:val="0"/>
                <w:highlight w:val="none"/>
              </w:rPr>
              <w:t>14</w:t>
            </w:r>
          </w:p>
        </w:tc>
        <w:tc>
          <w:tcPr>
            <w:tcW w:w="829" w:type="pct"/>
            <w:shd w:val="clear" w:color="auto" w:fill="auto"/>
            <w:vAlign w:val="center"/>
          </w:tcPr>
          <w:p>
            <w:pPr>
              <w:widowControl/>
              <w:jc w:val="center"/>
              <w:rPr>
                <w:color w:val="auto"/>
                <w:kern w:val="0"/>
                <w:highlight w:val="none"/>
              </w:rPr>
            </w:pPr>
            <w:r>
              <w:rPr>
                <w:color w:val="auto"/>
                <w:kern w:val="0"/>
                <w:highlight w:val="none"/>
              </w:rPr>
              <w:t>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20</w:t>
            </w:r>
          </w:p>
        </w:tc>
        <w:tc>
          <w:tcPr>
            <w:tcW w:w="1261" w:type="pct"/>
            <w:shd w:val="clear" w:color="auto" w:fill="auto"/>
            <w:vAlign w:val="center"/>
          </w:tcPr>
          <w:p>
            <w:pPr>
              <w:widowControl/>
              <w:jc w:val="center"/>
              <w:rPr>
                <w:color w:val="auto"/>
                <w:kern w:val="0"/>
                <w:highlight w:val="none"/>
              </w:rPr>
            </w:pPr>
            <w:r>
              <w:rPr>
                <w:color w:val="auto"/>
                <w:kern w:val="0"/>
                <w:highlight w:val="none"/>
              </w:rPr>
              <w:t>四氯乙烯</w:t>
            </w:r>
          </w:p>
        </w:tc>
        <w:tc>
          <w:tcPr>
            <w:tcW w:w="830" w:type="pct"/>
            <w:shd w:val="clear" w:color="auto" w:fill="auto"/>
            <w:vAlign w:val="center"/>
          </w:tcPr>
          <w:p>
            <w:pPr>
              <w:widowControl/>
              <w:jc w:val="center"/>
              <w:rPr>
                <w:color w:val="auto"/>
                <w:kern w:val="0"/>
                <w:highlight w:val="none"/>
              </w:rPr>
            </w:pPr>
            <w:r>
              <w:rPr>
                <w:color w:val="auto"/>
                <w:kern w:val="0"/>
                <w:highlight w:val="none"/>
              </w:rPr>
              <w:t>11</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53</w:t>
            </w:r>
          </w:p>
        </w:tc>
        <w:tc>
          <w:tcPr>
            <w:tcW w:w="830" w:type="pct"/>
            <w:shd w:val="clear" w:color="auto" w:fill="auto"/>
            <w:vAlign w:val="center"/>
          </w:tcPr>
          <w:p>
            <w:pPr>
              <w:widowControl/>
              <w:jc w:val="center"/>
              <w:rPr>
                <w:color w:val="auto"/>
                <w:kern w:val="0"/>
                <w:highlight w:val="none"/>
              </w:rPr>
            </w:pPr>
            <w:r>
              <w:rPr>
                <w:color w:val="auto"/>
                <w:kern w:val="0"/>
                <w:highlight w:val="none"/>
              </w:rPr>
              <w:t>34</w:t>
            </w:r>
          </w:p>
        </w:tc>
        <w:tc>
          <w:tcPr>
            <w:tcW w:w="829" w:type="pct"/>
            <w:shd w:val="clear" w:color="auto" w:fill="auto"/>
            <w:vAlign w:val="center"/>
          </w:tcPr>
          <w:p>
            <w:pPr>
              <w:widowControl/>
              <w:jc w:val="center"/>
              <w:rPr>
                <w:color w:val="auto"/>
                <w:kern w:val="0"/>
                <w:highlight w:val="none"/>
              </w:rPr>
            </w:pPr>
            <w:r>
              <w:rPr>
                <w:color w:val="auto"/>
                <w:kern w:val="0"/>
                <w:highlight w:val="none"/>
              </w:rPr>
              <w:t>183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21</w:t>
            </w:r>
          </w:p>
        </w:tc>
        <w:tc>
          <w:tcPr>
            <w:tcW w:w="1261" w:type="pct"/>
            <w:shd w:val="clear" w:color="auto" w:fill="auto"/>
            <w:vAlign w:val="center"/>
          </w:tcPr>
          <w:p>
            <w:pPr>
              <w:widowControl/>
              <w:jc w:val="center"/>
              <w:rPr>
                <w:color w:val="auto"/>
                <w:kern w:val="0"/>
                <w:highlight w:val="none"/>
              </w:rPr>
            </w:pPr>
            <w:r>
              <w:rPr>
                <w:color w:val="auto"/>
                <w:kern w:val="0"/>
                <w:highlight w:val="none"/>
              </w:rPr>
              <w:t>1,1,1-三氯乙烷</w:t>
            </w:r>
          </w:p>
        </w:tc>
        <w:tc>
          <w:tcPr>
            <w:tcW w:w="830" w:type="pct"/>
            <w:shd w:val="clear" w:color="auto" w:fill="auto"/>
            <w:vAlign w:val="center"/>
          </w:tcPr>
          <w:p>
            <w:pPr>
              <w:widowControl/>
              <w:jc w:val="center"/>
              <w:rPr>
                <w:color w:val="auto"/>
                <w:kern w:val="0"/>
                <w:highlight w:val="none"/>
              </w:rPr>
            </w:pPr>
            <w:r>
              <w:rPr>
                <w:color w:val="auto"/>
                <w:kern w:val="0"/>
                <w:highlight w:val="none"/>
              </w:rPr>
              <w:t>701</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840</w:t>
            </w:r>
          </w:p>
        </w:tc>
        <w:tc>
          <w:tcPr>
            <w:tcW w:w="830" w:type="pct"/>
            <w:shd w:val="clear" w:color="auto" w:fill="auto"/>
            <w:vAlign w:val="center"/>
          </w:tcPr>
          <w:p>
            <w:pPr>
              <w:widowControl/>
              <w:jc w:val="center"/>
              <w:rPr>
                <w:color w:val="auto"/>
                <w:kern w:val="0"/>
                <w:highlight w:val="none"/>
              </w:rPr>
            </w:pPr>
            <w:r>
              <w:rPr>
                <w:color w:val="auto"/>
                <w:kern w:val="0"/>
                <w:highlight w:val="none"/>
              </w:rPr>
              <w:t>840</w:t>
            </w:r>
          </w:p>
        </w:tc>
        <w:tc>
          <w:tcPr>
            <w:tcW w:w="829" w:type="pct"/>
            <w:shd w:val="clear" w:color="auto" w:fill="auto"/>
            <w:vAlign w:val="center"/>
          </w:tcPr>
          <w:p>
            <w:pPr>
              <w:widowControl/>
              <w:jc w:val="center"/>
              <w:rPr>
                <w:color w:val="auto"/>
                <w:kern w:val="0"/>
                <w:highlight w:val="none"/>
              </w:rPr>
            </w:pPr>
            <w:r>
              <w:rPr>
                <w:color w:val="auto"/>
                <w:kern w:val="0"/>
                <w:highlight w:val="none"/>
              </w:rPr>
              <w:t>840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22</w:t>
            </w:r>
          </w:p>
        </w:tc>
        <w:tc>
          <w:tcPr>
            <w:tcW w:w="1261" w:type="pct"/>
            <w:shd w:val="clear" w:color="auto" w:fill="auto"/>
            <w:vAlign w:val="center"/>
          </w:tcPr>
          <w:p>
            <w:pPr>
              <w:widowControl/>
              <w:jc w:val="center"/>
              <w:rPr>
                <w:color w:val="auto"/>
                <w:kern w:val="0"/>
                <w:highlight w:val="none"/>
              </w:rPr>
            </w:pPr>
            <w:r>
              <w:rPr>
                <w:color w:val="auto"/>
                <w:kern w:val="0"/>
                <w:highlight w:val="none"/>
              </w:rPr>
              <w:t>1,1,2-三氯乙烷</w:t>
            </w:r>
          </w:p>
        </w:tc>
        <w:tc>
          <w:tcPr>
            <w:tcW w:w="830" w:type="pct"/>
            <w:shd w:val="clear" w:color="auto" w:fill="auto"/>
            <w:vAlign w:val="center"/>
          </w:tcPr>
          <w:p>
            <w:pPr>
              <w:widowControl/>
              <w:jc w:val="center"/>
              <w:rPr>
                <w:color w:val="auto"/>
                <w:kern w:val="0"/>
                <w:highlight w:val="none"/>
              </w:rPr>
            </w:pPr>
            <w:r>
              <w:rPr>
                <w:color w:val="auto"/>
                <w:kern w:val="0"/>
                <w:highlight w:val="none"/>
              </w:rPr>
              <w:t>0.6</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2.8</w:t>
            </w:r>
          </w:p>
        </w:tc>
        <w:tc>
          <w:tcPr>
            <w:tcW w:w="830" w:type="pct"/>
            <w:shd w:val="clear" w:color="auto" w:fill="auto"/>
            <w:vAlign w:val="center"/>
          </w:tcPr>
          <w:p>
            <w:pPr>
              <w:widowControl/>
              <w:jc w:val="center"/>
              <w:rPr>
                <w:color w:val="auto"/>
                <w:kern w:val="0"/>
                <w:highlight w:val="none"/>
              </w:rPr>
            </w:pPr>
            <w:r>
              <w:rPr>
                <w:color w:val="auto"/>
                <w:kern w:val="0"/>
                <w:highlight w:val="none"/>
              </w:rPr>
              <w:t>5</w:t>
            </w:r>
          </w:p>
        </w:tc>
        <w:tc>
          <w:tcPr>
            <w:tcW w:w="829" w:type="pct"/>
            <w:shd w:val="clear" w:color="auto" w:fill="auto"/>
            <w:vAlign w:val="center"/>
          </w:tcPr>
          <w:p>
            <w:pPr>
              <w:widowControl/>
              <w:jc w:val="center"/>
              <w:rPr>
                <w:color w:val="auto"/>
                <w:kern w:val="0"/>
                <w:highlight w:val="none"/>
              </w:rPr>
            </w:pPr>
            <w:r>
              <w:rPr>
                <w:color w:val="auto"/>
                <w:kern w:val="0"/>
                <w:highlight w:val="none"/>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23</w:t>
            </w:r>
          </w:p>
        </w:tc>
        <w:tc>
          <w:tcPr>
            <w:tcW w:w="1261" w:type="pct"/>
            <w:shd w:val="clear" w:color="auto" w:fill="auto"/>
            <w:vAlign w:val="center"/>
          </w:tcPr>
          <w:p>
            <w:pPr>
              <w:widowControl/>
              <w:jc w:val="center"/>
              <w:rPr>
                <w:color w:val="auto"/>
                <w:kern w:val="0"/>
                <w:highlight w:val="none"/>
              </w:rPr>
            </w:pPr>
            <w:r>
              <w:rPr>
                <w:color w:val="auto"/>
                <w:kern w:val="0"/>
                <w:highlight w:val="none"/>
              </w:rPr>
              <w:t>三氯乙烯</w:t>
            </w:r>
          </w:p>
        </w:tc>
        <w:tc>
          <w:tcPr>
            <w:tcW w:w="830" w:type="pct"/>
            <w:shd w:val="clear" w:color="auto" w:fill="auto"/>
            <w:vAlign w:val="center"/>
          </w:tcPr>
          <w:p>
            <w:pPr>
              <w:widowControl/>
              <w:jc w:val="center"/>
              <w:rPr>
                <w:color w:val="auto"/>
                <w:kern w:val="0"/>
                <w:highlight w:val="none"/>
              </w:rPr>
            </w:pPr>
            <w:r>
              <w:rPr>
                <w:color w:val="auto"/>
                <w:kern w:val="0"/>
                <w:highlight w:val="none"/>
              </w:rPr>
              <w:t>0.7</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2.8</w:t>
            </w:r>
          </w:p>
        </w:tc>
        <w:tc>
          <w:tcPr>
            <w:tcW w:w="830" w:type="pct"/>
            <w:shd w:val="clear" w:color="auto" w:fill="auto"/>
            <w:vAlign w:val="center"/>
          </w:tcPr>
          <w:p>
            <w:pPr>
              <w:widowControl/>
              <w:jc w:val="center"/>
              <w:rPr>
                <w:color w:val="auto"/>
                <w:kern w:val="0"/>
                <w:highlight w:val="none"/>
              </w:rPr>
            </w:pPr>
            <w:r>
              <w:rPr>
                <w:color w:val="auto"/>
                <w:kern w:val="0"/>
                <w:highlight w:val="none"/>
              </w:rPr>
              <w:t>7</w:t>
            </w:r>
          </w:p>
        </w:tc>
        <w:tc>
          <w:tcPr>
            <w:tcW w:w="829" w:type="pct"/>
            <w:shd w:val="clear" w:color="auto" w:fill="auto"/>
            <w:vAlign w:val="center"/>
          </w:tcPr>
          <w:p>
            <w:pPr>
              <w:widowControl/>
              <w:jc w:val="center"/>
              <w:rPr>
                <w:color w:val="auto"/>
                <w:kern w:val="0"/>
                <w:highlight w:val="none"/>
              </w:rPr>
            </w:pPr>
            <w:r>
              <w:rPr>
                <w:color w:val="auto"/>
                <w:kern w:val="0"/>
                <w:highlight w:val="none"/>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24</w:t>
            </w:r>
          </w:p>
        </w:tc>
        <w:tc>
          <w:tcPr>
            <w:tcW w:w="1261" w:type="pct"/>
            <w:shd w:val="clear" w:color="auto" w:fill="auto"/>
            <w:vAlign w:val="center"/>
          </w:tcPr>
          <w:p>
            <w:pPr>
              <w:widowControl/>
              <w:jc w:val="center"/>
              <w:rPr>
                <w:color w:val="auto"/>
                <w:kern w:val="0"/>
                <w:highlight w:val="none"/>
              </w:rPr>
            </w:pPr>
            <w:r>
              <w:rPr>
                <w:color w:val="auto"/>
                <w:kern w:val="0"/>
                <w:highlight w:val="none"/>
              </w:rPr>
              <w:t>1,2,3-三氯丙烷</w:t>
            </w:r>
          </w:p>
        </w:tc>
        <w:tc>
          <w:tcPr>
            <w:tcW w:w="830" w:type="pct"/>
            <w:shd w:val="clear" w:color="auto" w:fill="auto"/>
            <w:vAlign w:val="center"/>
          </w:tcPr>
          <w:p>
            <w:pPr>
              <w:widowControl/>
              <w:jc w:val="center"/>
              <w:rPr>
                <w:color w:val="auto"/>
                <w:kern w:val="0"/>
                <w:highlight w:val="none"/>
              </w:rPr>
            </w:pPr>
            <w:r>
              <w:rPr>
                <w:color w:val="auto"/>
                <w:kern w:val="0"/>
                <w:highlight w:val="none"/>
              </w:rPr>
              <w:t>0.05</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0.5</w:t>
            </w:r>
          </w:p>
        </w:tc>
        <w:tc>
          <w:tcPr>
            <w:tcW w:w="830" w:type="pct"/>
            <w:shd w:val="clear" w:color="auto" w:fill="auto"/>
            <w:vAlign w:val="center"/>
          </w:tcPr>
          <w:p>
            <w:pPr>
              <w:widowControl/>
              <w:jc w:val="center"/>
              <w:rPr>
                <w:color w:val="auto"/>
                <w:kern w:val="0"/>
                <w:highlight w:val="none"/>
              </w:rPr>
            </w:pPr>
            <w:r>
              <w:rPr>
                <w:color w:val="auto"/>
                <w:kern w:val="0"/>
                <w:highlight w:val="none"/>
              </w:rPr>
              <w:t>0.5</w:t>
            </w:r>
          </w:p>
        </w:tc>
        <w:tc>
          <w:tcPr>
            <w:tcW w:w="829" w:type="pct"/>
            <w:shd w:val="clear" w:color="auto" w:fill="auto"/>
            <w:vAlign w:val="center"/>
          </w:tcPr>
          <w:p>
            <w:pPr>
              <w:widowControl/>
              <w:jc w:val="center"/>
              <w:rPr>
                <w:color w:val="auto"/>
                <w:kern w:val="0"/>
                <w:highlight w:val="none"/>
              </w:rPr>
            </w:pPr>
            <w:r>
              <w:rPr>
                <w:color w:val="auto"/>
                <w:kern w:val="0"/>
                <w:highlight w:val="none"/>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25</w:t>
            </w:r>
          </w:p>
        </w:tc>
        <w:tc>
          <w:tcPr>
            <w:tcW w:w="1261" w:type="pct"/>
            <w:shd w:val="clear" w:color="auto" w:fill="auto"/>
            <w:vAlign w:val="center"/>
          </w:tcPr>
          <w:p>
            <w:pPr>
              <w:widowControl/>
              <w:jc w:val="center"/>
              <w:rPr>
                <w:color w:val="auto"/>
                <w:kern w:val="0"/>
                <w:highlight w:val="none"/>
              </w:rPr>
            </w:pPr>
            <w:r>
              <w:rPr>
                <w:color w:val="auto"/>
                <w:kern w:val="0"/>
                <w:highlight w:val="none"/>
              </w:rPr>
              <w:t>氯乙烯</w:t>
            </w:r>
          </w:p>
        </w:tc>
        <w:tc>
          <w:tcPr>
            <w:tcW w:w="830" w:type="pct"/>
            <w:shd w:val="clear" w:color="auto" w:fill="auto"/>
            <w:vAlign w:val="center"/>
          </w:tcPr>
          <w:p>
            <w:pPr>
              <w:widowControl/>
              <w:jc w:val="center"/>
              <w:rPr>
                <w:color w:val="auto"/>
                <w:kern w:val="0"/>
                <w:highlight w:val="none"/>
              </w:rPr>
            </w:pPr>
            <w:r>
              <w:rPr>
                <w:color w:val="auto"/>
                <w:kern w:val="0"/>
                <w:highlight w:val="none"/>
              </w:rPr>
              <w:t>0.12</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0.43</w:t>
            </w:r>
          </w:p>
        </w:tc>
        <w:tc>
          <w:tcPr>
            <w:tcW w:w="830" w:type="pct"/>
            <w:shd w:val="clear" w:color="auto" w:fill="auto"/>
            <w:vAlign w:val="center"/>
          </w:tcPr>
          <w:p>
            <w:pPr>
              <w:widowControl/>
              <w:jc w:val="center"/>
              <w:rPr>
                <w:color w:val="auto"/>
                <w:kern w:val="0"/>
                <w:highlight w:val="none"/>
              </w:rPr>
            </w:pPr>
            <w:r>
              <w:rPr>
                <w:color w:val="auto"/>
                <w:kern w:val="0"/>
                <w:highlight w:val="none"/>
              </w:rPr>
              <w:t>1.2</w:t>
            </w:r>
          </w:p>
        </w:tc>
        <w:tc>
          <w:tcPr>
            <w:tcW w:w="829" w:type="pct"/>
            <w:shd w:val="clear" w:color="auto" w:fill="auto"/>
            <w:vAlign w:val="center"/>
          </w:tcPr>
          <w:p>
            <w:pPr>
              <w:widowControl/>
              <w:jc w:val="center"/>
              <w:rPr>
                <w:color w:val="auto"/>
                <w:kern w:val="0"/>
                <w:highlight w:val="none"/>
              </w:rPr>
            </w:pPr>
            <w:r>
              <w:rPr>
                <w:color w:val="auto"/>
                <w:kern w:val="0"/>
                <w:highlight w:val="none"/>
              </w:rPr>
              <w:t>4.3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26</w:t>
            </w:r>
          </w:p>
        </w:tc>
        <w:tc>
          <w:tcPr>
            <w:tcW w:w="1261" w:type="pct"/>
            <w:shd w:val="clear" w:color="auto" w:fill="auto"/>
            <w:vAlign w:val="center"/>
          </w:tcPr>
          <w:p>
            <w:pPr>
              <w:widowControl/>
              <w:jc w:val="center"/>
              <w:rPr>
                <w:color w:val="auto"/>
                <w:kern w:val="0"/>
                <w:highlight w:val="none"/>
              </w:rPr>
            </w:pPr>
            <w:r>
              <w:rPr>
                <w:color w:val="auto"/>
                <w:kern w:val="0"/>
                <w:highlight w:val="none"/>
              </w:rPr>
              <w:t>苯</w:t>
            </w:r>
          </w:p>
        </w:tc>
        <w:tc>
          <w:tcPr>
            <w:tcW w:w="830" w:type="pct"/>
            <w:shd w:val="clear" w:color="auto" w:fill="auto"/>
            <w:vAlign w:val="center"/>
          </w:tcPr>
          <w:p>
            <w:pPr>
              <w:widowControl/>
              <w:jc w:val="center"/>
              <w:rPr>
                <w:color w:val="auto"/>
                <w:kern w:val="0"/>
                <w:highlight w:val="none"/>
              </w:rPr>
            </w:pPr>
            <w:r>
              <w:rPr>
                <w:color w:val="auto"/>
                <w:kern w:val="0"/>
                <w:highlight w:val="none"/>
              </w:rPr>
              <w:t>1</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4</w:t>
            </w:r>
          </w:p>
        </w:tc>
        <w:tc>
          <w:tcPr>
            <w:tcW w:w="830" w:type="pct"/>
            <w:shd w:val="clear" w:color="auto" w:fill="auto"/>
            <w:vAlign w:val="center"/>
          </w:tcPr>
          <w:p>
            <w:pPr>
              <w:widowControl/>
              <w:jc w:val="center"/>
              <w:rPr>
                <w:color w:val="auto"/>
                <w:kern w:val="0"/>
                <w:highlight w:val="none"/>
              </w:rPr>
            </w:pPr>
            <w:r>
              <w:rPr>
                <w:color w:val="auto"/>
                <w:kern w:val="0"/>
                <w:highlight w:val="none"/>
              </w:rPr>
              <w:t>10</w:t>
            </w:r>
          </w:p>
        </w:tc>
        <w:tc>
          <w:tcPr>
            <w:tcW w:w="829" w:type="pct"/>
            <w:shd w:val="clear" w:color="auto" w:fill="auto"/>
            <w:vAlign w:val="center"/>
          </w:tcPr>
          <w:p>
            <w:pPr>
              <w:widowControl/>
              <w:jc w:val="center"/>
              <w:rPr>
                <w:color w:val="auto"/>
                <w:kern w:val="0"/>
                <w:highlight w:val="none"/>
              </w:rPr>
            </w:pPr>
            <w:r>
              <w:rPr>
                <w:color w:val="auto"/>
                <w:kern w:val="0"/>
                <w:highlight w:val="none"/>
              </w:rPr>
              <w:t>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27</w:t>
            </w:r>
          </w:p>
        </w:tc>
        <w:tc>
          <w:tcPr>
            <w:tcW w:w="1261" w:type="pct"/>
            <w:shd w:val="clear" w:color="auto" w:fill="auto"/>
            <w:vAlign w:val="center"/>
          </w:tcPr>
          <w:p>
            <w:pPr>
              <w:widowControl/>
              <w:jc w:val="center"/>
              <w:rPr>
                <w:color w:val="auto"/>
                <w:kern w:val="0"/>
                <w:highlight w:val="none"/>
              </w:rPr>
            </w:pPr>
            <w:r>
              <w:rPr>
                <w:color w:val="auto"/>
                <w:kern w:val="0"/>
                <w:highlight w:val="none"/>
              </w:rPr>
              <w:t>氯苯</w:t>
            </w:r>
          </w:p>
        </w:tc>
        <w:tc>
          <w:tcPr>
            <w:tcW w:w="830" w:type="pct"/>
            <w:shd w:val="clear" w:color="auto" w:fill="auto"/>
            <w:vAlign w:val="center"/>
          </w:tcPr>
          <w:p>
            <w:pPr>
              <w:widowControl/>
              <w:jc w:val="center"/>
              <w:rPr>
                <w:color w:val="auto"/>
                <w:kern w:val="0"/>
                <w:highlight w:val="none"/>
              </w:rPr>
            </w:pPr>
            <w:r>
              <w:rPr>
                <w:color w:val="auto"/>
                <w:kern w:val="0"/>
                <w:highlight w:val="none"/>
              </w:rPr>
              <w:t>68</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270</w:t>
            </w:r>
          </w:p>
        </w:tc>
        <w:tc>
          <w:tcPr>
            <w:tcW w:w="830" w:type="pct"/>
            <w:shd w:val="clear" w:color="auto" w:fill="auto"/>
            <w:vAlign w:val="center"/>
          </w:tcPr>
          <w:p>
            <w:pPr>
              <w:widowControl/>
              <w:jc w:val="center"/>
              <w:rPr>
                <w:color w:val="auto"/>
                <w:kern w:val="0"/>
                <w:highlight w:val="none"/>
              </w:rPr>
            </w:pPr>
            <w:r>
              <w:rPr>
                <w:color w:val="auto"/>
                <w:kern w:val="0"/>
                <w:highlight w:val="none"/>
              </w:rPr>
              <w:t>200</w:t>
            </w:r>
          </w:p>
        </w:tc>
        <w:tc>
          <w:tcPr>
            <w:tcW w:w="829" w:type="pct"/>
            <w:shd w:val="clear" w:color="auto" w:fill="auto"/>
            <w:vAlign w:val="center"/>
          </w:tcPr>
          <w:p>
            <w:pPr>
              <w:widowControl/>
              <w:jc w:val="center"/>
              <w:rPr>
                <w:color w:val="auto"/>
                <w:kern w:val="0"/>
                <w:highlight w:val="none"/>
              </w:rPr>
            </w:pPr>
            <w:r>
              <w:rPr>
                <w:color w:val="auto"/>
                <w:kern w:val="0"/>
                <w:highlight w:val="none"/>
              </w:rPr>
              <w:t>1000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28</w:t>
            </w:r>
          </w:p>
        </w:tc>
        <w:tc>
          <w:tcPr>
            <w:tcW w:w="1261" w:type="pct"/>
            <w:shd w:val="clear" w:color="auto" w:fill="auto"/>
            <w:vAlign w:val="center"/>
          </w:tcPr>
          <w:p>
            <w:pPr>
              <w:widowControl/>
              <w:jc w:val="center"/>
              <w:rPr>
                <w:color w:val="auto"/>
                <w:kern w:val="0"/>
                <w:highlight w:val="none"/>
              </w:rPr>
            </w:pPr>
            <w:r>
              <w:rPr>
                <w:color w:val="auto"/>
                <w:kern w:val="0"/>
                <w:highlight w:val="none"/>
              </w:rPr>
              <w:t>1，2-二氯苯</w:t>
            </w:r>
          </w:p>
        </w:tc>
        <w:tc>
          <w:tcPr>
            <w:tcW w:w="830" w:type="pct"/>
            <w:shd w:val="clear" w:color="auto" w:fill="auto"/>
            <w:vAlign w:val="center"/>
          </w:tcPr>
          <w:p>
            <w:pPr>
              <w:widowControl/>
              <w:jc w:val="center"/>
              <w:rPr>
                <w:color w:val="auto"/>
                <w:kern w:val="0"/>
                <w:highlight w:val="none"/>
              </w:rPr>
            </w:pPr>
            <w:r>
              <w:rPr>
                <w:color w:val="auto"/>
                <w:kern w:val="0"/>
                <w:highlight w:val="none"/>
              </w:rPr>
              <w:t>560</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560</w:t>
            </w:r>
          </w:p>
        </w:tc>
        <w:tc>
          <w:tcPr>
            <w:tcW w:w="830" w:type="pct"/>
            <w:shd w:val="clear" w:color="auto" w:fill="auto"/>
            <w:vAlign w:val="center"/>
          </w:tcPr>
          <w:p>
            <w:pPr>
              <w:widowControl/>
              <w:jc w:val="center"/>
              <w:rPr>
                <w:color w:val="auto"/>
                <w:kern w:val="0"/>
                <w:highlight w:val="none"/>
              </w:rPr>
            </w:pPr>
            <w:r>
              <w:rPr>
                <w:color w:val="auto"/>
                <w:kern w:val="0"/>
                <w:highlight w:val="none"/>
              </w:rPr>
              <w:t>560</w:t>
            </w:r>
          </w:p>
        </w:tc>
        <w:tc>
          <w:tcPr>
            <w:tcW w:w="829" w:type="pct"/>
            <w:shd w:val="clear" w:color="auto" w:fill="auto"/>
            <w:vAlign w:val="center"/>
          </w:tcPr>
          <w:p>
            <w:pPr>
              <w:widowControl/>
              <w:jc w:val="center"/>
              <w:rPr>
                <w:color w:val="auto"/>
                <w:kern w:val="0"/>
                <w:highlight w:val="none"/>
              </w:rPr>
            </w:pPr>
            <w:r>
              <w:rPr>
                <w:color w:val="auto"/>
                <w:kern w:val="0"/>
                <w:highlight w:val="none"/>
              </w:rPr>
              <w:t>560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29</w:t>
            </w:r>
          </w:p>
        </w:tc>
        <w:tc>
          <w:tcPr>
            <w:tcW w:w="1261" w:type="pct"/>
            <w:shd w:val="clear" w:color="auto" w:fill="auto"/>
            <w:vAlign w:val="center"/>
          </w:tcPr>
          <w:p>
            <w:pPr>
              <w:widowControl/>
              <w:jc w:val="center"/>
              <w:rPr>
                <w:color w:val="auto"/>
                <w:kern w:val="0"/>
                <w:highlight w:val="none"/>
              </w:rPr>
            </w:pPr>
            <w:r>
              <w:rPr>
                <w:color w:val="auto"/>
                <w:kern w:val="0"/>
                <w:highlight w:val="none"/>
              </w:rPr>
              <w:t>1.4-二氯苯</w:t>
            </w:r>
          </w:p>
        </w:tc>
        <w:tc>
          <w:tcPr>
            <w:tcW w:w="830" w:type="pct"/>
            <w:shd w:val="clear" w:color="auto" w:fill="auto"/>
            <w:vAlign w:val="center"/>
          </w:tcPr>
          <w:p>
            <w:pPr>
              <w:widowControl/>
              <w:jc w:val="center"/>
              <w:rPr>
                <w:color w:val="auto"/>
                <w:kern w:val="0"/>
                <w:highlight w:val="none"/>
              </w:rPr>
            </w:pPr>
            <w:r>
              <w:rPr>
                <w:color w:val="auto"/>
                <w:kern w:val="0"/>
                <w:highlight w:val="none"/>
              </w:rPr>
              <w:t>5.6</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20</w:t>
            </w:r>
          </w:p>
        </w:tc>
        <w:tc>
          <w:tcPr>
            <w:tcW w:w="830" w:type="pct"/>
            <w:shd w:val="clear" w:color="auto" w:fill="auto"/>
            <w:vAlign w:val="center"/>
          </w:tcPr>
          <w:p>
            <w:pPr>
              <w:widowControl/>
              <w:jc w:val="center"/>
              <w:rPr>
                <w:color w:val="auto"/>
                <w:kern w:val="0"/>
                <w:highlight w:val="none"/>
              </w:rPr>
            </w:pPr>
            <w:r>
              <w:rPr>
                <w:color w:val="auto"/>
                <w:kern w:val="0"/>
                <w:highlight w:val="none"/>
              </w:rPr>
              <w:t>56</w:t>
            </w:r>
          </w:p>
        </w:tc>
        <w:tc>
          <w:tcPr>
            <w:tcW w:w="829" w:type="pct"/>
            <w:shd w:val="clear" w:color="auto" w:fill="auto"/>
            <w:vAlign w:val="center"/>
          </w:tcPr>
          <w:p>
            <w:pPr>
              <w:widowControl/>
              <w:jc w:val="center"/>
              <w:rPr>
                <w:color w:val="auto"/>
                <w:kern w:val="0"/>
                <w:highlight w:val="none"/>
              </w:rPr>
            </w:pPr>
            <w:r>
              <w:rPr>
                <w:color w:val="auto"/>
                <w:kern w:val="0"/>
                <w:highlight w:val="none"/>
              </w:rPr>
              <w:t>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30</w:t>
            </w:r>
          </w:p>
        </w:tc>
        <w:tc>
          <w:tcPr>
            <w:tcW w:w="1261" w:type="pct"/>
            <w:shd w:val="clear" w:color="auto" w:fill="auto"/>
            <w:vAlign w:val="center"/>
          </w:tcPr>
          <w:p>
            <w:pPr>
              <w:widowControl/>
              <w:jc w:val="center"/>
              <w:rPr>
                <w:color w:val="auto"/>
                <w:kern w:val="0"/>
                <w:highlight w:val="none"/>
              </w:rPr>
            </w:pPr>
            <w:r>
              <w:rPr>
                <w:color w:val="auto"/>
                <w:kern w:val="0"/>
                <w:highlight w:val="none"/>
              </w:rPr>
              <w:t>乙苯</w:t>
            </w:r>
          </w:p>
        </w:tc>
        <w:tc>
          <w:tcPr>
            <w:tcW w:w="830" w:type="pct"/>
            <w:shd w:val="clear" w:color="auto" w:fill="auto"/>
            <w:vAlign w:val="center"/>
          </w:tcPr>
          <w:p>
            <w:pPr>
              <w:widowControl/>
              <w:jc w:val="center"/>
              <w:rPr>
                <w:color w:val="auto"/>
                <w:kern w:val="0"/>
                <w:highlight w:val="none"/>
              </w:rPr>
            </w:pPr>
            <w:r>
              <w:rPr>
                <w:color w:val="auto"/>
                <w:kern w:val="0"/>
                <w:highlight w:val="none"/>
              </w:rPr>
              <w:t>7.2</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28</w:t>
            </w:r>
          </w:p>
        </w:tc>
        <w:tc>
          <w:tcPr>
            <w:tcW w:w="830" w:type="pct"/>
            <w:shd w:val="clear" w:color="auto" w:fill="auto"/>
            <w:vAlign w:val="center"/>
          </w:tcPr>
          <w:p>
            <w:pPr>
              <w:widowControl/>
              <w:jc w:val="center"/>
              <w:rPr>
                <w:color w:val="auto"/>
                <w:kern w:val="0"/>
                <w:highlight w:val="none"/>
              </w:rPr>
            </w:pPr>
            <w:r>
              <w:rPr>
                <w:color w:val="auto"/>
                <w:kern w:val="0"/>
                <w:highlight w:val="none"/>
              </w:rPr>
              <w:t>72</w:t>
            </w:r>
          </w:p>
        </w:tc>
        <w:tc>
          <w:tcPr>
            <w:tcW w:w="829" w:type="pct"/>
            <w:shd w:val="clear" w:color="auto" w:fill="auto"/>
            <w:vAlign w:val="center"/>
          </w:tcPr>
          <w:p>
            <w:pPr>
              <w:widowControl/>
              <w:jc w:val="center"/>
              <w:rPr>
                <w:color w:val="auto"/>
                <w:kern w:val="0"/>
                <w:highlight w:val="none"/>
              </w:rPr>
            </w:pPr>
            <w:r>
              <w:rPr>
                <w:color w:val="auto"/>
                <w:kern w:val="0"/>
                <w:highlight w:val="none"/>
              </w:rPr>
              <w:t>280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31</w:t>
            </w:r>
          </w:p>
        </w:tc>
        <w:tc>
          <w:tcPr>
            <w:tcW w:w="1261" w:type="pct"/>
            <w:shd w:val="clear" w:color="auto" w:fill="auto"/>
            <w:vAlign w:val="center"/>
          </w:tcPr>
          <w:p>
            <w:pPr>
              <w:widowControl/>
              <w:jc w:val="center"/>
              <w:rPr>
                <w:color w:val="auto"/>
                <w:kern w:val="0"/>
                <w:highlight w:val="none"/>
              </w:rPr>
            </w:pPr>
            <w:r>
              <w:rPr>
                <w:color w:val="auto"/>
                <w:kern w:val="0"/>
                <w:highlight w:val="none"/>
              </w:rPr>
              <w:t>苯乙烯</w:t>
            </w:r>
          </w:p>
        </w:tc>
        <w:tc>
          <w:tcPr>
            <w:tcW w:w="830" w:type="pct"/>
            <w:shd w:val="clear" w:color="auto" w:fill="auto"/>
            <w:vAlign w:val="center"/>
          </w:tcPr>
          <w:p>
            <w:pPr>
              <w:widowControl/>
              <w:jc w:val="center"/>
              <w:rPr>
                <w:color w:val="auto"/>
                <w:kern w:val="0"/>
                <w:highlight w:val="none"/>
              </w:rPr>
            </w:pPr>
            <w:r>
              <w:rPr>
                <w:color w:val="auto"/>
                <w:kern w:val="0"/>
                <w:highlight w:val="none"/>
              </w:rPr>
              <w:t>1290</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1290</w:t>
            </w:r>
          </w:p>
        </w:tc>
        <w:tc>
          <w:tcPr>
            <w:tcW w:w="830" w:type="pct"/>
            <w:shd w:val="clear" w:color="auto" w:fill="auto"/>
            <w:vAlign w:val="center"/>
          </w:tcPr>
          <w:p>
            <w:pPr>
              <w:widowControl/>
              <w:jc w:val="center"/>
              <w:rPr>
                <w:color w:val="auto"/>
                <w:kern w:val="0"/>
                <w:highlight w:val="none"/>
              </w:rPr>
            </w:pPr>
            <w:r>
              <w:rPr>
                <w:color w:val="auto"/>
                <w:kern w:val="0"/>
                <w:highlight w:val="none"/>
              </w:rPr>
              <w:t>1290</w:t>
            </w:r>
          </w:p>
        </w:tc>
        <w:tc>
          <w:tcPr>
            <w:tcW w:w="829" w:type="pct"/>
            <w:shd w:val="clear" w:color="auto" w:fill="auto"/>
            <w:vAlign w:val="center"/>
          </w:tcPr>
          <w:p>
            <w:pPr>
              <w:widowControl/>
              <w:jc w:val="center"/>
              <w:rPr>
                <w:color w:val="auto"/>
                <w:kern w:val="0"/>
                <w:highlight w:val="none"/>
              </w:rPr>
            </w:pPr>
            <w:r>
              <w:rPr>
                <w:color w:val="auto"/>
                <w:kern w:val="0"/>
                <w:highlight w:val="none"/>
              </w:rPr>
              <w:t>1290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32</w:t>
            </w:r>
          </w:p>
        </w:tc>
        <w:tc>
          <w:tcPr>
            <w:tcW w:w="1261" w:type="pct"/>
            <w:shd w:val="clear" w:color="auto" w:fill="auto"/>
            <w:vAlign w:val="center"/>
          </w:tcPr>
          <w:p>
            <w:pPr>
              <w:widowControl/>
              <w:jc w:val="center"/>
              <w:rPr>
                <w:color w:val="auto"/>
                <w:kern w:val="0"/>
                <w:highlight w:val="none"/>
              </w:rPr>
            </w:pPr>
            <w:r>
              <w:rPr>
                <w:color w:val="auto"/>
                <w:kern w:val="0"/>
                <w:highlight w:val="none"/>
              </w:rPr>
              <w:t>甲苯</w:t>
            </w:r>
          </w:p>
        </w:tc>
        <w:tc>
          <w:tcPr>
            <w:tcW w:w="830" w:type="pct"/>
            <w:shd w:val="clear" w:color="auto" w:fill="auto"/>
            <w:vAlign w:val="center"/>
          </w:tcPr>
          <w:p>
            <w:pPr>
              <w:widowControl/>
              <w:jc w:val="center"/>
              <w:rPr>
                <w:color w:val="auto"/>
                <w:kern w:val="0"/>
                <w:highlight w:val="none"/>
              </w:rPr>
            </w:pPr>
            <w:r>
              <w:rPr>
                <w:color w:val="auto"/>
                <w:kern w:val="0"/>
                <w:highlight w:val="none"/>
              </w:rPr>
              <w:t>1200</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1200</w:t>
            </w:r>
          </w:p>
        </w:tc>
        <w:tc>
          <w:tcPr>
            <w:tcW w:w="830" w:type="pct"/>
            <w:shd w:val="clear" w:color="auto" w:fill="auto"/>
            <w:vAlign w:val="center"/>
          </w:tcPr>
          <w:p>
            <w:pPr>
              <w:widowControl/>
              <w:jc w:val="center"/>
              <w:rPr>
                <w:color w:val="auto"/>
                <w:kern w:val="0"/>
                <w:highlight w:val="none"/>
              </w:rPr>
            </w:pPr>
            <w:r>
              <w:rPr>
                <w:color w:val="auto"/>
                <w:kern w:val="0"/>
                <w:highlight w:val="none"/>
              </w:rPr>
              <w:t>1200</w:t>
            </w:r>
          </w:p>
        </w:tc>
        <w:tc>
          <w:tcPr>
            <w:tcW w:w="829" w:type="pct"/>
            <w:shd w:val="clear" w:color="auto" w:fill="auto"/>
            <w:vAlign w:val="center"/>
          </w:tcPr>
          <w:p>
            <w:pPr>
              <w:widowControl/>
              <w:jc w:val="center"/>
              <w:rPr>
                <w:color w:val="auto"/>
                <w:kern w:val="0"/>
                <w:highlight w:val="none"/>
              </w:rPr>
            </w:pPr>
            <w:r>
              <w:rPr>
                <w:color w:val="auto"/>
                <w:kern w:val="0"/>
                <w:highlight w:val="none"/>
              </w:rPr>
              <w:t>1200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33</w:t>
            </w:r>
          </w:p>
        </w:tc>
        <w:tc>
          <w:tcPr>
            <w:tcW w:w="1261" w:type="pct"/>
            <w:shd w:val="clear" w:color="auto" w:fill="auto"/>
            <w:vAlign w:val="center"/>
          </w:tcPr>
          <w:p>
            <w:pPr>
              <w:widowControl/>
              <w:jc w:val="center"/>
              <w:rPr>
                <w:color w:val="auto"/>
                <w:kern w:val="0"/>
                <w:highlight w:val="none"/>
              </w:rPr>
            </w:pPr>
            <w:r>
              <w:rPr>
                <w:color w:val="auto"/>
                <w:kern w:val="0"/>
                <w:highlight w:val="none"/>
              </w:rPr>
              <w:t>间二甲苯+对二甲苯</w:t>
            </w:r>
          </w:p>
        </w:tc>
        <w:tc>
          <w:tcPr>
            <w:tcW w:w="830" w:type="pct"/>
            <w:shd w:val="clear" w:color="auto" w:fill="auto"/>
            <w:vAlign w:val="center"/>
          </w:tcPr>
          <w:p>
            <w:pPr>
              <w:widowControl/>
              <w:jc w:val="center"/>
              <w:rPr>
                <w:color w:val="auto"/>
                <w:kern w:val="0"/>
                <w:highlight w:val="none"/>
              </w:rPr>
            </w:pPr>
            <w:r>
              <w:rPr>
                <w:color w:val="auto"/>
                <w:kern w:val="0"/>
                <w:highlight w:val="none"/>
              </w:rPr>
              <w:t>163</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570</w:t>
            </w:r>
          </w:p>
        </w:tc>
        <w:tc>
          <w:tcPr>
            <w:tcW w:w="830" w:type="pct"/>
            <w:shd w:val="clear" w:color="auto" w:fill="auto"/>
            <w:vAlign w:val="center"/>
          </w:tcPr>
          <w:p>
            <w:pPr>
              <w:widowControl/>
              <w:jc w:val="center"/>
              <w:rPr>
                <w:color w:val="auto"/>
                <w:kern w:val="0"/>
                <w:highlight w:val="none"/>
              </w:rPr>
            </w:pPr>
            <w:r>
              <w:rPr>
                <w:color w:val="auto"/>
                <w:kern w:val="0"/>
                <w:highlight w:val="none"/>
              </w:rPr>
              <w:t>500</w:t>
            </w:r>
          </w:p>
        </w:tc>
        <w:tc>
          <w:tcPr>
            <w:tcW w:w="829" w:type="pct"/>
            <w:shd w:val="clear" w:color="auto" w:fill="auto"/>
            <w:vAlign w:val="center"/>
          </w:tcPr>
          <w:p>
            <w:pPr>
              <w:widowControl/>
              <w:jc w:val="center"/>
              <w:rPr>
                <w:color w:val="auto"/>
                <w:kern w:val="0"/>
                <w:highlight w:val="none"/>
              </w:rPr>
            </w:pPr>
            <w:r>
              <w:rPr>
                <w:color w:val="auto"/>
                <w:kern w:val="0"/>
                <w:highlight w:val="none"/>
              </w:rPr>
              <w:t>570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34</w:t>
            </w:r>
          </w:p>
        </w:tc>
        <w:tc>
          <w:tcPr>
            <w:tcW w:w="1261" w:type="pct"/>
            <w:shd w:val="clear" w:color="auto" w:fill="auto"/>
            <w:vAlign w:val="center"/>
          </w:tcPr>
          <w:p>
            <w:pPr>
              <w:widowControl/>
              <w:jc w:val="center"/>
              <w:rPr>
                <w:color w:val="auto"/>
                <w:kern w:val="0"/>
                <w:highlight w:val="none"/>
              </w:rPr>
            </w:pPr>
            <w:r>
              <w:rPr>
                <w:color w:val="auto"/>
                <w:kern w:val="0"/>
                <w:highlight w:val="none"/>
              </w:rPr>
              <w:t>邻二甲苯</w:t>
            </w:r>
          </w:p>
        </w:tc>
        <w:tc>
          <w:tcPr>
            <w:tcW w:w="830" w:type="pct"/>
            <w:shd w:val="clear" w:color="auto" w:fill="auto"/>
            <w:vAlign w:val="center"/>
          </w:tcPr>
          <w:p>
            <w:pPr>
              <w:widowControl/>
              <w:jc w:val="center"/>
              <w:rPr>
                <w:color w:val="auto"/>
                <w:kern w:val="0"/>
                <w:highlight w:val="none"/>
              </w:rPr>
            </w:pPr>
            <w:r>
              <w:rPr>
                <w:color w:val="auto"/>
                <w:kern w:val="0"/>
                <w:highlight w:val="none"/>
              </w:rPr>
              <w:t>222</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640</w:t>
            </w:r>
          </w:p>
        </w:tc>
        <w:tc>
          <w:tcPr>
            <w:tcW w:w="830" w:type="pct"/>
            <w:shd w:val="clear" w:color="auto" w:fill="auto"/>
            <w:vAlign w:val="center"/>
          </w:tcPr>
          <w:p>
            <w:pPr>
              <w:widowControl/>
              <w:jc w:val="center"/>
              <w:rPr>
                <w:color w:val="auto"/>
                <w:kern w:val="0"/>
                <w:highlight w:val="none"/>
              </w:rPr>
            </w:pPr>
            <w:r>
              <w:rPr>
                <w:color w:val="auto"/>
                <w:kern w:val="0"/>
                <w:highlight w:val="none"/>
              </w:rPr>
              <w:t>640</w:t>
            </w:r>
          </w:p>
        </w:tc>
        <w:tc>
          <w:tcPr>
            <w:tcW w:w="829" w:type="pct"/>
            <w:shd w:val="clear" w:color="auto" w:fill="auto"/>
            <w:vAlign w:val="center"/>
          </w:tcPr>
          <w:p>
            <w:pPr>
              <w:widowControl/>
              <w:jc w:val="center"/>
              <w:rPr>
                <w:color w:val="auto"/>
                <w:kern w:val="0"/>
                <w:highlight w:val="none"/>
              </w:rPr>
            </w:pPr>
            <w:r>
              <w:rPr>
                <w:color w:val="auto"/>
                <w:kern w:val="0"/>
                <w:highlight w:val="none"/>
              </w:rPr>
              <w:t>640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5000" w:type="pct"/>
            <w:gridSpan w:val="6"/>
            <w:shd w:val="clear" w:color="auto" w:fill="auto"/>
            <w:noWrap/>
            <w:vAlign w:val="center"/>
          </w:tcPr>
          <w:p>
            <w:pPr>
              <w:widowControl/>
              <w:jc w:val="left"/>
              <w:rPr>
                <w:color w:val="auto"/>
                <w:kern w:val="0"/>
                <w:sz w:val="22"/>
                <w:highlight w:val="none"/>
              </w:rPr>
            </w:pPr>
            <w:r>
              <w:rPr>
                <w:color w:val="auto"/>
                <w:kern w:val="0"/>
                <w:highlight w:val="none"/>
              </w:rPr>
              <w:t>半挥发性有机物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35</w:t>
            </w:r>
          </w:p>
        </w:tc>
        <w:tc>
          <w:tcPr>
            <w:tcW w:w="1261" w:type="pct"/>
            <w:shd w:val="clear" w:color="auto" w:fill="auto"/>
            <w:vAlign w:val="center"/>
          </w:tcPr>
          <w:p>
            <w:pPr>
              <w:widowControl/>
              <w:jc w:val="center"/>
              <w:rPr>
                <w:color w:val="auto"/>
                <w:kern w:val="0"/>
                <w:highlight w:val="none"/>
              </w:rPr>
            </w:pPr>
            <w:r>
              <w:rPr>
                <w:color w:val="auto"/>
                <w:kern w:val="0"/>
                <w:highlight w:val="none"/>
              </w:rPr>
              <w:t>硝基苯</w:t>
            </w:r>
          </w:p>
        </w:tc>
        <w:tc>
          <w:tcPr>
            <w:tcW w:w="830" w:type="pct"/>
            <w:shd w:val="clear" w:color="auto" w:fill="auto"/>
            <w:vAlign w:val="center"/>
          </w:tcPr>
          <w:p>
            <w:pPr>
              <w:widowControl/>
              <w:jc w:val="center"/>
              <w:rPr>
                <w:color w:val="auto"/>
                <w:kern w:val="0"/>
                <w:highlight w:val="none"/>
              </w:rPr>
            </w:pPr>
            <w:r>
              <w:rPr>
                <w:color w:val="auto"/>
                <w:kern w:val="0"/>
                <w:highlight w:val="none"/>
              </w:rPr>
              <w:t>34</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76</w:t>
            </w:r>
          </w:p>
        </w:tc>
        <w:tc>
          <w:tcPr>
            <w:tcW w:w="830" w:type="pct"/>
            <w:shd w:val="clear" w:color="auto" w:fill="auto"/>
            <w:vAlign w:val="center"/>
          </w:tcPr>
          <w:p>
            <w:pPr>
              <w:widowControl/>
              <w:jc w:val="center"/>
              <w:rPr>
                <w:color w:val="auto"/>
                <w:kern w:val="0"/>
                <w:highlight w:val="none"/>
              </w:rPr>
            </w:pPr>
            <w:r>
              <w:rPr>
                <w:color w:val="auto"/>
                <w:kern w:val="0"/>
                <w:highlight w:val="none"/>
              </w:rPr>
              <w:t>190</w:t>
            </w:r>
          </w:p>
        </w:tc>
        <w:tc>
          <w:tcPr>
            <w:tcW w:w="829" w:type="pct"/>
            <w:shd w:val="clear" w:color="auto" w:fill="auto"/>
            <w:vAlign w:val="center"/>
          </w:tcPr>
          <w:p>
            <w:pPr>
              <w:widowControl/>
              <w:jc w:val="center"/>
              <w:rPr>
                <w:color w:val="auto"/>
                <w:kern w:val="0"/>
                <w:highlight w:val="none"/>
              </w:rPr>
            </w:pPr>
            <w:r>
              <w:rPr>
                <w:color w:val="auto"/>
                <w:kern w:val="0"/>
                <w:highlight w:val="none"/>
              </w:rPr>
              <w:t>760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36</w:t>
            </w:r>
          </w:p>
        </w:tc>
        <w:tc>
          <w:tcPr>
            <w:tcW w:w="1261" w:type="pct"/>
            <w:shd w:val="clear" w:color="auto" w:fill="auto"/>
            <w:vAlign w:val="center"/>
          </w:tcPr>
          <w:p>
            <w:pPr>
              <w:widowControl/>
              <w:jc w:val="center"/>
              <w:rPr>
                <w:color w:val="auto"/>
                <w:kern w:val="0"/>
                <w:highlight w:val="none"/>
              </w:rPr>
            </w:pPr>
            <w:r>
              <w:rPr>
                <w:color w:val="auto"/>
                <w:kern w:val="0"/>
                <w:highlight w:val="none"/>
              </w:rPr>
              <w:t>苯胺</w:t>
            </w:r>
          </w:p>
        </w:tc>
        <w:tc>
          <w:tcPr>
            <w:tcW w:w="830" w:type="pct"/>
            <w:shd w:val="clear" w:color="auto" w:fill="auto"/>
            <w:vAlign w:val="center"/>
          </w:tcPr>
          <w:p>
            <w:pPr>
              <w:widowControl/>
              <w:jc w:val="center"/>
              <w:rPr>
                <w:color w:val="auto"/>
                <w:kern w:val="0"/>
                <w:highlight w:val="none"/>
              </w:rPr>
            </w:pPr>
            <w:r>
              <w:rPr>
                <w:color w:val="auto"/>
                <w:kern w:val="0"/>
                <w:highlight w:val="none"/>
              </w:rPr>
              <w:t>92</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260</w:t>
            </w:r>
          </w:p>
        </w:tc>
        <w:tc>
          <w:tcPr>
            <w:tcW w:w="830" w:type="pct"/>
            <w:shd w:val="clear" w:color="auto" w:fill="auto"/>
            <w:vAlign w:val="center"/>
          </w:tcPr>
          <w:p>
            <w:pPr>
              <w:widowControl/>
              <w:jc w:val="center"/>
              <w:rPr>
                <w:color w:val="auto"/>
                <w:kern w:val="0"/>
                <w:highlight w:val="none"/>
              </w:rPr>
            </w:pPr>
            <w:r>
              <w:rPr>
                <w:color w:val="auto"/>
                <w:kern w:val="0"/>
                <w:highlight w:val="none"/>
              </w:rPr>
              <w:t>211</w:t>
            </w:r>
          </w:p>
        </w:tc>
        <w:tc>
          <w:tcPr>
            <w:tcW w:w="829" w:type="pct"/>
            <w:shd w:val="clear" w:color="auto" w:fill="auto"/>
            <w:vAlign w:val="center"/>
          </w:tcPr>
          <w:p>
            <w:pPr>
              <w:widowControl/>
              <w:jc w:val="center"/>
              <w:rPr>
                <w:color w:val="auto"/>
                <w:kern w:val="0"/>
                <w:highlight w:val="none"/>
              </w:rPr>
            </w:pPr>
            <w:r>
              <w:rPr>
                <w:color w:val="auto"/>
                <w:kern w:val="0"/>
                <w:highlight w:val="none"/>
              </w:rPr>
              <w:t>663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37</w:t>
            </w:r>
          </w:p>
        </w:tc>
        <w:tc>
          <w:tcPr>
            <w:tcW w:w="1261" w:type="pct"/>
            <w:shd w:val="clear" w:color="auto" w:fill="auto"/>
            <w:vAlign w:val="center"/>
          </w:tcPr>
          <w:p>
            <w:pPr>
              <w:widowControl/>
              <w:jc w:val="center"/>
              <w:rPr>
                <w:color w:val="auto"/>
                <w:kern w:val="0"/>
                <w:highlight w:val="none"/>
              </w:rPr>
            </w:pPr>
            <w:r>
              <w:rPr>
                <w:color w:val="auto"/>
                <w:kern w:val="0"/>
                <w:highlight w:val="none"/>
              </w:rPr>
              <w:t>2-氯酚</w:t>
            </w:r>
          </w:p>
        </w:tc>
        <w:tc>
          <w:tcPr>
            <w:tcW w:w="830" w:type="pct"/>
            <w:shd w:val="clear" w:color="auto" w:fill="auto"/>
            <w:vAlign w:val="center"/>
          </w:tcPr>
          <w:p>
            <w:pPr>
              <w:widowControl/>
              <w:jc w:val="center"/>
              <w:rPr>
                <w:color w:val="auto"/>
                <w:kern w:val="0"/>
                <w:highlight w:val="none"/>
              </w:rPr>
            </w:pPr>
            <w:r>
              <w:rPr>
                <w:color w:val="auto"/>
                <w:kern w:val="0"/>
                <w:highlight w:val="none"/>
              </w:rPr>
              <w:t>250</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2256</w:t>
            </w:r>
          </w:p>
        </w:tc>
        <w:tc>
          <w:tcPr>
            <w:tcW w:w="830" w:type="pct"/>
            <w:shd w:val="clear" w:color="auto" w:fill="auto"/>
            <w:vAlign w:val="center"/>
          </w:tcPr>
          <w:p>
            <w:pPr>
              <w:widowControl/>
              <w:jc w:val="center"/>
              <w:rPr>
                <w:color w:val="auto"/>
                <w:kern w:val="0"/>
                <w:highlight w:val="none"/>
              </w:rPr>
            </w:pPr>
            <w:r>
              <w:rPr>
                <w:color w:val="auto"/>
                <w:kern w:val="0"/>
                <w:highlight w:val="none"/>
              </w:rPr>
              <w:t>500</w:t>
            </w:r>
          </w:p>
        </w:tc>
        <w:tc>
          <w:tcPr>
            <w:tcW w:w="829" w:type="pct"/>
            <w:shd w:val="clear" w:color="auto" w:fill="auto"/>
            <w:vAlign w:val="center"/>
          </w:tcPr>
          <w:p>
            <w:pPr>
              <w:widowControl/>
              <w:jc w:val="center"/>
              <w:rPr>
                <w:color w:val="auto"/>
                <w:kern w:val="0"/>
                <w:highlight w:val="none"/>
              </w:rPr>
            </w:pPr>
            <w:r>
              <w:rPr>
                <w:color w:val="auto"/>
                <w:kern w:val="0"/>
                <w:highlight w:val="none"/>
              </w:rPr>
              <w:t>4500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38</w:t>
            </w:r>
          </w:p>
        </w:tc>
        <w:tc>
          <w:tcPr>
            <w:tcW w:w="1261" w:type="pct"/>
            <w:shd w:val="clear" w:color="auto" w:fill="auto"/>
            <w:vAlign w:val="center"/>
          </w:tcPr>
          <w:p>
            <w:pPr>
              <w:widowControl/>
              <w:jc w:val="center"/>
              <w:rPr>
                <w:color w:val="auto"/>
                <w:kern w:val="0"/>
                <w:highlight w:val="none"/>
              </w:rPr>
            </w:pPr>
            <w:r>
              <w:rPr>
                <w:color w:val="auto"/>
                <w:kern w:val="0"/>
                <w:highlight w:val="none"/>
              </w:rPr>
              <w:t>苯并[a]蒽</w:t>
            </w:r>
          </w:p>
        </w:tc>
        <w:tc>
          <w:tcPr>
            <w:tcW w:w="830" w:type="pct"/>
            <w:shd w:val="clear" w:color="auto" w:fill="auto"/>
            <w:vAlign w:val="center"/>
          </w:tcPr>
          <w:p>
            <w:pPr>
              <w:widowControl/>
              <w:jc w:val="center"/>
              <w:rPr>
                <w:color w:val="auto"/>
                <w:kern w:val="0"/>
                <w:highlight w:val="none"/>
              </w:rPr>
            </w:pPr>
            <w:r>
              <w:rPr>
                <w:color w:val="auto"/>
                <w:kern w:val="0"/>
                <w:highlight w:val="none"/>
              </w:rPr>
              <w:t>5.5</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15</w:t>
            </w:r>
          </w:p>
        </w:tc>
        <w:tc>
          <w:tcPr>
            <w:tcW w:w="830" w:type="pct"/>
            <w:shd w:val="clear" w:color="auto" w:fill="auto"/>
            <w:vAlign w:val="center"/>
          </w:tcPr>
          <w:p>
            <w:pPr>
              <w:widowControl/>
              <w:jc w:val="center"/>
              <w:rPr>
                <w:color w:val="auto"/>
                <w:kern w:val="0"/>
                <w:highlight w:val="none"/>
              </w:rPr>
            </w:pPr>
            <w:r>
              <w:rPr>
                <w:color w:val="auto"/>
                <w:kern w:val="0"/>
                <w:highlight w:val="none"/>
              </w:rPr>
              <w:t>55</w:t>
            </w:r>
          </w:p>
        </w:tc>
        <w:tc>
          <w:tcPr>
            <w:tcW w:w="829" w:type="pct"/>
            <w:shd w:val="clear" w:color="auto" w:fill="auto"/>
            <w:vAlign w:val="center"/>
          </w:tcPr>
          <w:p>
            <w:pPr>
              <w:widowControl/>
              <w:jc w:val="center"/>
              <w:rPr>
                <w:color w:val="auto"/>
                <w:kern w:val="0"/>
                <w:highlight w:val="none"/>
              </w:rPr>
            </w:pPr>
            <w:r>
              <w:rPr>
                <w:color w:val="auto"/>
                <w:kern w:val="0"/>
                <w:highlight w:val="none"/>
              </w:rPr>
              <w:t>151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39</w:t>
            </w:r>
          </w:p>
        </w:tc>
        <w:tc>
          <w:tcPr>
            <w:tcW w:w="1261" w:type="pct"/>
            <w:shd w:val="clear" w:color="auto" w:fill="auto"/>
            <w:vAlign w:val="center"/>
          </w:tcPr>
          <w:p>
            <w:pPr>
              <w:widowControl/>
              <w:jc w:val="center"/>
              <w:rPr>
                <w:color w:val="auto"/>
                <w:kern w:val="0"/>
                <w:highlight w:val="none"/>
              </w:rPr>
            </w:pPr>
            <w:r>
              <w:rPr>
                <w:color w:val="auto"/>
                <w:kern w:val="0"/>
                <w:highlight w:val="none"/>
              </w:rPr>
              <w:t>苯并[a]</w:t>
            </w:r>
          </w:p>
        </w:tc>
        <w:tc>
          <w:tcPr>
            <w:tcW w:w="830" w:type="pct"/>
            <w:shd w:val="clear" w:color="auto" w:fill="auto"/>
            <w:vAlign w:val="center"/>
          </w:tcPr>
          <w:p>
            <w:pPr>
              <w:widowControl/>
              <w:jc w:val="center"/>
              <w:rPr>
                <w:color w:val="auto"/>
                <w:kern w:val="0"/>
                <w:highlight w:val="none"/>
              </w:rPr>
            </w:pPr>
            <w:r>
              <w:rPr>
                <w:color w:val="auto"/>
                <w:kern w:val="0"/>
                <w:highlight w:val="none"/>
              </w:rPr>
              <w:t>0.55</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1.5</w:t>
            </w:r>
          </w:p>
        </w:tc>
        <w:tc>
          <w:tcPr>
            <w:tcW w:w="830" w:type="pct"/>
            <w:shd w:val="clear" w:color="auto" w:fill="auto"/>
            <w:vAlign w:val="center"/>
          </w:tcPr>
          <w:p>
            <w:pPr>
              <w:widowControl/>
              <w:jc w:val="center"/>
              <w:rPr>
                <w:color w:val="auto"/>
                <w:kern w:val="0"/>
                <w:highlight w:val="none"/>
              </w:rPr>
            </w:pPr>
            <w:r>
              <w:rPr>
                <w:color w:val="auto"/>
                <w:kern w:val="0"/>
                <w:highlight w:val="none"/>
              </w:rPr>
              <w:t>5.5</w:t>
            </w:r>
          </w:p>
        </w:tc>
        <w:tc>
          <w:tcPr>
            <w:tcW w:w="829" w:type="pct"/>
            <w:shd w:val="clear" w:color="auto" w:fill="auto"/>
            <w:vAlign w:val="center"/>
          </w:tcPr>
          <w:p>
            <w:pPr>
              <w:widowControl/>
              <w:jc w:val="center"/>
              <w:rPr>
                <w:color w:val="auto"/>
                <w:kern w:val="0"/>
                <w:highlight w:val="none"/>
              </w:rPr>
            </w:pPr>
            <w:r>
              <w:rPr>
                <w:color w:val="auto"/>
                <w:kern w:val="0"/>
                <w:highlight w:val="none"/>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40</w:t>
            </w:r>
          </w:p>
        </w:tc>
        <w:tc>
          <w:tcPr>
            <w:tcW w:w="1261" w:type="pct"/>
            <w:shd w:val="clear" w:color="auto" w:fill="auto"/>
            <w:vAlign w:val="center"/>
          </w:tcPr>
          <w:p>
            <w:pPr>
              <w:widowControl/>
              <w:jc w:val="center"/>
              <w:rPr>
                <w:color w:val="auto"/>
                <w:kern w:val="0"/>
                <w:highlight w:val="none"/>
              </w:rPr>
            </w:pPr>
            <w:r>
              <w:rPr>
                <w:color w:val="auto"/>
                <w:kern w:val="0"/>
                <w:highlight w:val="none"/>
              </w:rPr>
              <w:t>苯并[b]荧蒽</w:t>
            </w:r>
          </w:p>
        </w:tc>
        <w:tc>
          <w:tcPr>
            <w:tcW w:w="830" w:type="pct"/>
            <w:shd w:val="clear" w:color="auto" w:fill="auto"/>
            <w:vAlign w:val="center"/>
          </w:tcPr>
          <w:p>
            <w:pPr>
              <w:widowControl/>
              <w:jc w:val="center"/>
              <w:rPr>
                <w:color w:val="auto"/>
                <w:kern w:val="0"/>
                <w:highlight w:val="none"/>
              </w:rPr>
            </w:pPr>
            <w:r>
              <w:rPr>
                <w:color w:val="auto"/>
                <w:kern w:val="0"/>
                <w:highlight w:val="none"/>
              </w:rPr>
              <w:t>5.5</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15</w:t>
            </w:r>
          </w:p>
        </w:tc>
        <w:tc>
          <w:tcPr>
            <w:tcW w:w="830" w:type="pct"/>
            <w:shd w:val="clear" w:color="auto" w:fill="auto"/>
            <w:vAlign w:val="center"/>
          </w:tcPr>
          <w:p>
            <w:pPr>
              <w:widowControl/>
              <w:jc w:val="center"/>
              <w:rPr>
                <w:color w:val="auto"/>
                <w:kern w:val="0"/>
                <w:highlight w:val="none"/>
              </w:rPr>
            </w:pPr>
            <w:r>
              <w:rPr>
                <w:color w:val="auto"/>
                <w:kern w:val="0"/>
                <w:highlight w:val="none"/>
              </w:rPr>
              <w:t>55</w:t>
            </w:r>
          </w:p>
        </w:tc>
        <w:tc>
          <w:tcPr>
            <w:tcW w:w="829" w:type="pct"/>
            <w:shd w:val="clear" w:color="auto" w:fill="auto"/>
            <w:vAlign w:val="center"/>
          </w:tcPr>
          <w:p>
            <w:pPr>
              <w:widowControl/>
              <w:jc w:val="center"/>
              <w:rPr>
                <w:color w:val="auto"/>
                <w:kern w:val="0"/>
                <w:highlight w:val="none"/>
              </w:rPr>
            </w:pPr>
            <w:r>
              <w:rPr>
                <w:color w:val="auto"/>
                <w:kern w:val="0"/>
                <w:highlight w:val="none"/>
              </w:rPr>
              <w:t>151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41</w:t>
            </w:r>
          </w:p>
        </w:tc>
        <w:tc>
          <w:tcPr>
            <w:tcW w:w="1261" w:type="pct"/>
            <w:shd w:val="clear" w:color="auto" w:fill="auto"/>
            <w:vAlign w:val="center"/>
          </w:tcPr>
          <w:p>
            <w:pPr>
              <w:widowControl/>
              <w:jc w:val="center"/>
              <w:rPr>
                <w:color w:val="auto"/>
                <w:kern w:val="0"/>
                <w:highlight w:val="none"/>
              </w:rPr>
            </w:pPr>
            <w:r>
              <w:rPr>
                <w:color w:val="auto"/>
                <w:kern w:val="0"/>
                <w:highlight w:val="none"/>
              </w:rPr>
              <w:t>苯并[k]荧蒽</w:t>
            </w:r>
          </w:p>
        </w:tc>
        <w:tc>
          <w:tcPr>
            <w:tcW w:w="830" w:type="pct"/>
            <w:shd w:val="clear" w:color="auto" w:fill="auto"/>
            <w:vAlign w:val="center"/>
          </w:tcPr>
          <w:p>
            <w:pPr>
              <w:widowControl/>
              <w:jc w:val="center"/>
              <w:rPr>
                <w:color w:val="auto"/>
                <w:kern w:val="0"/>
                <w:highlight w:val="none"/>
              </w:rPr>
            </w:pPr>
            <w:r>
              <w:rPr>
                <w:color w:val="auto"/>
                <w:kern w:val="0"/>
                <w:highlight w:val="none"/>
              </w:rPr>
              <w:t>55</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151</w:t>
            </w:r>
          </w:p>
        </w:tc>
        <w:tc>
          <w:tcPr>
            <w:tcW w:w="830" w:type="pct"/>
            <w:shd w:val="clear" w:color="auto" w:fill="auto"/>
            <w:vAlign w:val="center"/>
          </w:tcPr>
          <w:p>
            <w:pPr>
              <w:widowControl/>
              <w:jc w:val="center"/>
              <w:rPr>
                <w:color w:val="auto"/>
                <w:kern w:val="0"/>
                <w:highlight w:val="none"/>
              </w:rPr>
            </w:pPr>
            <w:r>
              <w:rPr>
                <w:color w:val="auto"/>
                <w:kern w:val="0"/>
                <w:highlight w:val="none"/>
              </w:rPr>
              <w:t>550</w:t>
            </w:r>
          </w:p>
        </w:tc>
        <w:tc>
          <w:tcPr>
            <w:tcW w:w="829" w:type="pct"/>
            <w:shd w:val="clear" w:color="auto" w:fill="auto"/>
            <w:vAlign w:val="center"/>
          </w:tcPr>
          <w:p>
            <w:pPr>
              <w:widowControl/>
              <w:jc w:val="center"/>
              <w:rPr>
                <w:color w:val="auto"/>
                <w:kern w:val="0"/>
                <w:highlight w:val="none"/>
              </w:rPr>
            </w:pPr>
            <w:r>
              <w:rPr>
                <w:color w:val="auto"/>
                <w:kern w:val="0"/>
                <w:highlight w:val="none"/>
              </w:rPr>
              <w:t>1500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42</w:t>
            </w:r>
          </w:p>
        </w:tc>
        <w:tc>
          <w:tcPr>
            <w:tcW w:w="1261" w:type="pct"/>
            <w:shd w:val="clear" w:color="auto" w:fill="auto"/>
            <w:vAlign w:val="center"/>
          </w:tcPr>
          <w:p>
            <w:pPr>
              <w:widowControl/>
              <w:jc w:val="center"/>
              <w:rPr>
                <w:color w:val="auto"/>
                <w:kern w:val="0"/>
                <w:highlight w:val="none"/>
              </w:rPr>
            </w:pPr>
            <w:r>
              <w:rPr>
                <w:color w:val="auto"/>
                <w:kern w:val="0"/>
                <w:highlight w:val="none"/>
              </w:rPr>
              <w:t>䓛</w:t>
            </w:r>
          </w:p>
        </w:tc>
        <w:tc>
          <w:tcPr>
            <w:tcW w:w="830" w:type="pct"/>
            <w:shd w:val="clear" w:color="auto" w:fill="auto"/>
            <w:vAlign w:val="center"/>
          </w:tcPr>
          <w:p>
            <w:pPr>
              <w:widowControl/>
              <w:jc w:val="center"/>
              <w:rPr>
                <w:color w:val="auto"/>
                <w:kern w:val="0"/>
                <w:highlight w:val="none"/>
              </w:rPr>
            </w:pPr>
            <w:r>
              <w:rPr>
                <w:color w:val="auto"/>
                <w:kern w:val="0"/>
                <w:highlight w:val="none"/>
              </w:rPr>
              <w:t>490</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1293</w:t>
            </w:r>
          </w:p>
        </w:tc>
        <w:tc>
          <w:tcPr>
            <w:tcW w:w="830" w:type="pct"/>
            <w:shd w:val="clear" w:color="auto" w:fill="auto"/>
            <w:vAlign w:val="center"/>
          </w:tcPr>
          <w:p>
            <w:pPr>
              <w:widowControl/>
              <w:jc w:val="center"/>
              <w:rPr>
                <w:color w:val="auto"/>
                <w:kern w:val="0"/>
                <w:highlight w:val="none"/>
              </w:rPr>
            </w:pPr>
            <w:r>
              <w:rPr>
                <w:color w:val="auto"/>
                <w:kern w:val="0"/>
                <w:highlight w:val="none"/>
              </w:rPr>
              <w:t>4900</w:t>
            </w:r>
          </w:p>
        </w:tc>
        <w:tc>
          <w:tcPr>
            <w:tcW w:w="829" w:type="pct"/>
            <w:shd w:val="clear" w:color="auto" w:fill="auto"/>
            <w:vAlign w:val="center"/>
          </w:tcPr>
          <w:p>
            <w:pPr>
              <w:widowControl/>
              <w:jc w:val="center"/>
              <w:rPr>
                <w:color w:val="auto"/>
                <w:kern w:val="0"/>
                <w:highlight w:val="none"/>
              </w:rPr>
            </w:pPr>
            <w:r>
              <w:rPr>
                <w:color w:val="auto"/>
                <w:kern w:val="0"/>
                <w:highlight w:val="none"/>
              </w:rPr>
              <w:t>12900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43</w:t>
            </w:r>
          </w:p>
        </w:tc>
        <w:tc>
          <w:tcPr>
            <w:tcW w:w="1261" w:type="pct"/>
            <w:shd w:val="clear" w:color="auto" w:fill="auto"/>
            <w:vAlign w:val="center"/>
          </w:tcPr>
          <w:p>
            <w:pPr>
              <w:widowControl/>
              <w:jc w:val="center"/>
              <w:rPr>
                <w:color w:val="auto"/>
                <w:kern w:val="0"/>
                <w:highlight w:val="none"/>
              </w:rPr>
            </w:pPr>
            <w:r>
              <w:rPr>
                <w:color w:val="auto"/>
                <w:kern w:val="0"/>
                <w:highlight w:val="none"/>
              </w:rPr>
              <w:t>二苯并[a,h] 蒽</w:t>
            </w:r>
          </w:p>
        </w:tc>
        <w:tc>
          <w:tcPr>
            <w:tcW w:w="830" w:type="pct"/>
            <w:shd w:val="clear" w:color="auto" w:fill="auto"/>
            <w:vAlign w:val="center"/>
          </w:tcPr>
          <w:p>
            <w:pPr>
              <w:widowControl/>
              <w:jc w:val="center"/>
              <w:rPr>
                <w:color w:val="auto"/>
                <w:kern w:val="0"/>
                <w:highlight w:val="none"/>
              </w:rPr>
            </w:pPr>
            <w:r>
              <w:rPr>
                <w:color w:val="auto"/>
                <w:kern w:val="0"/>
                <w:highlight w:val="none"/>
              </w:rPr>
              <w:t>0.55</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1.5</w:t>
            </w:r>
          </w:p>
        </w:tc>
        <w:tc>
          <w:tcPr>
            <w:tcW w:w="830" w:type="pct"/>
            <w:shd w:val="clear" w:color="auto" w:fill="auto"/>
            <w:vAlign w:val="center"/>
          </w:tcPr>
          <w:p>
            <w:pPr>
              <w:widowControl/>
              <w:jc w:val="center"/>
              <w:rPr>
                <w:color w:val="auto"/>
                <w:kern w:val="0"/>
                <w:highlight w:val="none"/>
              </w:rPr>
            </w:pPr>
            <w:r>
              <w:rPr>
                <w:color w:val="auto"/>
                <w:kern w:val="0"/>
                <w:highlight w:val="none"/>
              </w:rPr>
              <w:t>5.5</w:t>
            </w:r>
          </w:p>
        </w:tc>
        <w:tc>
          <w:tcPr>
            <w:tcW w:w="829" w:type="pct"/>
            <w:shd w:val="clear" w:color="auto" w:fill="auto"/>
            <w:vAlign w:val="center"/>
          </w:tcPr>
          <w:p>
            <w:pPr>
              <w:widowControl/>
              <w:jc w:val="center"/>
              <w:rPr>
                <w:color w:val="auto"/>
                <w:kern w:val="0"/>
                <w:highlight w:val="none"/>
              </w:rPr>
            </w:pPr>
            <w:r>
              <w:rPr>
                <w:color w:val="auto"/>
                <w:kern w:val="0"/>
                <w:highlight w:val="none"/>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44</w:t>
            </w:r>
          </w:p>
        </w:tc>
        <w:tc>
          <w:tcPr>
            <w:tcW w:w="1261" w:type="pct"/>
            <w:shd w:val="clear" w:color="auto" w:fill="auto"/>
            <w:vAlign w:val="center"/>
          </w:tcPr>
          <w:p>
            <w:pPr>
              <w:widowControl/>
              <w:jc w:val="center"/>
              <w:rPr>
                <w:color w:val="auto"/>
                <w:kern w:val="0"/>
                <w:highlight w:val="none"/>
              </w:rPr>
            </w:pPr>
            <w:r>
              <w:rPr>
                <w:color w:val="auto"/>
                <w:kern w:val="0"/>
                <w:highlight w:val="none"/>
              </w:rPr>
              <w:t>茚并[1,2,3-c,d]芘</w:t>
            </w:r>
          </w:p>
        </w:tc>
        <w:tc>
          <w:tcPr>
            <w:tcW w:w="830" w:type="pct"/>
            <w:shd w:val="clear" w:color="auto" w:fill="auto"/>
            <w:vAlign w:val="center"/>
          </w:tcPr>
          <w:p>
            <w:pPr>
              <w:widowControl/>
              <w:jc w:val="center"/>
              <w:rPr>
                <w:color w:val="auto"/>
                <w:kern w:val="0"/>
                <w:highlight w:val="none"/>
              </w:rPr>
            </w:pPr>
            <w:r>
              <w:rPr>
                <w:color w:val="auto"/>
                <w:kern w:val="0"/>
                <w:highlight w:val="none"/>
              </w:rPr>
              <w:t>5.5</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15</w:t>
            </w:r>
          </w:p>
        </w:tc>
        <w:tc>
          <w:tcPr>
            <w:tcW w:w="830" w:type="pct"/>
            <w:shd w:val="clear" w:color="auto" w:fill="auto"/>
            <w:vAlign w:val="center"/>
          </w:tcPr>
          <w:p>
            <w:pPr>
              <w:widowControl/>
              <w:jc w:val="center"/>
              <w:rPr>
                <w:color w:val="auto"/>
                <w:kern w:val="0"/>
                <w:highlight w:val="none"/>
              </w:rPr>
            </w:pPr>
            <w:r>
              <w:rPr>
                <w:color w:val="auto"/>
                <w:kern w:val="0"/>
                <w:highlight w:val="none"/>
              </w:rPr>
              <w:t>55</w:t>
            </w:r>
          </w:p>
        </w:tc>
        <w:tc>
          <w:tcPr>
            <w:tcW w:w="829" w:type="pct"/>
            <w:shd w:val="clear" w:color="auto" w:fill="auto"/>
            <w:vAlign w:val="center"/>
          </w:tcPr>
          <w:p>
            <w:pPr>
              <w:widowControl/>
              <w:jc w:val="center"/>
              <w:rPr>
                <w:color w:val="auto"/>
                <w:kern w:val="0"/>
                <w:highlight w:val="none"/>
              </w:rPr>
            </w:pPr>
            <w:r>
              <w:rPr>
                <w:color w:val="auto"/>
                <w:kern w:val="0"/>
                <w:highlight w:val="none"/>
              </w:rPr>
              <w:t>151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pPr>
              <w:widowControl/>
              <w:jc w:val="center"/>
              <w:rPr>
                <w:color w:val="auto"/>
                <w:kern w:val="0"/>
                <w:highlight w:val="none"/>
              </w:rPr>
            </w:pPr>
            <w:r>
              <w:rPr>
                <w:color w:val="auto"/>
                <w:kern w:val="0"/>
                <w:highlight w:val="none"/>
              </w:rPr>
              <w:t>45</w:t>
            </w:r>
          </w:p>
        </w:tc>
        <w:tc>
          <w:tcPr>
            <w:tcW w:w="1261" w:type="pct"/>
            <w:shd w:val="clear" w:color="auto" w:fill="auto"/>
            <w:vAlign w:val="center"/>
          </w:tcPr>
          <w:p>
            <w:pPr>
              <w:widowControl/>
              <w:jc w:val="center"/>
              <w:rPr>
                <w:color w:val="auto"/>
                <w:kern w:val="0"/>
                <w:highlight w:val="none"/>
              </w:rPr>
            </w:pPr>
            <w:r>
              <w:rPr>
                <w:color w:val="auto"/>
                <w:kern w:val="0"/>
                <w:highlight w:val="none"/>
              </w:rPr>
              <w:t>萘</w:t>
            </w:r>
          </w:p>
        </w:tc>
        <w:tc>
          <w:tcPr>
            <w:tcW w:w="830" w:type="pct"/>
            <w:shd w:val="clear" w:color="auto" w:fill="auto"/>
            <w:vAlign w:val="center"/>
          </w:tcPr>
          <w:p>
            <w:pPr>
              <w:widowControl/>
              <w:jc w:val="center"/>
              <w:rPr>
                <w:color w:val="auto"/>
                <w:kern w:val="0"/>
                <w:highlight w:val="none"/>
              </w:rPr>
            </w:pPr>
            <w:r>
              <w:rPr>
                <w:color w:val="auto"/>
                <w:kern w:val="0"/>
                <w:highlight w:val="none"/>
              </w:rPr>
              <w:t>25</w:t>
            </w:r>
          </w:p>
        </w:tc>
        <w:tc>
          <w:tcPr>
            <w:tcW w:w="831" w:type="pct"/>
            <w:shd w:val="clear" w:color="auto" w:fill="auto"/>
            <w:vAlign w:val="center"/>
          </w:tcPr>
          <w:p>
            <w:pPr>
              <w:widowControl/>
              <w:jc w:val="center"/>
              <w:rPr>
                <w:b/>
                <w:bCs/>
                <w:color w:val="auto"/>
                <w:kern w:val="0"/>
                <w:highlight w:val="none"/>
              </w:rPr>
            </w:pPr>
            <w:r>
              <w:rPr>
                <w:b/>
                <w:bCs/>
                <w:color w:val="auto"/>
                <w:kern w:val="0"/>
                <w:highlight w:val="none"/>
              </w:rPr>
              <w:t>70</w:t>
            </w:r>
          </w:p>
        </w:tc>
        <w:tc>
          <w:tcPr>
            <w:tcW w:w="830" w:type="pct"/>
            <w:shd w:val="clear" w:color="auto" w:fill="auto"/>
            <w:vAlign w:val="center"/>
          </w:tcPr>
          <w:p>
            <w:pPr>
              <w:widowControl/>
              <w:jc w:val="center"/>
              <w:rPr>
                <w:color w:val="auto"/>
                <w:kern w:val="0"/>
                <w:highlight w:val="none"/>
              </w:rPr>
            </w:pPr>
            <w:r>
              <w:rPr>
                <w:color w:val="auto"/>
                <w:kern w:val="0"/>
                <w:highlight w:val="none"/>
              </w:rPr>
              <w:t>255</w:t>
            </w:r>
          </w:p>
        </w:tc>
        <w:tc>
          <w:tcPr>
            <w:tcW w:w="829" w:type="pct"/>
            <w:shd w:val="clear" w:color="auto" w:fill="auto"/>
            <w:vAlign w:val="center"/>
          </w:tcPr>
          <w:p>
            <w:pPr>
              <w:widowControl/>
              <w:jc w:val="center"/>
              <w:rPr>
                <w:color w:val="auto"/>
                <w:kern w:val="0"/>
                <w:highlight w:val="none"/>
              </w:rPr>
            </w:pPr>
            <w:r>
              <w:rPr>
                <w:color w:val="auto"/>
                <w:kern w:val="0"/>
                <w:highlight w:val="none"/>
              </w:rPr>
              <w:t>700</w:t>
            </w:r>
          </w:p>
        </w:tc>
      </w:tr>
    </w:tbl>
    <w:p>
      <w:pPr>
        <w:pStyle w:val="101"/>
        <w:spacing w:before="78"/>
        <w:rPr>
          <w:rFonts w:ascii="Times New Roman" w:hAnsi="Times New Roman"/>
          <w:color w:val="auto"/>
          <w:highlight w:val="none"/>
        </w:rPr>
      </w:pPr>
      <w:r>
        <w:rPr>
          <w:rFonts w:ascii="Times New Roman" w:hAnsi="Times New Roman"/>
          <w:color w:val="auto"/>
          <w:highlight w:val="none"/>
        </w:rPr>
        <w:t>1.4.2 污染物排放标准</w:t>
      </w:r>
    </w:p>
    <w:p>
      <w:pPr>
        <w:spacing w:line="360" w:lineRule="auto"/>
        <w:ind w:firstLine="480" w:firstLineChars="200"/>
        <w:rPr>
          <w:color w:val="auto"/>
          <w:sz w:val="24"/>
          <w:highlight w:val="none"/>
        </w:rPr>
      </w:pPr>
      <w:r>
        <w:rPr>
          <w:color w:val="auto"/>
          <w:sz w:val="24"/>
          <w:highlight w:val="none"/>
        </w:rPr>
        <w:t>本次环评执行的有关污染物排放标准见表1.4-</w:t>
      </w:r>
      <w:r>
        <w:rPr>
          <w:rFonts w:hint="eastAsia"/>
          <w:color w:val="auto"/>
          <w:sz w:val="24"/>
          <w:highlight w:val="none"/>
          <w:lang w:val="en-US" w:eastAsia="zh-CN"/>
        </w:rPr>
        <w:t>7</w:t>
      </w:r>
      <w:r>
        <w:rPr>
          <w:color w:val="auto"/>
          <w:sz w:val="24"/>
          <w:highlight w:val="none"/>
        </w:rPr>
        <w:t>。</w:t>
      </w:r>
    </w:p>
    <w:p>
      <w:pPr>
        <w:pStyle w:val="158"/>
        <w:spacing w:before="0" w:after="0" w:afterAutospacing="0" w:line="360" w:lineRule="auto"/>
        <w:ind w:firstLine="480"/>
        <w:rPr>
          <w:rFonts w:cs="Times New Roman"/>
          <w:color w:val="auto"/>
          <w:highlight w:val="none"/>
        </w:rPr>
      </w:pPr>
      <w:r>
        <w:rPr>
          <w:rFonts w:cs="Times New Roman"/>
          <w:color w:val="auto"/>
          <w:highlight w:val="none"/>
        </w:rPr>
        <w:t>表1.4-</w:t>
      </w:r>
      <w:r>
        <w:rPr>
          <w:rFonts w:hint="eastAsia" w:cs="Times New Roman"/>
          <w:color w:val="auto"/>
          <w:highlight w:val="none"/>
          <w:lang w:val="en-US" w:eastAsia="zh-CN"/>
        </w:rPr>
        <w:t>7</w:t>
      </w:r>
      <w:r>
        <w:rPr>
          <w:rFonts w:cs="Times New Roman"/>
          <w:color w:val="auto"/>
          <w:highlight w:val="none"/>
        </w:rPr>
        <w:t xml:space="preserve">    污染物排放标准一览表</w:t>
      </w:r>
    </w:p>
    <w:tbl>
      <w:tblPr>
        <w:tblStyle w:val="59"/>
        <w:tblW w:w="8610"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45"/>
        <w:gridCol w:w="5899"/>
        <w:gridCol w:w="196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45" w:type="dxa"/>
            <w:tcMar>
              <w:top w:w="0" w:type="dxa"/>
              <w:left w:w="57" w:type="dxa"/>
              <w:bottom w:w="0" w:type="dxa"/>
              <w:right w:w="57" w:type="dxa"/>
            </w:tcMar>
            <w:vAlign w:val="center"/>
          </w:tcPr>
          <w:p>
            <w:pPr>
              <w:spacing w:line="280" w:lineRule="exact"/>
              <w:jc w:val="center"/>
              <w:rPr>
                <w:color w:val="auto"/>
                <w:highlight w:val="none"/>
              </w:rPr>
            </w:pPr>
            <w:r>
              <w:rPr>
                <w:color w:val="auto"/>
                <w:highlight w:val="none"/>
              </w:rPr>
              <w:t>项目</w:t>
            </w:r>
          </w:p>
        </w:tc>
        <w:tc>
          <w:tcPr>
            <w:tcW w:w="5899" w:type="dxa"/>
            <w:tcMar>
              <w:top w:w="0" w:type="dxa"/>
              <w:left w:w="57" w:type="dxa"/>
              <w:bottom w:w="0" w:type="dxa"/>
              <w:right w:w="57" w:type="dxa"/>
            </w:tcMar>
            <w:vAlign w:val="center"/>
          </w:tcPr>
          <w:p>
            <w:pPr>
              <w:spacing w:line="280" w:lineRule="exact"/>
              <w:jc w:val="center"/>
              <w:rPr>
                <w:color w:val="auto"/>
                <w:highlight w:val="none"/>
              </w:rPr>
            </w:pPr>
            <w:r>
              <w:rPr>
                <w:color w:val="auto"/>
                <w:highlight w:val="none"/>
              </w:rPr>
              <w:t>执 行 标 准</w:t>
            </w:r>
          </w:p>
        </w:tc>
        <w:tc>
          <w:tcPr>
            <w:tcW w:w="1966" w:type="dxa"/>
            <w:tcMar>
              <w:top w:w="0" w:type="dxa"/>
              <w:left w:w="57" w:type="dxa"/>
              <w:bottom w:w="0" w:type="dxa"/>
              <w:right w:w="57" w:type="dxa"/>
            </w:tcMar>
            <w:vAlign w:val="center"/>
          </w:tcPr>
          <w:p>
            <w:pPr>
              <w:spacing w:line="280" w:lineRule="exact"/>
              <w:jc w:val="center"/>
              <w:rPr>
                <w:color w:val="auto"/>
                <w:highlight w:val="none"/>
              </w:rPr>
            </w:pPr>
            <w:r>
              <w:rPr>
                <w:color w:val="auto"/>
                <w:highlight w:val="none"/>
              </w:rPr>
              <w:t>标准分级或分类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45" w:type="dxa"/>
            <w:vMerge w:val="restart"/>
            <w:tcMar>
              <w:top w:w="0" w:type="dxa"/>
              <w:left w:w="57" w:type="dxa"/>
              <w:bottom w:w="0" w:type="dxa"/>
              <w:right w:w="57" w:type="dxa"/>
            </w:tcMar>
            <w:vAlign w:val="center"/>
          </w:tcPr>
          <w:p>
            <w:pPr>
              <w:spacing w:line="280" w:lineRule="exact"/>
              <w:jc w:val="center"/>
              <w:rPr>
                <w:color w:val="auto"/>
                <w:highlight w:val="none"/>
              </w:rPr>
            </w:pPr>
            <w:bookmarkStart w:id="87" w:name="_Hlk64460278"/>
            <w:r>
              <w:rPr>
                <w:color w:val="auto"/>
                <w:highlight w:val="none"/>
              </w:rPr>
              <w:t>废气</w:t>
            </w:r>
          </w:p>
        </w:tc>
        <w:tc>
          <w:tcPr>
            <w:tcW w:w="5899" w:type="dxa"/>
            <w:tcMar>
              <w:top w:w="0" w:type="dxa"/>
              <w:left w:w="57" w:type="dxa"/>
              <w:bottom w:w="0" w:type="dxa"/>
              <w:right w:w="57" w:type="dxa"/>
            </w:tcMar>
            <w:vAlign w:val="center"/>
          </w:tcPr>
          <w:p>
            <w:pPr>
              <w:spacing w:line="280" w:lineRule="exact"/>
              <w:jc w:val="center"/>
              <w:rPr>
                <w:color w:val="auto"/>
                <w:highlight w:val="none"/>
              </w:rPr>
            </w:pPr>
            <w:r>
              <w:rPr>
                <w:color w:val="auto"/>
                <w:highlight w:val="none"/>
              </w:rPr>
              <w:t>《大气污染物综合排放标准》(GB16297-1996)</w:t>
            </w:r>
          </w:p>
        </w:tc>
        <w:tc>
          <w:tcPr>
            <w:tcW w:w="1966" w:type="dxa"/>
            <w:tcMar>
              <w:top w:w="0" w:type="dxa"/>
              <w:left w:w="57" w:type="dxa"/>
              <w:bottom w:w="0" w:type="dxa"/>
              <w:right w:w="57" w:type="dxa"/>
            </w:tcMar>
            <w:vAlign w:val="center"/>
          </w:tcPr>
          <w:p>
            <w:pPr>
              <w:spacing w:line="280" w:lineRule="exact"/>
              <w:jc w:val="center"/>
              <w:rPr>
                <w:color w:val="auto"/>
                <w:highlight w:val="none"/>
              </w:rPr>
            </w:pPr>
            <w:r>
              <w:rPr>
                <w:color w:val="auto"/>
                <w:highlight w:val="none"/>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45" w:type="dxa"/>
            <w:vMerge w:val="continue"/>
            <w:tcMar>
              <w:top w:w="0" w:type="dxa"/>
              <w:left w:w="57" w:type="dxa"/>
              <w:bottom w:w="0" w:type="dxa"/>
              <w:right w:w="57" w:type="dxa"/>
            </w:tcMar>
            <w:vAlign w:val="center"/>
          </w:tcPr>
          <w:p>
            <w:pPr>
              <w:spacing w:line="280" w:lineRule="exact"/>
              <w:jc w:val="center"/>
              <w:rPr>
                <w:color w:val="auto"/>
                <w:highlight w:val="none"/>
              </w:rPr>
            </w:pPr>
          </w:p>
        </w:tc>
        <w:tc>
          <w:tcPr>
            <w:tcW w:w="5899" w:type="dxa"/>
            <w:tcMar>
              <w:top w:w="0" w:type="dxa"/>
              <w:left w:w="57" w:type="dxa"/>
              <w:bottom w:w="0" w:type="dxa"/>
              <w:right w:w="57" w:type="dxa"/>
            </w:tcMar>
            <w:vAlign w:val="center"/>
          </w:tcPr>
          <w:p>
            <w:pPr>
              <w:spacing w:line="280" w:lineRule="exact"/>
              <w:jc w:val="center"/>
              <w:rPr>
                <w:color w:val="auto"/>
                <w:highlight w:val="none"/>
              </w:rPr>
            </w:pPr>
            <w:r>
              <w:rPr>
                <w:color w:val="auto"/>
                <w:highlight w:val="none"/>
              </w:rPr>
              <w:t>《区域性大气污染物综合排放标准》(DB37/2376-2019)</w:t>
            </w:r>
          </w:p>
        </w:tc>
        <w:tc>
          <w:tcPr>
            <w:tcW w:w="1966" w:type="dxa"/>
            <w:tcMar>
              <w:top w:w="0" w:type="dxa"/>
              <w:left w:w="57" w:type="dxa"/>
              <w:bottom w:w="0" w:type="dxa"/>
              <w:right w:w="57" w:type="dxa"/>
            </w:tcMar>
            <w:vAlign w:val="center"/>
          </w:tcPr>
          <w:p>
            <w:pPr>
              <w:spacing w:line="280" w:lineRule="exact"/>
              <w:jc w:val="center"/>
              <w:rPr>
                <w:color w:val="auto"/>
                <w:highlight w:val="none"/>
              </w:rPr>
            </w:pPr>
            <w:r>
              <w:rPr>
                <w:color w:val="auto"/>
                <w:highlight w:val="none"/>
              </w:rPr>
              <w:t>表1</w:t>
            </w:r>
            <w:r>
              <w:rPr>
                <w:rFonts w:hint="eastAsia"/>
                <w:color w:val="auto"/>
                <w:highlight w:val="none"/>
                <w:lang w:eastAsia="zh-CN"/>
              </w:rPr>
              <w:t>重点控制区</w:t>
            </w:r>
            <w:r>
              <w:rPr>
                <w:color w:val="auto"/>
                <w:highlight w:val="none"/>
              </w:rPr>
              <w:t>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745" w:type="dxa"/>
            <w:vMerge w:val="continue"/>
            <w:tcMar>
              <w:top w:w="0" w:type="dxa"/>
              <w:left w:w="57" w:type="dxa"/>
              <w:bottom w:w="0" w:type="dxa"/>
              <w:right w:w="57" w:type="dxa"/>
            </w:tcMar>
            <w:vAlign w:val="center"/>
          </w:tcPr>
          <w:p>
            <w:pPr>
              <w:spacing w:line="280" w:lineRule="exact"/>
              <w:jc w:val="center"/>
              <w:rPr>
                <w:color w:val="auto"/>
                <w:highlight w:val="none"/>
              </w:rPr>
            </w:pPr>
          </w:p>
        </w:tc>
        <w:tc>
          <w:tcPr>
            <w:tcW w:w="5899" w:type="dxa"/>
            <w:tcMar>
              <w:top w:w="0" w:type="dxa"/>
              <w:left w:w="57" w:type="dxa"/>
              <w:bottom w:w="0" w:type="dxa"/>
              <w:right w:w="57" w:type="dxa"/>
            </w:tcMar>
            <w:vAlign w:val="center"/>
          </w:tcPr>
          <w:p>
            <w:pPr>
              <w:spacing w:line="280" w:lineRule="exact"/>
              <w:jc w:val="center"/>
              <w:rPr>
                <w:color w:val="auto"/>
                <w:highlight w:val="none"/>
              </w:rPr>
            </w:pPr>
            <w:r>
              <w:rPr>
                <w:rFonts w:hint="eastAsia"/>
                <w:color w:val="auto"/>
                <w:szCs w:val="21"/>
                <w:highlight w:val="none"/>
                <w:lang w:val="en-GB"/>
              </w:rPr>
              <w:t>《挥发性有机物排放标准 第6部分：有机化工行业》（</w:t>
            </w:r>
            <w:r>
              <w:rPr>
                <w:color w:val="auto"/>
                <w:szCs w:val="21"/>
                <w:highlight w:val="none"/>
                <w:lang w:val="en-GB"/>
              </w:rPr>
              <w:t>DB37/2801.6-201</w:t>
            </w:r>
            <w:r>
              <w:rPr>
                <w:rFonts w:hint="eastAsia"/>
                <w:color w:val="auto"/>
                <w:szCs w:val="21"/>
                <w:highlight w:val="none"/>
                <w:lang w:val="en-GB"/>
              </w:rPr>
              <w:t>8）</w:t>
            </w:r>
          </w:p>
        </w:tc>
        <w:tc>
          <w:tcPr>
            <w:tcW w:w="1966" w:type="dxa"/>
            <w:tcMar>
              <w:top w:w="0" w:type="dxa"/>
              <w:left w:w="57" w:type="dxa"/>
              <w:bottom w:w="0" w:type="dxa"/>
              <w:right w:w="57" w:type="dxa"/>
            </w:tcMar>
            <w:vAlign w:val="center"/>
          </w:tcPr>
          <w:p>
            <w:pPr>
              <w:spacing w:line="280" w:lineRule="exact"/>
              <w:jc w:val="center"/>
              <w:rPr>
                <w:color w:val="auto"/>
                <w:highlight w:val="none"/>
              </w:rPr>
            </w:pPr>
            <w:r>
              <w:rPr>
                <w:color w:val="auto"/>
                <w:highlight w:val="none"/>
              </w:rPr>
              <w:t>表1、表</w:t>
            </w:r>
            <w:r>
              <w:rPr>
                <w:rFonts w:hint="eastAsia"/>
                <w:color w:val="auto"/>
                <w:highlight w:val="none"/>
              </w:rPr>
              <w:t>3</w:t>
            </w:r>
            <w:r>
              <w:rPr>
                <w:color w:val="auto"/>
                <w:highlight w:val="none"/>
              </w:rPr>
              <w:t>浓度限值</w:t>
            </w:r>
          </w:p>
        </w:tc>
      </w:tr>
      <w:bookmarkEnd w:id="87"/>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45" w:type="dxa"/>
            <w:vMerge w:val="restart"/>
            <w:tcMar>
              <w:top w:w="0" w:type="dxa"/>
              <w:left w:w="57" w:type="dxa"/>
              <w:bottom w:w="0" w:type="dxa"/>
              <w:right w:w="57" w:type="dxa"/>
            </w:tcMar>
            <w:vAlign w:val="center"/>
          </w:tcPr>
          <w:p>
            <w:pPr>
              <w:spacing w:line="280" w:lineRule="exact"/>
              <w:jc w:val="center"/>
              <w:rPr>
                <w:color w:val="auto"/>
                <w:highlight w:val="none"/>
              </w:rPr>
            </w:pPr>
            <w:r>
              <w:rPr>
                <w:color w:val="auto"/>
                <w:highlight w:val="none"/>
              </w:rPr>
              <w:t>噪声</w:t>
            </w:r>
          </w:p>
        </w:tc>
        <w:tc>
          <w:tcPr>
            <w:tcW w:w="5899" w:type="dxa"/>
            <w:tcMar>
              <w:top w:w="0" w:type="dxa"/>
              <w:left w:w="57" w:type="dxa"/>
              <w:bottom w:w="0" w:type="dxa"/>
              <w:right w:w="57" w:type="dxa"/>
            </w:tcMar>
            <w:vAlign w:val="center"/>
          </w:tcPr>
          <w:p>
            <w:pPr>
              <w:spacing w:line="280" w:lineRule="exact"/>
              <w:jc w:val="center"/>
              <w:rPr>
                <w:color w:val="auto"/>
                <w:highlight w:val="none"/>
              </w:rPr>
            </w:pPr>
            <w:r>
              <w:rPr>
                <w:color w:val="auto"/>
                <w:highlight w:val="none"/>
              </w:rPr>
              <w:t>施工期：《建筑施工场界环境噪声排放标准》(GB12523</w:t>
            </w:r>
            <w:r>
              <w:rPr>
                <w:rFonts w:hint="eastAsia"/>
                <w:color w:val="auto"/>
                <w:highlight w:val="none"/>
              </w:rPr>
              <w:t>-</w:t>
            </w:r>
            <w:r>
              <w:rPr>
                <w:color w:val="auto"/>
                <w:highlight w:val="none"/>
              </w:rPr>
              <w:t>2011)</w:t>
            </w:r>
          </w:p>
        </w:tc>
        <w:tc>
          <w:tcPr>
            <w:tcW w:w="1966" w:type="dxa"/>
            <w:tcMar>
              <w:top w:w="0" w:type="dxa"/>
              <w:left w:w="57" w:type="dxa"/>
              <w:bottom w:w="0" w:type="dxa"/>
              <w:right w:w="57" w:type="dxa"/>
            </w:tcMar>
            <w:vAlign w:val="center"/>
          </w:tcPr>
          <w:p>
            <w:pPr>
              <w:spacing w:line="280" w:lineRule="exact"/>
              <w:jc w:val="center"/>
              <w:rPr>
                <w:color w:val="auto"/>
                <w:highlight w:val="none"/>
              </w:rPr>
            </w:pPr>
            <w:r>
              <w:rPr>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45" w:type="dxa"/>
            <w:vMerge w:val="continue"/>
            <w:vAlign w:val="center"/>
          </w:tcPr>
          <w:p>
            <w:pPr>
              <w:spacing w:line="280" w:lineRule="exact"/>
              <w:jc w:val="center"/>
              <w:rPr>
                <w:color w:val="auto"/>
                <w:highlight w:val="none"/>
              </w:rPr>
            </w:pPr>
          </w:p>
        </w:tc>
        <w:tc>
          <w:tcPr>
            <w:tcW w:w="5899" w:type="dxa"/>
            <w:tcMar>
              <w:top w:w="0" w:type="dxa"/>
              <w:left w:w="57" w:type="dxa"/>
              <w:bottom w:w="0" w:type="dxa"/>
              <w:right w:w="57" w:type="dxa"/>
            </w:tcMar>
            <w:vAlign w:val="center"/>
          </w:tcPr>
          <w:p>
            <w:pPr>
              <w:spacing w:line="280" w:lineRule="exact"/>
              <w:jc w:val="center"/>
              <w:rPr>
                <w:color w:val="auto"/>
                <w:highlight w:val="none"/>
              </w:rPr>
            </w:pPr>
            <w:r>
              <w:rPr>
                <w:color w:val="auto"/>
                <w:highlight w:val="none"/>
              </w:rPr>
              <w:t>运营期：《工业企业厂界环境噪声排放标准》(GB12348-2008)</w:t>
            </w:r>
          </w:p>
        </w:tc>
        <w:tc>
          <w:tcPr>
            <w:tcW w:w="1966" w:type="dxa"/>
            <w:tcMar>
              <w:top w:w="0" w:type="dxa"/>
              <w:left w:w="57" w:type="dxa"/>
              <w:bottom w:w="0" w:type="dxa"/>
              <w:right w:w="57" w:type="dxa"/>
            </w:tcMar>
            <w:vAlign w:val="center"/>
          </w:tcPr>
          <w:p>
            <w:pPr>
              <w:spacing w:line="280" w:lineRule="exact"/>
              <w:jc w:val="center"/>
              <w:rPr>
                <w:color w:val="auto"/>
                <w:highlight w:val="none"/>
              </w:rPr>
            </w:pPr>
            <w:r>
              <w:rPr>
                <w:rFonts w:hint="eastAsia"/>
                <w:color w:val="auto"/>
                <w:highlight w:val="none"/>
              </w:rPr>
              <w:t>2类</w:t>
            </w:r>
            <w:r>
              <w:rPr>
                <w:color w:val="auto"/>
                <w:highlight w:val="none"/>
              </w:rPr>
              <w:t>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45" w:type="dxa"/>
            <w:vMerge w:val="restart"/>
            <w:tcMar>
              <w:top w:w="0" w:type="dxa"/>
              <w:left w:w="57" w:type="dxa"/>
              <w:bottom w:w="0" w:type="dxa"/>
              <w:right w:w="57" w:type="dxa"/>
            </w:tcMar>
            <w:vAlign w:val="center"/>
          </w:tcPr>
          <w:p>
            <w:pPr>
              <w:spacing w:line="280" w:lineRule="exact"/>
              <w:jc w:val="center"/>
              <w:rPr>
                <w:color w:val="auto"/>
                <w:highlight w:val="none"/>
              </w:rPr>
            </w:pPr>
            <w:r>
              <w:rPr>
                <w:color w:val="auto"/>
                <w:highlight w:val="none"/>
              </w:rPr>
              <w:t>固废</w:t>
            </w:r>
          </w:p>
        </w:tc>
        <w:tc>
          <w:tcPr>
            <w:tcW w:w="5899" w:type="dxa"/>
            <w:tcMar>
              <w:top w:w="0" w:type="dxa"/>
              <w:left w:w="57" w:type="dxa"/>
              <w:bottom w:w="0" w:type="dxa"/>
              <w:right w:w="57" w:type="dxa"/>
            </w:tcMar>
            <w:vAlign w:val="center"/>
          </w:tcPr>
          <w:p>
            <w:pPr>
              <w:spacing w:line="280" w:lineRule="exact"/>
              <w:jc w:val="center"/>
              <w:rPr>
                <w:color w:val="auto"/>
                <w:highlight w:val="none"/>
              </w:rPr>
            </w:pPr>
            <w:r>
              <w:rPr>
                <w:color w:val="auto"/>
                <w:highlight w:val="none"/>
              </w:rPr>
              <w:t>《</w:t>
            </w:r>
            <w:r>
              <w:rPr>
                <w:rFonts w:hint="eastAsia"/>
                <w:color w:val="auto"/>
                <w:highlight w:val="none"/>
              </w:rPr>
              <w:t>一般工业固体废物贮存和填埋污染控制标准</w:t>
            </w:r>
            <w:r>
              <w:rPr>
                <w:color w:val="auto"/>
                <w:highlight w:val="none"/>
              </w:rPr>
              <w:t>》</w:t>
            </w:r>
          </w:p>
          <w:p>
            <w:pPr>
              <w:spacing w:line="280" w:lineRule="exact"/>
              <w:jc w:val="center"/>
              <w:rPr>
                <w:color w:val="auto"/>
                <w:highlight w:val="none"/>
              </w:rPr>
            </w:pPr>
            <w:r>
              <w:rPr>
                <w:color w:val="auto"/>
                <w:highlight w:val="none"/>
              </w:rPr>
              <w:t>(GB18599-2020)</w:t>
            </w:r>
          </w:p>
        </w:tc>
        <w:tc>
          <w:tcPr>
            <w:tcW w:w="1966" w:type="dxa"/>
            <w:tcMar>
              <w:top w:w="0" w:type="dxa"/>
              <w:left w:w="57" w:type="dxa"/>
              <w:bottom w:w="0" w:type="dxa"/>
              <w:right w:w="57" w:type="dxa"/>
            </w:tcMar>
            <w:vAlign w:val="center"/>
          </w:tcPr>
          <w:p>
            <w:pPr>
              <w:spacing w:line="280" w:lineRule="exact"/>
              <w:jc w:val="center"/>
              <w:rPr>
                <w:color w:val="auto"/>
                <w:highlight w:val="none"/>
              </w:rPr>
            </w:pPr>
            <w:r>
              <w:rPr>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45" w:type="dxa"/>
            <w:vMerge w:val="continue"/>
            <w:tcMar>
              <w:top w:w="0" w:type="dxa"/>
              <w:left w:w="57" w:type="dxa"/>
              <w:bottom w:w="0" w:type="dxa"/>
              <w:right w:w="57" w:type="dxa"/>
            </w:tcMar>
            <w:vAlign w:val="center"/>
          </w:tcPr>
          <w:p>
            <w:pPr>
              <w:spacing w:line="280" w:lineRule="exact"/>
              <w:jc w:val="center"/>
              <w:rPr>
                <w:color w:val="auto"/>
                <w:highlight w:val="none"/>
              </w:rPr>
            </w:pPr>
          </w:p>
        </w:tc>
        <w:tc>
          <w:tcPr>
            <w:tcW w:w="5899" w:type="dxa"/>
            <w:tcMar>
              <w:top w:w="0" w:type="dxa"/>
              <w:left w:w="57" w:type="dxa"/>
              <w:bottom w:w="0" w:type="dxa"/>
              <w:right w:w="57" w:type="dxa"/>
            </w:tcMar>
            <w:vAlign w:val="center"/>
          </w:tcPr>
          <w:p>
            <w:pPr>
              <w:spacing w:line="280" w:lineRule="exact"/>
              <w:jc w:val="center"/>
              <w:rPr>
                <w:color w:val="auto"/>
                <w:highlight w:val="none"/>
              </w:rPr>
            </w:pPr>
            <w:r>
              <w:rPr>
                <w:bCs/>
                <w:color w:val="auto"/>
                <w:highlight w:val="none"/>
              </w:rPr>
              <w:t>《危险废物贮存污染控制标准》(GB18597-2001)及修改单标准</w:t>
            </w:r>
          </w:p>
        </w:tc>
        <w:tc>
          <w:tcPr>
            <w:tcW w:w="1966" w:type="dxa"/>
            <w:tcMar>
              <w:top w:w="0" w:type="dxa"/>
              <w:left w:w="57" w:type="dxa"/>
              <w:bottom w:w="0" w:type="dxa"/>
              <w:right w:w="57" w:type="dxa"/>
            </w:tcMar>
            <w:vAlign w:val="center"/>
          </w:tcPr>
          <w:p>
            <w:pPr>
              <w:spacing w:line="280" w:lineRule="exact"/>
              <w:jc w:val="center"/>
              <w:rPr>
                <w:color w:val="auto"/>
                <w:highlight w:val="none"/>
              </w:rPr>
            </w:pPr>
            <w:r>
              <w:rPr>
                <w:color w:val="auto"/>
                <w:highlight w:val="none"/>
              </w:rPr>
              <w:t>—</w:t>
            </w:r>
          </w:p>
        </w:tc>
      </w:tr>
    </w:tbl>
    <w:p>
      <w:pPr>
        <w:spacing w:line="360" w:lineRule="auto"/>
        <w:ind w:firstLine="480" w:firstLineChars="200"/>
        <w:jc w:val="left"/>
        <w:rPr>
          <w:bCs/>
          <w:color w:val="auto"/>
          <w:sz w:val="24"/>
          <w:highlight w:val="none"/>
        </w:rPr>
      </w:pPr>
      <w:r>
        <w:rPr>
          <w:bCs/>
          <w:color w:val="auto"/>
          <w:sz w:val="24"/>
          <w:highlight w:val="none"/>
        </w:rPr>
        <w:t>(1) 废气排放标准</w:t>
      </w:r>
    </w:p>
    <w:p>
      <w:pPr>
        <w:spacing w:line="360" w:lineRule="auto"/>
        <w:ind w:firstLine="480" w:firstLineChars="200"/>
        <w:jc w:val="left"/>
        <w:rPr>
          <w:color w:val="auto"/>
          <w:sz w:val="24"/>
          <w:highlight w:val="none"/>
        </w:rPr>
      </w:pPr>
      <w:r>
        <w:rPr>
          <w:color w:val="auto"/>
          <w:sz w:val="24"/>
          <w:highlight w:val="none"/>
        </w:rPr>
        <w:t>运营期生产废气染物排放执行标准如下：</w:t>
      </w:r>
    </w:p>
    <w:p>
      <w:pPr>
        <w:pStyle w:val="103"/>
        <w:spacing w:before="31"/>
        <w:rPr>
          <w:rFonts w:ascii="Times New Roman" w:hAnsi="Times New Roman"/>
          <w:color w:val="auto"/>
          <w:highlight w:val="none"/>
        </w:rPr>
      </w:pPr>
      <w:r>
        <w:rPr>
          <w:rFonts w:ascii="Times New Roman" w:hAnsi="Times New Roman"/>
          <w:color w:val="auto"/>
          <w:highlight w:val="none"/>
        </w:rPr>
        <w:t>表1.4-</w:t>
      </w:r>
      <w:r>
        <w:rPr>
          <w:rFonts w:hint="eastAsia" w:ascii="Times New Roman" w:hAnsi="Times New Roman"/>
          <w:color w:val="auto"/>
          <w:highlight w:val="none"/>
          <w:lang w:val="en-US" w:eastAsia="zh-CN"/>
        </w:rPr>
        <w:t>8</w:t>
      </w:r>
      <w:r>
        <w:rPr>
          <w:rFonts w:ascii="Times New Roman" w:hAnsi="Times New Roman"/>
          <w:color w:val="auto"/>
          <w:highlight w:val="none"/>
        </w:rPr>
        <w:t xml:space="preserve">  有组织废气污染物排放标准限值一览表</w:t>
      </w:r>
    </w:p>
    <w:tbl>
      <w:tblPr>
        <w:tblStyle w:val="59"/>
        <w:tblW w:w="498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75"/>
        <w:gridCol w:w="1045"/>
        <w:gridCol w:w="1981"/>
        <w:gridCol w:w="452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722" w:type="pct"/>
            <w:tcMar>
              <w:left w:w="28" w:type="dxa"/>
              <w:right w:w="28" w:type="dxa"/>
            </w:tcMar>
            <w:vAlign w:val="center"/>
          </w:tcPr>
          <w:p>
            <w:pPr>
              <w:pStyle w:val="105"/>
              <w:rPr>
                <w:color w:val="auto"/>
                <w:highlight w:val="none"/>
              </w:rPr>
            </w:pPr>
            <w:r>
              <w:rPr>
                <w:color w:val="auto"/>
                <w:highlight w:val="none"/>
              </w:rPr>
              <w:t>污染物</w:t>
            </w:r>
          </w:p>
        </w:tc>
        <w:tc>
          <w:tcPr>
            <w:tcW w:w="592" w:type="pct"/>
            <w:tcMar>
              <w:left w:w="28" w:type="dxa"/>
              <w:right w:w="28" w:type="dxa"/>
            </w:tcMar>
            <w:vAlign w:val="center"/>
          </w:tcPr>
          <w:p>
            <w:pPr>
              <w:pStyle w:val="105"/>
              <w:rPr>
                <w:color w:val="auto"/>
                <w:highlight w:val="none"/>
              </w:rPr>
            </w:pPr>
            <w:r>
              <w:rPr>
                <w:color w:val="auto"/>
                <w:highlight w:val="none"/>
              </w:rPr>
              <w:t>浓度限值（mg/m</w:t>
            </w:r>
            <w:r>
              <w:rPr>
                <w:color w:val="auto"/>
                <w:highlight w:val="none"/>
                <w:vertAlign w:val="superscript"/>
              </w:rPr>
              <w:t>3</w:t>
            </w:r>
            <w:r>
              <w:rPr>
                <w:color w:val="auto"/>
                <w:highlight w:val="none"/>
              </w:rPr>
              <w:t>）</w:t>
            </w:r>
          </w:p>
        </w:tc>
        <w:tc>
          <w:tcPr>
            <w:tcW w:w="1122" w:type="pct"/>
            <w:tcMar>
              <w:left w:w="28" w:type="dxa"/>
              <w:right w:w="28" w:type="dxa"/>
            </w:tcMar>
            <w:vAlign w:val="center"/>
          </w:tcPr>
          <w:p>
            <w:pPr>
              <w:pStyle w:val="105"/>
              <w:rPr>
                <w:bCs/>
                <w:snapToGrid w:val="0"/>
                <w:color w:val="auto"/>
                <w:kern w:val="0"/>
                <w:highlight w:val="none"/>
              </w:rPr>
            </w:pPr>
            <w:r>
              <w:rPr>
                <w:bCs/>
                <w:snapToGrid w:val="0"/>
                <w:color w:val="auto"/>
                <w:kern w:val="0"/>
                <w:highlight w:val="none"/>
              </w:rPr>
              <w:t>最高允许排放速率</w:t>
            </w:r>
          </w:p>
          <w:p>
            <w:pPr>
              <w:pStyle w:val="105"/>
              <w:rPr>
                <w:bCs/>
                <w:snapToGrid w:val="0"/>
                <w:color w:val="auto"/>
                <w:kern w:val="0"/>
                <w:highlight w:val="none"/>
              </w:rPr>
            </w:pPr>
            <w:r>
              <w:rPr>
                <w:color w:val="auto"/>
                <w:highlight w:val="none"/>
              </w:rPr>
              <w:t>（kg/h）</w:t>
            </w:r>
          </w:p>
        </w:tc>
        <w:tc>
          <w:tcPr>
            <w:tcW w:w="2562" w:type="pct"/>
            <w:tcMar>
              <w:left w:w="28" w:type="dxa"/>
              <w:right w:w="28" w:type="dxa"/>
            </w:tcMar>
            <w:vAlign w:val="center"/>
          </w:tcPr>
          <w:p>
            <w:pPr>
              <w:pStyle w:val="105"/>
              <w:rPr>
                <w:color w:val="auto"/>
                <w:highlight w:val="none"/>
              </w:rPr>
            </w:pPr>
            <w:r>
              <w:rPr>
                <w:color w:val="auto"/>
                <w:highlight w:val="none"/>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pct"/>
            <w:tcMar>
              <w:left w:w="28" w:type="dxa"/>
              <w:right w:w="28" w:type="dxa"/>
            </w:tcMar>
            <w:vAlign w:val="center"/>
          </w:tcPr>
          <w:p>
            <w:pPr>
              <w:pStyle w:val="105"/>
              <w:rPr>
                <w:color w:val="auto"/>
                <w:highlight w:val="none"/>
              </w:rPr>
            </w:pPr>
            <w:r>
              <w:rPr>
                <w:color w:val="auto"/>
                <w:highlight w:val="none"/>
              </w:rPr>
              <w:t>颗粒物</w:t>
            </w:r>
          </w:p>
        </w:tc>
        <w:tc>
          <w:tcPr>
            <w:tcW w:w="592" w:type="pct"/>
            <w:tcMar>
              <w:left w:w="28" w:type="dxa"/>
              <w:right w:w="28" w:type="dxa"/>
            </w:tcMar>
            <w:vAlign w:val="center"/>
          </w:tcPr>
          <w:p>
            <w:pPr>
              <w:pStyle w:val="105"/>
              <w:rPr>
                <w:rFonts w:hint="default" w:eastAsia="宋体"/>
                <w:color w:val="auto"/>
                <w:highlight w:val="none"/>
                <w:lang w:val="en-US" w:eastAsia="zh-CN"/>
              </w:rPr>
            </w:pPr>
            <w:r>
              <w:rPr>
                <w:rFonts w:hint="eastAsia"/>
                <w:color w:val="auto"/>
                <w:highlight w:val="none"/>
                <w:lang w:val="en-US" w:eastAsia="zh-CN"/>
              </w:rPr>
              <w:t>10</w:t>
            </w:r>
          </w:p>
        </w:tc>
        <w:tc>
          <w:tcPr>
            <w:tcW w:w="1122" w:type="pct"/>
            <w:tcMar>
              <w:left w:w="28" w:type="dxa"/>
              <w:right w:w="28" w:type="dxa"/>
            </w:tcMar>
            <w:vAlign w:val="center"/>
          </w:tcPr>
          <w:p>
            <w:pPr>
              <w:pStyle w:val="105"/>
              <w:rPr>
                <w:rFonts w:hint="default" w:eastAsia="宋体"/>
                <w:color w:val="auto"/>
                <w:highlight w:val="none"/>
                <w:lang w:val="en-US" w:eastAsia="zh-CN"/>
              </w:rPr>
            </w:pPr>
            <w:r>
              <w:rPr>
                <w:rFonts w:hint="eastAsia"/>
                <w:snapToGrid w:val="0"/>
                <w:color w:val="auto"/>
                <w:highlight w:val="none"/>
                <w:lang w:val="en-US" w:eastAsia="zh-CN"/>
              </w:rPr>
              <w:t>5.9</w:t>
            </w:r>
          </w:p>
        </w:tc>
        <w:tc>
          <w:tcPr>
            <w:tcW w:w="2562" w:type="pct"/>
            <w:tcMar>
              <w:left w:w="28" w:type="dxa"/>
              <w:right w:w="28" w:type="dxa"/>
            </w:tcMar>
            <w:vAlign w:val="center"/>
          </w:tcPr>
          <w:p>
            <w:pPr>
              <w:pStyle w:val="105"/>
              <w:rPr>
                <w:color w:val="auto"/>
                <w:szCs w:val="21"/>
                <w:highlight w:val="none"/>
              </w:rPr>
            </w:pPr>
            <w:r>
              <w:rPr>
                <w:color w:val="auto"/>
                <w:highlight w:val="none"/>
              </w:rPr>
              <w:t>《山东省区域性大气污染物综合排放标准》(DB37/2376-2019)表1</w:t>
            </w:r>
            <w:r>
              <w:rPr>
                <w:rFonts w:hint="eastAsia"/>
                <w:color w:val="auto"/>
                <w:highlight w:val="none"/>
                <w:lang w:eastAsia="zh-CN"/>
              </w:rPr>
              <w:t>重点控制区</w:t>
            </w:r>
            <w:r>
              <w:rPr>
                <w:color w:val="auto"/>
                <w:highlight w:val="none"/>
              </w:rPr>
              <w:t>标准；颗粒物排放速率执行《大气污染物综合排放标准》(GB16297-1996) 表2二级标准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pct"/>
            <w:tcMar>
              <w:left w:w="28" w:type="dxa"/>
              <w:right w:w="28" w:type="dxa"/>
            </w:tcMar>
            <w:vAlign w:val="center"/>
          </w:tcPr>
          <w:p>
            <w:pPr>
              <w:pStyle w:val="105"/>
              <w:rPr>
                <w:color w:val="auto"/>
                <w:highlight w:val="none"/>
              </w:rPr>
            </w:pPr>
            <w:r>
              <w:rPr>
                <w:color w:val="auto"/>
                <w:highlight w:val="none"/>
              </w:rPr>
              <w:t>VOCs</w:t>
            </w:r>
          </w:p>
        </w:tc>
        <w:tc>
          <w:tcPr>
            <w:tcW w:w="592" w:type="pct"/>
            <w:tcMar>
              <w:left w:w="28" w:type="dxa"/>
              <w:right w:w="28" w:type="dxa"/>
            </w:tcMar>
            <w:vAlign w:val="center"/>
          </w:tcPr>
          <w:p>
            <w:pPr>
              <w:pStyle w:val="105"/>
              <w:rPr>
                <w:color w:val="auto"/>
                <w:highlight w:val="none"/>
              </w:rPr>
            </w:pPr>
            <w:r>
              <w:rPr>
                <w:rFonts w:hint="eastAsia"/>
                <w:color w:val="auto"/>
                <w:highlight w:val="none"/>
              </w:rPr>
              <w:t>60</w:t>
            </w:r>
          </w:p>
        </w:tc>
        <w:tc>
          <w:tcPr>
            <w:tcW w:w="1122" w:type="pct"/>
            <w:tcMar>
              <w:left w:w="28" w:type="dxa"/>
              <w:right w:w="28" w:type="dxa"/>
            </w:tcMar>
            <w:vAlign w:val="center"/>
          </w:tcPr>
          <w:p>
            <w:pPr>
              <w:pStyle w:val="105"/>
              <w:rPr>
                <w:color w:val="auto"/>
                <w:highlight w:val="none"/>
              </w:rPr>
            </w:pPr>
            <w:r>
              <w:rPr>
                <w:color w:val="auto"/>
                <w:highlight w:val="none"/>
              </w:rPr>
              <w:t>3.0</w:t>
            </w:r>
          </w:p>
        </w:tc>
        <w:tc>
          <w:tcPr>
            <w:tcW w:w="2562" w:type="pct"/>
            <w:tcMar>
              <w:left w:w="28" w:type="dxa"/>
              <w:right w:w="28" w:type="dxa"/>
            </w:tcMar>
            <w:vAlign w:val="center"/>
          </w:tcPr>
          <w:p>
            <w:pPr>
              <w:pStyle w:val="105"/>
              <w:rPr>
                <w:color w:val="auto"/>
                <w:highlight w:val="none"/>
              </w:rPr>
            </w:pPr>
            <w:r>
              <w:rPr>
                <w:rFonts w:hint="eastAsia"/>
                <w:color w:val="auto"/>
                <w:highlight w:val="none"/>
              </w:rPr>
              <w:t>《挥发性有机物排放标准 第6部分：有机化工行业》（DB37/2801.6-2018）表1中</w:t>
            </w:r>
            <w:r>
              <w:rPr>
                <w:rFonts w:hint="eastAsia"/>
                <w:color w:val="auto"/>
                <w:highlight w:val="none"/>
              </w:rPr>
              <w:fldChar w:fldCharType="begin"/>
            </w:r>
            <w:r>
              <w:rPr>
                <w:rFonts w:hint="eastAsia"/>
                <w:color w:val="auto"/>
                <w:highlight w:val="none"/>
              </w:rPr>
              <w:instrText xml:space="preserve"> = 2 \* ROMAN \* MERGEFORMAT </w:instrText>
            </w:r>
            <w:r>
              <w:rPr>
                <w:rFonts w:hint="eastAsia"/>
                <w:color w:val="auto"/>
                <w:highlight w:val="none"/>
              </w:rPr>
              <w:fldChar w:fldCharType="separate"/>
            </w:r>
            <w:r>
              <w:rPr>
                <w:color w:val="auto"/>
                <w:highlight w:val="none"/>
              </w:rPr>
              <w:t>II</w:t>
            </w:r>
            <w:r>
              <w:rPr>
                <w:rFonts w:hint="eastAsia"/>
                <w:color w:val="auto"/>
                <w:highlight w:val="none"/>
              </w:rPr>
              <w:fldChar w:fldCharType="end"/>
            </w:r>
            <w:r>
              <w:rPr>
                <w:rFonts w:hint="eastAsia"/>
                <w:color w:val="auto"/>
                <w:highlight w:val="none"/>
              </w:rPr>
              <w:t>时段</w:t>
            </w:r>
          </w:p>
        </w:tc>
      </w:tr>
    </w:tbl>
    <w:p>
      <w:pPr>
        <w:pStyle w:val="103"/>
        <w:spacing w:before="31"/>
        <w:rPr>
          <w:rFonts w:ascii="Times New Roman" w:hAnsi="Times New Roman"/>
          <w:color w:val="auto"/>
          <w:highlight w:val="none"/>
        </w:rPr>
      </w:pPr>
      <w:r>
        <w:rPr>
          <w:rFonts w:ascii="Times New Roman" w:hAnsi="Times New Roman"/>
          <w:color w:val="auto"/>
          <w:highlight w:val="none"/>
        </w:rPr>
        <w:t>表1.4-</w:t>
      </w:r>
      <w:r>
        <w:rPr>
          <w:rFonts w:hint="eastAsia" w:ascii="Times New Roman" w:hAnsi="Times New Roman"/>
          <w:color w:val="auto"/>
          <w:highlight w:val="none"/>
          <w:lang w:val="en-US" w:eastAsia="zh-CN"/>
        </w:rPr>
        <w:t>9</w:t>
      </w:r>
      <w:r>
        <w:rPr>
          <w:rFonts w:ascii="Times New Roman" w:hAnsi="Times New Roman"/>
          <w:color w:val="auto"/>
          <w:highlight w:val="none"/>
        </w:rPr>
        <w:t xml:space="preserve">  无组织废气污染物排放标准限值</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autofit"/>
        <w:tblCellMar>
          <w:top w:w="0" w:type="dxa"/>
          <w:left w:w="108" w:type="dxa"/>
          <w:bottom w:w="0" w:type="dxa"/>
          <w:right w:w="108" w:type="dxa"/>
        </w:tblCellMar>
      </w:tblPr>
      <w:tblGrid>
        <w:gridCol w:w="1447"/>
        <w:gridCol w:w="2083"/>
        <w:gridCol w:w="1378"/>
        <w:gridCol w:w="3935"/>
      </w:tblGrid>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0" w:hRule="atLeast"/>
          <w:jc w:val="center"/>
        </w:trPr>
        <w:tc>
          <w:tcPr>
            <w:tcW w:w="818" w:type="pct"/>
            <w:tcMar>
              <w:left w:w="28" w:type="dxa"/>
              <w:right w:w="28" w:type="dxa"/>
            </w:tcMar>
            <w:vAlign w:val="center"/>
          </w:tcPr>
          <w:p>
            <w:pPr>
              <w:pStyle w:val="105"/>
              <w:rPr>
                <w:color w:val="auto"/>
                <w:highlight w:val="none"/>
              </w:rPr>
            </w:pPr>
            <w:r>
              <w:rPr>
                <w:color w:val="auto"/>
                <w:highlight w:val="none"/>
              </w:rPr>
              <w:t>污染物</w:t>
            </w:r>
          </w:p>
        </w:tc>
        <w:tc>
          <w:tcPr>
            <w:tcW w:w="1177" w:type="pct"/>
            <w:tcMar>
              <w:left w:w="28" w:type="dxa"/>
              <w:right w:w="28" w:type="dxa"/>
            </w:tcMar>
            <w:vAlign w:val="center"/>
          </w:tcPr>
          <w:p>
            <w:pPr>
              <w:pStyle w:val="105"/>
              <w:rPr>
                <w:color w:val="auto"/>
                <w:highlight w:val="none"/>
              </w:rPr>
            </w:pPr>
            <w:r>
              <w:rPr>
                <w:color w:val="auto"/>
                <w:highlight w:val="none"/>
              </w:rPr>
              <w:t>浓度限值（mg/m</w:t>
            </w:r>
            <w:r>
              <w:rPr>
                <w:color w:val="auto"/>
                <w:highlight w:val="none"/>
                <w:vertAlign w:val="superscript"/>
              </w:rPr>
              <w:t>3</w:t>
            </w:r>
            <w:r>
              <w:rPr>
                <w:color w:val="auto"/>
                <w:highlight w:val="none"/>
              </w:rPr>
              <w:t>）</w:t>
            </w:r>
          </w:p>
        </w:tc>
        <w:tc>
          <w:tcPr>
            <w:tcW w:w="779" w:type="pct"/>
            <w:tcMar>
              <w:left w:w="28" w:type="dxa"/>
              <w:right w:w="28" w:type="dxa"/>
            </w:tcMar>
            <w:vAlign w:val="center"/>
          </w:tcPr>
          <w:p>
            <w:pPr>
              <w:pStyle w:val="105"/>
              <w:rPr>
                <w:snapToGrid w:val="0"/>
                <w:color w:val="auto"/>
                <w:highlight w:val="none"/>
              </w:rPr>
            </w:pPr>
            <w:r>
              <w:rPr>
                <w:bCs/>
                <w:snapToGrid w:val="0"/>
                <w:color w:val="auto"/>
                <w:kern w:val="0"/>
                <w:highlight w:val="none"/>
              </w:rPr>
              <w:t>监控点</w:t>
            </w:r>
          </w:p>
        </w:tc>
        <w:tc>
          <w:tcPr>
            <w:tcW w:w="2224" w:type="pct"/>
            <w:tcMar>
              <w:left w:w="28" w:type="dxa"/>
              <w:right w:w="28" w:type="dxa"/>
            </w:tcMar>
            <w:vAlign w:val="center"/>
          </w:tcPr>
          <w:p>
            <w:pPr>
              <w:pStyle w:val="105"/>
              <w:rPr>
                <w:color w:val="auto"/>
                <w:highlight w:val="none"/>
              </w:rPr>
            </w:pPr>
            <w:r>
              <w:rPr>
                <w:color w:val="auto"/>
                <w:highlight w:val="none"/>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0" w:hRule="atLeast"/>
          <w:jc w:val="center"/>
        </w:trPr>
        <w:tc>
          <w:tcPr>
            <w:tcW w:w="818" w:type="pct"/>
            <w:tcMar>
              <w:left w:w="28" w:type="dxa"/>
              <w:right w:w="28" w:type="dxa"/>
            </w:tcMar>
            <w:vAlign w:val="center"/>
          </w:tcPr>
          <w:p>
            <w:pPr>
              <w:pStyle w:val="105"/>
              <w:rPr>
                <w:color w:val="auto"/>
                <w:highlight w:val="none"/>
              </w:rPr>
            </w:pPr>
            <w:r>
              <w:rPr>
                <w:color w:val="auto"/>
                <w:highlight w:val="none"/>
              </w:rPr>
              <w:t>颗粒物</w:t>
            </w:r>
          </w:p>
        </w:tc>
        <w:tc>
          <w:tcPr>
            <w:tcW w:w="1177" w:type="pct"/>
            <w:tcMar>
              <w:left w:w="28" w:type="dxa"/>
              <w:right w:w="28" w:type="dxa"/>
            </w:tcMar>
            <w:vAlign w:val="center"/>
          </w:tcPr>
          <w:p>
            <w:pPr>
              <w:pStyle w:val="105"/>
              <w:rPr>
                <w:color w:val="auto"/>
                <w:highlight w:val="none"/>
              </w:rPr>
            </w:pPr>
            <w:r>
              <w:rPr>
                <w:color w:val="auto"/>
                <w:highlight w:val="none"/>
              </w:rPr>
              <w:t>1.0</w:t>
            </w:r>
          </w:p>
        </w:tc>
        <w:tc>
          <w:tcPr>
            <w:tcW w:w="779" w:type="pct"/>
            <w:tcMar>
              <w:left w:w="28" w:type="dxa"/>
              <w:right w:w="28" w:type="dxa"/>
            </w:tcMar>
            <w:vAlign w:val="center"/>
          </w:tcPr>
          <w:p>
            <w:pPr>
              <w:pStyle w:val="105"/>
              <w:rPr>
                <w:color w:val="auto"/>
                <w:highlight w:val="none"/>
              </w:rPr>
            </w:pPr>
            <w:r>
              <w:rPr>
                <w:color w:val="auto"/>
                <w:highlight w:val="none"/>
              </w:rPr>
              <w:t>周界外浓度</w:t>
            </w:r>
          </w:p>
          <w:p>
            <w:pPr>
              <w:pStyle w:val="105"/>
              <w:rPr>
                <w:bCs/>
                <w:snapToGrid w:val="0"/>
                <w:color w:val="auto"/>
                <w:kern w:val="0"/>
                <w:highlight w:val="none"/>
              </w:rPr>
            </w:pPr>
            <w:r>
              <w:rPr>
                <w:color w:val="auto"/>
                <w:highlight w:val="none"/>
              </w:rPr>
              <w:t>最高点</w:t>
            </w:r>
          </w:p>
        </w:tc>
        <w:tc>
          <w:tcPr>
            <w:tcW w:w="2224" w:type="pct"/>
            <w:tcMar>
              <w:left w:w="28" w:type="dxa"/>
              <w:right w:w="28" w:type="dxa"/>
            </w:tcMar>
            <w:vAlign w:val="center"/>
          </w:tcPr>
          <w:p>
            <w:pPr>
              <w:pStyle w:val="105"/>
              <w:rPr>
                <w:color w:val="auto"/>
                <w:highlight w:val="none"/>
              </w:rPr>
            </w:pPr>
            <w:r>
              <w:rPr>
                <w:color w:val="auto"/>
                <w:highlight w:val="none"/>
              </w:rPr>
              <w:t>《大气污染物综合排放标准》(GB16297-1996) 表2二级标准限值要求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0" w:hRule="atLeast"/>
          <w:jc w:val="center"/>
        </w:trPr>
        <w:tc>
          <w:tcPr>
            <w:tcW w:w="818" w:type="pct"/>
            <w:tcMar>
              <w:left w:w="28" w:type="dxa"/>
              <w:right w:w="28" w:type="dxa"/>
            </w:tcMar>
            <w:vAlign w:val="center"/>
          </w:tcPr>
          <w:p>
            <w:pPr>
              <w:pStyle w:val="105"/>
              <w:rPr>
                <w:color w:val="auto"/>
                <w:highlight w:val="none"/>
              </w:rPr>
            </w:pPr>
            <w:r>
              <w:rPr>
                <w:color w:val="auto"/>
                <w:highlight w:val="none"/>
              </w:rPr>
              <w:t>VOCs</w:t>
            </w:r>
          </w:p>
        </w:tc>
        <w:tc>
          <w:tcPr>
            <w:tcW w:w="1177" w:type="pct"/>
            <w:tcMar>
              <w:left w:w="28" w:type="dxa"/>
              <w:right w:w="28" w:type="dxa"/>
            </w:tcMar>
            <w:vAlign w:val="center"/>
          </w:tcPr>
          <w:p>
            <w:pPr>
              <w:pStyle w:val="105"/>
              <w:rPr>
                <w:color w:val="auto"/>
                <w:highlight w:val="none"/>
              </w:rPr>
            </w:pPr>
            <w:r>
              <w:rPr>
                <w:color w:val="auto"/>
                <w:highlight w:val="none"/>
              </w:rPr>
              <w:t>2.0</w:t>
            </w:r>
          </w:p>
        </w:tc>
        <w:tc>
          <w:tcPr>
            <w:tcW w:w="779" w:type="pct"/>
            <w:tcMar>
              <w:left w:w="28" w:type="dxa"/>
              <w:right w:w="28" w:type="dxa"/>
            </w:tcMar>
            <w:vAlign w:val="center"/>
          </w:tcPr>
          <w:p>
            <w:pPr>
              <w:pStyle w:val="105"/>
              <w:rPr>
                <w:color w:val="auto"/>
                <w:highlight w:val="none"/>
              </w:rPr>
            </w:pPr>
            <w:r>
              <w:rPr>
                <w:color w:val="auto"/>
                <w:highlight w:val="none"/>
              </w:rPr>
              <w:t>厂界监控点</w:t>
            </w:r>
          </w:p>
        </w:tc>
        <w:tc>
          <w:tcPr>
            <w:tcW w:w="2224" w:type="pct"/>
            <w:tcMar>
              <w:left w:w="28" w:type="dxa"/>
              <w:right w:w="28" w:type="dxa"/>
            </w:tcMar>
            <w:vAlign w:val="center"/>
          </w:tcPr>
          <w:p>
            <w:pPr>
              <w:pStyle w:val="105"/>
              <w:rPr>
                <w:color w:val="auto"/>
                <w:highlight w:val="none"/>
              </w:rPr>
            </w:pPr>
            <w:r>
              <w:rPr>
                <w:rFonts w:hint="eastAsia"/>
                <w:color w:val="auto"/>
                <w:highlight w:val="none"/>
              </w:rPr>
              <w:t>《挥发性有机物排放标准 第6部分：有机化工行业》（DB37/2801.6-2018）表3</w:t>
            </w:r>
          </w:p>
        </w:tc>
      </w:tr>
    </w:tbl>
    <w:p>
      <w:pPr>
        <w:pStyle w:val="99"/>
        <w:ind w:firstLine="480"/>
        <w:rPr>
          <w:color w:val="auto"/>
          <w:highlight w:val="none"/>
        </w:rPr>
      </w:pPr>
      <w:r>
        <w:rPr>
          <w:color w:val="auto"/>
          <w:highlight w:val="none"/>
        </w:rPr>
        <w:t>(</w:t>
      </w:r>
      <w:r>
        <w:rPr>
          <w:rFonts w:hint="eastAsia"/>
          <w:color w:val="auto"/>
          <w:highlight w:val="none"/>
        </w:rPr>
        <w:t>2</w:t>
      </w:r>
      <w:r>
        <w:rPr>
          <w:color w:val="auto"/>
          <w:highlight w:val="none"/>
        </w:rPr>
        <w:t>) 噪声</w:t>
      </w:r>
    </w:p>
    <w:p>
      <w:pPr>
        <w:pStyle w:val="99"/>
        <w:ind w:firstLine="480"/>
        <w:rPr>
          <w:color w:val="auto"/>
          <w:highlight w:val="none"/>
        </w:rPr>
      </w:pPr>
      <w:r>
        <w:rPr>
          <w:color w:val="auto"/>
          <w:highlight w:val="none"/>
        </w:rPr>
        <w:t>施工期噪声执行《建筑施工场界环境噪声排放标准》(GB12523-2011)，噪声限值见表1.4-1</w:t>
      </w:r>
      <w:r>
        <w:rPr>
          <w:rFonts w:hint="eastAsia"/>
          <w:color w:val="auto"/>
          <w:highlight w:val="none"/>
          <w:lang w:val="en-US" w:eastAsia="zh-CN"/>
        </w:rPr>
        <w:t>0</w:t>
      </w:r>
      <w:r>
        <w:rPr>
          <w:color w:val="auto"/>
          <w:highlight w:val="none"/>
        </w:rPr>
        <w:t>；项目厂界噪声执行《工业企业厂界环境噪声排放标准》(GB12348-2008)中</w:t>
      </w:r>
      <w:r>
        <w:rPr>
          <w:rFonts w:hint="eastAsia"/>
          <w:color w:val="auto"/>
          <w:highlight w:val="none"/>
        </w:rPr>
        <w:t>2</w:t>
      </w:r>
      <w:r>
        <w:rPr>
          <w:color w:val="auto"/>
          <w:highlight w:val="none"/>
        </w:rPr>
        <w:t>类标准，标准值见表1.4-1</w:t>
      </w:r>
      <w:r>
        <w:rPr>
          <w:rFonts w:hint="eastAsia"/>
          <w:color w:val="auto"/>
          <w:highlight w:val="none"/>
          <w:lang w:val="en-US" w:eastAsia="zh-CN"/>
        </w:rPr>
        <w:t>1</w:t>
      </w:r>
      <w:r>
        <w:rPr>
          <w:color w:val="auto"/>
          <w:highlight w:val="none"/>
        </w:rPr>
        <w:t>。</w:t>
      </w:r>
    </w:p>
    <w:p>
      <w:pPr>
        <w:pStyle w:val="103"/>
        <w:rPr>
          <w:rFonts w:ascii="Times New Roman" w:hAnsi="Times New Roman"/>
          <w:color w:val="auto"/>
          <w:highlight w:val="none"/>
        </w:rPr>
      </w:pPr>
      <w:r>
        <w:rPr>
          <w:rFonts w:ascii="Times New Roman" w:hAnsi="Times New Roman"/>
          <w:color w:val="auto"/>
          <w:highlight w:val="none"/>
        </w:rPr>
        <w:t>表1.4-1</w:t>
      </w:r>
      <w:r>
        <w:rPr>
          <w:rFonts w:hint="eastAsia" w:ascii="Times New Roman" w:hAnsi="Times New Roman"/>
          <w:color w:val="auto"/>
          <w:highlight w:val="none"/>
          <w:lang w:val="en-US" w:eastAsia="zh-CN"/>
        </w:rPr>
        <w:t>0</w:t>
      </w:r>
      <w:r>
        <w:rPr>
          <w:rFonts w:ascii="Times New Roman" w:hAnsi="Times New Roman"/>
          <w:color w:val="auto"/>
          <w:highlight w:val="none"/>
        </w:rPr>
        <w:t xml:space="preserve">   建筑施工场界环境噪声排放限值</w:t>
      </w:r>
      <w:r>
        <w:rPr>
          <w:rFonts w:ascii="Times New Roman" w:hAnsi="Times New Roman"/>
          <w:color w:val="auto"/>
          <w:highlight w:val="none"/>
          <w:lang w:val="zh-CN"/>
        </w:rPr>
        <w:t>一览表</w:t>
      </w:r>
      <w:r>
        <w:rPr>
          <w:rFonts w:ascii="Times New Roman" w:hAnsi="Times New Roman"/>
          <w:color w:val="auto"/>
          <w:highlight w:val="none"/>
        </w:rPr>
        <w:t xml:space="preserve">     单位：dB(A)</w:t>
      </w:r>
    </w:p>
    <w:tbl>
      <w:tblPr>
        <w:tblStyle w:val="5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644"/>
        <w:gridCol w:w="435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44" w:type="dxa"/>
            <w:vAlign w:val="center"/>
          </w:tcPr>
          <w:p>
            <w:pPr>
              <w:spacing w:line="280" w:lineRule="exact"/>
              <w:jc w:val="center"/>
              <w:rPr>
                <w:color w:val="auto"/>
                <w:highlight w:val="none"/>
              </w:rPr>
            </w:pPr>
            <w:r>
              <w:rPr>
                <w:color w:val="auto"/>
                <w:highlight w:val="none"/>
              </w:rPr>
              <w:t>昼间</w:t>
            </w:r>
          </w:p>
        </w:tc>
        <w:tc>
          <w:tcPr>
            <w:tcW w:w="4359" w:type="dxa"/>
            <w:vAlign w:val="center"/>
          </w:tcPr>
          <w:p>
            <w:pPr>
              <w:spacing w:line="280" w:lineRule="exact"/>
              <w:jc w:val="center"/>
              <w:rPr>
                <w:color w:val="auto"/>
                <w:highlight w:val="none"/>
              </w:rPr>
            </w:pPr>
            <w:r>
              <w:rPr>
                <w:color w:val="auto"/>
                <w:highlight w:val="none"/>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44" w:type="dxa"/>
            <w:vAlign w:val="center"/>
          </w:tcPr>
          <w:p>
            <w:pPr>
              <w:spacing w:line="280" w:lineRule="exact"/>
              <w:jc w:val="center"/>
              <w:rPr>
                <w:color w:val="auto"/>
                <w:highlight w:val="none"/>
              </w:rPr>
            </w:pPr>
            <w:r>
              <w:rPr>
                <w:color w:val="auto"/>
                <w:highlight w:val="none"/>
              </w:rPr>
              <w:t>70</w:t>
            </w:r>
          </w:p>
        </w:tc>
        <w:tc>
          <w:tcPr>
            <w:tcW w:w="4359" w:type="dxa"/>
            <w:vAlign w:val="center"/>
          </w:tcPr>
          <w:p>
            <w:pPr>
              <w:spacing w:line="280" w:lineRule="exact"/>
              <w:jc w:val="center"/>
              <w:rPr>
                <w:color w:val="auto"/>
                <w:highlight w:val="none"/>
              </w:rPr>
            </w:pPr>
            <w:r>
              <w:rPr>
                <w:color w:val="auto"/>
                <w:highlight w:val="none"/>
              </w:rPr>
              <w:t>55</w:t>
            </w:r>
          </w:p>
        </w:tc>
      </w:tr>
    </w:tbl>
    <w:p>
      <w:pPr>
        <w:pStyle w:val="103"/>
        <w:rPr>
          <w:rFonts w:ascii="Times New Roman" w:hAnsi="Times New Roman"/>
          <w:color w:val="auto"/>
          <w:highlight w:val="none"/>
        </w:rPr>
      </w:pPr>
      <w:bookmarkStart w:id="88" w:name="_Hlk45627539"/>
      <w:r>
        <w:rPr>
          <w:rFonts w:ascii="Times New Roman" w:hAnsi="Times New Roman"/>
          <w:color w:val="auto"/>
          <w:highlight w:val="none"/>
        </w:rPr>
        <w:t>表1.4-1</w:t>
      </w:r>
      <w:r>
        <w:rPr>
          <w:rFonts w:hint="eastAsia" w:ascii="Times New Roman" w:hAnsi="Times New Roman"/>
          <w:color w:val="auto"/>
          <w:highlight w:val="none"/>
          <w:lang w:val="en-US" w:eastAsia="zh-CN"/>
        </w:rPr>
        <w:t>1</w:t>
      </w:r>
      <w:r>
        <w:rPr>
          <w:rFonts w:ascii="Times New Roman" w:hAnsi="Times New Roman"/>
          <w:color w:val="auto"/>
          <w:highlight w:val="none"/>
        </w:rPr>
        <w:t xml:space="preserve">    噪声排放</w:t>
      </w:r>
      <w:r>
        <w:rPr>
          <w:rFonts w:ascii="Times New Roman" w:hAnsi="Times New Roman"/>
          <w:color w:val="auto"/>
          <w:spacing w:val="20"/>
          <w:highlight w:val="none"/>
        </w:rPr>
        <w:t>标准</w:t>
      </w:r>
      <w:r>
        <w:rPr>
          <w:rFonts w:ascii="Times New Roman" w:hAnsi="Times New Roman"/>
          <w:color w:val="auto"/>
          <w:highlight w:val="none"/>
        </w:rPr>
        <w:t>限值</w:t>
      </w:r>
      <w:r>
        <w:rPr>
          <w:rFonts w:ascii="Times New Roman" w:hAnsi="Times New Roman"/>
          <w:color w:val="auto"/>
          <w:highlight w:val="none"/>
          <w:lang w:val="zh-CN"/>
        </w:rPr>
        <w:t>一览表</w:t>
      </w:r>
      <w:r>
        <w:rPr>
          <w:rFonts w:ascii="Times New Roman" w:hAnsi="Times New Roman"/>
          <w:color w:val="auto"/>
          <w:highlight w:val="none"/>
        </w:rPr>
        <w:t xml:space="preserve">      单位：dB(A)</w:t>
      </w:r>
    </w:p>
    <w:tbl>
      <w:tblPr>
        <w:tblStyle w:val="5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911"/>
        <w:gridCol w:w="3473"/>
        <w:gridCol w:w="361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11" w:type="dxa"/>
            <w:vAlign w:val="center"/>
          </w:tcPr>
          <w:p>
            <w:pPr>
              <w:spacing w:line="280" w:lineRule="exact"/>
              <w:jc w:val="center"/>
              <w:rPr>
                <w:color w:val="auto"/>
                <w:highlight w:val="none"/>
              </w:rPr>
            </w:pPr>
            <w:r>
              <w:rPr>
                <w:color w:val="auto"/>
                <w:highlight w:val="none"/>
              </w:rPr>
              <w:t>标准类别</w:t>
            </w:r>
          </w:p>
        </w:tc>
        <w:tc>
          <w:tcPr>
            <w:tcW w:w="3473" w:type="dxa"/>
            <w:vAlign w:val="center"/>
          </w:tcPr>
          <w:p>
            <w:pPr>
              <w:spacing w:line="280" w:lineRule="exact"/>
              <w:jc w:val="center"/>
              <w:rPr>
                <w:color w:val="auto"/>
                <w:highlight w:val="none"/>
              </w:rPr>
            </w:pPr>
            <w:r>
              <w:rPr>
                <w:color w:val="auto"/>
                <w:highlight w:val="none"/>
              </w:rPr>
              <w:t>昼间</w:t>
            </w:r>
          </w:p>
        </w:tc>
        <w:tc>
          <w:tcPr>
            <w:tcW w:w="3619" w:type="dxa"/>
            <w:vAlign w:val="center"/>
          </w:tcPr>
          <w:p>
            <w:pPr>
              <w:spacing w:line="280" w:lineRule="exact"/>
              <w:jc w:val="center"/>
              <w:rPr>
                <w:color w:val="auto"/>
                <w:highlight w:val="none"/>
              </w:rPr>
            </w:pPr>
            <w:r>
              <w:rPr>
                <w:color w:val="auto"/>
                <w:highlight w:val="none"/>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0" w:hRule="atLeast"/>
          <w:jc w:val="center"/>
        </w:trPr>
        <w:tc>
          <w:tcPr>
            <w:tcW w:w="1911" w:type="dxa"/>
            <w:vAlign w:val="center"/>
          </w:tcPr>
          <w:p>
            <w:pPr>
              <w:spacing w:line="280" w:lineRule="exact"/>
              <w:jc w:val="center"/>
              <w:rPr>
                <w:color w:val="auto"/>
                <w:highlight w:val="none"/>
              </w:rPr>
            </w:pPr>
            <w:r>
              <w:rPr>
                <w:rFonts w:hint="eastAsia"/>
                <w:color w:val="auto"/>
                <w:highlight w:val="none"/>
              </w:rPr>
              <w:t>2</w:t>
            </w:r>
            <w:r>
              <w:rPr>
                <w:color w:val="auto"/>
                <w:highlight w:val="none"/>
              </w:rPr>
              <w:t>类</w:t>
            </w:r>
          </w:p>
        </w:tc>
        <w:tc>
          <w:tcPr>
            <w:tcW w:w="3473" w:type="dxa"/>
            <w:vAlign w:val="center"/>
          </w:tcPr>
          <w:p>
            <w:pPr>
              <w:spacing w:line="280" w:lineRule="exact"/>
              <w:jc w:val="center"/>
              <w:rPr>
                <w:color w:val="auto"/>
                <w:highlight w:val="none"/>
              </w:rPr>
            </w:pPr>
            <w:r>
              <w:rPr>
                <w:rFonts w:hint="eastAsia"/>
                <w:color w:val="auto"/>
                <w:highlight w:val="none"/>
              </w:rPr>
              <w:t>60</w:t>
            </w:r>
          </w:p>
        </w:tc>
        <w:tc>
          <w:tcPr>
            <w:tcW w:w="3619" w:type="dxa"/>
            <w:vAlign w:val="center"/>
          </w:tcPr>
          <w:p>
            <w:pPr>
              <w:spacing w:line="280" w:lineRule="exact"/>
              <w:jc w:val="center"/>
              <w:rPr>
                <w:color w:val="auto"/>
                <w:highlight w:val="none"/>
              </w:rPr>
            </w:pPr>
            <w:r>
              <w:rPr>
                <w:rFonts w:hint="eastAsia"/>
                <w:color w:val="auto"/>
                <w:highlight w:val="none"/>
              </w:rPr>
              <w:t>50</w:t>
            </w:r>
          </w:p>
        </w:tc>
      </w:tr>
      <w:bookmarkEnd w:id="88"/>
    </w:tbl>
    <w:p>
      <w:pPr>
        <w:spacing w:before="156" w:beforeLines="50" w:line="360" w:lineRule="auto"/>
        <w:ind w:firstLine="480" w:firstLineChars="200"/>
        <w:rPr>
          <w:color w:val="auto"/>
          <w:sz w:val="24"/>
          <w:highlight w:val="none"/>
        </w:rPr>
      </w:pPr>
      <w:r>
        <w:rPr>
          <w:color w:val="auto"/>
          <w:sz w:val="24"/>
          <w:highlight w:val="none"/>
        </w:rPr>
        <w:t>(4) 固体废物</w:t>
      </w:r>
    </w:p>
    <w:p>
      <w:pPr>
        <w:spacing w:line="348" w:lineRule="auto"/>
        <w:ind w:firstLine="480" w:firstLineChars="200"/>
        <w:jc w:val="left"/>
        <w:rPr>
          <w:color w:val="auto"/>
          <w:sz w:val="24"/>
          <w:highlight w:val="none"/>
        </w:rPr>
      </w:pPr>
      <w:r>
        <w:rPr>
          <w:color w:val="auto"/>
          <w:sz w:val="24"/>
          <w:highlight w:val="none"/>
        </w:rPr>
        <w:t>一般固废执行《</w:t>
      </w:r>
      <w:r>
        <w:rPr>
          <w:rFonts w:hint="eastAsia"/>
          <w:color w:val="auto"/>
          <w:sz w:val="24"/>
          <w:highlight w:val="none"/>
        </w:rPr>
        <w:t>一般工业固体废物贮存和填埋污染控制标准</w:t>
      </w:r>
      <w:r>
        <w:rPr>
          <w:color w:val="auto"/>
          <w:sz w:val="24"/>
          <w:highlight w:val="none"/>
        </w:rPr>
        <w:t>》</w:t>
      </w:r>
      <w:r>
        <w:rPr>
          <w:rFonts w:hint="eastAsia"/>
          <w:color w:val="auto"/>
          <w:sz w:val="24"/>
          <w:highlight w:val="none"/>
        </w:rPr>
        <w:t>(</w:t>
      </w:r>
      <w:r>
        <w:rPr>
          <w:color w:val="auto"/>
          <w:sz w:val="24"/>
          <w:highlight w:val="none"/>
        </w:rPr>
        <w:t>GB18599-2020</w:t>
      </w:r>
      <w:r>
        <w:rPr>
          <w:rFonts w:hint="eastAsia"/>
          <w:color w:val="auto"/>
          <w:sz w:val="24"/>
          <w:highlight w:val="none"/>
        </w:rPr>
        <w:t>)</w:t>
      </w:r>
      <w:r>
        <w:rPr>
          <w:color w:val="auto"/>
          <w:sz w:val="24"/>
          <w:highlight w:val="none"/>
        </w:rPr>
        <w:t>标准；危险废物执行《危险废物贮存污染控制标准》(GB18597-2001)及修改单标准。</w:t>
      </w:r>
    </w:p>
    <w:p>
      <w:pPr>
        <w:pStyle w:val="100"/>
        <w:spacing w:before="109" w:beforeLines="35"/>
        <w:rPr>
          <w:rFonts w:ascii="Times New Roman" w:hAnsi="Times New Roman"/>
          <w:color w:val="auto"/>
          <w:highlight w:val="none"/>
        </w:rPr>
      </w:pPr>
      <w:bookmarkStart w:id="89" w:name="_Toc54732721"/>
      <w:bookmarkStart w:id="90" w:name="_Toc508700046"/>
      <w:bookmarkStart w:id="91" w:name="_Toc14171"/>
      <w:bookmarkStart w:id="92" w:name="_Toc66281270"/>
      <w:bookmarkStart w:id="93" w:name="_Toc30951752"/>
      <w:bookmarkStart w:id="94" w:name="_Toc6752346"/>
      <w:bookmarkStart w:id="95" w:name="_Toc33984721"/>
      <w:r>
        <w:rPr>
          <w:rFonts w:ascii="Times New Roman" w:hAnsi="Times New Roman"/>
          <w:color w:val="auto"/>
          <w:highlight w:val="none"/>
        </w:rPr>
        <w:t>1.5 评价等级</w:t>
      </w:r>
      <w:bookmarkEnd w:id="89"/>
      <w:bookmarkEnd w:id="90"/>
      <w:bookmarkEnd w:id="91"/>
      <w:bookmarkEnd w:id="92"/>
      <w:bookmarkEnd w:id="93"/>
      <w:bookmarkEnd w:id="94"/>
      <w:bookmarkEnd w:id="95"/>
    </w:p>
    <w:p>
      <w:pPr>
        <w:pStyle w:val="99"/>
        <w:ind w:firstLine="480"/>
        <w:rPr>
          <w:color w:val="auto"/>
          <w:szCs w:val="24"/>
          <w:highlight w:val="none"/>
        </w:rPr>
      </w:pPr>
      <w:r>
        <w:rPr>
          <w:color w:val="auto"/>
          <w:szCs w:val="24"/>
          <w:highlight w:val="none"/>
        </w:rPr>
        <w:t>根据《环境影响评价技术导则</w:t>
      </w:r>
      <w:r>
        <w:rPr>
          <w:rFonts w:hint="eastAsia"/>
          <w:color w:val="auto"/>
          <w:szCs w:val="24"/>
          <w:highlight w:val="none"/>
        </w:rPr>
        <w:t>-</w:t>
      </w:r>
      <w:r>
        <w:rPr>
          <w:color w:val="auto"/>
          <w:szCs w:val="24"/>
          <w:highlight w:val="none"/>
        </w:rPr>
        <w:t>总纲》</w:t>
      </w:r>
      <w:r>
        <w:rPr>
          <w:rFonts w:hint="eastAsia"/>
          <w:color w:val="auto"/>
          <w:szCs w:val="24"/>
          <w:highlight w:val="none"/>
        </w:rPr>
        <w:t>(</w:t>
      </w:r>
      <w:r>
        <w:rPr>
          <w:color w:val="auto"/>
          <w:szCs w:val="24"/>
          <w:highlight w:val="none"/>
        </w:rPr>
        <w:t>HJ2.1-2016</w:t>
      </w:r>
      <w:r>
        <w:rPr>
          <w:rFonts w:hint="eastAsia"/>
          <w:color w:val="auto"/>
          <w:szCs w:val="24"/>
          <w:highlight w:val="none"/>
        </w:rPr>
        <w:t>)</w:t>
      </w:r>
      <w:r>
        <w:rPr>
          <w:color w:val="auto"/>
          <w:szCs w:val="24"/>
          <w:highlight w:val="none"/>
        </w:rPr>
        <w:t>、《环境影响评价技术导则--大气环境》(HJ2.2-2018)、《环境影响评价技术导则</w:t>
      </w:r>
      <w:r>
        <w:rPr>
          <w:rFonts w:hint="eastAsia"/>
          <w:color w:val="auto"/>
          <w:szCs w:val="24"/>
          <w:highlight w:val="none"/>
        </w:rPr>
        <w:t>-</w:t>
      </w:r>
      <w:r>
        <w:rPr>
          <w:color w:val="auto"/>
          <w:szCs w:val="24"/>
          <w:highlight w:val="none"/>
        </w:rPr>
        <w:t>地表水环境》(HJ2.3-2018)、《环境影响评价技术导则</w:t>
      </w:r>
      <w:r>
        <w:rPr>
          <w:rFonts w:hint="eastAsia"/>
          <w:color w:val="auto"/>
          <w:szCs w:val="24"/>
          <w:highlight w:val="none"/>
        </w:rPr>
        <w:t>-</w:t>
      </w:r>
      <w:r>
        <w:rPr>
          <w:color w:val="auto"/>
          <w:szCs w:val="24"/>
          <w:highlight w:val="none"/>
        </w:rPr>
        <w:t>地下水环境》(HJ610-2016)、《环境影响评价技术导则</w:t>
      </w:r>
      <w:r>
        <w:rPr>
          <w:rFonts w:hint="eastAsia"/>
          <w:color w:val="auto"/>
          <w:szCs w:val="24"/>
          <w:highlight w:val="none"/>
        </w:rPr>
        <w:t>-</w:t>
      </w:r>
      <w:r>
        <w:rPr>
          <w:color w:val="auto"/>
          <w:szCs w:val="24"/>
          <w:highlight w:val="none"/>
        </w:rPr>
        <w:t>声环境》(HJ2.4-</w:t>
      </w:r>
      <w:r>
        <w:rPr>
          <w:rFonts w:hint="eastAsia"/>
          <w:color w:val="auto"/>
          <w:szCs w:val="24"/>
          <w:highlight w:val="none"/>
        </w:rPr>
        <w:t>2021</w:t>
      </w:r>
      <w:r>
        <w:rPr>
          <w:color w:val="auto"/>
          <w:szCs w:val="24"/>
          <w:highlight w:val="none"/>
        </w:rPr>
        <w:t>)</w:t>
      </w:r>
      <w:r>
        <w:rPr>
          <w:rFonts w:hint="eastAsia"/>
          <w:color w:val="auto"/>
          <w:szCs w:val="24"/>
          <w:highlight w:val="none"/>
        </w:rPr>
        <w:t>、</w:t>
      </w:r>
      <w:r>
        <w:rPr>
          <w:color w:val="auto"/>
          <w:highlight w:val="none"/>
        </w:rPr>
        <w:t>《环境影响评价技术导则</w:t>
      </w:r>
      <w:r>
        <w:rPr>
          <w:rFonts w:hint="eastAsia"/>
          <w:color w:val="auto"/>
          <w:highlight w:val="none"/>
        </w:rPr>
        <w:t xml:space="preserve"> 土壤</w:t>
      </w:r>
      <w:r>
        <w:rPr>
          <w:color w:val="auto"/>
          <w:highlight w:val="none"/>
        </w:rPr>
        <w:t>环境</w:t>
      </w:r>
      <w:r>
        <w:rPr>
          <w:rFonts w:hint="eastAsia"/>
          <w:color w:val="auto"/>
          <w:highlight w:val="none"/>
        </w:rPr>
        <w:t>（试行）</w:t>
      </w:r>
      <w:r>
        <w:rPr>
          <w:color w:val="auto"/>
          <w:highlight w:val="none"/>
        </w:rPr>
        <w:t>》</w:t>
      </w:r>
      <w:r>
        <w:rPr>
          <w:rFonts w:hint="eastAsia"/>
          <w:color w:val="auto"/>
          <w:highlight w:val="none"/>
        </w:rPr>
        <w:t>（</w:t>
      </w:r>
      <w:r>
        <w:rPr>
          <w:color w:val="auto"/>
          <w:highlight w:val="none"/>
        </w:rPr>
        <w:t>HJ</w:t>
      </w:r>
      <w:r>
        <w:rPr>
          <w:rFonts w:hint="eastAsia"/>
          <w:color w:val="auto"/>
          <w:highlight w:val="none"/>
        </w:rPr>
        <w:t>964-2018）</w:t>
      </w:r>
      <w:r>
        <w:rPr>
          <w:rFonts w:hint="eastAsia"/>
          <w:color w:val="auto"/>
          <w:highlight w:val="none"/>
          <w:lang w:eastAsia="zh-CN"/>
        </w:rPr>
        <w:t>、</w:t>
      </w:r>
      <w:r>
        <w:rPr>
          <w:color w:val="auto"/>
          <w:szCs w:val="24"/>
          <w:highlight w:val="none"/>
        </w:rPr>
        <w:t>《建设项目环境风险评价技术导则》</w:t>
      </w:r>
      <w:r>
        <w:rPr>
          <w:rFonts w:hint="eastAsia"/>
          <w:color w:val="auto"/>
          <w:highlight w:val="none"/>
        </w:rPr>
        <w:t>(</w:t>
      </w:r>
      <w:r>
        <w:rPr>
          <w:color w:val="auto"/>
          <w:highlight w:val="none"/>
        </w:rPr>
        <w:t>HJ169-2018</w:t>
      </w:r>
      <w:r>
        <w:rPr>
          <w:rFonts w:hint="eastAsia"/>
          <w:color w:val="auto"/>
          <w:highlight w:val="none"/>
        </w:rPr>
        <w:t>)</w:t>
      </w:r>
      <w:r>
        <w:rPr>
          <w:rFonts w:hint="eastAsia"/>
          <w:color w:val="auto"/>
          <w:highlight w:val="none"/>
          <w:lang w:val="en-US" w:eastAsia="zh-CN"/>
        </w:rPr>
        <w:t>及《环境影响评价技术导则 生态影响》(HJ19-2022)</w:t>
      </w:r>
      <w:r>
        <w:rPr>
          <w:color w:val="auto"/>
          <w:szCs w:val="24"/>
          <w:highlight w:val="none"/>
        </w:rPr>
        <w:t>的要求及本项目所处地理位置、环境状况、项目实际排放污染物的种类、污染物量等特点，确定本次项目环境影响评价等级，具体评价等级见表1.5-1。</w:t>
      </w:r>
    </w:p>
    <w:p>
      <w:pPr>
        <w:pStyle w:val="103"/>
        <w:spacing w:line="240" w:lineRule="auto"/>
        <w:rPr>
          <w:rFonts w:ascii="Times New Roman" w:hAnsi="Times New Roman"/>
          <w:color w:val="auto"/>
          <w:highlight w:val="none"/>
        </w:rPr>
      </w:pPr>
      <w:r>
        <w:rPr>
          <w:rFonts w:ascii="Times New Roman" w:hAnsi="Times New Roman"/>
          <w:color w:val="auto"/>
          <w:highlight w:val="none"/>
        </w:rPr>
        <w:t>表1.5-1  环境影响评价等级表</w:t>
      </w:r>
    </w:p>
    <w:tbl>
      <w:tblPr>
        <w:tblStyle w:val="5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38"/>
        <w:gridCol w:w="6135"/>
        <w:gridCol w:w="163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238" w:type="dxa"/>
            <w:vAlign w:val="center"/>
          </w:tcPr>
          <w:p>
            <w:pPr>
              <w:spacing w:line="280" w:lineRule="exact"/>
              <w:jc w:val="center"/>
              <w:rPr>
                <w:color w:val="auto"/>
                <w:highlight w:val="none"/>
              </w:rPr>
            </w:pPr>
            <w:r>
              <w:rPr>
                <w:color w:val="auto"/>
                <w:highlight w:val="none"/>
              </w:rPr>
              <w:t>专题</w:t>
            </w:r>
          </w:p>
        </w:tc>
        <w:tc>
          <w:tcPr>
            <w:tcW w:w="6135" w:type="dxa"/>
            <w:vAlign w:val="center"/>
          </w:tcPr>
          <w:p>
            <w:pPr>
              <w:spacing w:line="280" w:lineRule="exact"/>
              <w:jc w:val="center"/>
              <w:rPr>
                <w:color w:val="auto"/>
                <w:highlight w:val="none"/>
              </w:rPr>
            </w:pPr>
            <w:r>
              <w:rPr>
                <w:color w:val="auto"/>
                <w:highlight w:val="none"/>
              </w:rPr>
              <w:t>等级的判据</w:t>
            </w:r>
          </w:p>
        </w:tc>
        <w:tc>
          <w:tcPr>
            <w:tcW w:w="1630" w:type="dxa"/>
            <w:vAlign w:val="center"/>
          </w:tcPr>
          <w:p>
            <w:pPr>
              <w:spacing w:line="280" w:lineRule="exact"/>
              <w:jc w:val="center"/>
              <w:rPr>
                <w:color w:val="auto"/>
                <w:highlight w:val="none"/>
              </w:rPr>
            </w:pPr>
            <w:r>
              <w:rPr>
                <w:color w:val="auto"/>
                <w:highlight w:val="none"/>
              </w:rPr>
              <w:t>等级的确定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238" w:type="dxa"/>
            <w:vAlign w:val="center"/>
          </w:tcPr>
          <w:p>
            <w:pPr>
              <w:spacing w:line="280" w:lineRule="exact"/>
              <w:jc w:val="center"/>
              <w:rPr>
                <w:color w:val="auto"/>
                <w:highlight w:val="none"/>
              </w:rPr>
            </w:pPr>
            <w:r>
              <w:rPr>
                <w:color w:val="auto"/>
                <w:highlight w:val="none"/>
              </w:rPr>
              <w:t>环境空气</w:t>
            </w:r>
          </w:p>
        </w:tc>
        <w:tc>
          <w:tcPr>
            <w:tcW w:w="6135" w:type="dxa"/>
            <w:vAlign w:val="center"/>
          </w:tcPr>
          <w:p>
            <w:pPr>
              <w:spacing w:line="280" w:lineRule="exact"/>
              <w:jc w:val="center"/>
              <w:rPr>
                <w:color w:val="auto"/>
                <w:highlight w:val="none"/>
              </w:rPr>
            </w:pPr>
            <w:r>
              <w:rPr>
                <w:color w:val="auto"/>
                <w:highlight w:val="none"/>
              </w:rPr>
              <w:t>本项目最大地面空气质量浓度占标率P</w:t>
            </w:r>
            <w:r>
              <w:rPr>
                <w:color w:val="auto"/>
                <w:highlight w:val="none"/>
                <w:vertAlign w:val="subscript"/>
              </w:rPr>
              <w:t>max</w:t>
            </w:r>
            <w:r>
              <w:rPr>
                <w:rFonts w:hint="eastAsia"/>
                <w:color w:val="auto"/>
                <w:highlight w:val="none"/>
                <w:vertAlign w:val="baseline"/>
              </w:rPr>
              <w:t>2.60</w:t>
            </w:r>
            <w:r>
              <w:rPr>
                <w:color w:val="auto"/>
                <w:highlight w:val="none"/>
              </w:rPr>
              <w:t>%</w:t>
            </w:r>
            <w:r>
              <w:rPr>
                <w:rFonts w:hint="eastAsia"/>
                <w:color w:val="auto"/>
                <w:szCs w:val="24"/>
                <w:highlight w:val="none"/>
              </w:rPr>
              <w:t>&lt;</w:t>
            </w:r>
            <w:r>
              <w:rPr>
                <w:color w:val="auto"/>
                <w:highlight w:val="none"/>
              </w:rPr>
              <w:t>10%</w:t>
            </w:r>
          </w:p>
        </w:tc>
        <w:tc>
          <w:tcPr>
            <w:tcW w:w="1630" w:type="dxa"/>
            <w:vAlign w:val="center"/>
          </w:tcPr>
          <w:p>
            <w:pPr>
              <w:spacing w:line="280" w:lineRule="exact"/>
              <w:jc w:val="center"/>
              <w:rPr>
                <w:color w:val="auto"/>
                <w:highlight w:val="none"/>
              </w:rPr>
            </w:pPr>
            <w:r>
              <w:rPr>
                <w:rFonts w:hint="eastAsia"/>
                <w:color w:val="auto"/>
                <w:highlight w:val="none"/>
              </w:rPr>
              <w:t>二</w:t>
            </w:r>
            <w:r>
              <w:rPr>
                <w:color w:val="auto"/>
                <w:highlight w:val="none"/>
              </w:rPr>
              <w:t>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238" w:type="dxa"/>
            <w:vAlign w:val="center"/>
          </w:tcPr>
          <w:p>
            <w:pPr>
              <w:spacing w:line="280" w:lineRule="exact"/>
              <w:jc w:val="center"/>
              <w:rPr>
                <w:color w:val="auto"/>
                <w:highlight w:val="none"/>
              </w:rPr>
            </w:pPr>
            <w:r>
              <w:rPr>
                <w:color w:val="auto"/>
                <w:highlight w:val="none"/>
              </w:rPr>
              <w:t>地表水</w:t>
            </w:r>
          </w:p>
        </w:tc>
        <w:tc>
          <w:tcPr>
            <w:tcW w:w="6135" w:type="dxa"/>
            <w:vAlign w:val="center"/>
          </w:tcPr>
          <w:p>
            <w:pPr>
              <w:spacing w:line="280" w:lineRule="exact"/>
              <w:jc w:val="center"/>
              <w:rPr>
                <w:color w:val="auto"/>
                <w:highlight w:val="none"/>
              </w:rPr>
            </w:pPr>
            <w:r>
              <w:rPr>
                <w:color w:val="auto"/>
                <w:highlight w:val="none"/>
              </w:rPr>
              <w:t>项目</w:t>
            </w:r>
            <w:r>
              <w:rPr>
                <w:rFonts w:hint="eastAsia"/>
                <w:color w:val="auto"/>
                <w:highlight w:val="none"/>
              </w:rPr>
              <w:t>废水不外排</w:t>
            </w:r>
          </w:p>
        </w:tc>
        <w:tc>
          <w:tcPr>
            <w:tcW w:w="1630" w:type="dxa"/>
            <w:vAlign w:val="center"/>
          </w:tcPr>
          <w:p>
            <w:pPr>
              <w:spacing w:line="280" w:lineRule="exact"/>
              <w:jc w:val="center"/>
              <w:rPr>
                <w:color w:val="auto"/>
                <w:highlight w:val="none"/>
              </w:rPr>
            </w:pPr>
            <w:r>
              <w:rPr>
                <w:color w:val="auto"/>
                <w:highlight w:val="none"/>
              </w:rPr>
              <w:t>三级B</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238" w:type="dxa"/>
            <w:vAlign w:val="center"/>
          </w:tcPr>
          <w:p>
            <w:pPr>
              <w:spacing w:line="280" w:lineRule="exact"/>
              <w:jc w:val="center"/>
              <w:rPr>
                <w:color w:val="auto"/>
                <w:highlight w:val="none"/>
              </w:rPr>
            </w:pPr>
            <w:r>
              <w:rPr>
                <w:color w:val="auto"/>
                <w:highlight w:val="none"/>
              </w:rPr>
              <w:t>地下水</w:t>
            </w:r>
          </w:p>
        </w:tc>
        <w:tc>
          <w:tcPr>
            <w:tcW w:w="6135" w:type="dxa"/>
            <w:vAlign w:val="center"/>
          </w:tcPr>
          <w:p>
            <w:pPr>
              <w:spacing w:line="280" w:lineRule="exact"/>
              <w:jc w:val="center"/>
              <w:rPr>
                <w:color w:val="auto"/>
                <w:highlight w:val="none"/>
              </w:rPr>
            </w:pPr>
            <w:r>
              <w:rPr>
                <w:color w:val="auto"/>
                <w:highlight w:val="none"/>
              </w:rPr>
              <w:t>地下水环境敏感程度为不敏感，项目类别为</w:t>
            </w:r>
            <w:r>
              <w:rPr>
                <w:color w:val="auto"/>
                <w:highlight w:val="none"/>
              </w:rPr>
              <w:fldChar w:fldCharType="begin"/>
            </w:r>
            <w:r>
              <w:rPr>
                <w:color w:val="auto"/>
                <w:highlight w:val="none"/>
              </w:rPr>
              <w:instrText xml:space="preserve"> = 2 \* ROMAN \* MERGEFORMAT </w:instrText>
            </w:r>
            <w:r>
              <w:rPr>
                <w:color w:val="auto"/>
                <w:highlight w:val="none"/>
              </w:rPr>
              <w:fldChar w:fldCharType="separate"/>
            </w:r>
            <w:r>
              <w:rPr>
                <w:color w:val="auto"/>
                <w:highlight w:val="none"/>
              </w:rPr>
              <w:t>II</w:t>
            </w:r>
            <w:r>
              <w:rPr>
                <w:color w:val="auto"/>
                <w:highlight w:val="none"/>
              </w:rPr>
              <w:fldChar w:fldCharType="end"/>
            </w:r>
            <w:r>
              <w:rPr>
                <w:color w:val="auto"/>
                <w:highlight w:val="none"/>
              </w:rPr>
              <w:t>类项目</w:t>
            </w:r>
          </w:p>
        </w:tc>
        <w:tc>
          <w:tcPr>
            <w:tcW w:w="1630" w:type="dxa"/>
            <w:vAlign w:val="center"/>
          </w:tcPr>
          <w:p>
            <w:pPr>
              <w:spacing w:line="280" w:lineRule="exact"/>
              <w:jc w:val="center"/>
              <w:rPr>
                <w:color w:val="auto"/>
                <w:highlight w:val="none"/>
              </w:rPr>
            </w:pPr>
            <w:r>
              <w:rPr>
                <w:rFonts w:hint="eastAsia"/>
                <w:color w:val="auto"/>
                <w:highlight w:val="none"/>
              </w:rPr>
              <w:t>三</w:t>
            </w:r>
            <w:r>
              <w:rPr>
                <w:color w:val="auto"/>
                <w:highlight w:val="none"/>
              </w:rPr>
              <w:t>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238" w:type="dxa"/>
            <w:vAlign w:val="center"/>
          </w:tcPr>
          <w:p>
            <w:pPr>
              <w:spacing w:line="280" w:lineRule="exact"/>
              <w:jc w:val="center"/>
              <w:rPr>
                <w:color w:val="auto"/>
                <w:highlight w:val="none"/>
              </w:rPr>
            </w:pPr>
            <w:r>
              <w:rPr>
                <w:color w:val="auto"/>
                <w:highlight w:val="none"/>
              </w:rPr>
              <w:t>噪声</w:t>
            </w:r>
          </w:p>
        </w:tc>
        <w:tc>
          <w:tcPr>
            <w:tcW w:w="6135" w:type="dxa"/>
            <w:vAlign w:val="center"/>
          </w:tcPr>
          <w:p>
            <w:pPr>
              <w:spacing w:line="280" w:lineRule="exact"/>
              <w:jc w:val="center"/>
              <w:rPr>
                <w:color w:val="auto"/>
                <w:highlight w:val="none"/>
              </w:rPr>
            </w:pPr>
            <w:r>
              <w:rPr>
                <w:color w:val="auto"/>
                <w:highlight w:val="none"/>
              </w:rPr>
              <w:t>执行</w:t>
            </w:r>
            <w:r>
              <w:rPr>
                <w:rFonts w:hint="eastAsia"/>
                <w:color w:val="auto"/>
                <w:highlight w:val="none"/>
              </w:rPr>
              <w:t>2</w:t>
            </w:r>
            <w:r>
              <w:rPr>
                <w:color w:val="auto"/>
                <w:highlight w:val="none"/>
              </w:rPr>
              <w:t>类</w:t>
            </w:r>
            <w:r>
              <w:rPr>
                <w:rFonts w:hint="eastAsia"/>
                <w:color w:val="auto"/>
                <w:highlight w:val="none"/>
              </w:rPr>
              <w:t>，</w:t>
            </w:r>
            <w:r>
              <w:rPr>
                <w:color w:val="auto"/>
                <w:highlight w:val="none"/>
              </w:rPr>
              <w:t>最近敏感目标</w:t>
            </w:r>
            <w:r>
              <w:rPr>
                <w:rFonts w:hint="eastAsia"/>
                <w:color w:val="auto"/>
                <w:highlight w:val="none"/>
              </w:rPr>
              <w:t>距离厂界15m，</w:t>
            </w:r>
            <w:r>
              <w:rPr>
                <w:color w:val="auto"/>
                <w:highlight w:val="none"/>
              </w:rPr>
              <w:t>受影响人口较小</w:t>
            </w:r>
          </w:p>
        </w:tc>
        <w:tc>
          <w:tcPr>
            <w:tcW w:w="1630" w:type="dxa"/>
            <w:vAlign w:val="center"/>
          </w:tcPr>
          <w:p>
            <w:pPr>
              <w:spacing w:line="280" w:lineRule="exact"/>
              <w:jc w:val="center"/>
              <w:rPr>
                <w:color w:val="auto"/>
                <w:highlight w:val="none"/>
              </w:rPr>
            </w:pPr>
            <w:r>
              <w:rPr>
                <w:rFonts w:hint="eastAsia"/>
                <w:color w:val="auto"/>
                <w:highlight w:val="none"/>
              </w:rPr>
              <w:t>二级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59" w:hRule="atLeast"/>
          <w:jc w:val="center"/>
        </w:trPr>
        <w:tc>
          <w:tcPr>
            <w:tcW w:w="1238" w:type="dxa"/>
            <w:vAlign w:val="center"/>
          </w:tcPr>
          <w:p>
            <w:pPr>
              <w:spacing w:line="280" w:lineRule="exact"/>
              <w:jc w:val="center"/>
              <w:rPr>
                <w:color w:val="auto"/>
                <w:highlight w:val="none"/>
              </w:rPr>
            </w:pPr>
            <w:r>
              <w:rPr>
                <w:color w:val="auto"/>
                <w:highlight w:val="none"/>
              </w:rPr>
              <w:t>土壤</w:t>
            </w:r>
          </w:p>
        </w:tc>
        <w:tc>
          <w:tcPr>
            <w:tcW w:w="6135" w:type="dxa"/>
            <w:vAlign w:val="center"/>
          </w:tcPr>
          <w:p>
            <w:pPr>
              <w:spacing w:line="280" w:lineRule="exact"/>
              <w:jc w:val="center"/>
              <w:rPr>
                <w:color w:val="auto"/>
                <w:highlight w:val="none"/>
              </w:rPr>
            </w:pPr>
            <w:r>
              <w:rPr>
                <w:color w:val="auto"/>
                <w:highlight w:val="none"/>
              </w:rPr>
              <w:t>项目属于污染影响型，项目类别为</w:t>
            </w:r>
            <w:r>
              <w:rPr>
                <w:color w:val="auto"/>
                <w:highlight w:val="none"/>
              </w:rPr>
              <w:fldChar w:fldCharType="begin"/>
            </w:r>
            <w:r>
              <w:rPr>
                <w:color w:val="auto"/>
                <w:highlight w:val="none"/>
              </w:rPr>
              <w:instrText xml:space="preserve"> = 4 \* ROMAN \* MERGEFORMAT </w:instrText>
            </w:r>
            <w:r>
              <w:rPr>
                <w:color w:val="auto"/>
                <w:highlight w:val="none"/>
              </w:rPr>
              <w:fldChar w:fldCharType="separate"/>
            </w:r>
            <w:r>
              <w:rPr>
                <w:color w:val="auto"/>
                <w:highlight w:val="none"/>
              </w:rPr>
              <w:t>IV</w:t>
            </w:r>
            <w:r>
              <w:rPr>
                <w:color w:val="auto"/>
                <w:highlight w:val="none"/>
              </w:rPr>
              <w:fldChar w:fldCharType="end"/>
            </w:r>
            <w:r>
              <w:rPr>
                <w:color w:val="auto"/>
                <w:highlight w:val="none"/>
              </w:rPr>
              <w:t>类项目</w:t>
            </w:r>
          </w:p>
        </w:tc>
        <w:tc>
          <w:tcPr>
            <w:tcW w:w="1630" w:type="dxa"/>
            <w:vAlign w:val="center"/>
          </w:tcPr>
          <w:p>
            <w:pPr>
              <w:spacing w:line="280" w:lineRule="exact"/>
              <w:jc w:val="center"/>
              <w:rPr>
                <w:color w:val="auto"/>
                <w:highlight w:val="none"/>
              </w:rPr>
            </w:pPr>
            <w:r>
              <w:rPr>
                <w:rFonts w:hint="eastAsia"/>
                <w:color w:val="auto"/>
                <w:highlight w:val="none"/>
              </w:rPr>
              <w:t>不用评价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238" w:type="dxa"/>
            <w:vAlign w:val="center"/>
          </w:tcPr>
          <w:p>
            <w:pPr>
              <w:spacing w:line="280" w:lineRule="exact"/>
              <w:jc w:val="center"/>
              <w:rPr>
                <w:color w:val="auto"/>
                <w:highlight w:val="none"/>
              </w:rPr>
            </w:pPr>
            <w:r>
              <w:rPr>
                <w:color w:val="auto"/>
                <w:highlight w:val="none"/>
              </w:rPr>
              <w:t>生态环境</w:t>
            </w:r>
          </w:p>
        </w:tc>
        <w:tc>
          <w:tcPr>
            <w:tcW w:w="6135" w:type="dxa"/>
            <w:vAlign w:val="center"/>
          </w:tcPr>
          <w:p>
            <w:pPr>
              <w:spacing w:line="280" w:lineRule="exact"/>
              <w:jc w:val="center"/>
              <w:rPr>
                <w:color w:val="auto"/>
                <w:highlight w:val="none"/>
              </w:rPr>
            </w:pPr>
            <w:r>
              <w:rPr>
                <w:rFonts w:hint="eastAsia"/>
                <w:color w:val="auto"/>
                <w:highlight w:val="none"/>
                <w:lang w:val="en-US" w:eastAsia="zh-CN"/>
              </w:rPr>
              <w:t>污染影响，</w:t>
            </w:r>
            <w:r>
              <w:rPr>
                <w:color w:val="auto"/>
                <w:highlight w:val="none"/>
              </w:rPr>
              <w:t>一般区域，占地面积</w:t>
            </w:r>
            <w:r>
              <w:rPr>
                <w:rFonts w:hint="eastAsia"/>
                <w:color w:val="auto"/>
                <w:highlight w:val="none"/>
                <w:lang w:val="en-US" w:eastAsia="zh-CN"/>
              </w:rPr>
              <w:t>＜</w:t>
            </w:r>
            <w:r>
              <w:rPr>
                <w:color w:val="auto"/>
                <w:highlight w:val="none"/>
              </w:rPr>
              <w:t>2</w:t>
            </w:r>
            <w:r>
              <w:rPr>
                <w:rFonts w:hint="eastAsia"/>
                <w:color w:val="auto"/>
                <w:highlight w:val="none"/>
                <w:lang w:val="en-US" w:eastAsia="zh-CN"/>
              </w:rPr>
              <w:t>0</w:t>
            </w:r>
            <w:r>
              <w:rPr>
                <w:color w:val="auto"/>
                <w:highlight w:val="none"/>
              </w:rPr>
              <w:t>km</w:t>
            </w:r>
            <w:r>
              <w:rPr>
                <w:color w:val="auto"/>
                <w:highlight w:val="none"/>
                <w:vertAlign w:val="superscript"/>
              </w:rPr>
              <w:t>2</w:t>
            </w:r>
          </w:p>
        </w:tc>
        <w:tc>
          <w:tcPr>
            <w:tcW w:w="1630" w:type="dxa"/>
            <w:vAlign w:val="center"/>
          </w:tcPr>
          <w:p>
            <w:pPr>
              <w:spacing w:line="280" w:lineRule="exact"/>
              <w:jc w:val="center"/>
              <w:rPr>
                <w:color w:val="auto"/>
                <w:highlight w:val="none"/>
              </w:rPr>
            </w:pPr>
            <w:r>
              <w:rPr>
                <w:color w:val="auto"/>
                <w:highlight w:val="none"/>
              </w:rPr>
              <w:t>三级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238" w:type="dxa"/>
            <w:vAlign w:val="center"/>
          </w:tcPr>
          <w:p>
            <w:pPr>
              <w:spacing w:line="280" w:lineRule="exact"/>
              <w:jc w:val="center"/>
              <w:rPr>
                <w:color w:val="auto"/>
                <w:highlight w:val="none"/>
              </w:rPr>
            </w:pPr>
            <w:r>
              <w:rPr>
                <w:color w:val="auto"/>
                <w:highlight w:val="none"/>
              </w:rPr>
              <w:t>环境风险</w:t>
            </w:r>
          </w:p>
        </w:tc>
        <w:tc>
          <w:tcPr>
            <w:tcW w:w="6135" w:type="dxa"/>
            <w:vAlign w:val="center"/>
          </w:tcPr>
          <w:p>
            <w:pPr>
              <w:spacing w:line="280" w:lineRule="exact"/>
              <w:jc w:val="center"/>
              <w:rPr>
                <w:color w:val="auto"/>
                <w:highlight w:val="none"/>
              </w:rPr>
            </w:pPr>
            <w:r>
              <w:rPr>
                <w:rFonts w:hint="eastAsia"/>
                <w:color w:val="auto"/>
                <w:kern w:val="0"/>
                <w:highlight w:val="none"/>
              </w:rPr>
              <w:t>危险物质数量与临界量比值Q＜1，</w:t>
            </w:r>
            <w:r>
              <w:rPr>
                <w:color w:val="auto"/>
                <w:kern w:val="0"/>
                <w:highlight w:val="none"/>
              </w:rPr>
              <w:t>环境风险潜势为</w:t>
            </w:r>
            <w:r>
              <w:rPr>
                <w:rFonts w:hint="eastAsia"/>
                <w:color w:val="auto"/>
                <w:kern w:val="0"/>
                <w:highlight w:val="none"/>
              </w:rPr>
              <w:t>Ⅰ</w:t>
            </w:r>
            <w:r>
              <w:rPr>
                <w:color w:val="auto"/>
                <w:kern w:val="0"/>
                <w:highlight w:val="none"/>
              </w:rPr>
              <w:t>级</w:t>
            </w:r>
          </w:p>
        </w:tc>
        <w:tc>
          <w:tcPr>
            <w:tcW w:w="1630" w:type="dxa"/>
            <w:vAlign w:val="center"/>
          </w:tcPr>
          <w:p>
            <w:pPr>
              <w:spacing w:line="280" w:lineRule="exact"/>
              <w:jc w:val="center"/>
              <w:rPr>
                <w:color w:val="auto"/>
                <w:highlight w:val="none"/>
              </w:rPr>
            </w:pPr>
            <w:r>
              <w:rPr>
                <w:rFonts w:hint="eastAsia"/>
                <w:color w:val="auto"/>
                <w:highlight w:val="none"/>
              </w:rPr>
              <w:t>简单分析</w:t>
            </w:r>
          </w:p>
        </w:tc>
      </w:tr>
    </w:tbl>
    <w:p>
      <w:pPr>
        <w:pStyle w:val="100"/>
        <w:spacing w:before="156"/>
        <w:rPr>
          <w:rFonts w:ascii="Times New Roman" w:hAnsi="Times New Roman"/>
          <w:color w:val="auto"/>
          <w:highlight w:val="none"/>
        </w:rPr>
      </w:pPr>
      <w:bookmarkStart w:id="96" w:name="_Toc54732722"/>
      <w:bookmarkStart w:id="97" w:name="_Toc66281271"/>
      <w:bookmarkStart w:id="98" w:name="_Toc3617"/>
      <w:r>
        <w:rPr>
          <w:rFonts w:ascii="Times New Roman" w:hAnsi="Times New Roman"/>
          <w:color w:val="auto"/>
          <w:highlight w:val="none"/>
        </w:rPr>
        <w:t>1.6评价范围及环境敏感保护目标</w:t>
      </w:r>
      <w:bookmarkEnd w:id="96"/>
      <w:bookmarkEnd w:id="97"/>
      <w:bookmarkEnd w:id="98"/>
    </w:p>
    <w:p>
      <w:pPr>
        <w:pStyle w:val="101"/>
        <w:spacing w:before="78" w:line="240" w:lineRule="auto"/>
        <w:rPr>
          <w:rFonts w:ascii="Times New Roman" w:hAnsi="Times New Roman"/>
          <w:color w:val="auto"/>
          <w:highlight w:val="none"/>
        </w:rPr>
      </w:pPr>
      <w:r>
        <w:rPr>
          <w:rFonts w:ascii="Times New Roman" w:hAnsi="Times New Roman"/>
          <w:color w:val="auto"/>
          <w:highlight w:val="none"/>
        </w:rPr>
        <w:t>1.6.1评价范围</w:t>
      </w:r>
    </w:p>
    <w:p>
      <w:pPr>
        <w:spacing w:line="360" w:lineRule="auto"/>
        <w:ind w:firstLine="480" w:firstLineChars="200"/>
        <w:rPr>
          <w:color w:val="auto"/>
          <w:kern w:val="24"/>
          <w:sz w:val="24"/>
          <w:highlight w:val="none"/>
          <w:lang w:bidi="he-IL"/>
        </w:rPr>
      </w:pPr>
      <w:r>
        <w:rPr>
          <w:color w:val="auto"/>
          <w:sz w:val="24"/>
          <w:szCs w:val="24"/>
          <w:highlight w:val="none"/>
        </w:rPr>
        <w:t>项目区附近无风景名胜、文物古迹、机场和重要军事设施等特殊环境保护对象。根据项目各环境要素评价等级及周边环境敏感目标分布情况，评价范围见表1.6-1。</w:t>
      </w:r>
    </w:p>
    <w:p>
      <w:pPr>
        <w:ind w:firstLine="480" w:firstLineChars="200"/>
        <w:jc w:val="center"/>
        <w:rPr>
          <w:rFonts w:eastAsia="黑体"/>
          <w:color w:val="auto"/>
          <w:sz w:val="24"/>
          <w:highlight w:val="none"/>
        </w:rPr>
      </w:pPr>
      <w:r>
        <w:rPr>
          <w:rFonts w:eastAsia="黑体"/>
          <w:color w:val="auto"/>
          <w:sz w:val="24"/>
          <w:highlight w:val="none"/>
        </w:rPr>
        <w:t>表1.6-1   评价范围一览表</w:t>
      </w:r>
    </w:p>
    <w:tbl>
      <w:tblPr>
        <w:tblStyle w:val="59"/>
        <w:tblW w:w="5028"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580"/>
        <w:gridCol w:w="1320"/>
        <w:gridCol w:w="5797"/>
        <w:gridCol w:w="130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322" w:type="pct"/>
            <w:tcBorders>
              <w:top w:val="single" w:color="000000" w:sz="12" w:space="0"/>
              <w:left w:val="nil"/>
              <w:bottom w:val="single" w:color="auto" w:sz="4" w:space="0"/>
            </w:tcBorders>
            <w:tcMar>
              <w:left w:w="57" w:type="dxa"/>
              <w:right w:w="57" w:type="dxa"/>
            </w:tcMar>
            <w:vAlign w:val="center"/>
          </w:tcPr>
          <w:p>
            <w:pPr>
              <w:jc w:val="center"/>
              <w:rPr>
                <w:color w:val="auto"/>
                <w:highlight w:val="none"/>
              </w:rPr>
            </w:pPr>
            <w:r>
              <w:rPr>
                <w:color w:val="auto"/>
                <w:highlight w:val="none"/>
              </w:rPr>
              <w:t>序号</w:t>
            </w:r>
          </w:p>
        </w:tc>
        <w:tc>
          <w:tcPr>
            <w:tcW w:w="733" w:type="pct"/>
            <w:tcBorders>
              <w:top w:val="single" w:color="000000" w:sz="12" w:space="0"/>
              <w:bottom w:val="single" w:color="auto" w:sz="4" w:space="0"/>
            </w:tcBorders>
            <w:tcMar>
              <w:left w:w="57" w:type="dxa"/>
              <w:right w:w="57" w:type="dxa"/>
            </w:tcMar>
            <w:vAlign w:val="center"/>
          </w:tcPr>
          <w:p>
            <w:pPr>
              <w:jc w:val="center"/>
              <w:rPr>
                <w:color w:val="auto"/>
                <w:highlight w:val="none"/>
              </w:rPr>
            </w:pPr>
            <w:r>
              <w:rPr>
                <w:color w:val="auto"/>
                <w:highlight w:val="none"/>
              </w:rPr>
              <w:t>项 目</w:t>
            </w:r>
          </w:p>
        </w:tc>
        <w:tc>
          <w:tcPr>
            <w:tcW w:w="3218" w:type="pct"/>
            <w:tcBorders>
              <w:top w:val="single" w:color="000000" w:sz="12" w:space="0"/>
              <w:bottom w:val="single" w:color="auto" w:sz="4" w:space="0"/>
            </w:tcBorders>
            <w:vAlign w:val="center"/>
          </w:tcPr>
          <w:p>
            <w:pPr>
              <w:widowControl/>
              <w:jc w:val="center"/>
              <w:rPr>
                <w:color w:val="auto"/>
                <w:highlight w:val="none"/>
              </w:rPr>
            </w:pPr>
            <w:r>
              <w:rPr>
                <w:color w:val="auto"/>
                <w:highlight w:val="none"/>
              </w:rPr>
              <w:t>评 价 范 围</w:t>
            </w:r>
          </w:p>
        </w:tc>
        <w:tc>
          <w:tcPr>
            <w:tcW w:w="724" w:type="pct"/>
            <w:tcBorders>
              <w:top w:val="single" w:color="000000" w:sz="12" w:space="0"/>
              <w:left w:val="single" w:color="auto" w:sz="4" w:space="0"/>
              <w:bottom w:val="single" w:color="auto" w:sz="4" w:space="0"/>
              <w:right w:val="nil"/>
            </w:tcBorders>
            <w:vAlign w:val="center"/>
          </w:tcPr>
          <w:p>
            <w:pPr>
              <w:jc w:val="center"/>
              <w:rPr>
                <w:color w:val="auto"/>
                <w:highlight w:val="none"/>
              </w:rPr>
            </w:pPr>
            <w:r>
              <w:rPr>
                <w:color w:val="auto"/>
                <w:highlight w:val="none"/>
              </w:rPr>
              <w:t>功能区划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322" w:type="pct"/>
            <w:tcBorders>
              <w:top w:val="single" w:color="auto" w:sz="4" w:space="0"/>
              <w:left w:val="nil"/>
              <w:bottom w:val="single" w:color="auto" w:sz="4" w:space="0"/>
            </w:tcBorders>
            <w:tcMar>
              <w:left w:w="57" w:type="dxa"/>
              <w:right w:w="57" w:type="dxa"/>
            </w:tcMar>
            <w:vAlign w:val="center"/>
          </w:tcPr>
          <w:p>
            <w:pPr>
              <w:jc w:val="center"/>
              <w:rPr>
                <w:color w:val="auto"/>
                <w:highlight w:val="none"/>
              </w:rPr>
            </w:pPr>
            <w:r>
              <w:rPr>
                <w:color w:val="auto"/>
                <w:highlight w:val="none"/>
              </w:rPr>
              <w:t>1</w:t>
            </w:r>
          </w:p>
        </w:tc>
        <w:tc>
          <w:tcPr>
            <w:tcW w:w="733" w:type="pct"/>
            <w:tcBorders>
              <w:top w:val="single" w:color="auto" w:sz="4" w:space="0"/>
              <w:bottom w:val="single" w:color="auto" w:sz="4" w:space="0"/>
            </w:tcBorders>
            <w:tcMar>
              <w:left w:w="57" w:type="dxa"/>
              <w:right w:w="57" w:type="dxa"/>
            </w:tcMar>
            <w:vAlign w:val="center"/>
          </w:tcPr>
          <w:p>
            <w:pPr>
              <w:jc w:val="center"/>
              <w:rPr>
                <w:color w:val="auto"/>
                <w:highlight w:val="none"/>
              </w:rPr>
            </w:pPr>
            <w:r>
              <w:rPr>
                <w:color w:val="auto"/>
                <w:highlight w:val="none"/>
              </w:rPr>
              <w:t>环境空气</w:t>
            </w:r>
          </w:p>
        </w:tc>
        <w:tc>
          <w:tcPr>
            <w:tcW w:w="3218" w:type="pct"/>
            <w:tcBorders>
              <w:top w:val="single" w:color="auto" w:sz="4" w:space="0"/>
              <w:bottom w:val="single" w:color="auto" w:sz="4" w:space="0"/>
            </w:tcBorders>
            <w:vAlign w:val="center"/>
          </w:tcPr>
          <w:p>
            <w:pPr>
              <w:widowControl/>
              <w:jc w:val="center"/>
              <w:rPr>
                <w:color w:val="auto"/>
                <w:highlight w:val="none"/>
              </w:rPr>
            </w:pPr>
            <w:r>
              <w:rPr>
                <w:color w:val="auto"/>
                <w:highlight w:val="none"/>
              </w:rPr>
              <w:t>以厂址为中心，边长为5km的矩形范围</w:t>
            </w:r>
          </w:p>
        </w:tc>
        <w:tc>
          <w:tcPr>
            <w:tcW w:w="724" w:type="pct"/>
            <w:tcBorders>
              <w:top w:val="single" w:color="auto" w:sz="4" w:space="0"/>
              <w:left w:val="single" w:color="auto" w:sz="4" w:space="0"/>
              <w:bottom w:val="single" w:color="auto" w:sz="4" w:space="0"/>
              <w:right w:val="nil"/>
            </w:tcBorders>
            <w:vAlign w:val="center"/>
          </w:tcPr>
          <w:p>
            <w:pPr>
              <w:jc w:val="center"/>
              <w:rPr>
                <w:color w:val="auto"/>
                <w:highlight w:val="none"/>
              </w:rPr>
            </w:pPr>
            <w:r>
              <w:rPr>
                <w:color w:val="auto"/>
                <w:highlight w:val="none"/>
              </w:rPr>
              <w:t>二类区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322" w:type="pct"/>
            <w:tcBorders>
              <w:top w:val="single" w:color="auto" w:sz="4" w:space="0"/>
              <w:left w:val="nil"/>
              <w:bottom w:val="single" w:color="auto" w:sz="4" w:space="0"/>
            </w:tcBorders>
            <w:tcMar>
              <w:left w:w="57" w:type="dxa"/>
              <w:right w:w="57" w:type="dxa"/>
            </w:tcMar>
            <w:vAlign w:val="center"/>
          </w:tcPr>
          <w:p>
            <w:pPr>
              <w:jc w:val="center"/>
              <w:rPr>
                <w:color w:val="auto"/>
                <w:highlight w:val="none"/>
              </w:rPr>
            </w:pPr>
            <w:r>
              <w:rPr>
                <w:color w:val="auto"/>
                <w:highlight w:val="none"/>
              </w:rPr>
              <w:t>2</w:t>
            </w:r>
          </w:p>
        </w:tc>
        <w:tc>
          <w:tcPr>
            <w:tcW w:w="733" w:type="pct"/>
            <w:tcBorders>
              <w:top w:val="single" w:color="auto" w:sz="4" w:space="0"/>
              <w:bottom w:val="single" w:color="auto" w:sz="4" w:space="0"/>
            </w:tcBorders>
            <w:tcMar>
              <w:left w:w="57" w:type="dxa"/>
              <w:right w:w="57" w:type="dxa"/>
            </w:tcMar>
            <w:vAlign w:val="center"/>
          </w:tcPr>
          <w:p>
            <w:pPr>
              <w:jc w:val="center"/>
              <w:rPr>
                <w:color w:val="auto"/>
                <w:highlight w:val="none"/>
              </w:rPr>
            </w:pPr>
            <w:r>
              <w:rPr>
                <w:color w:val="auto"/>
                <w:highlight w:val="none"/>
              </w:rPr>
              <w:t>地表水</w:t>
            </w:r>
          </w:p>
        </w:tc>
        <w:tc>
          <w:tcPr>
            <w:tcW w:w="3218" w:type="pct"/>
            <w:tcBorders>
              <w:top w:val="single" w:color="auto" w:sz="4" w:space="0"/>
              <w:bottom w:val="single" w:color="auto" w:sz="4" w:space="0"/>
            </w:tcBorders>
            <w:vAlign w:val="center"/>
          </w:tcPr>
          <w:p>
            <w:pPr>
              <w:widowControl/>
              <w:jc w:val="center"/>
              <w:rPr>
                <w:color w:val="auto"/>
                <w:highlight w:val="none"/>
              </w:rPr>
            </w:pPr>
            <w:r>
              <w:rPr>
                <w:rFonts w:hint="eastAsia"/>
                <w:color w:val="auto"/>
                <w:highlight w:val="none"/>
              </w:rPr>
              <w:t>/</w:t>
            </w:r>
          </w:p>
        </w:tc>
        <w:tc>
          <w:tcPr>
            <w:tcW w:w="724" w:type="pct"/>
            <w:tcBorders>
              <w:top w:val="single" w:color="auto" w:sz="4" w:space="0"/>
              <w:left w:val="single" w:color="auto" w:sz="4" w:space="0"/>
              <w:bottom w:val="single" w:color="auto" w:sz="4" w:space="0"/>
              <w:right w:val="nil"/>
            </w:tcBorders>
            <w:vAlign w:val="center"/>
          </w:tcPr>
          <w:p>
            <w:pPr>
              <w:widowControl/>
              <w:jc w:val="center"/>
              <w:rPr>
                <w:color w:val="auto"/>
                <w:highlight w:val="none"/>
              </w:rPr>
            </w:pPr>
            <w:r>
              <w:rPr>
                <w:rStyle w:val="122"/>
                <w:rFonts w:hint="default" w:ascii="Times New Roman" w:hAnsi="Times New Roman"/>
                <w:color w:val="auto"/>
                <w:highlight w:val="none"/>
              </w:rPr>
              <w:t>Ⅲ类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322" w:type="pct"/>
            <w:tcBorders>
              <w:top w:val="single" w:color="auto" w:sz="4" w:space="0"/>
              <w:left w:val="nil"/>
              <w:bottom w:val="single" w:color="auto" w:sz="4" w:space="0"/>
            </w:tcBorders>
            <w:tcMar>
              <w:left w:w="57" w:type="dxa"/>
              <w:right w:w="57" w:type="dxa"/>
            </w:tcMar>
            <w:vAlign w:val="center"/>
          </w:tcPr>
          <w:p>
            <w:pPr>
              <w:jc w:val="center"/>
              <w:rPr>
                <w:color w:val="auto"/>
                <w:highlight w:val="none"/>
              </w:rPr>
            </w:pPr>
            <w:r>
              <w:rPr>
                <w:color w:val="auto"/>
                <w:highlight w:val="none"/>
              </w:rPr>
              <w:t>3</w:t>
            </w:r>
          </w:p>
        </w:tc>
        <w:tc>
          <w:tcPr>
            <w:tcW w:w="733" w:type="pct"/>
            <w:tcBorders>
              <w:top w:val="single" w:color="auto" w:sz="4" w:space="0"/>
              <w:bottom w:val="single" w:color="auto" w:sz="4" w:space="0"/>
            </w:tcBorders>
            <w:tcMar>
              <w:left w:w="57" w:type="dxa"/>
              <w:right w:w="57" w:type="dxa"/>
            </w:tcMar>
            <w:vAlign w:val="center"/>
          </w:tcPr>
          <w:p>
            <w:pPr>
              <w:jc w:val="center"/>
              <w:rPr>
                <w:color w:val="auto"/>
                <w:highlight w:val="none"/>
              </w:rPr>
            </w:pPr>
            <w:r>
              <w:rPr>
                <w:color w:val="auto"/>
                <w:highlight w:val="none"/>
              </w:rPr>
              <w:t>地下水</w:t>
            </w:r>
          </w:p>
        </w:tc>
        <w:tc>
          <w:tcPr>
            <w:tcW w:w="3218" w:type="pct"/>
            <w:tcBorders>
              <w:top w:val="single" w:color="auto" w:sz="4" w:space="0"/>
              <w:bottom w:val="single" w:color="auto" w:sz="4" w:space="0"/>
            </w:tcBorders>
            <w:vAlign w:val="center"/>
          </w:tcPr>
          <w:p>
            <w:pPr>
              <w:widowControl/>
              <w:jc w:val="center"/>
              <w:rPr>
                <w:color w:val="auto"/>
                <w:highlight w:val="none"/>
              </w:rPr>
            </w:pPr>
            <w:r>
              <w:rPr>
                <w:color w:val="auto"/>
                <w:szCs w:val="21"/>
                <w:highlight w:val="none"/>
              </w:rPr>
              <w:t>厂区</w:t>
            </w:r>
            <w:r>
              <w:rPr>
                <w:rFonts w:hint="eastAsia"/>
                <w:color w:val="auto"/>
                <w:szCs w:val="21"/>
                <w:highlight w:val="none"/>
              </w:rPr>
              <w:t>周边</w:t>
            </w:r>
            <w:r>
              <w:rPr>
                <w:rFonts w:hint="eastAsia"/>
                <w:color w:val="auto"/>
                <w:spacing w:val="-4"/>
                <w:highlight w:val="none"/>
              </w:rPr>
              <w:t>6</w:t>
            </w:r>
            <w:r>
              <w:rPr>
                <w:rFonts w:hint="eastAsia"/>
                <w:color w:val="auto"/>
                <w:szCs w:val="21"/>
                <w:highlight w:val="none"/>
              </w:rPr>
              <w:t>km</w:t>
            </w:r>
            <w:r>
              <w:rPr>
                <w:rFonts w:hint="eastAsia"/>
                <w:color w:val="auto"/>
                <w:szCs w:val="21"/>
                <w:highlight w:val="none"/>
                <w:vertAlign w:val="superscript"/>
              </w:rPr>
              <w:t>2</w:t>
            </w:r>
            <w:r>
              <w:rPr>
                <w:rFonts w:hint="eastAsia"/>
                <w:color w:val="auto"/>
                <w:szCs w:val="21"/>
                <w:highlight w:val="none"/>
              </w:rPr>
              <w:t>范围</w:t>
            </w:r>
          </w:p>
        </w:tc>
        <w:tc>
          <w:tcPr>
            <w:tcW w:w="724" w:type="pct"/>
            <w:tcBorders>
              <w:top w:val="single" w:color="auto" w:sz="4" w:space="0"/>
              <w:left w:val="single" w:color="auto" w:sz="4" w:space="0"/>
              <w:bottom w:val="single" w:color="auto" w:sz="4" w:space="0"/>
              <w:right w:val="nil"/>
            </w:tcBorders>
            <w:vAlign w:val="center"/>
          </w:tcPr>
          <w:p>
            <w:pPr>
              <w:widowControl/>
              <w:jc w:val="center"/>
              <w:rPr>
                <w:color w:val="auto"/>
                <w:szCs w:val="21"/>
                <w:highlight w:val="none"/>
              </w:rPr>
            </w:pPr>
            <w:r>
              <w:rPr>
                <w:rStyle w:val="122"/>
                <w:rFonts w:hint="default" w:ascii="Times New Roman" w:hAnsi="Times New Roman"/>
                <w:color w:val="auto"/>
                <w:highlight w:val="none"/>
              </w:rPr>
              <w:t>Ⅲ类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322" w:type="pct"/>
            <w:tcBorders>
              <w:top w:val="single" w:color="auto" w:sz="4" w:space="0"/>
              <w:left w:val="nil"/>
              <w:bottom w:val="single" w:color="auto" w:sz="4" w:space="0"/>
            </w:tcBorders>
            <w:tcMar>
              <w:left w:w="57" w:type="dxa"/>
              <w:right w:w="57" w:type="dxa"/>
            </w:tcMar>
            <w:vAlign w:val="center"/>
          </w:tcPr>
          <w:p>
            <w:pPr>
              <w:jc w:val="center"/>
              <w:rPr>
                <w:color w:val="auto"/>
                <w:highlight w:val="none"/>
              </w:rPr>
            </w:pPr>
            <w:r>
              <w:rPr>
                <w:color w:val="auto"/>
                <w:highlight w:val="none"/>
              </w:rPr>
              <w:t>4</w:t>
            </w:r>
          </w:p>
        </w:tc>
        <w:tc>
          <w:tcPr>
            <w:tcW w:w="733" w:type="pct"/>
            <w:tcBorders>
              <w:top w:val="single" w:color="auto" w:sz="4" w:space="0"/>
              <w:bottom w:val="single" w:color="auto" w:sz="4" w:space="0"/>
            </w:tcBorders>
            <w:tcMar>
              <w:left w:w="57" w:type="dxa"/>
              <w:right w:w="57" w:type="dxa"/>
            </w:tcMar>
            <w:vAlign w:val="center"/>
          </w:tcPr>
          <w:p>
            <w:pPr>
              <w:jc w:val="center"/>
              <w:rPr>
                <w:color w:val="auto"/>
                <w:highlight w:val="none"/>
              </w:rPr>
            </w:pPr>
            <w:r>
              <w:rPr>
                <w:color w:val="auto"/>
                <w:highlight w:val="none"/>
              </w:rPr>
              <w:t>噪声</w:t>
            </w:r>
          </w:p>
        </w:tc>
        <w:tc>
          <w:tcPr>
            <w:tcW w:w="3218" w:type="pct"/>
            <w:tcBorders>
              <w:top w:val="single" w:color="auto" w:sz="4" w:space="0"/>
              <w:bottom w:val="single" w:color="auto" w:sz="4" w:space="0"/>
            </w:tcBorders>
            <w:vAlign w:val="center"/>
          </w:tcPr>
          <w:p>
            <w:pPr>
              <w:widowControl/>
              <w:jc w:val="center"/>
              <w:rPr>
                <w:color w:val="auto"/>
                <w:highlight w:val="none"/>
              </w:rPr>
            </w:pPr>
            <w:r>
              <w:rPr>
                <w:color w:val="auto"/>
                <w:highlight w:val="none"/>
              </w:rPr>
              <w:t>厂界外200m范围</w:t>
            </w:r>
          </w:p>
        </w:tc>
        <w:tc>
          <w:tcPr>
            <w:tcW w:w="724" w:type="pct"/>
            <w:tcBorders>
              <w:top w:val="single" w:color="auto" w:sz="4" w:space="0"/>
              <w:left w:val="single" w:color="auto" w:sz="4" w:space="0"/>
              <w:bottom w:val="single" w:color="auto" w:sz="4" w:space="0"/>
              <w:right w:val="nil"/>
            </w:tcBorders>
            <w:vAlign w:val="center"/>
          </w:tcPr>
          <w:p>
            <w:pPr>
              <w:jc w:val="center"/>
              <w:rPr>
                <w:color w:val="auto"/>
                <w:highlight w:val="none"/>
              </w:rPr>
            </w:pPr>
            <w:r>
              <w:rPr>
                <w:rFonts w:hint="eastAsia"/>
                <w:color w:val="auto"/>
                <w:highlight w:val="none"/>
              </w:rPr>
              <w:t>2</w:t>
            </w:r>
            <w:r>
              <w:rPr>
                <w:color w:val="auto"/>
                <w:highlight w:val="none"/>
              </w:rPr>
              <w:t>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322" w:type="pct"/>
            <w:tcBorders>
              <w:top w:val="single" w:color="auto" w:sz="4" w:space="0"/>
              <w:left w:val="nil"/>
              <w:bottom w:val="single" w:color="auto" w:sz="4" w:space="0"/>
            </w:tcBorders>
            <w:tcMar>
              <w:left w:w="57" w:type="dxa"/>
              <w:right w:w="57" w:type="dxa"/>
            </w:tcMar>
            <w:vAlign w:val="center"/>
          </w:tcPr>
          <w:p>
            <w:pPr>
              <w:jc w:val="center"/>
              <w:rPr>
                <w:color w:val="auto"/>
                <w:highlight w:val="none"/>
              </w:rPr>
            </w:pPr>
            <w:r>
              <w:rPr>
                <w:rFonts w:hint="eastAsia"/>
                <w:color w:val="auto"/>
                <w:highlight w:val="none"/>
              </w:rPr>
              <w:t>5</w:t>
            </w:r>
          </w:p>
        </w:tc>
        <w:tc>
          <w:tcPr>
            <w:tcW w:w="733" w:type="pct"/>
            <w:tcBorders>
              <w:top w:val="single" w:color="auto" w:sz="4" w:space="0"/>
              <w:bottom w:val="single" w:color="auto" w:sz="4" w:space="0"/>
            </w:tcBorders>
            <w:tcMar>
              <w:left w:w="57" w:type="dxa"/>
              <w:right w:w="57" w:type="dxa"/>
            </w:tcMar>
            <w:vAlign w:val="center"/>
          </w:tcPr>
          <w:p>
            <w:pPr>
              <w:jc w:val="center"/>
              <w:rPr>
                <w:color w:val="auto"/>
                <w:highlight w:val="none"/>
              </w:rPr>
            </w:pPr>
            <w:r>
              <w:rPr>
                <w:color w:val="auto"/>
                <w:highlight w:val="none"/>
              </w:rPr>
              <w:t>生态</w:t>
            </w:r>
          </w:p>
        </w:tc>
        <w:tc>
          <w:tcPr>
            <w:tcW w:w="3218" w:type="pct"/>
            <w:tcBorders>
              <w:top w:val="single" w:color="auto" w:sz="4" w:space="0"/>
              <w:bottom w:val="single" w:color="auto" w:sz="4" w:space="0"/>
            </w:tcBorders>
            <w:vAlign w:val="center"/>
          </w:tcPr>
          <w:p>
            <w:pPr>
              <w:widowControl/>
              <w:jc w:val="center"/>
              <w:rPr>
                <w:color w:val="auto"/>
                <w:highlight w:val="none"/>
              </w:rPr>
            </w:pPr>
            <w:r>
              <w:rPr>
                <w:color w:val="auto"/>
                <w:highlight w:val="none"/>
              </w:rPr>
              <w:t>占地范围</w:t>
            </w:r>
          </w:p>
        </w:tc>
        <w:tc>
          <w:tcPr>
            <w:tcW w:w="724" w:type="pct"/>
            <w:tcBorders>
              <w:top w:val="single" w:color="auto" w:sz="4" w:space="0"/>
              <w:left w:val="single" w:color="auto" w:sz="4" w:space="0"/>
              <w:bottom w:val="single" w:color="auto" w:sz="4" w:space="0"/>
              <w:right w:val="nil"/>
            </w:tcBorders>
            <w:vAlign w:val="center"/>
          </w:tcPr>
          <w:p>
            <w:pPr>
              <w:jc w:val="center"/>
              <w:rPr>
                <w:color w:val="auto"/>
                <w:highlight w:val="none"/>
              </w:rPr>
            </w:pPr>
            <w:r>
              <w:rPr>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322" w:type="pct"/>
            <w:tcBorders>
              <w:top w:val="single" w:color="auto" w:sz="4" w:space="0"/>
              <w:left w:val="nil"/>
            </w:tcBorders>
            <w:tcMar>
              <w:left w:w="57" w:type="dxa"/>
              <w:right w:w="57" w:type="dxa"/>
            </w:tcMar>
            <w:vAlign w:val="center"/>
          </w:tcPr>
          <w:p>
            <w:pPr>
              <w:jc w:val="center"/>
              <w:rPr>
                <w:color w:val="auto"/>
                <w:highlight w:val="none"/>
              </w:rPr>
            </w:pPr>
            <w:r>
              <w:rPr>
                <w:rFonts w:hint="eastAsia"/>
                <w:color w:val="auto"/>
                <w:highlight w:val="none"/>
              </w:rPr>
              <w:t>6</w:t>
            </w:r>
          </w:p>
        </w:tc>
        <w:tc>
          <w:tcPr>
            <w:tcW w:w="733" w:type="pct"/>
            <w:tcBorders>
              <w:top w:val="single" w:color="auto" w:sz="4" w:space="0"/>
            </w:tcBorders>
            <w:tcMar>
              <w:left w:w="57" w:type="dxa"/>
              <w:right w:w="57" w:type="dxa"/>
            </w:tcMar>
            <w:vAlign w:val="center"/>
          </w:tcPr>
          <w:p>
            <w:pPr>
              <w:jc w:val="center"/>
              <w:rPr>
                <w:color w:val="auto"/>
                <w:highlight w:val="none"/>
              </w:rPr>
            </w:pPr>
            <w:r>
              <w:rPr>
                <w:color w:val="auto"/>
                <w:highlight w:val="none"/>
              </w:rPr>
              <w:t>环境风险</w:t>
            </w:r>
          </w:p>
        </w:tc>
        <w:tc>
          <w:tcPr>
            <w:tcW w:w="3218" w:type="pct"/>
            <w:tcBorders>
              <w:top w:val="single" w:color="auto" w:sz="4" w:space="0"/>
            </w:tcBorders>
            <w:vAlign w:val="center"/>
          </w:tcPr>
          <w:p>
            <w:pPr>
              <w:widowControl/>
              <w:jc w:val="center"/>
              <w:rPr>
                <w:color w:val="auto"/>
                <w:highlight w:val="none"/>
              </w:rPr>
            </w:pPr>
            <w:r>
              <w:rPr>
                <w:rFonts w:hint="eastAsia"/>
                <w:color w:val="auto"/>
                <w:highlight w:val="none"/>
              </w:rPr>
              <w:t>简单分析，不设评价范围</w:t>
            </w:r>
          </w:p>
        </w:tc>
        <w:tc>
          <w:tcPr>
            <w:tcW w:w="724" w:type="pct"/>
            <w:tcBorders>
              <w:top w:val="single" w:color="auto" w:sz="4" w:space="0"/>
              <w:left w:val="single" w:color="auto" w:sz="4" w:space="0"/>
              <w:right w:val="nil"/>
            </w:tcBorders>
            <w:vAlign w:val="center"/>
          </w:tcPr>
          <w:p>
            <w:pPr>
              <w:jc w:val="center"/>
              <w:rPr>
                <w:color w:val="auto"/>
                <w:highlight w:val="none"/>
              </w:rPr>
            </w:pPr>
            <w:r>
              <w:rPr>
                <w:color w:val="auto"/>
                <w:highlight w:val="none"/>
              </w:rPr>
              <w:t>-</w:t>
            </w:r>
          </w:p>
        </w:tc>
      </w:tr>
    </w:tbl>
    <w:p>
      <w:pPr>
        <w:pStyle w:val="101"/>
        <w:spacing w:before="78"/>
        <w:rPr>
          <w:rFonts w:ascii="Times New Roman" w:hAnsi="Times New Roman"/>
          <w:color w:val="auto"/>
          <w:highlight w:val="none"/>
        </w:rPr>
      </w:pPr>
      <w:r>
        <w:rPr>
          <w:rFonts w:ascii="Times New Roman" w:hAnsi="Times New Roman"/>
          <w:color w:val="auto"/>
          <w:highlight w:val="none"/>
        </w:rPr>
        <w:t>1.6.2环境敏感保护目标</w:t>
      </w:r>
    </w:p>
    <w:p>
      <w:pPr>
        <w:spacing w:line="360" w:lineRule="auto"/>
        <w:ind w:firstLine="480" w:firstLineChars="200"/>
        <w:jc w:val="left"/>
        <w:rPr>
          <w:color w:val="auto"/>
          <w:sz w:val="24"/>
          <w:highlight w:val="none"/>
        </w:rPr>
      </w:pPr>
      <w:r>
        <w:rPr>
          <w:color w:val="auto"/>
          <w:sz w:val="24"/>
          <w:highlight w:val="none"/>
        </w:rPr>
        <w:t>根据本区域的环境状况，本项目评价范围内的主要环境敏感保护目标情况见表1.6-2和图1.6-1</w:t>
      </w:r>
      <w:r>
        <w:rPr>
          <w:rFonts w:hint="eastAsia"/>
          <w:color w:val="auto"/>
          <w:sz w:val="24"/>
          <w:highlight w:val="none"/>
        </w:rPr>
        <w:t>、图1</w:t>
      </w:r>
      <w:r>
        <w:rPr>
          <w:color w:val="auto"/>
          <w:sz w:val="24"/>
          <w:highlight w:val="none"/>
        </w:rPr>
        <w:t>.6-2，最近敏感目标为</w:t>
      </w:r>
      <w:r>
        <w:rPr>
          <w:rFonts w:hint="eastAsia"/>
          <w:color w:val="auto"/>
          <w:sz w:val="24"/>
          <w:highlight w:val="none"/>
        </w:rPr>
        <w:t>大官庄村，距离厂界约15m，距离生产车间约120m。</w:t>
      </w:r>
    </w:p>
    <w:p>
      <w:pPr>
        <w:jc w:val="center"/>
        <w:rPr>
          <w:color w:val="auto"/>
          <w:highlight w:val="none"/>
        </w:rPr>
      </w:pPr>
      <w:r>
        <w:rPr>
          <w:rFonts w:eastAsia="黑体"/>
          <w:color w:val="auto"/>
          <w:sz w:val="24"/>
          <w:szCs w:val="24"/>
          <w:highlight w:val="none"/>
        </w:rPr>
        <w:t>表1.6-2    项目周围敏感目标一览表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9"/>
        <w:gridCol w:w="1732"/>
        <w:gridCol w:w="917"/>
        <w:gridCol w:w="840"/>
        <w:gridCol w:w="731"/>
        <w:gridCol w:w="1415"/>
        <w:gridCol w:w="23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02" w:type="pct"/>
            <w:vMerge w:val="restart"/>
            <w:tcMar>
              <w:top w:w="0" w:type="dxa"/>
              <w:left w:w="28" w:type="dxa"/>
              <w:bottom w:w="0" w:type="dxa"/>
              <w:right w:w="28" w:type="dxa"/>
            </w:tcMar>
            <w:vAlign w:val="center"/>
          </w:tcPr>
          <w:p>
            <w:pPr>
              <w:pStyle w:val="105"/>
              <w:spacing w:line="240" w:lineRule="auto"/>
              <w:rPr>
                <w:color w:val="auto"/>
                <w:highlight w:val="none"/>
              </w:rPr>
            </w:pPr>
            <w:r>
              <w:rPr>
                <w:color w:val="auto"/>
                <w:highlight w:val="none"/>
              </w:rPr>
              <w:t>项目</w:t>
            </w:r>
          </w:p>
        </w:tc>
        <w:tc>
          <w:tcPr>
            <w:tcW w:w="979" w:type="pct"/>
            <w:vMerge w:val="restart"/>
            <w:vAlign w:val="center"/>
          </w:tcPr>
          <w:p>
            <w:pPr>
              <w:pStyle w:val="105"/>
              <w:spacing w:line="240" w:lineRule="auto"/>
              <w:rPr>
                <w:color w:val="auto"/>
                <w:highlight w:val="none"/>
              </w:rPr>
            </w:pPr>
            <w:r>
              <w:rPr>
                <w:color w:val="auto"/>
                <w:highlight w:val="none"/>
              </w:rPr>
              <w:t>敏感目标</w:t>
            </w:r>
          </w:p>
        </w:tc>
        <w:tc>
          <w:tcPr>
            <w:tcW w:w="993" w:type="pct"/>
            <w:gridSpan w:val="2"/>
            <w:vAlign w:val="center"/>
          </w:tcPr>
          <w:p>
            <w:pPr>
              <w:pStyle w:val="105"/>
              <w:spacing w:line="240" w:lineRule="auto"/>
              <w:rPr>
                <w:color w:val="auto"/>
                <w:highlight w:val="none"/>
              </w:rPr>
            </w:pPr>
            <w:r>
              <w:rPr>
                <w:rFonts w:hint="eastAsia"/>
                <w:color w:val="auto"/>
                <w:highlight w:val="none"/>
              </w:rPr>
              <w:t>坐标</w:t>
            </w:r>
          </w:p>
        </w:tc>
        <w:tc>
          <w:tcPr>
            <w:tcW w:w="413" w:type="pct"/>
            <w:vMerge w:val="restart"/>
            <w:tcMar>
              <w:top w:w="0" w:type="dxa"/>
              <w:left w:w="28" w:type="dxa"/>
              <w:bottom w:w="0" w:type="dxa"/>
              <w:right w:w="28" w:type="dxa"/>
            </w:tcMar>
            <w:vAlign w:val="center"/>
          </w:tcPr>
          <w:p>
            <w:pPr>
              <w:pStyle w:val="105"/>
              <w:spacing w:line="240" w:lineRule="auto"/>
              <w:rPr>
                <w:color w:val="auto"/>
                <w:highlight w:val="none"/>
              </w:rPr>
            </w:pPr>
            <w:r>
              <w:rPr>
                <w:color w:val="auto"/>
                <w:highlight w:val="none"/>
              </w:rPr>
              <w:t>相对方位</w:t>
            </w:r>
          </w:p>
        </w:tc>
        <w:tc>
          <w:tcPr>
            <w:tcW w:w="800" w:type="pct"/>
            <w:vMerge w:val="restart"/>
            <w:tcMar>
              <w:top w:w="0" w:type="dxa"/>
              <w:left w:w="28" w:type="dxa"/>
              <w:bottom w:w="0" w:type="dxa"/>
              <w:right w:w="28" w:type="dxa"/>
            </w:tcMar>
            <w:vAlign w:val="center"/>
          </w:tcPr>
          <w:p>
            <w:pPr>
              <w:pStyle w:val="105"/>
              <w:spacing w:line="240" w:lineRule="auto"/>
              <w:rPr>
                <w:color w:val="auto"/>
                <w:highlight w:val="none"/>
              </w:rPr>
            </w:pPr>
            <w:r>
              <w:rPr>
                <w:color w:val="auto"/>
                <w:highlight w:val="none"/>
              </w:rPr>
              <w:t>距项目最近</w:t>
            </w:r>
          </w:p>
          <w:p>
            <w:pPr>
              <w:pStyle w:val="105"/>
              <w:spacing w:line="240" w:lineRule="auto"/>
              <w:rPr>
                <w:color w:val="auto"/>
                <w:highlight w:val="none"/>
              </w:rPr>
            </w:pPr>
            <w:r>
              <w:rPr>
                <w:color w:val="auto"/>
                <w:highlight w:val="none"/>
              </w:rPr>
              <w:t>距离(m)</w:t>
            </w:r>
          </w:p>
        </w:tc>
        <w:tc>
          <w:tcPr>
            <w:tcW w:w="1311" w:type="pct"/>
            <w:vMerge w:val="restart"/>
            <w:tcMar>
              <w:top w:w="0" w:type="dxa"/>
              <w:left w:w="28" w:type="dxa"/>
              <w:bottom w:w="0" w:type="dxa"/>
              <w:right w:w="28" w:type="dxa"/>
            </w:tcMar>
            <w:vAlign w:val="center"/>
          </w:tcPr>
          <w:p>
            <w:pPr>
              <w:pStyle w:val="105"/>
              <w:spacing w:line="240" w:lineRule="auto"/>
              <w:rPr>
                <w:color w:val="auto"/>
                <w:highlight w:val="none"/>
              </w:rPr>
            </w:pPr>
            <w:r>
              <w:rPr>
                <w:color w:val="auto"/>
                <w:highlight w:val="none"/>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02" w:type="pct"/>
            <w:vMerge w:val="continue"/>
            <w:tcMar>
              <w:top w:w="0" w:type="dxa"/>
              <w:left w:w="28" w:type="dxa"/>
              <w:bottom w:w="0" w:type="dxa"/>
              <w:right w:w="28" w:type="dxa"/>
            </w:tcMar>
            <w:vAlign w:val="center"/>
          </w:tcPr>
          <w:p>
            <w:pPr>
              <w:pStyle w:val="105"/>
              <w:spacing w:line="240" w:lineRule="auto"/>
              <w:rPr>
                <w:color w:val="auto"/>
                <w:highlight w:val="none"/>
              </w:rPr>
            </w:pPr>
          </w:p>
        </w:tc>
        <w:tc>
          <w:tcPr>
            <w:tcW w:w="979" w:type="pct"/>
            <w:vMerge w:val="continue"/>
            <w:vAlign w:val="center"/>
          </w:tcPr>
          <w:p>
            <w:pPr>
              <w:pStyle w:val="105"/>
              <w:spacing w:line="240" w:lineRule="auto"/>
              <w:rPr>
                <w:color w:val="auto"/>
                <w:highlight w:val="none"/>
              </w:rPr>
            </w:pPr>
          </w:p>
        </w:tc>
        <w:tc>
          <w:tcPr>
            <w:tcW w:w="518" w:type="pct"/>
            <w:vAlign w:val="center"/>
          </w:tcPr>
          <w:p>
            <w:pPr>
              <w:pStyle w:val="105"/>
              <w:spacing w:line="240" w:lineRule="auto"/>
              <w:rPr>
                <w:color w:val="auto"/>
                <w:highlight w:val="none"/>
              </w:rPr>
            </w:pPr>
            <w:r>
              <w:rPr>
                <w:rFonts w:hint="eastAsia"/>
                <w:color w:val="auto"/>
                <w:highlight w:val="none"/>
              </w:rPr>
              <w:t>X</w:t>
            </w:r>
          </w:p>
        </w:tc>
        <w:tc>
          <w:tcPr>
            <w:tcW w:w="474" w:type="pct"/>
            <w:vAlign w:val="center"/>
          </w:tcPr>
          <w:p>
            <w:pPr>
              <w:pStyle w:val="105"/>
              <w:spacing w:line="240" w:lineRule="auto"/>
              <w:rPr>
                <w:color w:val="auto"/>
                <w:highlight w:val="none"/>
              </w:rPr>
            </w:pPr>
            <w:r>
              <w:rPr>
                <w:rFonts w:hint="eastAsia"/>
                <w:color w:val="auto"/>
                <w:highlight w:val="none"/>
              </w:rPr>
              <w:t>Y</w:t>
            </w:r>
          </w:p>
        </w:tc>
        <w:tc>
          <w:tcPr>
            <w:tcW w:w="413" w:type="pct"/>
            <w:vMerge w:val="continue"/>
            <w:tcMar>
              <w:top w:w="0" w:type="dxa"/>
              <w:left w:w="28" w:type="dxa"/>
              <w:bottom w:w="0" w:type="dxa"/>
              <w:right w:w="28" w:type="dxa"/>
            </w:tcMar>
            <w:vAlign w:val="center"/>
          </w:tcPr>
          <w:p>
            <w:pPr>
              <w:pStyle w:val="105"/>
              <w:spacing w:line="240" w:lineRule="auto"/>
              <w:rPr>
                <w:color w:val="auto"/>
                <w:highlight w:val="none"/>
              </w:rPr>
            </w:pPr>
          </w:p>
        </w:tc>
        <w:tc>
          <w:tcPr>
            <w:tcW w:w="800" w:type="pct"/>
            <w:vMerge w:val="continue"/>
            <w:tcMar>
              <w:top w:w="0" w:type="dxa"/>
              <w:left w:w="28" w:type="dxa"/>
              <w:bottom w:w="0" w:type="dxa"/>
              <w:right w:w="28" w:type="dxa"/>
            </w:tcMar>
            <w:vAlign w:val="center"/>
          </w:tcPr>
          <w:p>
            <w:pPr>
              <w:pStyle w:val="105"/>
              <w:spacing w:line="240" w:lineRule="auto"/>
              <w:rPr>
                <w:color w:val="auto"/>
                <w:highlight w:val="none"/>
              </w:rPr>
            </w:pPr>
          </w:p>
        </w:tc>
        <w:tc>
          <w:tcPr>
            <w:tcW w:w="1311" w:type="pct"/>
            <w:vMerge w:val="continue"/>
            <w:tcMar>
              <w:top w:w="0" w:type="dxa"/>
              <w:left w:w="28" w:type="dxa"/>
              <w:bottom w:w="0" w:type="dxa"/>
              <w:right w:w="28" w:type="dxa"/>
            </w:tcMar>
            <w:vAlign w:val="center"/>
          </w:tcPr>
          <w:p>
            <w:pPr>
              <w:pStyle w:val="105"/>
              <w:spacing w:line="240" w:lineRule="auto"/>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02" w:type="pct"/>
            <w:vMerge w:val="restart"/>
            <w:tcMar>
              <w:top w:w="0" w:type="dxa"/>
              <w:left w:w="28" w:type="dxa"/>
              <w:bottom w:w="0" w:type="dxa"/>
              <w:right w:w="28" w:type="dxa"/>
            </w:tcMar>
            <w:vAlign w:val="center"/>
          </w:tcPr>
          <w:p>
            <w:pPr>
              <w:pStyle w:val="105"/>
              <w:spacing w:line="240" w:lineRule="auto"/>
              <w:rPr>
                <w:bCs/>
                <w:color w:val="auto"/>
                <w:highlight w:val="none"/>
              </w:rPr>
            </w:pPr>
            <w:r>
              <w:rPr>
                <w:bCs/>
                <w:color w:val="auto"/>
                <w:highlight w:val="none"/>
              </w:rPr>
              <w:t>环境</w:t>
            </w:r>
          </w:p>
          <w:p>
            <w:pPr>
              <w:pStyle w:val="105"/>
              <w:spacing w:line="240" w:lineRule="auto"/>
              <w:rPr>
                <w:bCs/>
                <w:color w:val="auto"/>
                <w:highlight w:val="none"/>
              </w:rPr>
            </w:pPr>
            <w:r>
              <w:rPr>
                <w:bCs/>
                <w:color w:val="auto"/>
                <w:highlight w:val="none"/>
              </w:rPr>
              <w:t>空气</w:t>
            </w:r>
          </w:p>
        </w:tc>
        <w:tc>
          <w:tcPr>
            <w:tcW w:w="979" w:type="pct"/>
            <w:vAlign w:val="center"/>
          </w:tcPr>
          <w:p>
            <w:pPr>
              <w:pStyle w:val="105"/>
              <w:spacing w:line="240" w:lineRule="auto"/>
              <w:rPr>
                <w:color w:val="auto"/>
                <w:highlight w:val="none"/>
              </w:rPr>
            </w:pPr>
            <w:r>
              <w:rPr>
                <w:rFonts w:hint="eastAsia"/>
                <w:color w:val="auto"/>
                <w:highlight w:val="none"/>
              </w:rPr>
              <w:t>大官庄村</w:t>
            </w:r>
          </w:p>
        </w:tc>
        <w:tc>
          <w:tcPr>
            <w:tcW w:w="518" w:type="pct"/>
            <w:vAlign w:val="center"/>
          </w:tcPr>
          <w:p>
            <w:pPr>
              <w:pStyle w:val="105"/>
              <w:spacing w:line="240" w:lineRule="auto"/>
              <w:rPr>
                <w:color w:val="auto"/>
                <w:highlight w:val="none"/>
              </w:rPr>
            </w:pPr>
            <w:r>
              <w:rPr>
                <w:rFonts w:hint="eastAsia"/>
                <w:color w:val="auto"/>
                <w:highlight w:val="none"/>
              </w:rPr>
              <w:t>117.665</w:t>
            </w:r>
          </w:p>
        </w:tc>
        <w:tc>
          <w:tcPr>
            <w:tcW w:w="474" w:type="pct"/>
            <w:vAlign w:val="center"/>
          </w:tcPr>
          <w:p>
            <w:pPr>
              <w:pStyle w:val="105"/>
              <w:spacing w:line="240" w:lineRule="auto"/>
              <w:rPr>
                <w:color w:val="auto"/>
                <w:highlight w:val="none"/>
              </w:rPr>
            </w:pPr>
            <w:r>
              <w:rPr>
                <w:rFonts w:hint="eastAsia"/>
                <w:color w:val="auto"/>
                <w:highlight w:val="none"/>
              </w:rPr>
              <w:t>34.767</w:t>
            </w:r>
          </w:p>
        </w:tc>
        <w:tc>
          <w:tcPr>
            <w:tcW w:w="413" w:type="pct"/>
            <w:tcMar>
              <w:top w:w="0" w:type="dxa"/>
              <w:left w:w="28" w:type="dxa"/>
              <w:bottom w:w="0" w:type="dxa"/>
              <w:right w:w="28" w:type="dxa"/>
            </w:tcMar>
            <w:vAlign w:val="center"/>
          </w:tcPr>
          <w:p>
            <w:pPr>
              <w:pStyle w:val="105"/>
              <w:spacing w:line="240" w:lineRule="auto"/>
              <w:rPr>
                <w:color w:val="auto"/>
                <w:highlight w:val="none"/>
              </w:rPr>
            </w:pPr>
            <w:r>
              <w:rPr>
                <w:rFonts w:hint="eastAsia"/>
                <w:color w:val="auto"/>
                <w:highlight w:val="none"/>
              </w:rPr>
              <w:t>E</w:t>
            </w:r>
          </w:p>
        </w:tc>
        <w:tc>
          <w:tcPr>
            <w:tcW w:w="800" w:type="pct"/>
            <w:tcMar>
              <w:top w:w="0" w:type="dxa"/>
              <w:left w:w="28" w:type="dxa"/>
              <w:bottom w:w="0" w:type="dxa"/>
              <w:right w:w="28" w:type="dxa"/>
            </w:tcMar>
            <w:vAlign w:val="center"/>
          </w:tcPr>
          <w:p>
            <w:pPr>
              <w:pStyle w:val="105"/>
              <w:spacing w:line="240" w:lineRule="auto"/>
              <w:rPr>
                <w:color w:val="auto"/>
                <w:highlight w:val="none"/>
              </w:rPr>
            </w:pPr>
            <w:r>
              <w:rPr>
                <w:rFonts w:hint="eastAsia"/>
                <w:color w:val="auto"/>
                <w:highlight w:val="none"/>
              </w:rPr>
              <w:t>15m，距生产车间约120m</w:t>
            </w:r>
          </w:p>
        </w:tc>
        <w:tc>
          <w:tcPr>
            <w:tcW w:w="1311" w:type="pct"/>
            <w:tcMar>
              <w:top w:w="0" w:type="dxa"/>
              <w:left w:w="28" w:type="dxa"/>
              <w:bottom w:w="0" w:type="dxa"/>
              <w:right w:w="28" w:type="dxa"/>
            </w:tcMar>
            <w:vAlign w:val="center"/>
          </w:tcPr>
          <w:p>
            <w:pPr>
              <w:pStyle w:val="105"/>
              <w:spacing w:line="240" w:lineRule="auto"/>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2" w:type="pct"/>
            <w:vMerge w:val="continue"/>
            <w:vAlign w:val="center"/>
          </w:tcPr>
          <w:p>
            <w:pPr>
              <w:pStyle w:val="105"/>
              <w:spacing w:line="240" w:lineRule="auto"/>
              <w:rPr>
                <w:bCs/>
                <w:color w:val="auto"/>
                <w:highlight w:val="none"/>
              </w:rPr>
            </w:pPr>
          </w:p>
        </w:tc>
        <w:tc>
          <w:tcPr>
            <w:tcW w:w="979" w:type="pct"/>
            <w:vAlign w:val="center"/>
          </w:tcPr>
          <w:p>
            <w:pPr>
              <w:widowControl/>
              <w:jc w:val="center"/>
              <w:textAlignment w:val="bottom"/>
              <w:rPr>
                <w:color w:val="auto"/>
                <w:spacing w:val="4"/>
                <w:kern w:val="0"/>
                <w:highlight w:val="none"/>
              </w:rPr>
            </w:pPr>
            <w:r>
              <w:rPr>
                <w:rFonts w:hint="eastAsia" w:ascii="宋体" w:hAnsi="宋体" w:cs="宋体"/>
                <w:color w:val="auto"/>
                <w:kern w:val="0"/>
                <w:szCs w:val="21"/>
                <w:highlight w:val="none"/>
                <w:lang w:bidi="ar"/>
              </w:rPr>
              <w:t>横山头</w:t>
            </w:r>
          </w:p>
        </w:tc>
        <w:tc>
          <w:tcPr>
            <w:tcW w:w="518" w:type="pct"/>
            <w:vAlign w:val="center"/>
          </w:tcPr>
          <w:p>
            <w:pPr>
              <w:widowControl/>
              <w:jc w:val="center"/>
              <w:textAlignment w:val="bottom"/>
              <w:rPr>
                <w:color w:val="auto"/>
                <w:spacing w:val="4"/>
                <w:kern w:val="0"/>
                <w:highlight w:val="none"/>
              </w:rPr>
            </w:pPr>
            <w:r>
              <w:rPr>
                <w:color w:val="auto"/>
                <w:kern w:val="0"/>
                <w:szCs w:val="21"/>
                <w:highlight w:val="none"/>
                <w:lang w:bidi="ar"/>
              </w:rPr>
              <w:t>117.666</w:t>
            </w:r>
          </w:p>
        </w:tc>
        <w:tc>
          <w:tcPr>
            <w:tcW w:w="474" w:type="pct"/>
            <w:vAlign w:val="center"/>
          </w:tcPr>
          <w:p>
            <w:pPr>
              <w:widowControl/>
              <w:jc w:val="center"/>
              <w:textAlignment w:val="bottom"/>
              <w:rPr>
                <w:color w:val="auto"/>
                <w:spacing w:val="4"/>
                <w:kern w:val="0"/>
                <w:highlight w:val="none"/>
              </w:rPr>
            </w:pPr>
            <w:r>
              <w:rPr>
                <w:color w:val="auto"/>
                <w:kern w:val="0"/>
                <w:szCs w:val="21"/>
                <w:highlight w:val="none"/>
                <w:lang w:bidi="ar"/>
              </w:rPr>
              <w:t>34.787</w:t>
            </w:r>
          </w:p>
        </w:tc>
        <w:tc>
          <w:tcPr>
            <w:tcW w:w="413" w:type="pct"/>
            <w:vAlign w:val="center"/>
          </w:tcPr>
          <w:p>
            <w:pPr>
              <w:widowControl/>
              <w:jc w:val="center"/>
              <w:textAlignment w:val="bottom"/>
              <w:rPr>
                <w:color w:val="auto"/>
                <w:spacing w:val="4"/>
                <w:kern w:val="0"/>
                <w:highlight w:val="none"/>
              </w:rPr>
            </w:pPr>
            <w:r>
              <w:rPr>
                <w:color w:val="auto"/>
                <w:kern w:val="0"/>
                <w:szCs w:val="21"/>
                <w:highlight w:val="none"/>
                <w:lang w:bidi="ar"/>
              </w:rPr>
              <w:t>N</w:t>
            </w:r>
          </w:p>
        </w:tc>
        <w:tc>
          <w:tcPr>
            <w:tcW w:w="800" w:type="pct"/>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2280</w:t>
            </w:r>
          </w:p>
        </w:tc>
        <w:tc>
          <w:tcPr>
            <w:tcW w:w="1311" w:type="pct"/>
            <w:vMerge w:val="restart"/>
            <w:vAlign w:val="center"/>
          </w:tcPr>
          <w:p>
            <w:pPr>
              <w:pStyle w:val="105"/>
              <w:spacing w:line="240" w:lineRule="auto"/>
              <w:rPr>
                <w:color w:val="auto"/>
                <w:highlight w:val="none"/>
              </w:rPr>
            </w:pPr>
            <w:r>
              <w:rPr>
                <w:color w:val="auto"/>
                <w:highlight w:val="none"/>
              </w:rPr>
              <w:t>《环境空气质量标准》(GB3095-2012)中的二级标准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2" w:type="pct"/>
            <w:vMerge w:val="continue"/>
            <w:vAlign w:val="center"/>
          </w:tcPr>
          <w:p>
            <w:pPr>
              <w:pStyle w:val="105"/>
              <w:spacing w:line="240" w:lineRule="auto"/>
              <w:rPr>
                <w:bCs/>
                <w:color w:val="auto"/>
                <w:highlight w:val="none"/>
              </w:rPr>
            </w:pPr>
          </w:p>
        </w:tc>
        <w:tc>
          <w:tcPr>
            <w:tcW w:w="979" w:type="pct"/>
            <w:vAlign w:val="center"/>
          </w:tcPr>
          <w:p>
            <w:pPr>
              <w:widowControl/>
              <w:jc w:val="center"/>
              <w:textAlignment w:val="bottom"/>
              <w:rPr>
                <w:color w:val="auto"/>
                <w:highlight w:val="none"/>
              </w:rPr>
            </w:pPr>
            <w:r>
              <w:rPr>
                <w:rFonts w:hint="eastAsia" w:ascii="宋体" w:hAnsi="宋体" w:cs="宋体"/>
                <w:color w:val="auto"/>
                <w:kern w:val="0"/>
                <w:szCs w:val="21"/>
                <w:highlight w:val="none"/>
                <w:lang w:bidi="ar"/>
              </w:rPr>
              <w:t>左庄</w:t>
            </w:r>
          </w:p>
        </w:tc>
        <w:tc>
          <w:tcPr>
            <w:tcW w:w="518" w:type="pct"/>
            <w:vAlign w:val="center"/>
          </w:tcPr>
          <w:p>
            <w:pPr>
              <w:widowControl/>
              <w:jc w:val="center"/>
              <w:textAlignment w:val="bottom"/>
              <w:rPr>
                <w:color w:val="auto"/>
                <w:highlight w:val="none"/>
              </w:rPr>
            </w:pPr>
            <w:r>
              <w:rPr>
                <w:color w:val="auto"/>
                <w:kern w:val="0"/>
                <w:szCs w:val="21"/>
                <w:highlight w:val="none"/>
                <w:lang w:bidi="ar"/>
              </w:rPr>
              <w:t>117.68</w:t>
            </w:r>
          </w:p>
        </w:tc>
        <w:tc>
          <w:tcPr>
            <w:tcW w:w="474" w:type="pct"/>
            <w:vAlign w:val="center"/>
          </w:tcPr>
          <w:p>
            <w:pPr>
              <w:widowControl/>
              <w:jc w:val="center"/>
              <w:textAlignment w:val="bottom"/>
              <w:rPr>
                <w:color w:val="auto"/>
                <w:highlight w:val="none"/>
              </w:rPr>
            </w:pPr>
            <w:r>
              <w:rPr>
                <w:color w:val="auto"/>
                <w:kern w:val="0"/>
                <w:szCs w:val="21"/>
                <w:highlight w:val="none"/>
                <w:lang w:bidi="ar"/>
              </w:rPr>
              <w:t>34.778</w:t>
            </w:r>
          </w:p>
        </w:tc>
        <w:tc>
          <w:tcPr>
            <w:tcW w:w="413" w:type="pct"/>
            <w:vAlign w:val="center"/>
          </w:tcPr>
          <w:p>
            <w:pPr>
              <w:widowControl/>
              <w:jc w:val="center"/>
              <w:textAlignment w:val="bottom"/>
              <w:rPr>
                <w:color w:val="auto"/>
                <w:highlight w:val="none"/>
              </w:rPr>
            </w:pPr>
            <w:r>
              <w:rPr>
                <w:color w:val="auto"/>
                <w:kern w:val="0"/>
                <w:szCs w:val="21"/>
                <w:highlight w:val="none"/>
                <w:lang w:bidi="ar"/>
              </w:rPr>
              <w:t>NE</w:t>
            </w:r>
          </w:p>
        </w:tc>
        <w:tc>
          <w:tcPr>
            <w:tcW w:w="800" w:type="pct"/>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1360</w:t>
            </w:r>
          </w:p>
        </w:tc>
        <w:tc>
          <w:tcPr>
            <w:tcW w:w="1311" w:type="pct"/>
            <w:vMerge w:val="continue"/>
            <w:vAlign w:val="center"/>
          </w:tcPr>
          <w:p>
            <w:pPr>
              <w:pStyle w:val="105"/>
              <w:spacing w:line="240" w:lineRule="auto"/>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2" w:type="pct"/>
            <w:vMerge w:val="continue"/>
            <w:vAlign w:val="center"/>
          </w:tcPr>
          <w:p>
            <w:pPr>
              <w:pStyle w:val="105"/>
              <w:spacing w:line="240" w:lineRule="auto"/>
              <w:rPr>
                <w:bCs/>
                <w:color w:val="auto"/>
                <w:highlight w:val="none"/>
              </w:rPr>
            </w:pPr>
          </w:p>
        </w:tc>
        <w:tc>
          <w:tcPr>
            <w:tcW w:w="979" w:type="pct"/>
            <w:vAlign w:val="center"/>
          </w:tcPr>
          <w:p>
            <w:pPr>
              <w:widowControl/>
              <w:jc w:val="center"/>
              <w:textAlignment w:val="bottom"/>
              <w:rPr>
                <w:color w:val="auto"/>
                <w:highlight w:val="none"/>
              </w:rPr>
            </w:pPr>
            <w:r>
              <w:rPr>
                <w:rFonts w:hint="eastAsia" w:ascii="宋体" w:hAnsi="宋体" w:cs="宋体"/>
                <w:color w:val="auto"/>
                <w:kern w:val="0"/>
                <w:szCs w:val="21"/>
                <w:highlight w:val="none"/>
                <w:lang w:bidi="ar"/>
              </w:rPr>
              <w:t>东山庄</w:t>
            </w:r>
          </w:p>
        </w:tc>
        <w:tc>
          <w:tcPr>
            <w:tcW w:w="518" w:type="pct"/>
            <w:vAlign w:val="center"/>
          </w:tcPr>
          <w:p>
            <w:pPr>
              <w:widowControl/>
              <w:jc w:val="center"/>
              <w:textAlignment w:val="bottom"/>
              <w:rPr>
                <w:color w:val="auto"/>
                <w:highlight w:val="none"/>
              </w:rPr>
            </w:pPr>
            <w:r>
              <w:rPr>
                <w:color w:val="auto"/>
                <w:kern w:val="0"/>
                <w:szCs w:val="21"/>
                <w:highlight w:val="none"/>
                <w:lang w:bidi="ar"/>
              </w:rPr>
              <w:t>117.692</w:t>
            </w:r>
          </w:p>
        </w:tc>
        <w:tc>
          <w:tcPr>
            <w:tcW w:w="474" w:type="pct"/>
            <w:vAlign w:val="center"/>
          </w:tcPr>
          <w:p>
            <w:pPr>
              <w:widowControl/>
              <w:jc w:val="center"/>
              <w:textAlignment w:val="bottom"/>
              <w:rPr>
                <w:color w:val="auto"/>
                <w:highlight w:val="none"/>
              </w:rPr>
            </w:pPr>
            <w:r>
              <w:rPr>
                <w:color w:val="auto"/>
                <w:kern w:val="0"/>
                <w:szCs w:val="21"/>
                <w:highlight w:val="none"/>
                <w:lang w:bidi="ar"/>
              </w:rPr>
              <w:t>34.78</w:t>
            </w:r>
          </w:p>
        </w:tc>
        <w:tc>
          <w:tcPr>
            <w:tcW w:w="413" w:type="pct"/>
            <w:vAlign w:val="center"/>
          </w:tcPr>
          <w:p>
            <w:pPr>
              <w:widowControl/>
              <w:jc w:val="center"/>
              <w:textAlignment w:val="bottom"/>
              <w:rPr>
                <w:color w:val="auto"/>
                <w:highlight w:val="none"/>
              </w:rPr>
            </w:pPr>
            <w:r>
              <w:rPr>
                <w:color w:val="auto"/>
                <w:kern w:val="0"/>
                <w:szCs w:val="21"/>
                <w:highlight w:val="none"/>
                <w:lang w:bidi="ar"/>
              </w:rPr>
              <w:t>NE</w:t>
            </w:r>
          </w:p>
        </w:tc>
        <w:tc>
          <w:tcPr>
            <w:tcW w:w="800" w:type="pct"/>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2600</w:t>
            </w:r>
          </w:p>
        </w:tc>
        <w:tc>
          <w:tcPr>
            <w:tcW w:w="1311" w:type="pct"/>
            <w:vMerge w:val="continue"/>
            <w:vAlign w:val="center"/>
          </w:tcPr>
          <w:p>
            <w:pPr>
              <w:pStyle w:val="105"/>
              <w:spacing w:line="240" w:lineRule="auto"/>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2" w:type="pct"/>
            <w:vMerge w:val="continue"/>
            <w:vAlign w:val="center"/>
          </w:tcPr>
          <w:p>
            <w:pPr>
              <w:pStyle w:val="105"/>
              <w:spacing w:line="240" w:lineRule="auto"/>
              <w:rPr>
                <w:bCs/>
                <w:color w:val="auto"/>
                <w:highlight w:val="none"/>
              </w:rPr>
            </w:pPr>
          </w:p>
        </w:tc>
        <w:tc>
          <w:tcPr>
            <w:tcW w:w="979" w:type="pct"/>
            <w:vAlign w:val="center"/>
          </w:tcPr>
          <w:p>
            <w:pPr>
              <w:widowControl/>
              <w:jc w:val="center"/>
              <w:textAlignment w:val="bottom"/>
              <w:rPr>
                <w:color w:val="auto"/>
                <w:highlight w:val="none"/>
              </w:rPr>
            </w:pPr>
            <w:r>
              <w:rPr>
                <w:rFonts w:hint="eastAsia" w:ascii="宋体" w:hAnsi="宋体" w:cs="宋体"/>
                <w:color w:val="auto"/>
                <w:kern w:val="0"/>
                <w:szCs w:val="21"/>
                <w:highlight w:val="none"/>
                <w:lang w:bidi="ar"/>
              </w:rPr>
              <w:t>左庄街</w:t>
            </w:r>
          </w:p>
        </w:tc>
        <w:tc>
          <w:tcPr>
            <w:tcW w:w="518" w:type="pct"/>
            <w:vAlign w:val="center"/>
          </w:tcPr>
          <w:p>
            <w:pPr>
              <w:widowControl/>
              <w:jc w:val="center"/>
              <w:textAlignment w:val="bottom"/>
              <w:rPr>
                <w:color w:val="auto"/>
                <w:highlight w:val="none"/>
              </w:rPr>
            </w:pPr>
            <w:r>
              <w:rPr>
                <w:color w:val="auto"/>
                <w:kern w:val="0"/>
                <w:szCs w:val="21"/>
                <w:highlight w:val="none"/>
                <w:lang w:bidi="ar"/>
              </w:rPr>
              <w:t>117.68</w:t>
            </w:r>
          </w:p>
        </w:tc>
        <w:tc>
          <w:tcPr>
            <w:tcW w:w="474" w:type="pct"/>
            <w:vAlign w:val="center"/>
          </w:tcPr>
          <w:p>
            <w:pPr>
              <w:widowControl/>
              <w:jc w:val="center"/>
              <w:textAlignment w:val="bottom"/>
              <w:rPr>
                <w:color w:val="auto"/>
                <w:highlight w:val="none"/>
              </w:rPr>
            </w:pPr>
            <w:r>
              <w:rPr>
                <w:color w:val="auto"/>
                <w:kern w:val="0"/>
                <w:szCs w:val="21"/>
                <w:highlight w:val="none"/>
                <w:lang w:bidi="ar"/>
              </w:rPr>
              <w:t>34.766</w:t>
            </w:r>
          </w:p>
        </w:tc>
        <w:tc>
          <w:tcPr>
            <w:tcW w:w="413" w:type="pct"/>
            <w:vAlign w:val="center"/>
          </w:tcPr>
          <w:p>
            <w:pPr>
              <w:widowControl/>
              <w:jc w:val="center"/>
              <w:textAlignment w:val="bottom"/>
              <w:rPr>
                <w:color w:val="auto"/>
                <w:highlight w:val="none"/>
              </w:rPr>
            </w:pPr>
            <w:r>
              <w:rPr>
                <w:color w:val="auto"/>
                <w:kern w:val="0"/>
                <w:szCs w:val="21"/>
                <w:highlight w:val="none"/>
                <w:lang w:bidi="ar"/>
              </w:rPr>
              <w:t>E</w:t>
            </w:r>
          </w:p>
        </w:tc>
        <w:tc>
          <w:tcPr>
            <w:tcW w:w="800" w:type="pct"/>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1030</w:t>
            </w:r>
          </w:p>
        </w:tc>
        <w:tc>
          <w:tcPr>
            <w:tcW w:w="1311" w:type="pct"/>
            <w:vMerge w:val="continue"/>
            <w:vAlign w:val="center"/>
          </w:tcPr>
          <w:p>
            <w:pPr>
              <w:pStyle w:val="105"/>
              <w:spacing w:line="240" w:lineRule="auto"/>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2" w:type="pct"/>
            <w:vMerge w:val="continue"/>
            <w:vAlign w:val="center"/>
          </w:tcPr>
          <w:p>
            <w:pPr>
              <w:pStyle w:val="105"/>
              <w:spacing w:line="240" w:lineRule="auto"/>
              <w:rPr>
                <w:bCs/>
                <w:color w:val="auto"/>
                <w:highlight w:val="none"/>
              </w:rPr>
            </w:pPr>
          </w:p>
        </w:tc>
        <w:tc>
          <w:tcPr>
            <w:tcW w:w="979" w:type="pct"/>
            <w:vAlign w:val="center"/>
          </w:tcPr>
          <w:p>
            <w:pPr>
              <w:widowControl/>
              <w:jc w:val="center"/>
              <w:textAlignment w:val="bottom"/>
              <w:rPr>
                <w:color w:val="auto"/>
                <w:spacing w:val="4"/>
                <w:kern w:val="0"/>
                <w:highlight w:val="none"/>
              </w:rPr>
            </w:pPr>
            <w:r>
              <w:rPr>
                <w:rFonts w:hint="eastAsia" w:ascii="宋体" w:hAnsi="宋体" w:cs="宋体"/>
                <w:color w:val="auto"/>
                <w:kern w:val="0"/>
                <w:szCs w:val="21"/>
                <w:highlight w:val="none"/>
                <w:lang w:bidi="ar"/>
              </w:rPr>
              <w:t>峨山镇左庄中心小学</w:t>
            </w:r>
          </w:p>
        </w:tc>
        <w:tc>
          <w:tcPr>
            <w:tcW w:w="518" w:type="pct"/>
            <w:vAlign w:val="center"/>
          </w:tcPr>
          <w:p>
            <w:pPr>
              <w:widowControl/>
              <w:jc w:val="center"/>
              <w:textAlignment w:val="bottom"/>
              <w:rPr>
                <w:color w:val="auto"/>
                <w:highlight w:val="none"/>
              </w:rPr>
            </w:pPr>
            <w:r>
              <w:rPr>
                <w:color w:val="auto"/>
                <w:kern w:val="0"/>
                <w:szCs w:val="21"/>
                <w:highlight w:val="none"/>
                <w:lang w:bidi="ar"/>
              </w:rPr>
              <w:t>117.68</w:t>
            </w:r>
          </w:p>
        </w:tc>
        <w:tc>
          <w:tcPr>
            <w:tcW w:w="474" w:type="pct"/>
            <w:vAlign w:val="center"/>
          </w:tcPr>
          <w:p>
            <w:pPr>
              <w:widowControl/>
              <w:jc w:val="center"/>
              <w:textAlignment w:val="bottom"/>
              <w:rPr>
                <w:color w:val="auto"/>
                <w:highlight w:val="none"/>
              </w:rPr>
            </w:pPr>
            <w:r>
              <w:rPr>
                <w:color w:val="auto"/>
                <w:kern w:val="0"/>
                <w:szCs w:val="21"/>
                <w:highlight w:val="none"/>
                <w:lang w:bidi="ar"/>
              </w:rPr>
              <w:t>34.766</w:t>
            </w:r>
          </w:p>
        </w:tc>
        <w:tc>
          <w:tcPr>
            <w:tcW w:w="413" w:type="pct"/>
            <w:vAlign w:val="center"/>
          </w:tcPr>
          <w:p>
            <w:pPr>
              <w:widowControl/>
              <w:jc w:val="center"/>
              <w:textAlignment w:val="bottom"/>
              <w:rPr>
                <w:color w:val="auto"/>
                <w:highlight w:val="none"/>
              </w:rPr>
            </w:pPr>
            <w:r>
              <w:rPr>
                <w:color w:val="auto"/>
                <w:kern w:val="0"/>
                <w:szCs w:val="21"/>
                <w:highlight w:val="none"/>
                <w:lang w:bidi="ar"/>
              </w:rPr>
              <w:t>E</w:t>
            </w:r>
          </w:p>
        </w:tc>
        <w:tc>
          <w:tcPr>
            <w:tcW w:w="800" w:type="pct"/>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1210</w:t>
            </w:r>
          </w:p>
        </w:tc>
        <w:tc>
          <w:tcPr>
            <w:tcW w:w="1311" w:type="pct"/>
            <w:vMerge w:val="continue"/>
            <w:vAlign w:val="center"/>
          </w:tcPr>
          <w:p>
            <w:pPr>
              <w:pStyle w:val="105"/>
              <w:spacing w:line="240" w:lineRule="auto"/>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2" w:type="pct"/>
            <w:vMerge w:val="continue"/>
            <w:vAlign w:val="center"/>
          </w:tcPr>
          <w:p>
            <w:pPr>
              <w:pStyle w:val="105"/>
              <w:spacing w:line="240" w:lineRule="auto"/>
              <w:rPr>
                <w:bCs/>
                <w:color w:val="auto"/>
                <w:highlight w:val="none"/>
              </w:rPr>
            </w:pPr>
          </w:p>
        </w:tc>
        <w:tc>
          <w:tcPr>
            <w:tcW w:w="979" w:type="pct"/>
            <w:vAlign w:val="center"/>
          </w:tcPr>
          <w:p>
            <w:pPr>
              <w:widowControl/>
              <w:jc w:val="center"/>
              <w:textAlignment w:val="bottom"/>
              <w:rPr>
                <w:color w:val="auto"/>
                <w:spacing w:val="4"/>
                <w:kern w:val="0"/>
                <w:highlight w:val="none"/>
              </w:rPr>
            </w:pPr>
            <w:r>
              <w:rPr>
                <w:rFonts w:hint="eastAsia" w:ascii="宋体" w:hAnsi="宋体" w:cs="宋体"/>
                <w:color w:val="auto"/>
                <w:kern w:val="0"/>
                <w:szCs w:val="21"/>
                <w:highlight w:val="none"/>
                <w:lang w:bidi="ar"/>
              </w:rPr>
              <w:t>峨山镇左庄中学</w:t>
            </w:r>
          </w:p>
        </w:tc>
        <w:tc>
          <w:tcPr>
            <w:tcW w:w="518" w:type="pct"/>
            <w:vAlign w:val="center"/>
          </w:tcPr>
          <w:p>
            <w:pPr>
              <w:widowControl/>
              <w:jc w:val="center"/>
              <w:textAlignment w:val="bottom"/>
              <w:rPr>
                <w:color w:val="auto"/>
                <w:spacing w:val="4"/>
                <w:kern w:val="0"/>
                <w:highlight w:val="none"/>
              </w:rPr>
            </w:pPr>
            <w:r>
              <w:rPr>
                <w:color w:val="auto"/>
                <w:kern w:val="0"/>
                <w:szCs w:val="21"/>
                <w:highlight w:val="none"/>
                <w:lang w:bidi="ar"/>
              </w:rPr>
              <w:t>117.682</w:t>
            </w:r>
          </w:p>
        </w:tc>
        <w:tc>
          <w:tcPr>
            <w:tcW w:w="474" w:type="pct"/>
            <w:vAlign w:val="center"/>
          </w:tcPr>
          <w:p>
            <w:pPr>
              <w:widowControl/>
              <w:jc w:val="center"/>
              <w:textAlignment w:val="bottom"/>
              <w:rPr>
                <w:color w:val="auto"/>
                <w:spacing w:val="4"/>
                <w:kern w:val="0"/>
                <w:highlight w:val="none"/>
              </w:rPr>
            </w:pPr>
            <w:r>
              <w:rPr>
                <w:color w:val="auto"/>
                <w:kern w:val="0"/>
                <w:szCs w:val="21"/>
                <w:highlight w:val="none"/>
                <w:lang w:bidi="ar"/>
              </w:rPr>
              <w:t>34.766</w:t>
            </w:r>
          </w:p>
        </w:tc>
        <w:tc>
          <w:tcPr>
            <w:tcW w:w="413" w:type="pct"/>
            <w:vAlign w:val="center"/>
          </w:tcPr>
          <w:p>
            <w:pPr>
              <w:widowControl/>
              <w:jc w:val="center"/>
              <w:textAlignment w:val="bottom"/>
              <w:rPr>
                <w:color w:val="auto"/>
                <w:spacing w:val="4"/>
                <w:kern w:val="0"/>
                <w:highlight w:val="none"/>
              </w:rPr>
            </w:pPr>
            <w:r>
              <w:rPr>
                <w:color w:val="auto"/>
                <w:kern w:val="0"/>
                <w:szCs w:val="21"/>
                <w:highlight w:val="none"/>
                <w:lang w:bidi="ar"/>
              </w:rPr>
              <w:t>E</w:t>
            </w:r>
          </w:p>
        </w:tc>
        <w:tc>
          <w:tcPr>
            <w:tcW w:w="800" w:type="pct"/>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1270</w:t>
            </w:r>
          </w:p>
        </w:tc>
        <w:tc>
          <w:tcPr>
            <w:tcW w:w="1311" w:type="pct"/>
            <w:vMerge w:val="continue"/>
            <w:vAlign w:val="center"/>
          </w:tcPr>
          <w:p>
            <w:pPr>
              <w:pStyle w:val="105"/>
              <w:spacing w:line="240" w:lineRule="auto"/>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2" w:type="pct"/>
            <w:vMerge w:val="continue"/>
            <w:vAlign w:val="center"/>
          </w:tcPr>
          <w:p>
            <w:pPr>
              <w:pStyle w:val="105"/>
              <w:spacing w:line="240" w:lineRule="auto"/>
              <w:rPr>
                <w:bCs/>
                <w:color w:val="auto"/>
                <w:highlight w:val="none"/>
              </w:rPr>
            </w:pPr>
          </w:p>
        </w:tc>
        <w:tc>
          <w:tcPr>
            <w:tcW w:w="979" w:type="pct"/>
            <w:vAlign w:val="center"/>
          </w:tcPr>
          <w:p>
            <w:pPr>
              <w:widowControl/>
              <w:jc w:val="center"/>
              <w:textAlignment w:val="bottom"/>
              <w:rPr>
                <w:color w:val="auto"/>
                <w:spacing w:val="4"/>
                <w:kern w:val="0"/>
                <w:highlight w:val="none"/>
              </w:rPr>
            </w:pPr>
            <w:r>
              <w:rPr>
                <w:rFonts w:hint="eastAsia" w:ascii="宋体" w:hAnsi="宋体" w:cs="宋体"/>
                <w:color w:val="auto"/>
                <w:kern w:val="0"/>
                <w:szCs w:val="21"/>
                <w:highlight w:val="none"/>
                <w:lang w:bidi="ar"/>
              </w:rPr>
              <w:t>高庄村</w:t>
            </w:r>
          </w:p>
        </w:tc>
        <w:tc>
          <w:tcPr>
            <w:tcW w:w="518" w:type="pct"/>
            <w:vAlign w:val="center"/>
          </w:tcPr>
          <w:p>
            <w:pPr>
              <w:widowControl/>
              <w:jc w:val="center"/>
              <w:textAlignment w:val="bottom"/>
              <w:rPr>
                <w:color w:val="auto"/>
                <w:spacing w:val="4"/>
                <w:kern w:val="0"/>
                <w:highlight w:val="none"/>
              </w:rPr>
            </w:pPr>
            <w:r>
              <w:rPr>
                <w:color w:val="auto"/>
                <w:kern w:val="0"/>
                <w:szCs w:val="21"/>
                <w:highlight w:val="none"/>
                <w:lang w:bidi="ar"/>
              </w:rPr>
              <w:t>117.685</w:t>
            </w:r>
          </w:p>
        </w:tc>
        <w:tc>
          <w:tcPr>
            <w:tcW w:w="474" w:type="pct"/>
            <w:vAlign w:val="center"/>
          </w:tcPr>
          <w:p>
            <w:pPr>
              <w:widowControl/>
              <w:jc w:val="center"/>
              <w:textAlignment w:val="bottom"/>
              <w:rPr>
                <w:color w:val="auto"/>
                <w:spacing w:val="4"/>
                <w:kern w:val="0"/>
                <w:highlight w:val="none"/>
              </w:rPr>
            </w:pPr>
            <w:r>
              <w:rPr>
                <w:color w:val="auto"/>
                <w:kern w:val="0"/>
                <w:szCs w:val="21"/>
                <w:highlight w:val="none"/>
                <w:lang w:bidi="ar"/>
              </w:rPr>
              <w:t>34.764</w:t>
            </w:r>
          </w:p>
        </w:tc>
        <w:tc>
          <w:tcPr>
            <w:tcW w:w="413" w:type="pct"/>
            <w:vAlign w:val="center"/>
          </w:tcPr>
          <w:p>
            <w:pPr>
              <w:widowControl/>
              <w:jc w:val="center"/>
              <w:textAlignment w:val="bottom"/>
              <w:rPr>
                <w:color w:val="auto"/>
                <w:spacing w:val="4"/>
                <w:kern w:val="0"/>
                <w:highlight w:val="none"/>
              </w:rPr>
            </w:pPr>
            <w:r>
              <w:rPr>
                <w:color w:val="auto"/>
                <w:kern w:val="0"/>
                <w:szCs w:val="21"/>
                <w:highlight w:val="none"/>
                <w:lang w:bidi="ar"/>
              </w:rPr>
              <w:t>E</w:t>
            </w:r>
          </w:p>
        </w:tc>
        <w:tc>
          <w:tcPr>
            <w:tcW w:w="800" w:type="pct"/>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1620</w:t>
            </w:r>
          </w:p>
        </w:tc>
        <w:tc>
          <w:tcPr>
            <w:tcW w:w="1311" w:type="pct"/>
            <w:vMerge w:val="continue"/>
            <w:vAlign w:val="center"/>
          </w:tcPr>
          <w:p>
            <w:pPr>
              <w:pStyle w:val="105"/>
              <w:spacing w:line="240" w:lineRule="auto"/>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2" w:type="pct"/>
            <w:vMerge w:val="continue"/>
            <w:vAlign w:val="center"/>
          </w:tcPr>
          <w:p>
            <w:pPr>
              <w:pStyle w:val="105"/>
              <w:spacing w:line="240" w:lineRule="auto"/>
              <w:rPr>
                <w:bCs/>
                <w:color w:val="auto"/>
                <w:highlight w:val="none"/>
              </w:rPr>
            </w:pPr>
          </w:p>
        </w:tc>
        <w:tc>
          <w:tcPr>
            <w:tcW w:w="979" w:type="pct"/>
            <w:vAlign w:val="center"/>
          </w:tcPr>
          <w:p>
            <w:pPr>
              <w:widowControl/>
              <w:jc w:val="center"/>
              <w:textAlignment w:val="bottom"/>
              <w:rPr>
                <w:color w:val="auto"/>
                <w:spacing w:val="4"/>
                <w:kern w:val="0"/>
                <w:highlight w:val="none"/>
              </w:rPr>
            </w:pPr>
            <w:r>
              <w:rPr>
                <w:rFonts w:hint="eastAsia" w:ascii="宋体" w:hAnsi="宋体" w:cs="宋体"/>
                <w:color w:val="auto"/>
                <w:kern w:val="0"/>
                <w:szCs w:val="21"/>
                <w:highlight w:val="none"/>
                <w:lang w:bidi="ar"/>
              </w:rPr>
              <w:t>仙桥</w:t>
            </w:r>
          </w:p>
        </w:tc>
        <w:tc>
          <w:tcPr>
            <w:tcW w:w="518" w:type="pct"/>
            <w:vAlign w:val="center"/>
          </w:tcPr>
          <w:p>
            <w:pPr>
              <w:widowControl/>
              <w:jc w:val="center"/>
              <w:textAlignment w:val="bottom"/>
              <w:rPr>
                <w:color w:val="auto"/>
                <w:highlight w:val="none"/>
              </w:rPr>
            </w:pPr>
            <w:r>
              <w:rPr>
                <w:color w:val="auto"/>
                <w:kern w:val="0"/>
                <w:szCs w:val="21"/>
                <w:highlight w:val="none"/>
                <w:lang w:bidi="ar"/>
              </w:rPr>
              <w:t>117.689</w:t>
            </w:r>
          </w:p>
        </w:tc>
        <w:tc>
          <w:tcPr>
            <w:tcW w:w="474" w:type="pct"/>
            <w:vAlign w:val="center"/>
          </w:tcPr>
          <w:p>
            <w:pPr>
              <w:widowControl/>
              <w:jc w:val="center"/>
              <w:textAlignment w:val="bottom"/>
              <w:rPr>
                <w:color w:val="auto"/>
                <w:highlight w:val="none"/>
              </w:rPr>
            </w:pPr>
            <w:r>
              <w:rPr>
                <w:color w:val="auto"/>
                <w:kern w:val="0"/>
                <w:szCs w:val="21"/>
                <w:highlight w:val="none"/>
                <w:lang w:bidi="ar"/>
              </w:rPr>
              <w:t>34.768</w:t>
            </w:r>
          </w:p>
        </w:tc>
        <w:tc>
          <w:tcPr>
            <w:tcW w:w="413" w:type="pct"/>
            <w:vAlign w:val="center"/>
          </w:tcPr>
          <w:p>
            <w:pPr>
              <w:widowControl/>
              <w:jc w:val="center"/>
              <w:textAlignment w:val="bottom"/>
              <w:rPr>
                <w:color w:val="auto"/>
                <w:highlight w:val="none"/>
              </w:rPr>
            </w:pPr>
            <w:r>
              <w:rPr>
                <w:color w:val="auto"/>
                <w:kern w:val="0"/>
                <w:szCs w:val="21"/>
                <w:highlight w:val="none"/>
                <w:lang w:bidi="ar"/>
              </w:rPr>
              <w:t>E</w:t>
            </w:r>
          </w:p>
        </w:tc>
        <w:tc>
          <w:tcPr>
            <w:tcW w:w="800" w:type="pct"/>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1940</w:t>
            </w:r>
          </w:p>
        </w:tc>
        <w:tc>
          <w:tcPr>
            <w:tcW w:w="1311" w:type="pct"/>
            <w:vMerge w:val="continue"/>
            <w:vAlign w:val="center"/>
          </w:tcPr>
          <w:p>
            <w:pPr>
              <w:pStyle w:val="105"/>
              <w:spacing w:line="240" w:lineRule="auto"/>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2" w:type="pct"/>
            <w:vMerge w:val="continue"/>
            <w:vAlign w:val="center"/>
          </w:tcPr>
          <w:p>
            <w:pPr>
              <w:pStyle w:val="105"/>
              <w:spacing w:line="240" w:lineRule="auto"/>
              <w:rPr>
                <w:bCs/>
                <w:color w:val="auto"/>
                <w:highlight w:val="none"/>
              </w:rPr>
            </w:pPr>
          </w:p>
        </w:tc>
        <w:tc>
          <w:tcPr>
            <w:tcW w:w="979" w:type="pct"/>
            <w:vAlign w:val="center"/>
          </w:tcPr>
          <w:p>
            <w:pPr>
              <w:widowControl/>
              <w:jc w:val="center"/>
              <w:textAlignment w:val="bottom"/>
              <w:rPr>
                <w:color w:val="auto"/>
                <w:spacing w:val="4"/>
                <w:kern w:val="0"/>
                <w:highlight w:val="none"/>
              </w:rPr>
            </w:pPr>
            <w:r>
              <w:rPr>
                <w:rFonts w:hint="eastAsia" w:ascii="宋体" w:hAnsi="宋体" w:cs="宋体"/>
                <w:color w:val="auto"/>
                <w:kern w:val="0"/>
                <w:szCs w:val="21"/>
                <w:highlight w:val="none"/>
                <w:lang w:bidi="ar"/>
              </w:rPr>
              <w:t>小官庄</w:t>
            </w:r>
          </w:p>
        </w:tc>
        <w:tc>
          <w:tcPr>
            <w:tcW w:w="518" w:type="pct"/>
            <w:vAlign w:val="center"/>
          </w:tcPr>
          <w:p>
            <w:pPr>
              <w:widowControl/>
              <w:jc w:val="center"/>
              <w:textAlignment w:val="bottom"/>
              <w:rPr>
                <w:color w:val="auto"/>
                <w:highlight w:val="none"/>
              </w:rPr>
            </w:pPr>
            <w:r>
              <w:rPr>
                <w:color w:val="auto"/>
                <w:kern w:val="0"/>
                <w:szCs w:val="21"/>
                <w:highlight w:val="none"/>
                <w:lang w:bidi="ar"/>
              </w:rPr>
              <w:t>117.671</w:t>
            </w:r>
          </w:p>
        </w:tc>
        <w:tc>
          <w:tcPr>
            <w:tcW w:w="474" w:type="pct"/>
            <w:vAlign w:val="center"/>
          </w:tcPr>
          <w:p>
            <w:pPr>
              <w:widowControl/>
              <w:jc w:val="center"/>
              <w:textAlignment w:val="bottom"/>
              <w:rPr>
                <w:color w:val="auto"/>
                <w:highlight w:val="none"/>
              </w:rPr>
            </w:pPr>
            <w:r>
              <w:rPr>
                <w:color w:val="auto"/>
                <w:kern w:val="0"/>
                <w:szCs w:val="21"/>
                <w:highlight w:val="none"/>
                <w:lang w:bidi="ar"/>
              </w:rPr>
              <w:t>34.757</w:t>
            </w:r>
          </w:p>
        </w:tc>
        <w:tc>
          <w:tcPr>
            <w:tcW w:w="413" w:type="pct"/>
            <w:vAlign w:val="center"/>
          </w:tcPr>
          <w:p>
            <w:pPr>
              <w:widowControl/>
              <w:jc w:val="center"/>
              <w:textAlignment w:val="bottom"/>
              <w:rPr>
                <w:color w:val="auto"/>
                <w:highlight w:val="none"/>
              </w:rPr>
            </w:pPr>
            <w:r>
              <w:rPr>
                <w:color w:val="auto"/>
                <w:kern w:val="0"/>
                <w:szCs w:val="21"/>
                <w:highlight w:val="none"/>
                <w:lang w:bidi="ar"/>
              </w:rPr>
              <w:t>SE</w:t>
            </w:r>
          </w:p>
        </w:tc>
        <w:tc>
          <w:tcPr>
            <w:tcW w:w="800" w:type="pct"/>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1180</w:t>
            </w:r>
          </w:p>
        </w:tc>
        <w:tc>
          <w:tcPr>
            <w:tcW w:w="1311" w:type="pct"/>
            <w:vMerge w:val="continue"/>
            <w:vAlign w:val="center"/>
          </w:tcPr>
          <w:p>
            <w:pPr>
              <w:pStyle w:val="105"/>
              <w:spacing w:line="240" w:lineRule="auto"/>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2" w:type="pct"/>
            <w:vMerge w:val="continue"/>
            <w:vAlign w:val="center"/>
          </w:tcPr>
          <w:p>
            <w:pPr>
              <w:pStyle w:val="105"/>
              <w:spacing w:line="240" w:lineRule="auto"/>
              <w:rPr>
                <w:bCs/>
                <w:color w:val="auto"/>
                <w:highlight w:val="none"/>
              </w:rPr>
            </w:pPr>
          </w:p>
        </w:tc>
        <w:tc>
          <w:tcPr>
            <w:tcW w:w="979" w:type="pct"/>
            <w:vAlign w:val="center"/>
          </w:tcPr>
          <w:p>
            <w:pPr>
              <w:widowControl/>
              <w:jc w:val="center"/>
              <w:textAlignment w:val="bottom"/>
              <w:rPr>
                <w:color w:val="auto"/>
                <w:spacing w:val="4"/>
                <w:kern w:val="0"/>
                <w:highlight w:val="none"/>
              </w:rPr>
            </w:pPr>
            <w:r>
              <w:rPr>
                <w:rFonts w:hint="eastAsia" w:ascii="宋体" w:hAnsi="宋体" w:cs="宋体"/>
                <w:color w:val="auto"/>
                <w:kern w:val="0"/>
                <w:szCs w:val="21"/>
                <w:highlight w:val="none"/>
                <w:lang w:bidi="ar"/>
              </w:rPr>
              <w:t>大鲍庄村</w:t>
            </w:r>
          </w:p>
        </w:tc>
        <w:tc>
          <w:tcPr>
            <w:tcW w:w="518" w:type="pct"/>
            <w:vAlign w:val="center"/>
          </w:tcPr>
          <w:p>
            <w:pPr>
              <w:widowControl/>
              <w:jc w:val="center"/>
              <w:textAlignment w:val="bottom"/>
              <w:rPr>
                <w:color w:val="auto"/>
                <w:highlight w:val="none"/>
              </w:rPr>
            </w:pPr>
            <w:r>
              <w:rPr>
                <w:color w:val="auto"/>
                <w:kern w:val="0"/>
                <w:szCs w:val="21"/>
                <w:highlight w:val="none"/>
                <w:lang w:bidi="ar"/>
              </w:rPr>
              <w:t>117.679</w:t>
            </w:r>
          </w:p>
        </w:tc>
        <w:tc>
          <w:tcPr>
            <w:tcW w:w="474" w:type="pct"/>
            <w:vAlign w:val="center"/>
          </w:tcPr>
          <w:p>
            <w:pPr>
              <w:widowControl/>
              <w:jc w:val="center"/>
              <w:textAlignment w:val="bottom"/>
              <w:rPr>
                <w:color w:val="auto"/>
                <w:highlight w:val="none"/>
              </w:rPr>
            </w:pPr>
            <w:r>
              <w:rPr>
                <w:color w:val="auto"/>
                <w:kern w:val="0"/>
                <w:szCs w:val="21"/>
                <w:highlight w:val="none"/>
                <w:lang w:bidi="ar"/>
              </w:rPr>
              <w:t>34.756</w:t>
            </w:r>
          </w:p>
        </w:tc>
        <w:tc>
          <w:tcPr>
            <w:tcW w:w="413" w:type="pct"/>
            <w:vAlign w:val="center"/>
          </w:tcPr>
          <w:p>
            <w:pPr>
              <w:widowControl/>
              <w:jc w:val="center"/>
              <w:textAlignment w:val="bottom"/>
              <w:rPr>
                <w:color w:val="auto"/>
                <w:highlight w:val="none"/>
              </w:rPr>
            </w:pPr>
            <w:r>
              <w:rPr>
                <w:color w:val="auto"/>
                <w:kern w:val="0"/>
                <w:szCs w:val="21"/>
                <w:highlight w:val="none"/>
                <w:lang w:bidi="ar"/>
              </w:rPr>
              <w:t>SE</w:t>
            </w:r>
          </w:p>
        </w:tc>
        <w:tc>
          <w:tcPr>
            <w:tcW w:w="800" w:type="pct"/>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1610</w:t>
            </w:r>
          </w:p>
        </w:tc>
        <w:tc>
          <w:tcPr>
            <w:tcW w:w="1311" w:type="pct"/>
            <w:vMerge w:val="continue"/>
            <w:vAlign w:val="center"/>
          </w:tcPr>
          <w:p>
            <w:pPr>
              <w:pStyle w:val="105"/>
              <w:spacing w:line="240" w:lineRule="auto"/>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2" w:type="pct"/>
            <w:vMerge w:val="continue"/>
            <w:vAlign w:val="center"/>
          </w:tcPr>
          <w:p>
            <w:pPr>
              <w:pStyle w:val="105"/>
              <w:spacing w:line="240" w:lineRule="auto"/>
              <w:rPr>
                <w:bCs/>
                <w:color w:val="auto"/>
                <w:highlight w:val="none"/>
              </w:rPr>
            </w:pPr>
          </w:p>
        </w:tc>
        <w:tc>
          <w:tcPr>
            <w:tcW w:w="979" w:type="pct"/>
            <w:vAlign w:val="center"/>
          </w:tcPr>
          <w:p>
            <w:pPr>
              <w:widowControl/>
              <w:jc w:val="center"/>
              <w:textAlignment w:val="bottom"/>
              <w:rPr>
                <w:color w:val="auto"/>
                <w:spacing w:val="4"/>
                <w:kern w:val="0"/>
                <w:highlight w:val="none"/>
              </w:rPr>
            </w:pPr>
            <w:r>
              <w:rPr>
                <w:rFonts w:hint="eastAsia" w:ascii="宋体" w:hAnsi="宋体" w:cs="宋体"/>
                <w:color w:val="auto"/>
                <w:kern w:val="0"/>
                <w:szCs w:val="21"/>
                <w:highlight w:val="none"/>
                <w:lang w:bidi="ar"/>
              </w:rPr>
              <w:t>河口村</w:t>
            </w:r>
          </w:p>
        </w:tc>
        <w:tc>
          <w:tcPr>
            <w:tcW w:w="518" w:type="pct"/>
            <w:vAlign w:val="center"/>
          </w:tcPr>
          <w:p>
            <w:pPr>
              <w:widowControl/>
              <w:jc w:val="center"/>
              <w:textAlignment w:val="bottom"/>
              <w:rPr>
                <w:color w:val="auto"/>
                <w:highlight w:val="none"/>
              </w:rPr>
            </w:pPr>
            <w:r>
              <w:rPr>
                <w:color w:val="auto"/>
                <w:kern w:val="0"/>
                <w:szCs w:val="21"/>
                <w:highlight w:val="none"/>
                <w:lang w:bidi="ar"/>
              </w:rPr>
              <w:t>117.683</w:t>
            </w:r>
          </w:p>
        </w:tc>
        <w:tc>
          <w:tcPr>
            <w:tcW w:w="474" w:type="pct"/>
            <w:vAlign w:val="center"/>
          </w:tcPr>
          <w:p>
            <w:pPr>
              <w:widowControl/>
              <w:jc w:val="center"/>
              <w:textAlignment w:val="bottom"/>
              <w:rPr>
                <w:color w:val="auto"/>
                <w:highlight w:val="none"/>
              </w:rPr>
            </w:pPr>
            <w:r>
              <w:rPr>
                <w:color w:val="auto"/>
                <w:kern w:val="0"/>
                <w:szCs w:val="21"/>
                <w:highlight w:val="none"/>
                <w:lang w:bidi="ar"/>
              </w:rPr>
              <w:t>34.75</w:t>
            </w:r>
          </w:p>
        </w:tc>
        <w:tc>
          <w:tcPr>
            <w:tcW w:w="413" w:type="pct"/>
            <w:vAlign w:val="center"/>
          </w:tcPr>
          <w:p>
            <w:pPr>
              <w:widowControl/>
              <w:jc w:val="center"/>
              <w:textAlignment w:val="bottom"/>
              <w:rPr>
                <w:color w:val="auto"/>
                <w:highlight w:val="none"/>
              </w:rPr>
            </w:pPr>
            <w:r>
              <w:rPr>
                <w:color w:val="auto"/>
                <w:kern w:val="0"/>
                <w:szCs w:val="21"/>
                <w:highlight w:val="none"/>
                <w:lang w:bidi="ar"/>
              </w:rPr>
              <w:t>SE</w:t>
            </w:r>
          </w:p>
        </w:tc>
        <w:tc>
          <w:tcPr>
            <w:tcW w:w="800" w:type="pct"/>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2260</w:t>
            </w:r>
          </w:p>
        </w:tc>
        <w:tc>
          <w:tcPr>
            <w:tcW w:w="1311" w:type="pct"/>
            <w:vMerge w:val="continue"/>
            <w:vAlign w:val="center"/>
          </w:tcPr>
          <w:p>
            <w:pPr>
              <w:pStyle w:val="105"/>
              <w:spacing w:line="240" w:lineRule="auto"/>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2" w:type="pct"/>
            <w:vMerge w:val="continue"/>
            <w:vAlign w:val="center"/>
          </w:tcPr>
          <w:p>
            <w:pPr>
              <w:pStyle w:val="105"/>
              <w:spacing w:line="240" w:lineRule="auto"/>
              <w:rPr>
                <w:bCs/>
                <w:color w:val="auto"/>
                <w:highlight w:val="none"/>
              </w:rPr>
            </w:pPr>
          </w:p>
        </w:tc>
        <w:tc>
          <w:tcPr>
            <w:tcW w:w="979" w:type="pct"/>
            <w:vAlign w:val="center"/>
          </w:tcPr>
          <w:p>
            <w:pPr>
              <w:widowControl/>
              <w:jc w:val="center"/>
              <w:textAlignment w:val="bottom"/>
              <w:rPr>
                <w:color w:val="auto"/>
                <w:spacing w:val="4"/>
                <w:kern w:val="0"/>
                <w:highlight w:val="none"/>
              </w:rPr>
            </w:pPr>
            <w:r>
              <w:rPr>
                <w:rFonts w:hint="eastAsia" w:ascii="宋体" w:hAnsi="宋体" w:cs="宋体"/>
                <w:color w:val="auto"/>
                <w:kern w:val="0"/>
                <w:szCs w:val="21"/>
                <w:highlight w:val="none"/>
                <w:lang w:bidi="ar"/>
              </w:rPr>
              <w:t>万垄</w:t>
            </w:r>
          </w:p>
        </w:tc>
        <w:tc>
          <w:tcPr>
            <w:tcW w:w="518" w:type="pct"/>
            <w:vAlign w:val="center"/>
          </w:tcPr>
          <w:p>
            <w:pPr>
              <w:widowControl/>
              <w:jc w:val="center"/>
              <w:textAlignment w:val="bottom"/>
              <w:rPr>
                <w:color w:val="auto"/>
                <w:highlight w:val="none"/>
              </w:rPr>
            </w:pPr>
            <w:r>
              <w:rPr>
                <w:color w:val="auto"/>
                <w:kern w:val="0"/>
                <w:szCs w:val="21"/>
                <w:highlight w:val="none"/>
                <w:lang w:bidi="ar"/>
              </w:rPr>
              <w:t>117.692</w:t>
            </w:r>
          </w:p>
        </w:tc>
        <w:tc>
          <w:tcPr>
            <w:tcW w:w="474" w:type="pct"/>
            <w:vAlign w:val="center"/>
          </w:tcPr>
          <w:p>
            <w:pPr>
              <w:widowControl/>
              <w:jc w:val="center"/>
              <w:textAlignment w:val="bottom"/>
              <w:rPr>
                <w:color w:val="auto"/>
                <w:highlight w:val="none"/>
              </w:rPr>
            </w:pPr>
            <w:r>
              <w:rPr>
                <w:color w:val="auto"/>
                <w:kern w:val="0"/>
                <w:szCs w:val="21"/>
                <w:highlight w:val="none"/>
                <w:lang w:bidi="ar"/>
              </w:rPr>
              <w:t>34.746</w:t>
            </w:r>
          </w:p>
        </w:tc>
        <w:tc>
          <w:tcPr>
            <w:tcW w:w="413" w:type="pct"/>
            <w:vAlign w:val="center"/>
          </w:tcPr>
          <w:p>
            <w:pPr>
              <w:widowControl/>
              <w:jc w:val="center"/>
              <w:textAlignment w:val="bottom"/>
              <w:rPr>
                <w:color w:val="auto"/>
                <w:highlight w:val="none"/>
              </w:rPr>
            </w:pPr>
            <w:r>
              <w:rPr>
                <w:color w:val="auto"/>
                <w:kern w:val="0"/>
                <w:szCs w:val="21"/>
                <w:highlight w:val="none"/>
                <w:lang w:bidi="ar"/>
              </w:rPr>
              <w:t>SSE</w:t>
            </w:r>
          </w:p>
        </w:tc>
        <w:tc>
          <w:tcPr>
            <w:tcW w:w="800" w:type="pct"/>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2250</w:t>
            </w:r>
          </w:p>
        </w:tc>
        <w:tc>
          <w:tcPr>
            <w:tcW w:w="1311" w:type="pct"/>
            <w:vMerge w:val="continue"/>
            <w:vAlign w:val="center"/>
          </w:tcPr>
          <w:p>
            <w:pPr>
              <w:pStyle w:val="105"/>
              <w:spacing w:line="240" w:lineRule="auto"/>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2" w:type="pct"/>
            <w:vMerge w:val="continue"/>
            <w:vAlign w:val="center"/>
          </w:tcPr>
          <w:p>
            <w:pPr>
              <w:pStyle w:val="105"/>
              <w:spacing w:line="240" w:lineRule="auto"/>
              <w:rPr>
                <w:bCs/>
                <w:color w:val="auto"/>
                <w:highlight w:val="none"/>
              </w:rPr>
            </w:pPr>
          </w:p>
        </w:tc>
        <w:tc>
          <w:tcPr>
            <w:tcW w:w="979" w:type="pct"/>
            <w:vAlign w:val="center"/>
          </w:tcPr>
          <w:p>
            <w:pPr>
              <w:widowControl/>
              <w:jc w:val="center"/>
              <w:textAlignment w:val="bottom"/>
              <w:rPr>
                <w:color w:val="auto"/>
                <w:spacing w:val="4"/>
                <w:kern w:val="0"/>
                <w:highlight w:val="none"/>
              </w:rPr>
            </w:pPr>
            <w:r>
              <w:rPr>
                <w:rFonts w:hint="eastAsia" w:ascii="宋体" w:hAnsi="宋体" w:cs="宋体"/>
                <w:color w:val="auto"/>
                <w:kern w:val="0"/>
                <w:szCs w:val="21"/>
                <w:highlight w:val="none"/>
                <w:lang w:bidi="ar"/>
              </w:rPr>
              <w:t>苏埠村</w:t>
            </w:r>
          </w:p>
        </w:tc>
        <w:tc>
          <w:tcPr>
            <w:tcW w:w="518" w:type="pct"/>
            <w:vAlign w:val="center"/>
          </w:tcPr>
          <w:p>
            <w:pPr>
              <w:widowControl/>
              <w:jc w:val="center"/>
              <w:textAlignment w:val="bottom"/>
              <w:rPr>
                <w:color w:val="auto"/>
                <w:highlight w:val="none"/>
              </w:rPr>
            </w:pPr>
            <w:r>
              <w:rPr>
                <w:color w:val="auto"/>
                <w:kern w:val="0"/>
                <w:szCs w:val="21"/>
                <w:highlight w:val="none"/>
                <w:lang w:bidi="ar"/>
              </w:rPr>
              <w:t>117.661</w:t>
            </w:r>
          </w:p>
        </w:tc>
        <w:tc>
          <w:tcPr>
            <w:tcW w:w="474" w:type="pct"/>
            <w:vAlign w:val="center"/>
          </w:tcPr>
          <w:p>
            <w:pPr>
              <w:widowControl/>
              <w:jc w:val="center"/>
              <w:textAlignment w:val="bottom"/>
              <w:rPr>
                <w:color w:val="auto"/>
                <w:highlight w:val="none"/>
              </w:rPr>
            </w:pPr>
            <w:r>
              <w:rPr>
                <w:color w:val="auto"/>
                <w:kern w:val="0"/>
                <w:szCs w:val="21"/>
                <w:highlight w:val="none"/>
                <w:lang w:bidi="ar"/>
              </w:rPr>
              <w:t>34.746</w:t>
            </w:r>
          </w:p>
        </w:tc>
        <w:tc>
          <w:tcPr>
            <w:tcW w:w="413" w:type="pct"/>
            <w:vAlign w:val="center"/>
          </w:tcPr>
          <w:p>
            <w:pPr>
              <w:widowControl/>
              <w:jc w:val="center"/>
              <w:textAlignment w:val="bottom"/>
              <w:rPr>
                <w:color w:val="auto"/>
                <w:highlight w:val="none"/>
              </w:rPr>
            </w:pPr>
            <w:r>
              <w:rPr>
                <w:color w:val="auto"/>
                <w:kern w:val="0"/>
                <w:szCs w:val="21"/>
                <w:highlight w:val="none"/>
                <w:lang w:bidi="ar"/>
              </w:rPr>
              <w:t>SSW</w:t>
            </w:r>
          </w:p>
        </w:tc>
        <w:tc>
          <w:tcPr>
            <w:tcW w:w="800" w:type="pct"/>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2340</w:t>
            </w:r>
          </w:p>
        </w:tc>
        <w:tc>
          <w:tcPr>
            <w:tcW w:w="1311" w:type="pct"/>
            <w:vMerge w:val="continue"/>
            <w:vAlign w:val="center"/>
          </w:tcPr>
          <w:p>
            <w:pPr>
              <w:pStyle w:val="105"/>
              <w:spacing w:line="240" w:lineRule="auto"/>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2" w:type="pct"/>
            <w:vMerge w:val="continue"/>
            <w:vAlign w:val="center"/>
          </w:tcPr>
          <w:p>
            <w:pPr>
              <w:pStyle w:val="105"/>
              <w:spacing w:line="240" w:lineRule="auto"/>
              <w:rPr>
                <w:bCs/>
                <w:color w:val="auto"/>
                <w:highlight w:val="none"/>
              </w:rPr>
            </w:pPr>
          </w:p>
        </w:tc>
        <w:tc>
          <w:tcPr>
            <w:tcW w:w="979" w:type="pct"/>
            <w:vAlign w:val="center"/>
          </w:tcPr>
          <w:p>
            <w:pPr>
              <w:widowControl/>
              <w:jc w:val="center"/>
              <w:textAlignment w:val="bottom"/>
              <w:rPr>
                <w:color w:val="auto"/>
                <w:spacing w:val="4"/>
                <w:kern w:val="0"/>
                <w:highlight w:val="none"/>
              </w:rPr>
            </w:pPr>
            <w:r>
              <w:rPr>
                <w:rFonts w:hint="eastAsia" w:ascii="宋体" w:hAnsi="宋体" w:cs="宋体"/>
                <w:color w:val="auto"/>
                <w:kern w:val="0"/>
                <w:szCs w:val="21"/>
                <w:highlight w:val="none"/>
                <w:lang w:bidi="ar"/>
              </w:rPr>
              <w:t>车庄</w:t>
            </w:r>
          </w:p>
        </w:tc>
        <w:tc>
          <w:tcPr>
            <w:tcW w:w="518" w:type="pct"/>
            <w:vAlign w:val="center"/>
          </w:tcPr>
          <w:p>
            <w:pPr>
              <w:widowControl/>
              <w:jc w:val="center"/>
              <w:textAlignment w:val="bottom"/>
              <w:rPr>
                <w:color w:val="auto"/>
                <w:highlight w:val="none"/>
              </w:rPr>
            </w:pPr>
            <w:r>
              <w:rPr>
                <w:color w:val="auto"/>
                <w:kern w:val="0"/>
                <w:szCs w:val="21"/>
                <w:highlight w:val="none"/>
                <w:lang w:bidi="ar"/>
              </w:rPr>
              <w:t>117.661</w:t>
            </w:r>
          </w:p>
        </w:tc>
        <w:tc>
          <w:tcPr>
            <w:tcW w:w="474" w:type="pct"/>
            <w:vAlign w:val="center"/>
          </w:tcPr>
          <w:p>
            <w:pPr>
              <w:widowControl/>
              <w:jc w:val="center"/>
              <w:textAlignment w:val="bottom"/>
              <w:rPr>
                <w:color w:val="auto"/>
                <w:highlight w:val="none"/>
              </w:rPr>
            </w:pPr>
            <w:r>
              <w:rPr>
                <w:color w:val="auto"/>
                <w:kern w:val="0"/>
                <w:szCs w:val="21"/>
                <w:highlight w:val="none"/>
                <w:lang w:bidi="ar"/>
              </w:rPr>
              <w:t>34.76</w:t>
            </w:r>
          </w:p>
        </w:tc>
        <w:tc>
          <w:tcPr>
            <w:tcW w:w="413" w:type="pct"/>
            <w:vAlign w:val="center"/>
          </w:tcPr>
          <w:p>
            <w:pPr>
              <w:widowControl/>
              <w:jc w:val="center"/>
              <w:textAlignment w:val="bottom"/>
              <w:rPr>
                <w:color w:val="auto"/>
                <w:highlight w:val="none"/>
              </w:rPr>
            </w:pPr>
            <w:r>
              <w:rPr>
                <w:color w:val="auto"/>
                <w:kern w:val="0"/>
                <w:szCs w:val="21"/>
                <w:highlight w:val="none"/>
                <w:lang w:bidi="ar"/>
              </w:rPr>
              <w:t>SW</w:t>
            </w:r>
          </w:p>
        </w:tc>
        <w:tc>
          <w:tcPr>
            <w:tcW w:w="800" w:type="pct"/>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860</w:t>
            </w:r>
          </w:p>
        </w:tc>
        <w:tc>
          <w:tcPr>
            <w:tcW w:w="1311" w:type="pct"/>
            <w:vMerge w:val="continue"/>
            <w:vAlign w:val="center"/>
          </w:tcPr>
          <w:p>
            <w:pPr>
              <w:pStyle w:val="105"/>
              <w:spacing w:line="240" w:lineRule="auto"/>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2" w:type="pct"/>
            <w:vMerge w:val="continue"/>
            <w:vAlign w:val="center"/>
          </w:tcPr>
          <w:p>
            <w:pPr>
              <w:pStyle w:val="105"/>
              <w:spacing w:line="240" w:lineRule="auto"/>
              <w:rPr>
                <w:bCs/>
                <w:color w:val="auto"/>
                <w:highlight w:val="none"/>
              </w:rPr>
            </w:pPr>
          </w:p>
        </w:tc>
        <w:tc>
          <w:tcPr>
            <w:tcW w:w="979" w:type="pct"/>
            <w:vAlign w:val="center"/>
          </w:tcPr>
          <w:p>
            <w:pPr>
              <w:widowControl/>
              <w:jc w:val="center"/>
              <w:textAlignment w:val="bottom"/>
              <w:rPr>
                <w:color w:val="auto"/>
                <w:spacing w:val="4"/>
                <w:kern w:val="0"/>
                <w:highlight w:val="none"/>
              </w:rPr>
            </w:pPr>
            <w:r>
              <w:rPr>
                <w:rFonts w:hint="eastAsia" w:ascii="宋体" w:hAnsi="宋体" w:cs="宋体"/>
                <w:color w:val="auto"/>
                <w:kern w:val="0"/>
                <w:szCs w:val="21"/>
                <w:highlight w:val="none"/>
                <w:lang w:bidi="ar"/>
              </w:rPr>
              <w:t>邓园</w:t>
            </w:r>
          </w:p>
        </w:tc>
        <w:tc>
          <w:tcPr>
            <w:tcW w:w="518" w:type="pct"/>
            <w:vAlign w:val="center"/>
          </w:tcPr>
          <w:p>
            <w:pPr>
              <w:widowControl/>
              <w:jc w:val="center"/>
              <w:textAlignment w:val="bottom"/>
              <w:rPr>
                <w:color w:val="auto"/>
                <w:highlight w:val="none"/>
              </w:rPr>
            </w:pPr>
            <w:r>
              <w:rPr>
                <w:color w:val="auto"/>
                <w:kern w:val="0"/>
                <w:szCs w:val="21"/>
                <w:highlight w:val="none"/>
                <w:lang w:bidi="ar"/>
              </w:rPr>
              <w:t>117.653</w:t>
            </w:r>
          </w:p>
        </w:tc>
        <w:tc>
          <w:tcPr>
            <w:tcW w:w="474" w:type="pct"/>
            <w:vAlign w:val="center"/>
          </w:tcPr>
          <w:p>
            <w:pPr>
              <w:widowControl/>
              <w:jc w:val="center"/>
              <w:textAlignment w:val="bottom"/>
              <w:rPr>
                <w:color w:val="auto"/>
                <w:highlight w:val="none"/>
              </w:rPr>
            </w:pPr>
            <w:r>
              <w:rPr>
                <w:color w:val="auto"/>
                <w:kern w:val="0"/>
                <w:szCs w:val="21"/>
                <w:highlight w:val="none"/>
                <w:lang w:bidi="ar"/>
              </w:rPr>
              <w:t>34.758</w:t>
            </w:r>
          </w:p>
        </w:tc>
        <w:tc>
          <w:tcPr>
            <w:tcW w:w="413" w:type="pct"/>
            <w:vAlign w:val="center"/>
          </w:tcPr>
          <w:p>
            <w:pPr>
              <w:widowControl/>
              <w:jc w:val="center"/>
              <w:textAlignment w:val="bottom"/>
              <w:rPr>
                <w:color w:val="auto"/>
                <w:highlight w:val="none"/>
              </w:rPr>
            </w:pPr>
            <w:r>
              <w:rPr>
                <w:color w:val="auto"/>
                <w:kern w:val="0"/>
                <w:szCs w:val="21"/>
                <w:highlight w:val="none"/>
                <w:lang w:bidi="ar"/>
              </w:rPr>
              <w:t>WSW</w:t>
            </w:r>
          </w:p>
        </w:tc>
        <w:tc>
          <w:tcPr>
            <w:tcW w:w="800" w:type="pct"/>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1440</w:t>
            </w:r>
          </w:p>
        </w:tc>
        <w:tc>
          <w:tcPr>
            <w:tcW w:w="1311" w:type="pct"/>
            <w:vMerge w:val="continue"/>
            <w:vAlign w:val="center"/>
          </w:tcPr>
          <w:p>
            <w:pPr>
              <w:pStyle w:val="105"/>
              <w:spacing w:line="240" w:lineRule="auto"/>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2" w:type="pct"/>
            <w:vMerge w:val="continue"/>
            <w:vAlign w:val="center"/>
          </w:tcPr>
          <w:p>
            <w:pPr>
              <w:pStyle w:val="105"/>
              <w:spacing w:line="240" w:lineRule="auto"/>
              <w:rPr>
                <w:bCs/>
                <w:color w:val="auto"/>
                <w:highlight w:val="none"/>
              </w:rPr>
            </w:pPr>
          </w:p>
        </w:tc>
        <w:tc>
          <w:tcPr>
            <w:tcW w:w="979" w:type="pct"/>
            <w:vAlign w:val="center"/>
          </w:tcPr>
          <w:p>
            <w:pPr>
              <w:widowControl/>
              <w:jc w:val="center"/>
              <w:textAlignment w:val="bottom"/>
              <w:rPr>
                <w:color w:val="auto"/>
                <w:spacing w:val="4"/>
                <w:kern w:val="0"/>
                <w:highlight w:val="none"/>
              </w:rPr>
            </w:pPr>
            <w:r>
              <w:rPr>
                <w:rFonts w:hint="eastAsia" w:ascii="宋体" w:hAnsi="宋体" w:cs="宋体"/>
                <w:color w:val="auto"/>
                <w:kern w:val="0"/>
                <w:szCs w:val="21"/>
                <w:highlight w:val="none"/>
                <w:lang w:bidi="ar"/>
              </w:rPr>
              <w:t>王楼村</w:t>
            </w:r>
          </w:p>
        </w:tc>
        <w:tc>
          <w:tcPr>
            <w:tcW w:w="518" w:type="pct"/>
            <w:vAlign w:val="center"/>
          </w:tcPr>
          <w:p>
            <w:pPr>
              <w:widowControl/>
              <w:jc w:val="center"/>
              <w:textAlignment w:val="bottom"/>
              <w:rPr>
                <w:color w:val="auto"/>
                <w:highlight w:val="none"/>
              </w:rPr>
            </w:pPr>
            <w:r>
              <w:rPr>
                <w:color w:val="auto"/>
                <w:kern w:val="0"/>
                <w:szCs w:val="21"/>
                <w:highlight w:val="none"/>
                <w:lang w:bidi="ar"/>
              </w:rPr>
              <w:t>117.649</w:t>
            </w:r>
          </w:p>
        </w:tc>
        <w:tc>
          <w:tcPr>
            <w:tcW w:w="474" w:type="pct"/>
            <w:vAlign w:val="center"/>
          </w:tcPr>
          <w:p>
            <w:pPr>
              <w:widowControl/>
              <w:jc w:val="center"/>
              <w:textAlignment w:val="bottom"/>
              <w:rPr>
                <w:color w:val="auto"/>
                <w:highlight w:val="none"/>
              </w:rPr>
            </w:pPr>
            <w:r>
              <w:rPr>
                <w:color w:val="auto"/>
                <w:kern w:val="0"/>
                <w:szCs w:val="21"/>
                <w:highlight w:val="none"/>
                <w:lang w:bidi="ar"/>
              </w:rPr>
              <w:t>34.76</w:t>
            </w:r>
          </w:p>
        </w:tc>
        <w:tc>
          <w:tcPr>
            <w:tcW w:w="413" w:type="pct"/>
            <w:vAlign w:val="center"/>
          </w:tcPr>
          <w:p>
            <w:pPr>
              <w:widowControl/>
              <w:jc w:val="center"/>
              <w:textAlignment w:val="bottom"/>
              <w:rPr>
                <w:color w:val="auto"/>
                <w:highlight w:val="none"/>
              </w:rPr>
            </w:pPr>
            <w:r>
              <w:rPr>
                <w:color w:val="auto"/>
                <w:kern w:val="0"/>
                <w:szCs w:val="21"/>
                <w:highlight w:val="none"/>
                <w:lang w:bidi="ar"/>
              </w:rPr>
              <w:t>WSW</w:t>
            </w:r>
          </w:p>
        </w:tc>
        <w:tc>
          <w:tcPr>
            <w:tcW w:w="800" w:type="pct"/>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1550</w:t>
            </w:r>
          </w:p>
        </w:tc>
        <w:tc>
          <w:tcPr>
            <w:tcW w:w="1311" w:type="pct"/>
            <w:vMerge w:val="continue"/>
            <w:vAlign w:val="center"/>
          </w:tcPr>
          <w:p>
            <w:pPr>
              <w:pStyle w:val="105"/>
              <w:spacing w:line="240" w:lineRule="auto"/>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2" w:type="pct"/>
            <w:vMerge w:val="continue"/>
            <w:vAlign w:val="center"/>
          </w:tcPr>
          <w:p>
            <w:pPr>
              <w:pStyle w:val="105"/>
              <w:spacing w:line="240" w:lineRule="auto"/>
              <w:rPr>
                <w:bCs/>
                <w:color w:val="auto"/>
                <w:highlight w:val="none"/>
              </w:rPr>
            </w:pPr>
          </w:p>
        </w:tc>
        <w:tc>
          <w:tcPr>
            <w:tcW w:w="979" w:type="pct"/>
            <w:vAlign w:val="center"/>
          </w:tcPr>
          <w:p>
            <w:pPr>
              <w:widowControl/>
              <w:jc w:val="center"/>
              <w:textAlignment w:val="bottom"/>
              <w:rPr>
                <w:color w:val="auto"/>
                <w:spacing w:val="4"/>
                <w:kern w:val="0"/>
                <w:highlight w:val="none"/>
              </w:rPr>
            </w:pPr>
            <w:r>
              <w:rPr>
                <w:rFonts w:hint="eastAsia" w:ascii="宋体" w:hAnsi="宋体" w:cs="宋体"/>
                <w:color w:val="auto"/>
                <w:kern w:val="0"/>
                <w:szCs w:val="21"/>
                <w:highlight w:val="none"/>
                <w:lang w:bidi="ar"/>
              </w:rPr>
              <w:t>小屯村</w:t>
            </w:r>
          </w:p>
        </w:tc>
        <w:tc>
          <w:tcPr>
            <w:tcW w:w="518" w:type="pct"/>
            <w:vAlign w:val="center"/>
          </w:tcPr>
          <w:p>
            <w:pPr>
              <w:widowControl/>
              <w:jc w:val="center"/>
              <w:textAlignment w:val="bottom"/>
              <w:rPr>
                <w:color w:val="auto"/>
                <w:highlight w:val="none"/>
              </w:rPr>
            </w:pPr>
            <w:r>
              <w:rPr>
                <w:color w:val="auto"/>
                <w:kern w:val="0"/>
                <w:szCs w:val="21"/>
                <w:highlight w:val="none"/>
                <w:lang w:bidi="ar"/>
              </w:rPr>
              <w:t>117.66</w:t>
            </w:r>
          </w:p>
        </w:tc>
        <w:tc>
          <w:tcPr>
            <w:tcW w:w="474" w:type="pct"/>
            <w:vAlign w:val="center"/>
          </w:tcPr>
          <w:p>
            <w:pPr>
              <w:widowControl/>
              <w:jc w:val="center"/>
              <w:textAlignment w:val="bottom"/>
              <w:rPr>
                <w:color w:val="auto"/>
                <w:highlight w:val="none"/>
              </w:rPr>
            </w:pPr>
            <w:r>
              <w:rPr>
                <w:color w:val="auto"/>
                <w:kern w:val="0"/>
                <w:szCs w:val="21"/>
                <w:highlight w:val="none"/>
                <w:lang w:bidi="ar"/>
              </w:rPr>
              <w:t>34.765</w:t>
            </w:r>
          </w:p>
        </w:tc>
        <w:tc>
          <w:tcPr>
            <w:tcW w:w="413" w:type="pct"/>
            <w:vAlign w:val="center"/>
          </w:tcPr>
          <w:p>
            <w:pPr>
              <w:widowControl/>
              <w:jc w:val="center"/>
              <w:textAlignment w:val="bottom"/>
              <w:rPr>
                <w:color w:val="auto"/>
                <w:highlight w:val="none"/>
              </w:rPr>
            </w:pPr>
            <w:r>
              <w:rPr>
                <w:color w:val="auto"/>
                <w:kern w:val="0"/>
                <w:szCs w:val="21"/>
                <w:highlight w:val="none"/>
                <w:lang w:bidi="ar"/>
              </w:rPr>
              <w:t>W</w:t>
            </w:r>
          </w:p>
        </w:tc>
        <w:tc>
          <w:tcPr>
            <w:tcW w:w="800" w:type="pct"/>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460</w:t>
            </w:r>
          </w:p>
        </w:tc>
        <w:tc>
          <w:tcPr>
            <w:tcW w:w="1311" w:type="pct"/>
            <w:vMerge w:val="continue"/>
            <w:vAlign w:val="center"/>
          </w:tcPr>
          <w:p>
            <w:pPr>
              <w:pStyle w:val="105"/>
              <w:spacing w:line="240" w:lineRule="auto"/>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2" w:type="pct"/>
            <w:vMerge w:val="continue"/>
            <w:vAlign w:val="center"/>
          </w:tcPr>
          <w:p>
            <w:pPr>
              <w:pStyle w:val="105"/>
              <w:spacing w:line="240" w:lineRule="auto"/>
              <w:rPr>
                <w:bCs/>
                <w:color w:val="auto"/>
                <w:highlight w:val="none"/>
              </w:rPr>
            </w:pPr>
          </w:p>
        </w:tc>
        <w:tc>
          <w:tcPr>
            <w:tcW w:w="979" w:type="pct"/>
            <w:vAlign w:val="center"/>
          </w:tcPr>
          <w:p>
            <w:pPr>
              <w:widowControl/>
              <w:jc w:val="center"/>
              <w:textAlignment w:val="bottom"/>
              <w:rPr>
                <w:color w:val="auto"/>
                <w:spacing w:val="4"/>
                <w:kern w:val="0"/>
                <w:highlight w:val="none"/>
              </w:rPr>
            </w:pPr>
            <w:r>
              <w:rPr>
                <w:rFonts w:hint="eastAsia" w:ascii="宋体" w:hAnsi="宋体" w:cs="宋体"/>
                <w:color w:val="auto"/>
                <w:kern w:val="0"/>
                <w:szCs w:val="21"/>
                <w:highlight w:val="none"/>
                <w:lang w:bidi="ar"/>
              </w:rPr>
              <w:t>陈洼</w:t>
            </w:r>
          </w:p>
        </w:tc>
        <w:tc>
          <w:tcPr>
            <w:tcW w:w="518" w:type="pct"/>
            <w:vAlign w:val="center"/>
          </w:tcPr>
          <w:p>
            <w:pPr>
              <w:widowControl/>
              <w:jc w:val="center"/>
              <w:textAlignment w:val="bottom"/>
              <w:rPr>
                <w:color w:val="auto"/>
                <w:highlight w:val="none"/>
              </w:rPr>
            </w:pPr>
            <w:r>
              <w:rPr>
                <w:color w:val="auto"/>
                <w:kern w:val="0"/>
                <w:szCs w:val="21"/>
                <w:highlight w:val="none"/>
                <w:lang w:bidi="ar"/>
              </w:rPr>
              <w:t>117.645</w:t>
            </w:r>
          </w:p>
        </w:tc>
        <w:tc>
          <w:tcPr>
            <w:tcW w:w="474" w:type="pct"/>
            <w:vAlign w:val="center"/>
          </w:tcPr>
          <w:p>
            <w:pPr>
              <w:widowControl/>
              <w:jc w:val="center"/>
              <w:textAlignment w:val="bottom"/>
              <w:rPr>
                <w:color w:val="auto"/>
                <w:highlight w:val="none"/>
              </w:rPr>
            </w:pPr>
            <w:r>
              <w:rPr>
                <w:color w:val="auto"/>
                <w:kern w:val="0"/>
                <w:szCs w:val="21"/>
                <w:highlight w:val="none"/>
                <w:lang w:bidi="ar"/>
              </w:rPr>
              <w:t>34.758</w:t>
            </w:r>
          </w:p>
        </w:tc>
        <w:tc>
          <w:tcPr>
            <w:tcW w:w="413" w:type="pct"/>
            <w:vAlign w:val="center"/>
          </w:tcPr>
          <w:p>
            <w:pPr>
              <w:widowControl/>
              <w:jc w:val="center"/>
              <w:textAlignment w:val="bottom"/>
              <w:rPr>
                <w:color w:val="auto"/>
                <w:highlight w:val="none"/>
              </w:rPr>
            </w:pPr>
            <w:r>
              <w:rPr>
                <w:color w:val="auto"/>
                <w:kern w:val="0"/>
                <w:szCs w:val="21"/>
                <w:highlight w:val="none"/>
                <w:lang w:bidi="ar"/>
              </w:rPr>
              <w:t>WSW</w:t>
            </w:r>
          </w:p>
        </w:tc>
        <w:tc>
          <w:tcPr>
            <w:tcW w:w="800" w:type="pct"/>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2040</w:t>
            </w:r>
          </w:p>
        </w:tc>
        <w:tc>
          <w:tcPr>
            <w:tcW w:w="1311" w:type="pct"/>
            <w:vMerge w:val="continue"/>
            <w:vAlign w:val="center"/>
          </w:tcPr>
          <w:p>
            <w:pPr>
              <w:pStyle w:val="105"/>
              <w:spacing w:line="240" w:lineRule="auto"/>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2" w:type="pct"/>
            <w:vMerge w:val="continue"/>
            <w:vAlign w:val="center"/>
          </w:tcPr>
          <w:p>
            <w:pPr>
              <w:pStyle w:val="105"/>
              <w:spacing w:line="240" w:lineRule="auto"/>
              <w:rPr>
                <w:bCs/>
                <w:color w:val="auto"/>
                <w:highlight w:val="none"/>
              </w:rPr>
            </w:pPr>
          </w:p>
        </w:tc>
        <w:tc>
          <w:tcPr>
            <w:tcW w:w="979" w:type="pct"/>
            <w:vAlign w:val="center"/>
          </w:tcPr>
          <w:p>
            <w:pPr>
              <w:widowControl/>
              <w:jc w:val="center"/>
              <w:textAlignment w:val="bottom"/>
              <w:rPr>
                <w:color w:val="auto"/>
                <w:spacing w:val="4"/>
                <w:kern w:val="0"/>
                <w:highlight w:val="none"/>
              </w:rPr>
            </w:pPr>
            <w:r>
              <w:rPr>
                <w:rFonts w:hint="eastAsia" w:ascii="宋体" w:hAnsi="宋体" w:cs="宋体"/>
                <w:color w:val="auto"/>
                <w:kern w:val="0"/>
                <w:szCs w:val="21"/>
                <w:highlight w:val="none"/>
                <w:lang w:bidi="ar"/>
              </w:rPr>
              <w:t>王庄</w:t>
            </w:r>
          </w:p>
        </w:tc>
        <w:tc>
          <w:tcPr>
            <w:tcW w:w="518" w:type="pct"/>
            <w:vAlign w:val="center"/>
          </w:tcPr>
          <w:p>
            <w:pPr>
              <w:widowControl/>
              <w:jc w:val="center"/>
              <w:textAlignment w:val="bottom"/>
              <w:rPr>
                <w:color w:val="auto"/>
                <w:highlight w:val="none"/>
              </w:rPr>
            </w:pPr>
            <w:r>
              <w:rPr>
                <w:color w:val="auto"/>
                <w:kern w:val="0"/>
                <w:szCs w:val="21"/>
                <w:highlight w:val="none"/>
                <w:lang w:bidi="ar"/>
              </w:rPr>
              <w:t>117.641</w:t>
            </w:r>
          </w:p>
        </w:tc>
        <w:tc>
          <w:tcPr>
            <w:tcW w:w="474" w:type="pct"/>
            <w:vAlign w:val="center"/>
          </w:tcPr>
          <w:p>
            <w:pPr>
              <w:widowControl/>
              <w:jc w:val="center"/>
              <w:textAlignment w:val="bottom"/>
              <w:rPr>
                <w:color w:val="auto"/>
                <w:highlight w:val="none"/>
              </w:rPr>
            </w:pPr>
            <w:r>
              <w:rPr>
                <w:color w:val="auto"/>
                <w:kern w:val="0"/>
                <w:szCs w:val="21"/>
                <w:highlight w:val="none"/>
                <w:lang w:bidi="ar"/>
              </w:rPr>
              <w:t>34.758</w:t>
            </w:r>
          </w:p>
        </w:tc>
        <w:tc>
          <w:tcPr>
            <w:tcW w:w="413" w:type="pct"/>
            <w:vAlign w:val="center"/>
          </w:tcPr>
          <w:p>
            <w:pPr>
              <w:widowControl/>
              <w:jc w:val="center"/>
              <w:textAlignment w:val="bottom"/>
              <w:rPr>
                <w:color w:val="auto"/>
                <w:highlight w:val="none"/>
              </w:rPr>
            </w:pPr>
            <w:r>
              <w:rPr>
                <w:color w:val="auto"/>
                <w:kern w:val="0"/>
                <w:szCs w:val="21"/>
                <w:highlight w:val="none"/>
                <w:lang w:bidi="ar"/>
              </w:rPr>
              <w:t>WSW</w:t>
            </w:r>
          </w:p>
        </w:tc>
        <w:tc>
          <w:tcPr>
            <w:tcW w:w="800" w:type="pct"/>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2470</w:t>
            </w:r>
          </w:p>
        </w:tc>
        <w:tc>
          <w:tcPr>
            <w:tcW w:w="1311" w:type="pct"/>
            <w:vMerge w:val="continue"/>
            <w:vAlign w:val="center"/>
          </w:tcPr>
          <w:p>
            <w:pPr>
              <w:pStyle w:val="105"/>
              <w:spacing w:line="240" w:lineRule="auto"/>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2" w:type="pct"/>
            <w:vMerge w:val="continue"/>
            <w:vAlign w:val="center"/>
          </w:tcPr>
          <w:p>
            <w:pPr>
              <w:pStyle w:val="105"/>
              <w:spacing w:line="240" w:lineRule="auto"/>
              <w:rPr>
                <w:bCs/>
                <w:color w:val="auto"/>
                <w:highlight w:val="none"/>
              </w:rPr>
            </w:pPr>
          </w:p>
        </w:tc>
        <w:tc>
          <w:tcPr>
            <w:tcW w:w="979" w:type="pct"/>
            <w:vAlign w:val="center"/>
          </w:tcPr>
          <w:p>
            <w:pPr>
              <w:widowControl/>
              <w:jc w:val="center"/>
              <w:textAlignment w:val="bottom"/>
              <w:rPr>
                <w:color w:val="auto"/>
                <w:highlight w:val="none"/>
              </w:rPr>
            </w:pPr>
            <w:r>
              <w:rPr>
                <w:rFonts w:hint="eastAsia" w:ascii="宋体" w:hAnsi="宋体" w:cs="宋体"/>
                <w:color w:val="auto"/>
                <w:kern w:val="0"/>
                <w:szCs w:val="21"/>
                <w:highlight w:val="none"/>
                <w:lang w:bidi="ar"/>
              </w:rPr>
              <w:t>曹庄</w:t>
            </w:r>
          </w:p>
        </w:tc>
        <w:tc>
          <w:tcPr>
            <w:tcW w:w="518" w:type="pct"/>
            <w:vAlign w:val="center"/>
          </w:tcPr>
          <w:p>
            <w:pPr>
              <w:widowControl/>
              <w:jc w:val="center"/>
              <w:textAlignment w:val="bottom"/>
              <w:rPr>
                <w:color w:val="auto"/>
                <w:highlight w:val="none"/>
              </w:rPr>
            </w:pPr>
            <w:r>
              <w:rPr>
                <w:color w:val="auto"/>
                <w:kern w:val="0"/>
                <w:szCs w:val="21"/>
                <w:highlight w:val="none"/>
                <w:lang w:bidi="ar"/>
              </w:rPr>
              <w:t>117.642</w:t>
            </w:r>
          </w:p>
        </w:tc>
        <w:tc>
          <w:tcPr>
            <w:tcW w:w="474" w:type="pct"/>
            <w:vAlign w:val="center"/>
          </w:tcPr>
          <w:p>
            <w:pPr>
              <w:widowControl/>
              <w:jc w:val="center"/>
              <w:textAlignment w:val="bottom"/>
              <w:rPr>
                <w:color w:val="auto"/>
                <w:highlight w:val="none"/>
              </w:rPr>
            </w:pPr>
            <w:r>
              <w:rPr>
                <w:color w:val="auto"/>
                <w:kern w:val="0"/>
                <w:szCs w:val="21"/>
                <w:highlight w:val="none"/>
                <w:lang w:bidi="ar"/>
              </w:rPr>
              <w:t>34.763</w:t>
            </w:r>
          </w:p>
        </w:tc>
        <w:tc>
          <w:tcPr>
            <w:tcW w:w="413" w:type="pct"/>
            <w:vAlign w:val="center"/>
          </w:tcPr>
          <w:p>
            <w:pPr>
              <w:widowControl/>
              <w:jc w:val="center"/>
              <w:textAlignment w:val="bottom"/>
              <w:rPr>
                <w:color w:val="auto"/>
                <w:highlight w:val="none"/>
              </w:rPr>
            </w:pPr>
            <w:r>
              <w:rPr>
                <w:color w:val="auto"/>
                <w:kern w:val="0"/>
                <w:szCs w:val="21"/>
                <w:highlight w:val="none"/>
                <w:lang w:bidi="ar"/>
              </w:rPr>
              <w:t>WSW</w:t>
            </w:r>
          </w:p>
        </w:tc>
        <w:tc>
          <w:tcPr>
            <w:tcW w:w="800" w:type="pct"/>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2190</w:t>
            </w:r>
          </w:p>
        </w:tc>
        <w:tc>
          <w:tcPr>
            <w:tcW w:w="1311" w:type="pct"/>
            <w:vMerge w:val="continue"/>
            <w:vAlign w:val="center"/>
          </w:tcPr>
          <w:p>
            <w:pPr>
              <w:pStyle w:val="105"/>
              <w:spacing w:line="240" w:lineRule="auto"/>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2" w:type="pct"/>
            <w:vMerge w:val="continue"/>
            <w:vAlign w:val="center"/>
          </w:tcPr>
          <w:p>
            <w:pPr>
              <w:pStyle w:val="105"/>
              <w:spacing w:line="240" w:lineRule="auto"/>
              <w:rPr>
                <w:bCs/>
                <w:color w:val="auto"/>
                <w:highlight w:val="none"/>
              </w:rPr>
            </w:pPr>
          </w:p>
        </w:tc>
        <w:tc>
          <w:tcPr>
            <w:tcW w:w="979" w:type="pct"/>
            <w:vAlign w:val="center"/>
          </w:tcPr>
          <w:p>
            <w:pPr>
              <w:widowControl/>
              <w:jc w:val="center"/>
              <w:textAlignment w:val="bottom"/>
              <w:rPr>
                <w:color w:val="auto"/>
                <w:spacing w:val="4"/>
                <w:kern w:val="0"/>
                <w:highlight w:val="none"/>
              </w:rPr>
            </w:pPr>
            <w:r>
              <w:rPr>
                <w:rFonts w:hint="eastAsia" w:ascii="宋体" w:hAnsi="宋体" w:cs="宋体"/>
                <w:color w:val="auto"/>
                <w:kern w:val="0"/>
                <w:szCs w:val="21"/>
                <w:highlight w:val="none"/>
                <w:lang w:bidi="ar"/>
              </w:rPr>
              <w:t>仙人洞风景区</w:t>
            </w:r>
          </w:p>
        </w:tc>
        <w:tc>
          <w:tcPr>
            <w:tcW w:w="518" w:type="pct"/>
            <w:vAlign w:val="center"/>
          </w:tcPr>
          <w:p>
            <w:pPr>
              <w:widowControl/>
              <w:jc w:val="center"/>
              <w:textAlignment w:val="bottom"/>
              <w:rPr>
                <w:color w:val="auto"/>
                <w:highlight w:val="none"/>
              </w:rPr>
            </w:pPr>
            <w:r>
              <w:rPr>
                <w:color w:val="auto"/>
                <w:kern w:val="0"/>
                <w:szCs w:val="21"/>
                <w:highlight w:val="none"/>
                <w:lang w:bidi="ar"/>
              </w:rPr>
              <w:t>117.648</w:t>
            </w:r>
          </w:p>
        </w:tc>
        <w:tc>
          <w:tcPr>
            <w:tcW w:w="474" w:type="pct"/>
            <w:vAlign w:val="center"/>
          </w:tcPr>
          <w:p>
            <w:pPr>
              <w:widowControl/>
              <w:jc w:val="center"/>
              <w:textAlignment w:val="bottom"/>
              <w:rPr>
                <w:color w:val="auto"/>
                <w:highlight w:val="none"/>
              </w:rPr>
            </w:pPr>
            <w:r>
              <w:rPr>
                <w:color w:val="auto"/>
                <w:kern w:val="0"/>
                <w:szCs w:val="21"/>
                <w:highlight w:val="none"/>
                <w:lang w:bidi="ar"/>
              </w:rPr>
              <w:t>34.774</w:t>
            </w:r>
          </w:p>
        </w:tc>
        <w:tc>
          <w:tcPr>
            <w:tcW w:w="413" w:type="pct"/>
            <w:vAlign w:val="center"/>
          </w:tcPr>
          <w:p>
            <w:pPr>
              <w:widowControl/>
              <w:jc w:val="center"/>
              <w:textAlignment w:val="bottom"/>
              <w:rPr>
                <w:color w:val="auto"/>
                <w:highlight w:val="none"/>
              </w:rPr>
            </w:pPr>
            <w:r>
              <w:rPr>
                <w:color w:val="auto"/>
                <w:kern w:val="0"/>
                <w:szCs w:val="21"/>
                <w:highlight w:val="none"/>
                <w:lang w:bidi="ar"/>
              </w:rPr>
              <w:t>NW</w:t>
            </w:r>
          </w:p>
        </w:tc>
        <w:tc>
          <w:tcPr>
            <w:tcW w:w="800" w:type="pct"/>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1870</w:t>
            </w:r>
          </w:p>
        </w:tc>
        <w:tc>
          <w:tcPr>
            <w:tcW w:w="1311" w:type="pct"/>
            <w:vMerge w:val="continue"/>
            <w:vAlign w:val="center"/>
          </w:tcPr>
          <w:p>
            <w:pPr>
              <w:pStyle w:val="105"/>
              <w:spacing w:line="240" w:lineRule="auto"/>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2" w:type="pct"/>
            <w:vAlign w:val="center"/>
          </w:tcPr>
          <w:p>
            <w:pPr>
              <w:pStyle w:val="105"/>
              <w:spacing w:line="240" w:lineRule="auto"/>
              <w:rPr>
                <w:bCs/>
                <w:color w:val="auto"/>
                <w:highlight w:val="none"/>
              </w:rPr>
            </w:pPr>
            <w:r>
              <w:rPr>
                <w:bCs/>
                <w:color w:val="auto"/>
                <w:highlight w:val="none"/>
              </w:rPr>
              <w:t>地表水</w:t>
            </w:r>
          </w:p>
        </w:tc>
        <w:tc>
          <w:tcPr>
            <w:tcW w:w="979" w:type="pct"/>
            <w:vAlign w:val="center"/>
          </w:tcPr>
          <w:p>
            <w:pPr>
              <w:pStyle w:val="105"/>
              <w:spacing w:line="240" w:lineRule="auto"/>
              <w:rPr>
                <w:color w:val="auto"/>
                <w:spacing w:val="4"/>
                <w:kern w:val="0"/>
                <w:szCs w:val="21"/>
                <w:highlight w:val="none"/>
              </w:rPr>
            </w:pPr>
            <w:r>
              <w:rPr>
                <w:rFonts w:hint="eastAsia"/>
                <w:color w:val="auto"/>
                <w:spacing w:val="4"/>
                <w:kern w:val="0"/>
                <w:szCs w:val="21"/>
                <w:highlight w:val="none"/>
                <w:lang w:val="en-US" w:eastAsia="zh-CN"/>
              </w:rPr>
              <w:t>峄城大沙河</w:t>
            </w:r>
          </w:p>
        </w:tc>
        <w:tc>
          <w:tcPr>
            <w:tcW w:w="518" w:type="pct"/>
            <w:vAlign w:val="center"/>
          </w:tcPr>
          <w:p>
            <w:pPr>
              <w:pStyle w:val="105"/>
              <w:spacing w:line="240" w:lineRule="auto"/>
              <w:rPr>
                <w:color w:val="auto"/>
                <w:spacing w:val="4"/>
                <w:kern w:val="0"/>
                <w:szCs w:val="21"/>
                <w:highlight w:val="none"/>
              </w:rPr>
            </w:pPr>
            <w:r>
              <w:rPr>
                <w:rFonts w:hint="eastAsia"/>
                <w:color w:val="auto"/>
                <w:spacing w:val="4"/>
                <w:kern w:val="0"/>
                <w:szCs w:val="21"/>
                <w:highlight w:val="none"/>
              </w:rPr>
              <w:t>-</w:t>
            </w:r>
          </w:p>
        </w:tc>
        <w:tc>
          <w:tcPr>
            <w:tcW w:w="474" w:type="pct"/>
            <w:vAlign w:val="center"/>
          </w:tcPr>
          <w:p>
            <w:pPr>
              <w:pStyle w:val="105"/>
              <w:spacing w:line="240" w:lineRule="auto"/>
              <w:rPr>
                <w:color w:val="auto"/>
                <w:spacing w:val="4"/>
                <w:kern w:val="0"/>
                <w:szCs w:val="21"/>
                <w:highlight w:val="none"/>
              </w:rPr>
            </w:pPr>
            <w:r>
              <w:rPr>
                <w:rFonts w:hint="eastAsia"/>
                <w:color w:val="auto"/>
                <w:spacing w:val="4"/>
                <w:kern w:val="0"/>
                <w:szCs w:val="21"/>
                <w:highlight w:val="none"/>
              </w:rPr>
              <w:t>-</w:t>
            </w:r>
          </w:p>
        </w:tc>
        <w:tc>
          <w:tcPr>
            <w:tcW w:w="413" w:type="pct"/>
            <w:vAlign w:val="center"/>
          </w:tcPr>
          <w:p>
            <w:pPr>
              <w:pStyle w:val="105"/>
              <w:spacing w:line="240" w:lineRule="auto"/>
              <w:rPr>
                <w:rFonts w:hint="eastAsia" w:eastAsia="宋体"/>
                <w:color w:val="auto"/>
                <w:spacing w:val="4"/>
                <w:kern w:val="0"/>
                <w:szCs w:val="21"/>
                <w:highlight w:val="none"/>
                <w:lang w:eastAsia="zh-CN"/>
              </w:rPr>
            </w:pPr>
            <w:r>
              <w:rPr>
                <w:rFonts w:hint="eastAsia"/>
                <w:color w:val="auto"/>
                <w:spacing w:val="4"/>
                <w:kern w:val="0"/>
                <w:szCs w:val="21"/>
                <w:highlight w:val="none"/>
                <w:lang w:val="en-US" w:eastAsia="zh-CN"/>
              </w:rPr>
              <w:t>W</w:t>
            </w:r>
          </w:p>
        </w:tc>
        <w:tc>
          <w:tcPr>
            <w:tcW w:w="800" w:type="pct"/>
            <w:vAlign w:val="center"/>
          </w:tcPr>
          <w:p>
            <w:pPr>
              <w:pStyle w:val="105"/>
              <w:spacing w:line="240" w:lineRule="auto"/>
              <w:rPr>
                <w:rFonts w:hint="default" w:eastAsia="宋体"/>
                <w:color w:val="auto"/>
                <w:spacing w:val="4"/>
                <w:kern w:val="0"/>
                <w:szCs w:val="21"/>
                <w:highlight w:val="none"/>
                <w:lang w:val="en-US" w:eastAsia="zh-CN"/>
              </w:rPr>
            </w:pPr>
            <w:r>
              <w:rPr>
                <w:rFonts w:hint="eastAsia"/>
                <w:color w:val="auto"/>
                <w:spacing w:val="4"/>
                <w:kern w:val="0"/>
                <w:szCs w:val="21"/>
                <w:highlight w:val="none"/>
                <w:lang w:val="en-US" w:eastAsia="zh-CN"/>
              </w:rPr>
              <w:t>7940m</w:t>
            </w:r>
          </w:p>
        </w:tc>
        <w:tc>
          <w:tcPr>
            <w:tcW w:w="1311" w:type="pct"/>
            <w:vAlign w:val="center"/>
          </w:tcPr>
          <w:p>
            <w:pPr>
              <w:jc w:val="center"/>
              <w:rPr>
                <w:color w:val="auto"/>
                <w:highlight w:val="none"/>
              </w:rPr>
            </w:pPr>
            <w:r>
              <w:rPr>
                <w:color w:val="auto"/>
                <w:highlight w:val="none"/>
              </w:rPr>
              <w:t>《地表水环境质量标准》(GB3838-2002)Ⅲ类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2" w:type="pct"/>
            <w:vAlign w:val="center"/>
          </w:tcPr>
          <w:p>
            <w:pPr>
              <w:pStyle w:val="105"/>
              <w:spacing w:line="240" w:lineRule="auto"/>
              <w:rPr>
                <w:bCs/>
                <w:color w:val="auto"/>
                <w:highlight w:val="none"/>
              </w:rPr>
            </w:pPr>
            <w:r>
              <w:rPr>
                <w:bCs/>
                <w:color w:val="auto"/>
                <w:highlight w:val="none"/>
              </w:rPr>
              <w:t>地下水</w:t>
            </w:r>
          </w:p>
        </w:tc>
        <w:tc>
          <w:tcPr>
            <w:tcW w:w="3186" w:type="pct"/>
            <w:gridSpan w:val="5"/>
            <w:vAlign w:val="center"/>
          </w:tcPr>
          <w:p>
            <w:pPr>
              <w:pStyle w:val="105"/>
              <w:spacing w:line="240" w:lineRule="auto"/>
              <w:rPr>
                <w:color w:val="auto"/>
                <w:spacing w:val="4"/>
                <w:kern w:val="0"/>
                <w:szCs w:val="21"/>
                <w:highlight w:val="none"/>
              </w:rPr>
            </w:pPr>
            <w:r>
              <w:rPr>
                <w:color w:val="auto"/>
                <w:highlight w:val="none"/>
              </w:rPr>
              <w:t>拟建项目周边地下水</w:t>
            </w:r>
          </w:p>
        </w:tc>
        <w:tc>
          <w:tcPr>
            <w:tcW w:w="1311" w:type="pct"/>
            <w:vAlign w:val="center"/>
          </w:tcPr>
          <w:p>
            <w:pPr>
              <w:jc w:val="center"/>
              <w:rPr>
                <w:color w:val="auto"/>
                <w:highlight w:val="none"/>
              </w:rPr>
            </w:pPr>
            <w:r>
              <w:rPr>
                <w:color w:val="auto"/>
                <w:highlight w:val="none"/>
              </w:rPr>
              <w:t>《地下水质量标准》(GB/T14848-2017)Ⅲ类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2" w:type="pct"/>
            <w:vAlign w:val="center"/>
          </w:tcPr>
          <w:p>
            <w:pPr>
              <w:pStyle w:val="105"/>
              <w:spacing w:line="240" w:lineRule="auto"/>
              <w:rPr>
                <w:bCs/>
                <w:color w:val="auto"/>
                <w:highlight w:val="none"/>
              </w:rPr>
            </w:pPr>
            <w:r>
              <w:rPr>
                <w:bCs/>
                <w:color w:val="auto"/>
                <w:highlight w:val="none"/>
              </w:rPr>
              <w:t>声环境</w:t>
            </w:r>
          </w:p>
        </w:tc>
        <w:tc>
          <w:tcPr>
            <w:tcW w:w="3186" w:type="pct"/>
            <w:gridSpan w:val="5"/>
            <w:vAlign w:val="center"/>
          </w:tcPr>
          <w:p>
            <w:pPr>
              <w:pStyle w:val="105"/>
              <w:spacing w:line="240" w:lineRule="auto"/>
              <w:rPr>
                <w:color w:val="auto"/>
                <w:spacing w:val="4"/>
                <w:kern w:val="0"/>
                <w:szCs w:val="21"/>
                <w:highlight w:val="none"/>
              </w:rPr>
            </w:pPr>
            <w:r>
              <w:rPr>
                <w:color w:val="auto"/>
                <w:spacing w:val="4"/>
                <w:kern w:val="0"/>
                <w:szCs w:val="21"/>
                <w:highlight w:val="none"/>
              </w:rPr>
              <w:t>厂界外200m范围</w:t>
            </w:r>
          </w:p>
        </w:tc>
        <w:tc>
          <w:tcPr>
            <w:tcW w:w="1311" w:type="pct"/>
            <w:vAlign w:val="center"/>
          </w:tcPr>
          <w:p>
            <w:pPr>
              <w:pStyle w:val="105"/>
              <w:spacing w:line="240" w:lineRule="auto"/>
              <w:rPr>
                <w:color w:val="auto"/>
                <w:highlight w:val="none"/>
              </w:rPr>
            </w:pPr>
            <w:r>
              <w:rPr>
                <w:color w:val="auto"/>
                <w:highlight w:val="none"/>
              </w:rPr>
              <w:t>《声环境质量标准》(GB3096-2008)</w:t>
            </w:r>
            <w:r>
              <w:rPr>
                <w:rFonts w:hint="eastAsia"/>
                <w:color w:val="auto"/>
                <w:highlight w:val="none"/>
              </w:rPr>
              <w:t>2类</w:t>
            </w:r>
          </w:p>
        </w:tc>
      </w:tr>
    </w:tbl>
    <w:p>
      <w:pPr>
        <w:pStyle w:val="28"/>
        <w:rPr>
          <w:color w:val="auto"/>
          <w:highlight w:val="none"/>
        </w:rPr>
      </w:pPr>
    </w:p>
    <w:p>
      <w:pPr>
        <w:pStyle w:val="28"/>
        <w:rPr>
          <w:color w:val="auto"/>
          <w:highlight w:val="none"/>
        </w:rPr>
      </w:pPr>
    </w:p>
    <w:p>
      <w:pPr>
        <w:pStyle w:val="28"/>
        <w:rPr>
          <w:color w:val="auto"/>
          <w:highlight w:val="none"/>
        </w:rPr>
      </w:pPr>
    </w:p>
    <w:p>
      <w:pPr>
        <w:pStyle w:val="28"/>
        <w:rPr>
          <w:color w:val="auto"/>
          <w:highlight w:val="none"/>
        </w:rPr>
      </w:pPr>
    </w:p>
    <w:p>
      <w:pPr>
        <w:pStyle w:val="28"/>
        <w:rPr>
          <w:color w:val="auto"/>
          <w:highlight w:val="none"/>
        </w:rPr>
      </w:pPr>
    </w:p>
    <w:p>
      <w:pPr>
        <w:pStyle w:val="28"/>
        <w:rPr>
          <w:color w:val="auto"/>
          <w:highlight w:val="none"/>
        </w:rPr>
      </w:pPr>
    </w:p>
    <w:p>
      <w:pPr>
        <w:pStyle w:val="28"/>
        <w:rPr>
          <w:color w:val="auto"/>
          <w:highlight w:val="none"/>
        </w:rPr>
      </w:pPr>
    </w:p>
    <w:p>
      <w:pPr>
        <w:pStyle w:val="28"/>
        <w:rPr>
          <w:color w:val="auto"/>
          <w:highlight w:val="none"/>
        </w:rPr>
      </w:pPr>
    </w:p>
    <w:p>
      <w:pPr>
        <w:spacing w:line="360" w:lineRule="auto"/>
        <w:ind w:firstLine="480" w:firstLineChars="200"/>
        <w:jc w:val="left"/>
        <w:rPr>
          <w:color w:val="auto"/>
          <w:sz w:val="24"/>
          <w:highlight w:val="none"/>
        </w:rPr>
      </w:pPr>
    </w:p>
    <w:p>
      <w:pPr>
        <w:spacing w:line="360" w:lineRule="auto"/>
        <w:ind w:firstLine="480" w:firstLineChars="200"/>
        <w:jc w:val="left"/>
        <w:rPr>
          <w:color w:val="auto"/>
          <w:sz w:val="24"/>
          <w:highlight w:val="none"/>
        </w:rPr>
        <w:sectPr>
          <w:headerReference r:id="rId9" w:type="default"/>
          <w:headerReference r:id="rId10" w:type="even"/>
          <w:pgSz w:w="11906" w:h="16838"/>
          <w:pgMar w:top="1418" w:right="1418" w:bottom="1418" w:left="1701"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98"/>
        <w:spacing w:before="156"/>
        <w:rPr>
          <w:rFonts w:ascii="Times New Roman" w:hAnsi="Times New Roman"/>
          <w:color w:val="auto"/>
          <w:highlight w:val="none"/>
        </w:rPr>
      </w:pPr>
      <w:bookmarkStart w:id="99" w:name="_Toc9452"/>
      <w:bookmarkStart w:id="100" w:name="_Toc66281272"/>
      <w:r>
        <w:rPr>
          <w:rFonts w:ascii="Times New Roman" w:hAnsi="Times New Roman"/>
          <w:color w:val="auto"/>
          <w:highlight w:val="none"/>
        </w:rPr>
        <w:t>2.工程分析</w:t>
      </w:r>
      <w:bookmarkEnd w:id="99"/>
      <w:bookmarkEnd w:id="100"/>
    </w:p>
    <w:p>
      <w:pPr>
        <w:pStyle w:val="100"/>
        <w:spacing w:before="156"/>
        <w:rPr>
          <w:rFonts w:ascii="Times New Roman" w:hAnsi="Times New Roman"/>
          <w:color w:val="auto"/>
          <w:highlight w:val="none"/>
        </w:rPr>
      </w:pPr>
      <w:bookmarkStart w:id="101" w:name="_Toc17891"/>
      <w:bookmarkStart w:id="102" w:name="_Toc52053026"/>
      <w:bookmarkStart w:id="103" w:name="_Toc66281273"/>
      <w:r>
        <w:rPr>
          <w:rFonts w:ascii="Times New Roman" w:hAnsi="Times New Roman"/>
          <w:color w:val="auto"/>
          <w:highlight w:val="none"/>
        </w:rPr>
        <w:t>2.1项目概况</w:t>
      </w:r>
      <w:bookmarkEnd w:id="101"/>
      <w:bookmarkEnd w:id="102"/>
      <w:bookmarkEnd w:id="103"/>
    </w:p>
    <w:p>
      <w:pPr>
        <w:pStyle w:val="101"/>
        <w:spacing w:before="78"/>
        <w:rPr>
          <w:rFonts w:ascii="Times New Roman" w:hAnsi="Times New Roman"/>
          <w:color w:val="auto"/>
          <w:highlight w:val="none"/>
        </w:rPr>
      </w:pPr>
      <w:r>
        <w:rPr>
          <w:rFonts w:ascii="Times New Roman" w:hAnsi="Times New Roman"/>
          <w:color w:val="auto"/>
          <w:highlight w:val="none"/>
        </w:rPr>
        <w:t>2.1.1项目基本信息</w:t>
      </w:r>
    </w:p>
    <w:p>
      <w:pPr>
        <w:pStyle w:val="99"/>
        <w:ind w:firstLine="480"/>
        <w:rPr>
          <w:color w:val="auto"/>
          <w:highlight w:val="none"/>
        </w:rPr>
      </w:pPr>
      <w:r>
        <w:rPr>
          <w:rFonts w:hint="eastAsia"/>
          <w:color w:val="auto"/>
          <w:highlight w:val="none"/>
        </w:rPr>
        <w:t xml:space="preserve">(1) </w:t>
      </w:r>
      <w:r>
        <w:rPr>
          <w:color w:val="auto"/>
          <w:highlight w:val="none"/>
        </w:rPr>
        <w:t>项目名称：</w:t>
      </w:r>
      <w:r>
        <w:rPr>
          <w:rFonts w:hint="eastAsia"/>
          <w:color w:val="auto"/>
          <w:highlight w:val="none"/>
        </w:rPr>
        <w:t>绿色高性能复合管项目</w:t>
      </w:r>
    </w:p>
    <w:p>
      <w:pPr>
        <w:pStyle w:val="99"/>
        <w:ind w:firstLine="480"/>
        <w:rPr>
          <w:color w:val="auto"/>
          <w:highlight w:val="none"/>
        </w:rPr>
      </w:pPr>
      <w:r>
        <w:rPr>
          <w:rFonts w:hint="eastAsia"/>
          <w:color w:val="auto"/>
          <w:highlight w:val="none"/>
        </w:rPr>
        <w:t>(2) 建设单位：山东付新环保科技有限公司</w:t>
      </w:r>
    </w:p>
    <w:p>
      <w:pPr>
        <w:pStyle w:val="99"/>
        <w:ind w:firstLine="480"/>
        <w:rPr>
          <w:color w:val="auto"/>
          <w:highlight w:val="none"/>
        </w:rPr>
      </w:pPr>
      <w:r>
        <w:rPr>
          <w:rFonts w:hint="eastAsia"/>
          <w:color w:val="auto"/>
          <w:highlight w:val="none"/>
        </w:rPr>
        <w:t xml:space="preserve">(3) </w:t>
      </w:r>
      <w:r>
        <w:rPr>
          <w:color w:val="auto"/>
          <w:highlight w:val="none"/>
        </w:rPr>
        <w:t>项目性质：新建</w:t>
      </w:r>
    </w:p>
    <w:p>
      <w:pPr>
        <w:pStyle w:val="99"/>
        <w:ind w:firstLine="480"/>
        <w:rPr>
          <w:color w:val="auto"/>
          <w:highlight w:val="none"/>
        </w:rPr>
      </w:pPr>
      <w:r>
        <w:rPr>
          <w:rFonts w:hint="eastAsia"/>
          <w:color w:val="auto"/>
          <w:highlight w:val="none"/>
        </w:rPr>
        <w:t xml:space="preserve">(4) </w:t>
      </w:r>
      <w:r>
        <w:rPr>
          <w:color w:val="auto"/>
          <w:highlight w:val="none"/>
        </w:rPr>
        <w:t>建设地点：</w:t>
      </w:r>
      <w:r>
        <w:rPr>
          <w:rFonts w:hint="eastAsia"/>
          <w:color w:val="auto"/>
          <w:highlight w:val="none"/>
        </w:rPr>
        <w:t>枣庄市峄城区峨山镇大官庄村西</w:t>
      </w:r>
    </w:p>
    <w:p>
      <w:pPr>
        <w:pStyle w:val="99"/>
        <w:ind w:firstLine="480"/>
        <w:rPr>
          <w:color w:val="auto"/>
          <w:highlight w:val="none"/>
        </w:rPr>
      </w:pPr>
      <w:r>
        <w:rPr>
          <w:rFonts w:hint="eastAsia"/>
          <w:color w:val="auto"/>
          <w:highlight w:val="none"/>
        </w:rPr>
        <w:t>(5) 行业代码：C2922塑料板、管、型材制造</w:t>
      </w:r>
    </w:p>
    <w:p>
      <w:pPr>
        <w:pStyle w:val="99"/>
        <w:ind w:firstLine="480"/>
        <w:rPr>
          <w:color w:val="auto"/>
          <w:highlight w:val="none"/>
        </w:rPr>
      </w:pPr>
      <w:r>
        <w:rPr>
          <w:rFonts w:hint="eastAsia"/>
          <w:color w:val="auto"/>
          <w:highlight w:val="none"/>
        </w:rPr>
        <w:t xml:space="preserve">(6) </w:t>
      </w:r>
      <w:r>
        <w:rPr>
          <w:color w:val="auto"/>
          <w:highlight w:val="none"/>
        </w:rPr>
        <w:t>生产规模：项目</w:t>
      </w:r>
      <w:r>
        <w:rPr>
          <w:rFonts w:hint="eastAsia"/>
          <w:color w:val="auto"/>
          <w:highlight w:val="none"/>
        </w:rPr>
        <w:t>占地2</w:t>
      </w:r>
      <w:r>
        <w:rPr>
          <w:rFonts w:hint="eastAsia"/>
          <w:color w:val="auto"/>
          <w:highlight w:val="none"/>
          <w:lang w:val="en-US" w:eastAsia="zh-CN"/>
        </w:rPr>
        <w:t>公顷</w:t>
      </w:r>
      <w:r>
        <w:rPr>
          <w:rFonts w:hint="eastAsia"/>
          <w:color w:val="auto"/>
          <w:highlight w:val="none"/>
        </w:rPr>
        <w:t>(20000m</w:t>
      </w:r>
      <w:r>
        <w:rPr>
          <w:rFonts w:hint="eastAsia"/>
          <w:color w:val="auto"/>
          <w:highlight w:val="none"/>
          <w:vertAlign w:val="superscript"/>
        </w:rPr>
        <w:t>2</w:t>
      </w:r>
      <w:r>
        <w:rPr>
          <w:rFonts w:hint="eastAsia"/>
          <w:color w:val="auto"/>
          <w:highlight w:val="none"/>
        </w:rPr>
        <w:t>)，</w:t>
      </w:r>
      <w:r>
        <w:rPr>
          <w:color w:val="auto"/>
          <w:highlight w:val="none"/>
        </w:rPr>
        <w:t>建成后</w:t>
      </w:r>
      <w:r>
        <w:rPr>
          <w:rFonts w:hint="eastAsia"/>
          <w:color w:val="auto"/>
          <w:highlight w:val="none"/>
        </w:rPr>
        <w:t>可达到</w:t>
      </w:r>
      <w:r>
        <w:rPr>
          <w:color w:val="auto"/>
          <w:highlight w:val="none"/>
        </w:rPr>
        <w:t>年产</w:t>
      </w:r>
      <w:r>
        <w:rPr>
          <w:rFonts w:hint="eastAsia"/>
          <w:color w:val="auto"/>
          <w:highlight w:val="none"/>
        </w:rPr>
        <w:t>HDPE给水管</w:t>
      </w:r>
      <w:r>
        <w:rPr>
          <w:rFonts w:hint="eastAsia"/>
          <w:color w:val="auto"/>
          <w:highlight w:val="none"/>
          <w:lang w:val="en-US" w:eastAsia="zh-CN"/>
        </w:rPr>
        <w:t>6800</w:t>
      </w:r>
      <w:r>
        <w:rPr>
          <w:rFonts w:hint="eastAsia"/>
          <w:color w:val="auto"/>
          <w:highlight w:val="none"/>
        </w:rPr>
        <w:t>t/a、HDPE中空壁缠绕管</w:t>
      </w:r>
      <w:r>
        <w:rPr>
          <w:rFonts w:hint="eastAsia"/>
          <w:color w:val="auto"/>
          <w:highlight w:val="none"/>
          <w:lang w:val="en-US" w:eastAsia="zh-CN"/>
        </w:rPr>
        <w:t>2</w:t>
      </w:r>
      <w:r>
        <w:rPr>
          <w:rFonts w:hint="eastAsia"/>
          <w:color w:val="auto"/>
          <w:highlight w:val="none"/>
        </w:rPr>
        <w:t>000t/a、HDPE双壁波纹管</w:t>
      </w:r>
      <w:r>
        <w:rPr>
          <w:rFonts w:hint="eastAsia"/>
          <w:color w:val="auto"/>
          <w:highlight w:val="none"/>
          <w:lang w:val="en-US" w:eastAsia="zh-CN"/>
        </w:rPr>
        <w:t>32</w:t>
      </w:r>
      <w:r>
        <w:rPr>
          <w:rFonts w:hint="eastAsia"/>
          <w:color w:val="auto"/>
          <w:highlight w:val="none"/>
        </w:rPr>
        <w:t>00t/a、PP注塑污水管件</w:t>
      </w:r>
      <w:r>
        <w:rPr>
          <w:rFonts w:hint="eastAsia"/>
          <w:color w:val="auto"/>
          <w:highlight w:val="none"/>
          <w:lang w:val="en-US" w:eastAsia="zh-CN"/>
        </w:rPr>
        <w:t>8000</w:t>
      </w:r>
      <w:r>
        <w:rPr>
          <w:rFonts w:hint="eastAsia"/>
          <w:color w:val="auto"/>
          <w:highlight w:val="none"/>
        </w:rPr>
        <w:t>t/a的生产规模。</w:t>
      </w:r>
    </w:p>
    <w:p>
      <w:pPr>
        <w:pStyle w:val="99"/>
        <w:ind w:firstLine="480"/>
        <w:rPr>
          <w:color w:val="auto"/>
          <w:highlight w:val="none"/>
        </w:rPr>
      </w:pPr>
      <w:r>
        <w:rPr>
          <w:rFonts w:hint="eastAsia"/>
          <w:color w:val="auto"/>
          <w:highlight w:val="none"/>
        </w:rPr>
        <w:t xml:space="preserve">(7) </w:t>
      </w:r>
      <w:r>
        <w:rPr>
          <w:color w:val="auto"/>
          <w:highlight w:val="none"/>
        </w:rPr>
        <w:t>项目投资：</w:t>
      </w:r>
      <w:r>
        <w:rPr>
          <w:rFonts w:hint="eastAsia"/>
          <w:color w:val="auto"/>
          <w:highlight w:val="none"/>
        </w:rPr>
        <w:t>总投资14000</w:t>
      </w:r>
      <w:r>
        <w:rPr>
          <w:color w:val="auto"/>
          <w:highlight w:val="none"/>
        </w:rPr>
        <w:t>万元</w:t>
      </w:r>
      <w:r>
        <w:rPr>
          <w:rFonts w:hint="eastAsia"/>
          <w:color w:val="auto"/>
          <w:highlight w:val="none"/>
        </w:rPr>
        <w:t>，其中环保投资115万元，占总投资的0.82%。</w:t>
      </w:r>
    </w:p>
    <w:p>
      <w:pPr>
        <w:pStyle w:val="99"/>
        <w:ind w:firstLine="480"/>
        <w:rPr>
          <w:color w:val="auto"/>
          <w:highlight w:val="none"/>
        </w:rPr>
      </w:pPr>
      <w:r>
        <w:rPr>
          <w:rFonts w:hint="eastAsia"/>
          <w:color w:val="auto"/>
          <w:highlight w:val="none"/>
        </w:rPr>
        <w:t>(8) 项目备案：已完成项目备案，项目代码为2206-370404-89-01-716661，见附件4；</w:t>
      </w:r>
    </w:p>
    <w:p>
      <w:pPr>
        <w:pStyle w:val="99"/>
        <w:ind w:firstLine="480"/>
        <w:rPr>
          <w:color w:val="auto"/>
          <w:highlight w:val="none"/>
        </w:rPr>
      </w:pPr>
      <w:r>
        <w:rPr>
          <w:rFonts w:hint="eastAsia"/>
          <w:color w:val="auto"/>
          <w:highlight w:val="none"/>
        </w:rPr>
        <w:t>(9) 实施计划：计划于202</w:t>
      </w:r>
      <w:r>
        <w:rPr>
          <w:rFonts w:hint="eastAsia"/>
          <w:color w:val="auto"/>
          <w:highlight w:val="none"/>
          <w:lang w:val="en-US" w:eastAsia="zh-CN"/>
        </w:rPr>
        <w:t>3</w:t>
      </w:r>
      <w:r>
        <w:rPr>
          <w:rFonts w:hint="eastAsia"/>
          <w:color w:val="auto"/>
          <w:highlight w:val="none"/>
        </w:rPr>
        <w:t>年1月开始施工，2023年</w:t>
      </w:r>
      <w:r>
        <w:rPr>
          <w:rFonts w:hint="eastAsia"/>
          <w:color w:val="auto"/>
          <w:highlight w:val="none"/>
          <w:lang w:val="en-US" w:eastAsia="zh-CN"/>
        </w:rPr>
        <w:t>7</w:t>
      </w:r>
      <w:r>
        <w:rPr>
          <w:rFonts w:hint="eastAsia"/>
          <w:color w:val="auto"/>
          <w:highlight w:val="none"/>
        </w:rPr>
        <w:t>月投入生产，建设期6个月；</w:t>
      </w:r>
    </w:p>
    <w:p>
      <w:pPr>
        <w:pStyle w:val="99"/>
        <w:ind w:firstLine="480"/>
        <w:rPr>
          <w:color w:val="auto"/>
          <w:highlight w:val="none"/>
        </w:rPr>
      </w:pPr>
      <w:r>
        <w:rPr>
          <w:rFonts w:hint="eastAsia"/>
          <w:color w:val="auto"/>
          <w:highlight w:val="none"/>
        </w:rPr>
        <w:t>(10) 劳动定员及工作制度：共有员工30人，年工作300d，每天3班，每班8h，年工作7200h。</w:t>
      </w:r>
    </w:p>
    <w:p>
      <w:pPr>
        <w:pStyle w:val="101"/>
        <w:spacing w:before="78"/>
        <w:rPr>
          <w:rFonts w:ascii="Times New Roman" w:hAnsi="Times New Roman"/>
          <w:color w:val="auto"/>
          <w:highlight w:val="none"/>
        </w:rPr>
      </w:pPr>
      <w:r>
        <w:rPr>
          <w:rFonts w:ascii="Times New Roman" w:hAnsi="Times New Roman"/>
          <w:color w:val="auto"/>
          <w:highlight w:val="none"/>
        </w:rPr>
        <w:t>2.1.2产业政策符合性</w:t>
      </w:r>
    </w:p>
    <w:p>
      <w:pPr>
        <w:pStyle w:val="99"/>
        <w:ind w:firstLine="480"/>
        <w:rPr>
          <w:color w:val="auto"/>
          <w:highlight w:val="none"/>
        </w:rPr>
      </w:pPr>
      <w:r>
        <w:rPr>
          <w:color w:val="auto"/>
          <w:highlight w:val="none"/>
        </w:rPr>
        <w:t>本项目产品</w:t>
      </w:r>
      <w:r>
        <w:rPr>
          <w:rFonts w:hint="eastAsia"/>
          <w:color w:val="auto"/>
          <w:highlight w:val="none"/>
        </w:rPr>
        <w:t>HDPE中空壁缠绕管、HDPE双壁波纹管、PP注塑污水管件使用废旧塑料生产，属于《产业结构调整指导目录（2019年本）》中鼓励类第四十三类“环境保护与资源节约综合利用”中第15款““三废”综合利用与治理技术、装备和工程”，符合国家产业政策求。</w:t>
      </w:r>
    </w:p>
    <w:p>
      <w:pPr>
        <w:pStyle w:val="101"/>
        <w:spacing w:before="78"/>
        <w:rPr>
          <w:rFonts w:ascii="Times New Roman" w:hAnsi="Times New Roman"/>
          <w:color w:val="auto"/>
          <w:highlight w:val="none"/>
        </w:rPr>
      </w:pPr>
      <w:r>
        <w:rPr>
          <w:rFonts w:ascii="Times New Roman" w:hAnsi="Times New Roman"/>
          <w:color w:val="auto"/>
          <w:highlight w:val="none"/>
        </w:rPr>
        <w:t>2.1.3项目组成</w:t>
      </w:r>
    </w:p>
    <w:p>
      <w:pPr>
        <w:spacing w:line="360" w:lineRule="auto"/>
        <w:ind w:firstLine="480" w:firstLineChars="200"/>
        <w:rPr>
          <w:color w:val="auto"/>
          <w:sz w:val="24"/>
          <w:highlight w:val="none"/>
        </w:rPr>
      </w:pPr>
      <w:bookmarkStart w:id="104" w:name="_Hlk42866737"/>
      <w:r>
        <w:rPr>
          <w:color w:val="auto"/>
          <w:sz w:val="24"/>
          <w:highlight w:val="none"/>
        </w:rPr>
        <w:t>本项目建设内容见表2.1-1。</w:t>
      </w: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widowControl/>
        <w:spacing w:line="360" w:lineRule="auto"/>
        <w:ind w:firstLine="480" w:firstLineChars="200"/>
        <w:jc w:val="center"/>
        <w:rPr>
          <w:rFonts w:eastAsia="黑体"/>
          <w:color w:val="auto"/>
          <w:sz w:val="24"/>
          <w:highlight w:val="none"/>
        </w:rPr>
      </w:pPr>
      <w:r>
        <w:rPr>
          <w:rFonts w:eastAsia="黑体"/>
          <w:color w:val="auto"/>
          <w:sz w:val="24"/>
          <w:highlight w:val="none"/>
        </w:rPr>
        <w:t>表2.1-1  项目组成一览表</w:t>
      </w:r>
    </w:p>
    <w:tbl>
      <w:tblPr>
        <w:tblStyle w:val="59"/>
        <w:tblW w:w="513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108" w:type="dxa"/>
          <w:bottom w:w="28" w:type="dxa"/>
          <w:right w:w="108" w:type="dxa"/>
        </w:tblCellMar>
      </w:tblPr>
      <w:tblGrid>
        <w:gridCol w:w="477"/>
        <w:gridCol w:w="608"/>
        <w:gridCol w:w="1442"/>
        <w:gridCol w:w="6014"/>
        <w:gridCol w:w="6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05" w:hRule="atLeast"/>
          <w:jc w:val="center"/>
        </w:trPr>
        <w:tc>
          <w:tcPr>
            <w:tcW w:w="261" w:type="pct"/>
            <w:shd w:val="clear" w:color="auto" w:fill="auto"/>
            <w:tcMar>
              <w:top w:w="0" w:type="dxa"/>
              <w:left w:w="57" w:type="dxa"/>
              <w:bottom w:w="0" w:type="dxa"/>
              <w:right w:w="57" w:type="dxa"/>
            </w:tcMar>
            <w:vAlign w:val="center"/>
          </w:tcPr>
          <w:p>
            <w:pPr>
              <w:widowControl/>
              <w:spacing w:line="240" w:lineRule="exact"/>
              <w:jc w:val="center"/>
              <w:rPr>
                <w:color w:val="auto"/>
                <w:kern w:val="0"/>
                <w:szCs w:val="21"/>
                <w:highlight w:val="none"/>
              </w:rPr>
            </w:pPr>
            <w:bookmarkStart w:id="105" w:name="_Hlk62114370"/>
            <w:r>
              <w:rPr>
                <w:color w:val="auto"/>
                <w:kern w:val="0"/>
                <w:szCs w:val="21"/>
                <w:highlight w:val="none"/>
              </w:rPr>
              <w:t>序号</w:t>
            </w:r>
          </w:p>
        </w:tc>
        <w:tc>
          <w:tcPr>
            <w:tcW w:w="332" w:type="pct"/>
            <w:shd w:val="clear" w:color="auto" w:fill="auto"/>
            <w:tcMar>
              <w:top w:w="0" w:type="dxa"/>
              <w:left w:w="57" w:type="dxa"/>
              <w:bottom w:w="0" w:type="dxa"/>
              <w:right w:w="57" w:type="dxa"/>
            </w:tcMar>
            <w:vAlign w:val="center"/>
          </w:tcPr>
          <w:p>
            <w:pPr>
              <w:widowControl/>
              <w:spacing w:line="240" w:lineRule="exact"/>
              <w:jc w:val="center"/>
              <w:rPr>
                <w:color w:val="auto"/>
                <w:kern w:val="0"/>
                <w:szCs w:val="21"/>
                <w:highlight w:val="none"/>
              </w:rPr>
            </w:pPr>
            <w:r>
              <w:rPr>
                <w:color w:val="auto"/>
                <w:kern w:val="0"/>
                <w:szCs w:val="21"/>
                <w:highlight w:val="none"/>
              </w:rPr>
              <w:t>工程类别</w:t>
            </w:r>
          </w:p>
        </w:tc>
        <w:tc>
          <w:tcPr>
            <w:tcW w:w="788" w:type="pct"/>
            <w:shd w:val="clear" w:color="auto" w:fill="auto"/>
            <w:tcMar>
              <w:top w:w="0" w:type="dxa"/>
              <w:left w:w="57" w:type="dxa"/>
              <w:bottom w:w="0" w:type="dxa"/>
              <w:right w:w="57" w:type="dxa"/>
            </w:tcMar>
            <w:vAlign w:val="center"/>
          </w:tcPr>
          <w:p>
            <w:pPr>
              <w:widowControl/>
              <w:spacing w:line="240" w:lineRule="exact"/>
              <w:jc w:val="center"/>
              <w:rPr>
                <w:color w:val="auto"/>
                <w:kern w:val="0"/>
                <w:szCs w:val="21"/>
                <w:highlight w:val="none"/>
              </w:rPr>
            </w:pPr>
            <w:r>
              <w:rPr>
                <w:color w:val="auto"/>
                <w:kern w:val="0"/>
                <w:szCs w:val="21"/>
                <w:highlight w:val="none"/>
              </w:rPr>
              <w:t>项目</w:t>
            </w:r>
          </w:p>
        </w:tc>
        <w:tc>
          <w:tcPr>
            <w:tcW w:w="3286" w:type="pct"/>
            <w:shd w:val="clear" w:color="auto" w:fill="auto"/>
            <w:tcMar>
              <w:top w:w="0" w:type="dxa"/>
              <w:left w:w="57" w:type="dxa"/>
              <w:bottom w:w="0" w:type="dxa"/>
              <w:right w:w="57" w:type="dxa"/>
            </w:tcMar>
            <w:vAlign w:val="center"/>
          </w:tcPr>
          <w:p>
            <w:pPr>
              <w:widowControl/>
              <w:spacing w:line="240" w:lineRule="exact"/>
              <w:jc w:val="center"/>
              <w:rPr>
                <w:color w:val="auto"/>
                <w:kern w:val="0"/>
                <w:szCs w:val="21"/>
                <w:highlight w:val="none"/>
              </w:rPr>
            </w:pPr>
            <w:r>
              <w:rPr>
                <w:color w:val="auto"/>
                <w:kern w:val="0"/>
                <w:szCs w:val="21"/>
                <w:highlight w:val="none"/>
              </w:rPr>
              <w:t>具体组成</w:t>
            </w:r>
          </w:p>
        </w:tc>
        <w:tc>
          <w:tcPr>
            <w:tcW w:w="331" w:type="pct"/>
            <w:shd w:val="clear" w:color="auto" w:fill="auto"/>
            <w:tcMar>
              <w:top w:w="0" w:type="dxa"/>
              <w:left w:w="57" w:type="dxa"/>
              <w:bottom w:w="0" w:type="dxa"/>
              <w:right w:w="57" w:type="dxa"/>
            </w:tcMar>
            <w:vAlign w:val="center"/>
          </w:tcPr>
          <w:p>
            <w:pPr>
              <w:widowControl/>
              <w:spacing w:line="240" w:lineRule="exact"/>
              <w:jc w:val="center"/>
              <w:rPr>
                <w:color w:val="auto"/>
                <w:kern w:val="0"/>
                <w:szCs w:val="21"/>
                <w:highlight w:val="none"/>
              </w:rPr>
            </w:pPr>
            <w:r>
              <w:rPr>
                <w:color w:val="auto"/>
                <w:kern w:val="0"/>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261" w:type="pct"/>
            <w:vMerge w:val="restart"/>
            <w:shd w:val="clear" w:color="auto" w:fill="auto"/>
            <w:tcMar>
              <w:top w:w="0" w:type="dxa"/>
              <w:left w:w="57" w:type="dxa"/>
              <w:bottom w:w="0" w:type="dxa"/>
              <w:right w:w="57" w:type="dxa"/>
            </w:tcMar>
            <w:vAlign w:val="center"/>
          </w:tcPr>
          <w:p>
            <w:pPr>
              <w:widowControl/>
              <w:spacing w:line="240" w:lineRule="exact"/>
              <w:jc w:val="center"/>
              <w:rPr>
                <w:color w:val="auto"/>
                <w:kern w:val="0"/>
                <w:szCs w:val="21"/>
                <w:highlight w:val="none"/>
              </w:rPr>
            </w:pPr>
            <w:r>
              <w:rPr>
                <w:color w:val="auto"/>
                <w:kern w:val="0"/>
                <w:szCs w:val="21"/>
                <w:highlight w:val="none"/>
              </w:rPr>
              <w:t>1</w:t>
            </w:r>
          </w:p>
        </w:tc>
        <w:tc>
          <w:tcPr>
            <w:tcW w:w="332" w:type="pct"/>
            <w:vMerge w:val="restart"/>
            <w:shd w:val="clear" w:color="auto" w:fill="auto"/>
            <w:tcMar>
              <w:top w:w="0" w:type="dxa"/>
              <w:left w:w="57" w:type="dxa"/>
              <w:bottom w:w="0" w:type="dxa"/>
              <w:right w:w="57" w:type="dxa"/>
            </w:tcMar>
            <w:vAlign w:val="center"/>
          </w:tcPr>
          <w:p>
            <w:pPr>
              <w:widowControl/>
              <w:spacing w:line="240" w:lineRule="exact"/>
              <w:jc w:val="center"/>
              <w:rPr>
                <w:color w:val="auto"/>
                <w:kern w:val="0"/>
                <w:szCs w:val="21"/>
                <w:highlight w:val="none"/>
              </w:rPr>
            </w:pPr>
            <w:r>
              <w:rPr>
                <w:color w:val="auto"/>
                <w:kern w:val="0"/>
                <w:szCs w:val="21"/>
                <w:highlight w:val="none"/>
              </w:rPr>
              <w:t>主体工程</w:t>
            </w:r>
          </w:p>
        </w:tc>
        <w:tc>
          <w:tcPr>
            <w:tcW w:w="788" w:type="pct"/>
            <w:shd w:val="clear" w:color="auto" w:fill="auto"/>
            <w:tcMar>
              <w:top w:w="0" w:type="dxa"/>
              <w:left w:w="57" w:type="dxa"/>
              <w:bottom w:w="0" w:type="dxa"/>
              <w:right w:w="57" w:type="dxa"/>
            </w:tcMar>
            <w:vAlign w:val="center"/>
          </w:tcPr>
          <w:p>
            <w:pPr>
              <w:widowControl/>
              <w:spacing w:line="240" w:lineRule="exact"/>
              <w:jc w:val="center"/>
              <w:rPr>
                <w:color w:val="auto"/>
                <w:kern w:val="0"/>
                <w:szCs w:val="21"/>
                <w:highlight w:val="none"/>
              </w:rPr>
            </w:pPr>
            <w:r>
              <w:rPr>
                <w:rFonts w:hint="eastAsia"/>
                <w:color w:val="auto"/>
                <w:kern w:val="0"/>
                <w:szCs w:val="21"/>
                <w:highlight w:val="none"/>
              </w:rPr>
              <w:t>给水管</w:t>
            </w:r>
            <w:r>
              <w:rPr>
                <w:rFonts w:hint="eastAsia"/>
                <w:color w:val="auto"/>
                <w:kern w:val="0"/>
                <w:szCs w:val="21"/>
                <w:highlight w:val="none"/>
                <w:lang w:val="en-US" w:eastAsia="zh-CN"/>
              </w:rPr>
              <w:t>生产</w:t>
            </w:r>
            <w:r>
              <w:rPr>
                <w:rFonts w:hint="eastAsia"/>
                <w:color w:val="auto"/>
                <w:kern w:val="0"/>
                <w:szCs w:val="21"/>
                <w:highlight w:val="none"/>
              </w:rPr>
              <w:t>及注塑车间（1#车间）</w:t>
            </w:r>
          </w:p>
        </w:tc>
        <w:tc>
          <w:tcPr>
            <w:tcW w:w="3286" w:type="pct"/>
            <w:shd w:val="clear" w:color="auto" w:fill="auto"/>
            <w:tcMar>
              <w:top w:w="0" w:type="dxa"/>
              <w:left w:w="57" w:type="dxa"/>
              <w:bottom w:w="0" w:type="dxa"/>
              <w:right w:w="57" w:type="dxa"/>
            </w:tcMar>
            <w:vAlign w:val="center"/>
          </w:tcPr>
          <w:p>
            <w:pPr>
              <w:widowControl/>
              <w:spacing w:line="240" w:lineRule="exact"/>
              <w:jc w:val="center"/>
              <w:rPr>
                <w:color w:val="auto"/>
                <w:kern w:val="0"/>
                <w:szCs w:val="21"/>
                <w:highlight w:val="none"/>
              </w:rPr>
            </w:pPr>
            <w:r>
              <w:rPr>
                <w:rFonts w:hint="eastAsia"/>
                <w:color w:val="auto"/>
                <w:kern w:val="0"/>
                <w:szCs w:val="21"/>
                <w:highlight w:val="none"/>
              </w:rPr>
              <w:t>1座，</w:t>
            </w:r>
            <w:r>
              <w:rPr>
                <w:rFonts w:hint="eastAsia"/>
                <w:color w:val="auto"/>
                <w:kern w:val="0"/>
                <w:szCs w:val="21"/>
                <w:highlight w:val="none"/>
                <w:lang w:val="en-US" w:eastAsia="zh-CN"/>
              </w:rPr>
              <w:t>1</w:t>
            </w:r>
            <w:r>
              <w:rPr>
                <w:rFonts w:hint="eastAsia"/>
                <w:color w:val="auto"/>
                <w:kern w:val="0"/>
                <w:szCs w:val="21"/>
                <w:highlight w:val="none"/>
              </w:rPr>
              <w:t>层，尺寸22*70*</w:t>
            </w:r>
            <w:r>
              <w:rPr>
                <w:rFonts w:hint="eastAsia"/>
                <w:color w:val="auto"/>
                <w:kern w:val="0"/>
                <w:szCs w:val="21"/>
                <w:highlight w:val="none"/>
                <w:lang w:val="en-US" w:eastAsia="zh-CN"/>
              </w:rPr>
              <w:t>10</w:t>
            </w:r>
            <w:r>
              <w:rPr>
                <w:rFonts w:hint="eastAsia"/>
                <w:color w:val="auto"/>
                <w:kern w:val="0"/>
                <w:szCs w:val="21"/>
                <w:highlight w:val="none"/>
              </w:rPr>
              <w:t>m，用于给水管生产、注塑工序生产及聚乙烯颗粒存放</w:t>
            </w:r>
          </w:p>
        </w:tc>
        <w:tc>
          <w:tcPr>
            <w:tcW w:w="331" w:type="pct"/>
            <w:tcBorders>
              <w:bottom w:val="single" w:color="auto" w:sz="4" w:space="0"/>
            </w:tcBorders>
            <w:shd w:val="clear" w:color="auto" w:fill="auto"/>
            <w:tcMar>
              <w:top w:w="0" w:type="dxa"/>
              <w:left w:w="57" w:type="dxa"/>
              <w:bottom w:w="0" w:type="dxa"/>
              <w:right w:w="57" w:type="dxa"/>
            </w:tcMar>
            <w:vAlign w:val="center"/>
          </w:tcPr>
          <w:p>
            <w:pPr>
              <w:widowControl/>
              <w:spacing w:line="240" w:lineRule="exact"/>
              <w:jc w:val="center"/>
              <w:rPr>
                <w:color w:val="auto"/>
                <w:kern w:val="0"/>
                <w:szCs w:val="21"/>
                <w:highlight w:val="none"/>
              </w:rPr>
            </w:pPr>
            <w:r>
              <w:rPr>
                <w:rFonts w:hint="eastAsia"/>
                <w:color w:val="auto"/>
                <w:kern w:val="0"/>
                <w:szCs w:val="21"/>
                <w:highlight w:val="none"/>
              </w:rPr>
              <w:t>部分新建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jc w:val="center"/>
        </w:trPr>
        <w:tc>
          <w:tcPr>
            <w:tcW w:w="261" w:type="pct"/>
            <w:vMerge w:val="continue"/>
            <w:shd w:val="clear" w:color="auto" w:fill="auto"/>
            <w:tcMar>
              <w:top w:w="0" w:type="dxa"/>
              <w:left w:w="57" w:type="dxa"/>
              <w:bottom w:w="0" w:type="dxa"/>
              <w:right w:w="57" w:type="dxa"/>
            </w:tcMar>
            <w:vAlign w:val="center"/>
          </w:tcPr>
          <w:p>
            <w:pPr>
              <w:widowControl/>
              <w:spacing w:line="240" w:lineRule="exact"/>
              <w:jc w:val="center"/>
              <w:rPr>
                <w:color w:val="auto"/>
                <w:kern w:val="0"/>
                <w:szCs w:val="21"/>
                <w:highlight w:val="none"/>
              </w:rPr>
            </w:pPr>
          </w:p>
        </w:tc>
        <w:tc>
          <w:tcPr>
            <w:tcW w:w="332" w:type="pct"/>
            <w:vMerge w:val="continue"/>
            <w:shd w:val="clear" w:color="auto" w:fill="auto"/>
            <w:tcMar>
              <w:top w:w="0" w:type="dxa"/>
              <w:left w:w="57" w:type="dxa"/>
              <w:bottom w:w="0" w:type="dxa"/>
              <w:right w:w="57" w:type="dxa"/>
            </w:tcMar>
            <w:vAlign w:val="center"/>
          </w:tcPr>
          <w:p>
            <w:pPr>
              <w:widowControl/>
              <w:spacing w:line="240" w:lineRule="exact"/>
              <w:jc w:val="center"/>
              <w:rPr>
                <w:color w:val="auto"/>
                <w:kern w:val="0"/>
                <w:szCs w:val="21"/>
                <w:highlight w:val="none"/>
              </w:rPr>
            </w:pPr>
          </w:p>
        </w:tc>
        <w:tc>
          <w:tcPr>
            <w:tcW w:w="788" w:type="pct"/>
            <w:shd w:val="clear" w:color="auto" w:fill="auto"/>
            <w:tcMar>
              <w:top w:w="0" w:type="dxa"/>
              <w:left w:w="57" w:type="dxa"/>
              <w:bottom w:w="0" w:type="dxa"/>
              <w:right w:w="57" w:type="dxa"/>
            </w:tcMar>
            <w:vAlign w:val="center"/>
          </w:tcPr>
          <w:p>
            <w:pPr>
              <w:widowControl/>
              <w:spacing w:line="240" w:lineRule="exact"/>
              <w:jc w:val="center"/>
              <w:rPr>
                <w:color w:val="auto"/>
                <w:kern w:val="0"/>
                <w:szCs w:val="21"/>
                <w:highlight w:val="none"/>
              </w:rPr>
            </w:pPr>
            <w:r>
              <w:rPr>
                <w:rFonts w:hint="eastAsia"/>
                <w:color w:val="auto"/>
                <w:kern w:val="0"/>
                <w:szCs w:val="21"/>
                <w:highlight w:val="none"/>
              </w:rPr>
              <w:t>造粒、双壁波纹管、中空壁缠绕管车间（2#车间）</w:t>
            </w:r>
          </w:p>
        </w:tc>
        <w:tc>
          <w:tcPr>
            <w:tcW w:w="3286" w:type="pct"/>
            <w:shd w:val="clear" w:color="auto" w:fill="auto"/>
            <w:tcMar>
              <w:top w:w="0" w:type="dxa"/>
              <w:left w:w="57" w:type="dxa"/>
              <w:bottom w:w="0" w:type="dxa"/>
              <w:right w:w="57" w:type="dxa"/>
            </w:tcMar>
            <w:vAlign w:val="center"/>
          </w:tcPr>
          <w:p>
            <w:pPr>
              <w:widowControl/>
              <w:spacing w:line="240" w:lineRule="exact"/>
              <w:jc w:val="center"/>
              <w:rPr>
                <w:color w:val="auto"/>
                <w:kern w:val="0"/>
                <w:szCs w:val="21"/>
                <w:highlight w:val="none"/>
              </w:rPr>
            </w:pPr>
            <w:r>
              <w:rPr>
                <w:rFonts w:hint="eastAsia"/>
                <w:color w:val="auto"/>
                <w:kern w:val="0"/>
                <w:szCs w:val="21"/>
                <w:highlight w:val="none"/>
              </w:rPr>
              <w:t>1座，1层，尺寸102*32*10m，用于造粒、双壁波纹管、中空壁缠绕管生产及聚乙烯颗粒存放、外购破碎清洗好废旧塑料存放</w:t>
            </w:r>
          </w:p>
        </w:tc>
        <w:tc>
          <w:tcPr>
            <w:tcW w:w="331" w:type="pct"/>
            <w:tcBorders>
              <w:bottom w:val="single" w:color="auto" w:sz="4" w:space="0"/>
            </w:tcBorders>
            <w:shd w:val="clear" w:color="auto" w:fill="auto"/>
            <w:tcMar>
              <w:top w:w="0" w:type="dxa"/>
              <w:left w:w="57" w:type="dxa"/>
              <w:bottom w:w="0" w:type="dxa"/>
              <w:right w:w="57" w:type="dxa"/>
            </w:tcMar>
            <w:vAlign w:val="center"/>
          </w:tcPr>
          <w:p>
            <w:pPr>
              <w:widowControl/>
              <w:spacing w:line="240" w:lineRule="exact"/>
              <w:jc w:val="center"/>
              <w:rPr>
                <w:color w:val="auto"/>
                <w:kern w:val="0"/>
                <w:szCs w:val="21"/>
                <w:highlight w:val="none"/>
              </w:rPr>
            </w:pPr>
            <w:r>
              <w:rPr>
                <w:rFonts w:hint="eastAsia"/>
                <w:color w:val="auto"/>
                <w:kern w:val="0"/>
                <w:szCs w:val="21"/>
                <w:highlight w:val="none"/>
              </w:rPr>
              <w:t>利用现有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261" w:type="pct"/>
            <w:shd w:val="clear" w:color="auto" w:fill="auto"/>
            <w:tcMar>
              <w:top w:w="0" w:type="dxa"/>
              <w:left w:w="57" w:type="dxa"/>
              <w:bottom w:w="0" w:type="dxa"/>
              <w:right w:w="57" w:type="dxa"/>
            </w:tcMar>
            <w:vAlign w:val="center"/>
          </w:tcPr>
          <w:p>
            <w:pPr>
              <w:widowControl/>
              <w:spacing w:line="240" w:lineRule="exact"/>
              <w:jc w:val="center"/>
              <w:rPr>
                <w:color w:val="auto"/>
                <w:kern w:val="0"/>
                <w:szCs w:val="21"/>
                <w:highlight w:val="none"/>
              </w:rPr>
            </w:pPr>
            <w:r>
              <w:rPr>
                <w:color w:val="auto"/>
                <w:kern w:val="0"/>
                <w:szCs w:val="21"/>
                <w:highlight w:val="none"/>
              </w:rPr>
              <w:t>2</w:t>
            </w:r>
          </w:p>
        </w:tc>
        <w:tc>
          <w:tcPr>
            <w:tcW w:w="332" w:type="pct"/>
            <w:shd w:val="clear" w:color="auto" w:fill="auto"/>
            <w:tcMar>
              <w:top w:w="0" w:type="dxa"/>
              <w:left w:w="57" w:type="dxa"/>
              <w:bottom w:w="0" w:type="dxa"/>
              <w:right w:w="57" w:type="dxa"/>
            </w:tcMar>
            <w:vAlign w:val="center"/>
          </w:tcPr>
          <w:p>
            <w:pPr>
              <w:widowControl/>
              <w:spacing w:line="240" w:lineRule="exact"/>
              <w:jc w:val="center"/>
              <w:rPr>
                <w:color w:val="auto"/>
                <w:kern w:val="0"/>
                <w:szCs w:val="21"/>
                <w:highlight w:val="none"/>
              </w:rPr>
            </w:pPr>
            <w:r>
              <w:rPr>
                <w:color w:val="auto"/>
                <w:kern w:val="0"/>
                <w:szCs w:val="21"/>
                <w:highlight w:val="none"/>
              </w:rPr>
              <w:t>辅助工程</w:t>
            </w:r>
          </w:p>
        </w:tc>
        <w:tc>
          <w:tcPr>
            <w:tcW w:w="788" w:type="pct"/>
            <w:shd w:val="clear" w:color="auto" w:fill="auto"/>
            <w:tcMar>
              <w:top w:w="0" w:type="dxa"/>
              <w:left w:w="57" w:type="dxa"/>
              <w:bottom w:w="0" w:type="dxa"/>
              <w:right w:w="57" w:type="dxa"/>
            </w:tcMar>
            <w:vAlign w:val="center"/>
          </w:tcPr>
          <w:p>
            <w:pPr>
              <w:widowControl/>
              <w:spacing w:line="240" w:lineRule="exact"/>
              <w:jc w:val="center"/>
              <w:rPr>
                <w:rFonts w:hint="eastAsia" w:eastAsia="宋体"/>
                <w:color w:val="auto"/>
                <w:kern w:val="0"/>
                <w:szCs w:val="21"/>
                <w:highlight w:val="none"/>
                <w:lang w:eastAsia="zh-CN"/>
              </w:rPr>
            </w:pPr>
            <w:r>
              <w:rPr>
                <w:rFonts w:hint="eastAsia"/>
                <w:color w:val="auto"/>
                <w:kern w:val="0"/>
                <w:szCs w:val="21"/>
                <w:highlight w:val="none"/>
              </w:rPr>
              <w:t>办公</w:t>
            </w:r>
            <w:r>
              <w:rPr>
                <w:rFonts w:hint="eastAsia"/>
                <w:color w:val="auto"/>
                <w:kern w:val="0"/>
                <w:szCs w:val="21"/>
                <w:highlight w:val="none"/>
                <w:lang w:val="en-US" w:eastAsia="zh-CN"/>
              </w:rPr>
              <w:t>楼</w:t>
            </w:r>
          </w:p>
        </w:tc>
        <w:tc>
          <w:tcPr>
            <w:tcW w:w="3286" w:type="pct"/>
            <w:shd w:val="clear" w:color="auto" w:fill="auto"/>
            <w:tcMar>
              <w:top w:w="0" w:type="dxa"/>
              <w:left w:w="57" w:type="dxa"/>
              <w:bottom w:w="0" w:type="dxa"/>
              <w:right w:w="57" w:type="dxa"/>
            </w:tcMar>
            <w:vAlign w:val="center"/>
          </w:tcPr>
          <w:p>
            <w:pPr>
              <w:widowControl/>
              <w:spacing w:line="240" w:lineRule="exact"/>
              <w:jc w:val="center"/>
              <w:rPr>
                <w:color w:val="auto"/>
                <w:highlight w:val="none"/>
              </w:rPr>
            </w:pPr>
            <w:r>
              <w:rPr>
                <w:rFonts w:hint="eastAsia"/>
                <w:color w:val="auto"/>
                <w:highlight w:val="none"/>
                <w:lang w:val="en-US" w:eastAsia="zh-CN"/>
              </w:rPr>
              <w:t>1座，2层，位于厂区东南处，尺寸为</w:t>
            </w:r>
            <w:r>
              <w:rPr>
                <w:rFonts w:hint="eastAsia"/>
                <w:color w:val="auto"/>
                <w:kern w:val="0"/>
                <w:szCs w:val="21"/>
                <w:highlight w:val="none"/>
                <w:lang w:val="en-US" w:eastAsia="zh-CN"/>
              </w:rPr>
              <w:t>40</w:t>
            </w:r>
            <w:r>
              <w:rPr>
                <w:rFonts w:hint="eastAsia"/>
                <w:color w:val="auto"/>
                <w:kern w:val="0"/>
                <w:szCs w:val="21"/>
                <w:highlight w:val="none"/>
              </w:rPr>
              <w:t>*</w:t>
            </w:r>
            <w:r>
              <w:rPr>
                <w:rFonts w:hint="eastAsia"/>
                <w:color w:val="auto"/>
                <w:kern w:val="0"/>
                <w:szCs w:val="21"/>
                <w:highlight w:val="none"/>
                <w:lang w:val="en-US" w:eastAsia="zh-CN"/>
              </w:rPr>
              <w:t>12</w:t>
            </w:r>
            <w:r>
              <w:rPr>
                <w:rFonts w:hint="eastAsia"/>
                <w:color w:val="auto"/>
                <w:kern w:val="0"/>
                <w:szCs w:val="21"/>
                <w:highlight w:val="none"/>
              </w:rPr>
              <w:t>*</w:t>
            </w:r>
            <w:r>
              <w:rPr>
                <w:rFonts w:hint="eastAsia"/>
                <w:color w:val="auto"/>
                <w:kern w:val="0"/>
                <w:szCs w:val="21"/>
                <w:highlight w:val="none"/>
                <w:lang w:val="en-US" w:eastAsia="zh-CN"/>
              </w:rPr>
              <w:t>8</w:t>
            </w:r>
            <w:r>
              <w:rPr>
                <w:rFonts w:hint="eastAsia"/>
                <w:color w:val="auto"/>
                <w:kern w:val="0"/>
                <w:szCs w:val="21"/>
                <w:highlight w:val="none"/>
              </w:rPr>
              <w:t>m，</w:t>
            </w:r>
            <w:r>
              <w:rPr>
                <w:rFonts w:hint="eastAsia"/>
                <w:color w:val="auto"/>
                <w:kern w:val="0"/>
                <w:szCs w:val="21"/>
                <w:highlight w:val="none"/>
                <w:lang w:val="en-US" w:eastAsia="zh-CN"/>
              </w:rPr>
              <w:t>用于日常生产经营办公室。</w:t>
            </w:r>
          </w:p>
        </w:tc>
        <w:tc>
          <w:tcPr>
            <w:tcW w:w="331" w:type="pct"/>
            <w:shd w:val="clear" w:color="auto" w:fill="auto"/>
            <w:tcMar>
              <w:top w:w="0" w:type="dxa"/>
              <w:left w:w="57" w:type="dxa"/>
              <w:bottom w:w="0" w:type="dxa"/>
              <w:right w:w="57" w:type="dxa"/>
            </w:tcMar>
            <w:vAlign w:val="center"/>
          </w:tcPr>
          <w:p>
            <w:pPr>
              <w:widowControl/>
              <w:spacing w:line="240" w:lineRule="exact"/>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261" w:type="pct"/>
            <w:vMerge w:val="restart"/>
            <w:shd w:val="clear" w:color="auto" w:fill="auto"/>
            <w:tcMar>
              <w:top w:w="0" w:type="dxa"/>
              <w:left w:w="57" w:type="dxa"/>
              <w:bottom w:w="0" w:type="dxa"/>
              <w:right w:w="57" w:type="dxa"/>
            </w:tcMar>
            <w:vAlign w:val="center"/>
          </w:tcPr>
          <w:p>
            <w:pPr>
              <w:widowControl/>
              <w:spacing w:line="240" w:lineRule="exact"/>
              <w:jc w:val="center"/>
              <w:rPr>
                <w:color w:val="auto"/>
                <w:kern w:val="0"/>
                <w:szCs w:val="21"/>
                <w:highlight w:val="none"/>
              </w:rPr>
            </w:pPr>
            <w:r>
              <w:rPr>
                <w:rFonts w:hint="eastAsia"/>
                <w:color w:val="auto"/>
                <w:kern w:val="0"/>
                <w:szCs w:val="21"/>
                <w:highlight w:val="none"/>
              </w:rPr>
              <w:t>3</w:t>
            </w:r>
          </w:p>
        </w:tc>
        <w:tc>
          <w:tcPr>
            <w:tcW w:w="332" w:type="pct"/>
            <w:vMerge w:val="restart"/>
            <w:shd w:val="clear" w:color="auto" w:fill="auto"/>
            <w:tcMar>
              <w:top w:w="0" w:type="dxa"/>
              <w:left w:w="57" w:type="dxa"/>
              <w:bottom w:w="0" w:type="dxa"/>
              <w:right w:w="57" w:type="dxa"/>
            </w:tcMar>
            <w:vAlign w:val="center"/>
          </w:tcPr>
          <w:p>
            <w:pPr>
              <w:widowControl/>
              <w:spacing w:line="240" w:lineRule="exact"/>
              <w:jc w:val="center"/>
              <w:rPr>
                <w:color w:val="auto"/>
                <w:kern w:val="0"/>
                <w:szCs w:val="21"/>
                <w:highlight w:val="none"/>
              </w:rPr>
            </w:pPr>
            <w:r>
              <w:rPr>
                <w:color w:val="auto"/>
                <w:kern w:val="0"/>
                <w:szCs w:val="21"/>
                <w:highlight w:val="none"/>
              </w:rPr>
              <w:t>储运工程</w:t>
            </w:r>
          </w:p>
        </w:tc>
        <w:tc>
          <w:tcPr>
            <w:tcW w:w="788" w:type="pct"/>
            <w:shd w:val="clear" w:color="auto" w:fill="auto"/>
            <w:tcMar>
              <w:top w:w="0" w:type="dxa"/>
              <w:left w:w="57" w:type="dxa"/>
              <w:bottom w:w="0" w:type="dxa"/>
              <w:right w:w="57" w:type="dxa"/>
            </w:tcMar>
            <w:vAlign w:val="center"/>
          </w:tcPr>
          <w:p>
            <w:pPr>
              <w:widowControl/>
              <w:spacing w:line="240" w:lineRule="exact"/>
              <w:jc w:val="center"/>
              <w:rPr>
                <w:color w:val="auto"/>
                <w:kern w:val="0"/>
                <w:szCs w:val="21"/>
                <w:highlight w:val="none"/>
              </w:rPr>
            </w:pPr>
            <w:r>
              <w:rPr>
                <w:rFonts w:hint="eastAsia"/>
                <w:color w:val="auto"/>
                <w:kern w:val="0"/>
                <w:szCs w:val="21"/>
                <w:highlight w:val="none"/>
              </w:rPr>
              <w:t>原辅料库房</w:t>
            </w:r>
          </w:p>
        </w:tc>
        <w:tc>
          <w:tcPr>
            <w:tcW w:w="3286" w:type="pct"/>
            <w:shd w:val="clear" w:color="auto" w:fill="auto"/>
            <w:tcMar>
              <w:top w:w="0" w:type="dxa"/>
              <w:left w:w="57" w:type="dxa"/>
              <w:bottom w:w="0" w:type="dxa"/>
              <w:right w:w="57" w:type="dxa"/>
            </w:tcMar>
            <w:vAlign w:val="center"/>
          </w:tcPr>
          <w:p>
            <w:pPr>
              <w:widowControl/>
              <w:spacing w:line="240" w:lineRule="exact"/>
              <w:rPr>
                <w:color w:val="auto"/>
                <w:kern w:val="0"/>
                <w:szCs w:val="21"/>
                <w:highlight w:val="none"/>
              </w:rPr>
            </w:pPr>
            <w:r>
              <w:rPr>
                <w:rFonts w:hint="eastAsia"/>
                <w:color w:val="auto"/>
                <w:kern w:val="0"/>
                <w:szCs w:val="21"/>
                <w:highlight w:val="none"/>
              </w:rPr>
              <w:t>破碎清洗好的废旧塑料存放在2#车间内，给水管生产所用新塑料颗粒存放在1#车间内</w:t>
            </w:r>
          </w:p>
        </w:tc>
        <w:tc>
          <w:tcPr>
            <w:tcW w:w="331" w:type="pct"/>
            <w:shd w:val="clear" w:color="auto" w:fill="auto"/>
            <w:tcMar>
              <w:top w:w="0" w:type="dxa"/>
              <w:left w:w="57" w:type="dxa"/>
              <w:bottom w:w="0" w:type="dxa"/>
              <w:right w:w="57" w:type="dxa"/>
            </w:tcMar>
            <w:vAlign w:val="center"/>
          </w:tcPr>
          <w:p>
            <w:pPr>
              <w:widowControl/>
              <w:spacing w:line="240" w:lineRule="exact"/>
              <w:jc w:val="center"/>
              <w:rPr>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261" w:type="pct"/>
            <w:vMerge w:val="continue"/>
            <w:shd w:val="clear" w:color="auto" w:fill="auto"/>
            <w:tcMar>
              <w:top w:w="0" w:type="dxa"/>
              <w:left w:w="57" w:type="dxa"/>
              <w:bottom w:w="0" w:type="dxa"/>
              <w:right w:w="57" w:type="dxa"/>
            </w:tcMar>
            <w:vAlign w:val="center"/>
          </w:tcPr>
          <w:p>
            <w:pPr>
              <w:widowControl/>
              <w:spacing w:line="240" w:lineRule="exact"/>
              <w:jc w:val="center"/>
              <w:rPr>
                <w:color w:val="auto"/>
                <w:kern w:val="0"/>
                <w:szCs w:val="21"/>
                <w:highlight w:val="none"/>
              </w:rPr>
            </w:pPr>
          </w:p>
        </w:tc>
        <w:tc>
          <w:tcPr>
            <w:tcW w:w="332" w:type="pct"/>
            <w:vMerge w:val="continue"/>
            <w:shd w:val="clear" w:color="auto" w:fill="auto"/>
            <w:tcMar>
              <w:top w:w="0" w:type="dxa"/>
              <w:left w:w="57" w:type="dxa"/>
              <w:bottom w:w="0" w:type="dxa"/>
              <w:right w:w="57" w:type="dxa"/>
            </w:tcMar>
            <w:vAlign w:val="center"/>
          </w:tcPr>
          <w:p>
            <w:pPr>
              <w:widowControl/>
              <w:spacing w:line="240" w:lineRule="exact"/>
              <w:jc w:val="center"/>
              <w:rPr>
                <w:color w:val="auto"/>
                <w:kern w:val="0"/>
                <w:szCs w:val="21"/>
                <w:highlight w:val="none"/>
              </w:rPr>
            </w:pPr>
          </w:p>
        </w:tc>
        <w:tc>
          <w:tcPr>
            <w:tcW w:w="788" w:type="pct"/>
            <w:shd w:val="clear" w:color="auto" w:fill="auto"/>
            <w:tcMar>
              <w:top w:w="0" w:type="dxa"/>
              <w:left w:w="57" w:type="dxa"/>
              <w:bottom w:w="0" w:type="dxa"/>
              <w:right w:w="57" w:type="dxa"/>
            </w:tcMar>
            <w:vAlign w:val="center"/>
          </w:tcPr>
          <w:p>
            <w:pPr>
              <w:widowControl/>
              <w:spacing w:line="240" w:lineRule="exact"/>
              <w:jc w:val="center"/>
              <w:rPr>
                <w:color w:val="auto"/>
                <w:highlight w:val="none"/>
              </w:rPr>
            </w:pPr>
            <w:r>
              <w:rPr>
                <w:rFonts w:hint="eastAsia"/>
                <w:color w:val="auto"/>
                <w:highlight w:val="none"/>
              </w:rPr>
              <w:t>成品</w:t>
            </w:r>
          </w:p>
        </w:tc>
        <w:tc>
          <w:tcPr>
            <w:tcW w:w="3286" w:type="pct"/>
            <w:shd w:val="clear" w:color="auto" w:fill="auto"/>
            <w:tcMar>
              <w:top w:w="0" w:type="dxa"/>
              <w:left w:w="57" w:type="dxa"/>
              <w:bottom w:w="0" w:type="dxa"/>
              <w:right w:w="57" w:type="dxa"/>
            </w:tcMar>
            <w:vAlign w:val="center"/>
          </w:tcPr>
          <w:p>
            <w:pPr>
              <w:widowControl/>
              <w:spacing w:line="240" w:lineRule="exact"/>
              <w:jc w:val="center"/>
              <w:rPr>
                <w:color w:val="auto"/>
                <w:kern w:val="0"/>
                <w:szCs w:val="21"/>
                <w:highlight w:val="none"/>
                <w:vertAlign w:val="superscript"/>
              </w:rPr>
            </w:pPr>
            <w:r>
              <w:rPr>
                <w:rFonts w:hint="eastAsia"/>
                <w:color w:val="auto"/>
                <w:kern w:val="0"/>
                <w:szCs w:val="21"/>
                <w:highlight w:val="none"/>
              </w:rPr>
              <w:t>成品存放在厂区院内</w:t>
            </w:r>
          </w:p>
        </w:tc>
        <w:tc>
          <w:tcPr>
            <w:tcW w:w="331" w:type="pct"/>
            <w:shd w:val="clear" w:color="auto" w:fill="auto"/>
            <w:tcMar>
              <w:top w:w="0" w:type="dxa"/>
              <w:left w:w="57" w:type="dxa"/>
              <w:bottom w:w="0" w:type="dxa"/>
              <w:right w:w="57" w:type="dxa"/>
            </w:tcMar>
            <w:vAlign w:val="center"/>
          </w:tcPr>
          <w:p>
            <w:pPr>
              <w:widowControl/>
              <w:spacing w:line="240" w:lineRule="exact"/>
              <w:jc w:val="center"/>
              <w:rPr>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45" w:hRule="atLeast"/>
          <w:jc w:val="center"/>
        </w:trPr>
        <w:tc>
          <w:tcPr>
            <w:tcW w:w="261" w:type="pct"/>
            <w:vMerge w:val="restart"/>
            <w:shd w:val="clear" w:color="auto" w:fill="auto"/>
            <w:tcMar>
              <w:top w:w="0" w:type="dxa"/>
              <w:left w:w="57" w:type="dxa"/>
              <w:bottom w:w="0" w:type="dxa"/>
              <w:right w:w="57" w:type="dxa"/>
            </w:tcMar>
            <w:vAlign w:val="center"/>
          </w:tcPr>
          <w:p>
            <w:pPr>
              <w:widowControl/>
              <w:spacing w:line="240" w:lineRule="exact"/>
              <w:jc w:val="center"/>
              <w:rPr>
                <w:color w:val="auto"/>
                <w:highlight w:val="none"/>
              </w:rPr>
            </w:pPr>
            <w:r>
              <w:rPr>
                <w:color w:val="auto"/>
                <w:highlight w:val="none"/>
              </w:rPr>
              <w:t>4</w:t>
            </w:r>
          </w:p>
        </w:tc>
        <w:tc>
          <w:tcPr>
            <w:tcW w:w="332" w:type="pct"/>
            <w:vMerge w:val="restart"/>
            <w:shd w:val="clear" w:color="auto" w:fill="auto"/>
            <w:tcMar>
              <w:top w:w="0" w:type="dxa"/>
              <w:left w:w="57" w:type="dxa"/>
              <w:bottom w:w="0" w:type="dxa"/>
              <w:right w:w="57" w:type="dxa"/>
            </w:tcMar>
            <w:vAlign w:val="center"/>
          </w:tcPr>
          <w:p>
            <w:pPr>
              <w:widowControl/>
              <w:spacing w:line="240" w:lineRule="exact"/>
              <w:jc w:val="center"/>
              <w:rPr>
                <w:color w:val="auto"/>
                <w:highlight w:val="none"/>
              </w:rPr>
            </w:pPr>
            <w:r>
              <w:rPr>
                <w:color w:val="auto"/>
                <w:highlight w:val="none"/>
              </w:rPr>
              <w:t>公用工程</w:t>
            </w:r>
          </w:p>
        </w:tc>
        <w:tc>
          <w:tcPr>
            <w:tcW w:w="788" w:type="pct"/>
            <w:shd w:val="clear" w:color="auto" w:fill="auto"/>
            <w:tcMar>
              <w:top w:w="0" w:type="dxa"/>
              <w:left w:w="57" w:type="dxa"/>
              <w:bottom w:w="0" w:type="dxa"/>
              <w:right w:w="57" w:type="dxa"/>
            </w:tcMar>
            <w:vAlign w:val="center"/>
          </w:tcPr>
          <w:p>
            <w:pPr>
              <w:widowControl/>
              <w:spacing w:line="240" w:lineRule="exact"/>
              <w:jc w:val="center"/>
              <w:rPr>
                <w:color w:val="auto"/>
                <w:highlight w:val="none"/>
              </w:rPr>
            </w:pPr>
            <w:r>
              <w:rPr>
                <w:rFonts w:hint="eastAsia"/>
                <w:color w:val="auto"/>
                <w:highlight w:val="none"/>
              </w:rPr>
              <w:t>给</w:t>
            </w:r>
            <w:r>
              <w:rPr>
                <w:color w:val="auto"/>
                <w:highlight w:val="none"/>
              </w:rPr>
              <w:t>水系统</w:t>
            </w:r>
          </w:p>
        </w:tc>
        <w:tc>
          <w:tcPr>
            <w:tcW w:w="3286" w:type="pct"/>
            <w:shd w:val="clear" w:color="auto" w:fill="auto"/>
            <w:tcMar>
              <w:top w:w="0" w:type="dxa"/>
              <w:left w:w="57" w:type="dxa"/>
              <w:bottom w:w="0" w:type="dxa"/>
              <w:right w:w="57" w:type="dxa"/>
            </w:tcMar>
            <w:vAlign w:val="center"/>
          </w:tcPr>
          <w:p>
            <w:pPr>
              <w:widowControl/>
              <w:spacing w:line="240" w:lineRule="exact"/>
              <w:jc w:val="center"/>
              <w:rPr>
                <w:rFonts w:hint="eastAsia" w:eastAsia="宋体"/>
                <w:color w:val="auto"/>
                <w:highlight w:val="none"/>
                <w:lang w:eastAsia="zh-CN"/>
              </w:rPr>
            </w:pPr>
            <w:r>
              <w:rPr>
                <w:rFonts w:hint="eastAsia"/>
                <w:color w:val="auto"/>
                <w:highlight w:val="none"/>
              </w:rPr>
              <w:t>本项目用水由供水管网统一供给。</w:t>
            </w:r>
            <w:r>
              <w:rPr>
                <w:color w:val="auto"/>
                <w:highlight w:val="none"/>
              </w:rPr>
              <w:t>主要用于生活用水</w:t>
            </w:r>
            <w:r>
              <w:rPr>
                <w:rFonts w:hint="eastAsia"/>
                <w:color w:val="auto"/>
                <w:highlight w:val="none"/>
                <w:lang w:eastAsia="zh-CN"/>
              </w:rPr>
              <w:t>、</w:t>
            </w:r>
            <w:r>
              <w:rPr>
                <w:color w:val="auto"/>
                <w:highlight w:val="none"/>
              </w:rPr>
              <w:t>绿化</w:t>
            </w:r>
            <w:r>
              <w:rPr>
                <w:rFonts w:hint="eastAsia"/>
                <w:color w:val="auto"/>
                <w:highlight w:val="none"/>
              </w:rPr>
              <w:t>用水</w:t>
            </w:r>
            <w:r>
              <w:rPr>
                <w:color w:val="auto"/>
                <w:highlight w:val="none"/>
              </w:rPr>
              <w:t>等</w:t>
            </w:r>
            <w:r>
              <w:rPr>
                <w:rFonts w:hint="eastAsia"/>
                <w:color w:val="auto"/>
                <w:highlight w:val="none"/>
                <w:lang w:eastAsia="zh-CN"/>
              </w:rPr>
              <w:t>，</w:t>
            </w:r>
            <w:r>
              <w:rPr>
                <w:color w:val="auto"/>
                <w:highlight w:val="none"/>
              </w:rPr>
              <w:t>、</w:t>
            </w:r>
            <w:r>
              <w:rPr>
                <w:rFonts w:hint="eastAsia"/>
                <w:color w:val="auto"/>
                <w:highlight w:val="none"/>
              </w:rPr>
              <w:t>循环冷却水补水</w:t>
            </w:r>
            <w:r>
              <w:rPr>
                <w:rFonts w:hint="eastAsia"/>
                <w:color w:val="auto"/>
                <w:highlight w:val="none"/>
                <w:lang w:val="en-US" w:eastAsia="zh-CN"/>
              </w:rPr>
              <w:t>来源为外购去离子水</w:t>
            </w:r>
          </w:p>
        </w:tc>
        <w:tc>
          <w:tcPr>
            <w:tcW w:w="331" w:type="pct"/>
            <w:shd w:val="clear" w:color="auto" w:fill="auto"/>
            <w:tcMar>
              <w:top w:w="0" w:type="dxa"/>
              <w:left w:w="57" w:type="dxa"/>
              <w:bottom w:w="0" w:type="dxa"/>
              <w:right w:w="57" w:type="dxa"/>
            </w:tcMar>
            <w:vAlign w:val="center"/>
          </w:tcPr>
          <w:p>
            <w:pPr>
              <w:widowControl/>
              <w:spacing w:line="280" w:lineRule="exact"/>
              <w:jc w:val="center"/>
              <w:textAlignment w:val="center"/>
              <w:rPr>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30" w:hRule="atLeast"/>
          <w:jc w:val="center"/>
        </w:trPr>
        <w:tc>
          <w:tcPr>
            <w:tcW w:w="261" w:type="pct"/>
            <w:vMerge w:val="continue"/>
            <w:shd w:val="clear" w:color="auto" w:fill="auto"/>
            <w:tcMar>
              <w:top w:w="0" w:type="dxa"/>
              <w:left w:w="57" w:type="dxa"/>
              <w:bottom w:w="0" w:type="dxa"/>
              <w:right w:w="57" w:type="dxa"/>
            </w:tcMar>
            <w:vAlign w:val="center"/>
          </w:tcPr>
          <w:p>
            <w:pPr>
              <w:widowControl/>
              <w:spacing w:line="240" w:lineRule="exact"/>
              <w:jc w:val="center"/>
              <w:rPr>
                <w:color w:val="auto"/>
                <w:highlight w:val="none"/>
              </w:rPr>
            </w:pPr>
          </w:p>
        </w:tc>
        <w:tc>
          <w:tcPr>
            <w:tcW w:w="332" w:type="pct"/>
            <w:vMerge w:val="continue"/>
            <w:shd w:val="clear" w:color="auto" w:fill="auto"/>
            <w:tcMar>
              <w:top w:w="0" w:type="dxa"/>
              <w:left w:w="57" w:type="dxa"/>
              <w:bottom w:w="0" w:type="dxa"/>
              <w:right w:w="57" w:type="dxa"/>
            </w:tcMar>
            <w:vAlign w:val="center"/>
          </w:tcPr>
          <w:p>
            <w:pPr>
              <w:widowControl/>
              <w:spacing w:line="240" w:lineRule="exact"/>
              <w:jc w:val="center"/>
              <w:rPr>
                <w:color w:val="auto"/>
                <w:highlight w:val="none"/>
              </w:rPr>
            </w:pPr>
          </w:p>
        </w:tc>
        <w:tc>
          <w:tcPr>
            <w:tcW w:w="788" w:type="pct"/>
            <w:shd w:val="clear" w:color="auto" w:fill="auto"/>
            <w:tcMar>
              <w:top w:w="0" w:type="dxa"/>
              <w:left w:w="57" w:type="dxa"/>
              <w:bottom w:w="0" w:type="dxa"/>
              <w:right w:w="57" w:type="dxa"/>
            </w:tcMar>
            <w:vAlign w:val="center"/>
          </w:tcPr>
          <w:p>
            <w:pPr>
              <w:widowControl/>
              <w:spacing w:line="240" w:lineRule="exact"/>
              <w:jc w:val="center"/>
              <w:rPr>
                <w:color w:val="auto"/>
                <w:highlight w:val="none"/>
              </w:rPr>
            </w:pPr>
            <w:r>
              <w:rPr>
                <w:color w:val="auto"/>
                <w:highlight w:val="none"/>
              </w:rPr>
              <w:t>排水系统</w:t>
            </w:r>
          </w:p>
        </w:tc>
        <w:tc>
          <w:tcPr>
            <w:tcW w:w="3286" w:type="pct"/>
            <w:shd w:val="clear" w:color="auto" w:fill="auto"/>
            <w:tcMar>
              <w:top w:w="0" w:type="dxa"/>
              <w:left w:w="57" w:type="dxa"/>
              <w:bottom w:w="0" w:type="dxa"/>
              <w:right w:w="57" w:type="dxa"/>
            </w:tcMar>
            <w:vAlign w:val="center"/>
          </w:tcPr>
          <w:p>
            <w:pPr>
              <w:widowControl/>
              <w:spacing w:line="240" w:lineRule="exact"/>
              <w:jc w:val="center"/>
              <w:rPr>
                <w:color w:val="auto"/>
                <w:highlight w:val="none"/>
              </w:rPr>
            </w:pPr>
            <w:r>
              <w:rPr>
                <w:color w:val="auto"/>
                <w:highlight w:val="none"/>
              </w:rPr>
              <w:t>雨污分流；</w:t>
            </w:r>
            <w:r>
              <w:rPr>
                <w:rFonts w:hint="eastAsia"/>
                <w:color w:val="auto"/>
                <w:highlight w:val="none"/>
              </w:rPr>
              <w:t>无生产废水，</w:t>
            </w:r>
            <w:r>
              <w:rPr>
                <w:color w:val="auto"/>
                <w:highlight w:val="none"/>
              </w:rPr>
              <w:t>生活污水</w:t>
            </w:r>
            <w:r>
              <w:rPr>
                <w:rFonts w:hint="eastAsia"/>
                <w:color w:val="auto"/>
                <w:highlight w:val="none"/>
              </w:rPr>
              <w:t>经化粪池收集后由环卫部门定期清掏</w:t>
            </w:r>
          </w:p>
        </w:tc>
        <w:tc>
          <w:tcPr>
            <w:tcW w:w="331" w:type="pct"/>
            <w:shd w:val="clear" w:color="auto" w:fill="auto"/>
            <w:tcMar>
              <w:top w:w="0" w:type="dxa"/>
              <w:left w:w="57" w:type="dxa"/>
              <w:bottom w:w="0" w:type="dxa"/>
              <w:right w:w="57" w:type="dxa"/>
            </w:tcMar>
            <w:vAlign w:val="center"/>
          </w:tcPr>
          <w:p>
            <w:pPr>
              <w:widowControl/>
              <w:spacing w:line="280" w:lineRule="exact"/>
              <w:jc w:val="center"/>
              <w:textAlignment w:val="center"/>
              <w:rPr>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261" w:type="pct"/>
            <w:vMerge w:val="continue"/>
            <w:shd w:val="clear" w:color="auto" w:fill="auto"/>
            <w:tcMar>
              <w:top w:w="0" w:type="dxa"/>
              <w:left w:w="57" w:type="dxa"/>
              <w:bottom w:w="0" w:type="dxa"/>
              <w:right w:w="57" w:type="dxa"/>
            </w:tcMar>
            <w:vAlign w:val="center"/>
          </w:tcPr>
          <w:p>
            <w:pPr>
              <w:widowControl/>
              <w:spacing w:line="240" w:lineRule="exact"/>
              <w:jc w:val="center"/>
              <w:rPr>
                <w:color w:val="auto"/>
                <w:highlight w:val="none"/>
              </w:rPr>
            </w:pPr>
          </w:p>
        </w:tc>
        <w:tc>
          <w:tcPr>
            <w:tcW w:w="332" w:type="pct"/>
            <w:vMerge w:val="continue"/>
            <w:shd w:val="clear" w:color="auto" w:fill="auto"/>
            <w:tcMar>
              <w:top w:w="0" w:type="dxa"/>
              <w:left w:w="57" w:type="dxa"/>
              <w:bottom w:w="0" w:type="dxa"/>
              <w:right w:w="57" w:type="dxa"/>
            </w:tcMar>
            <w:vAlign w:val="center"/>
          </w:tcPr>
          <w:p>
            <w:pPr>
              <w:widowControl/>
              <w:spacing w:line="240" w:lineRule="exact"/>
              <w:jc w:val="center"/>
              <w:rPr>
                <w:color w:val="auto"/>
                <w:highlight w:val="none"/>
              </w:rPr>
            </w:pPr>
          </w:p>
        </w:tc>
        <w:tc>
          <w:tcPr>
            <w:tcW w:w="788" w:type="pct"/>
            <w:shd w:val="clear" w:color="auto" w:fill="auto"/>
            <w:tcMar>
              <w:top w:w="0" w:type="dxa"/>
              <w:left w:w="57" w:type="dxa"/>
              <w:bottom w:w="0" w:type="dxa"/>
              <w:right w:w="57" w:type="dxa"/>
            </w:tcMar>
            <w:vAlign w:val="center"/>
          </w:tcPr>
          <w:p>
            <w:pPr>
              <w:widowControl/>
              <w:spacing w:line="240" w:lineRule="exact"/>
              <w:jc w:val="center"/>
              <w:rPr>
                <w:color w:val="auto"/>
                <w:highlight w:val="none"/>
              </w:rPr>
            </w:pPr>
            <w:r>
              <w:rPr>
                <w:color w:val="auto"/>
                <w:highlight w:val="none"/>
              </w:rPr>
              <w:t>供电系统</w:t>
            </w:r>
          </w:p>
        </w:tc>
        <w:tc>
          <w:tcPr>
            <w:tcW w:w="3286" w:type="pct"/>
            <w:shd w:val="clear" w:color="auto" w:fill="auto"/>
            <w:tcMar>
              <w:top w:w="0" w:type="dxa"/>
              <w:left w:w="57" w:type="dxa"/>
              <w:bottom w:w="0" w:type="dxa"/>
              <w:right w:w="57" w:type="dxa"/>
            </w:tcMar>
            <w:vAlign w:val="center"/>
          </w:tcPr>
          <w:p>
            <w:pPr>
              <w:widowControl/>
              <w:spacing w:line="240" w:lineRule="exact"/>
              <w:jc w:val="center"/>
              <w:rPr>
                <w:color w:val="auto"/>
                <w:highlight w:val="none"/>
              </w:rPr>
            </w:pPr>
            <w:r>
              <w:rPr>
                <w:rFonts w:hint="eastAsia"/>
                <w:color w:val="auto"/>
                <w:highlight w:val="none"/>
              </w:rPr>
              <w:t>年耗电量150万kWh，用电由当地供电所提供，厂内设有变压器。</w:t>
            </w:r>
          </w:p>
        </w:tc>
        <w:tc>
          <w:tcPr>
            <w:tcW w:w="331" w:type="pct"/>
            <w:shd w:val="clear" w:color="auto" w:fill="auto"/>
            <w:tcMar>
              <w:top w:w="0" w:type="dxa"/>
              <w:left w:w="57" w:type="dxa"/>
              <w:bottom w:w="0" w:type="dxa"/>
              <w:right w:w="57" w:type="dxa"/>
            </w:tcMar>
            <w:vAlign w:val="center"/>
          </w:tcPr>
          <w:p>
            <w:pPr>
              <w:widowControl/>
              <w:spacing w:line="280" w:lineRule="exact"/>
              <w:jc w:val="center"/>
              <w:textAlignment w:val="center"/>
              <w:rPr>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261" w:type="pct"/>
            <w:vMerge w:val="continue"/>
            <w:shd w:val="clear" w:color="auto" w:fill="auto"/>
            <w:tcMar>
              <w:top w:w="0" w:type="dxa"/>
              <w:left w:w="57" w:type="dxa"/>
              <w:bottom w:w="0" w:type="dxa"/>
              <w:right w:w="57" w:type="dxa"/>
            </w:tcMar>
            <w:vAlign w:val="center"/>
          </w:tcPr>
          <w:p>
            <w:pPr>
              <w:widowControl/>
              <w:spacing w:line="240" w:lineRule="exact"/>
              <w:jc w:val="center"/>
              <w:rPr>
                <w:color w:val="auto"/>
                <w:highlight w:val="none"/>
              </w:rPr>
            </w:pPr>
          </w:p>
        </w:tc>
        <w:tc>
          <w:tcPr>
            <w:tcW w:w="332" w:type="pct"/>
            <w:vMerge w:val="continue"/>
            <w:shd w:val="clear" w:color="auto" w:fill="auto"/>
            <w:tcMar>
              <w:top w:w="0" w:type="dxa"/>
              <w:left w:w="57" w:type="dxa"/>
              <w:bottom w:w="0" w:type="dxa"/>
              <w:right w:w="57" w:type="dxa"/>
            </w:tcMar>
            <w:vAlign w:val="center"/>
          </w:tcPr>
          <w:p>
            <w:pPr>
              <w:widowControl/>
              <w:spacing w:line="240" w:lineRule="exact"/>
              <w:jc w:val="center"/>
              <w:rPr>
                <w:color w:val="auto"/>
                <w:highlight w:val="none"/>
              </w:rPr>
            </w:pPr>
          </w:p>
        </w:tc>
        <w:tc>
          <w:tcPr>
            <w:tcW w:w="788" w:type="pct"/>
            <w:shd w:val="clear" w:color="auto" w:fill="auto"/>
            <w:tcMar>
              <w:top w:w="0" w:type="dxa"/>
              <w:left w:w="57" w:type="dxa"/>
              <w:bottom w:w="0" w:type="dxa"/>
              <w:right w:w="57" w:type="dxa"/>
            </w:tcMar>
            <w:vAlign w:val="center"/>
          </w:tcPr>
          <w:p>
            <w:pPr>
              <w:widowControl/>
              <w:spacing w:line="240" w:lineRule="exact"/>
              <w:jc w:val="center"/>
              <w:rPr>
                <w:color w:val="auto"/>
                <w:highlight w:val="none"/>
              </w:rPr>
            </w:pPr>
            <w:r>
              <w:rPr>
                <w:color w:val="auto"/>
                <w:highlight w:val="none"/>
              </w:rPr>
              <w:t>供热系统</w:t>
            </w:r>
          </w:p>
        </w:tc>
        <w:tc>
          <w:tcPr>
            <w:tcW w:w="3286" w:type="pct"/>
            <w:shd w:val="clear" w:color="auto" w:fill="auto"/>
            <w:tcMar>
              <w:top w:w="0" w:type="dxa"/>
              <w:left w:w="57" w:type="dxa"/>
              <w:bottom w:w="0" w:type="dxa"/>
              <w:right w:w="57" w:type="dxa"/>
            </w:tcMar>
            <w:vAlign w:val="center"/>
          </w:tcPr>
          <w:p>
            <w:pPr>
              <w:widowControl/>
              <w:spacing w:line="240" w:lineRule="exact"/>
              <w:jc w:val="center"/>
              <w:rPr>
                <w:color w:val="auto"/>
                <w:highlight w:val="none"/>
              </w:rPr>
            </w:pPr>
            <w:r>
              <w:rPr>
                <w:color w:val="auto"/>
                <w:highlight w:val="none"/>
              </w:rPr>
              <w:t>本项目</w:t>
            </w:r>
            <w:r>
              <w:rPr>
                <w:rFonts w:hint="eastAsia"/>
                <w:color w:val="auto"/>
                <w:highlight w:val="none"/>
              </w:rPr>
              <w:t>设备加热均为电加热</w:t>
            </w:r>
          </w:p>
        </w:tc>
        <w:tc>
          <w:tcPr>
            <w:tcW w:w="331" w:type="pct"/>
            <w:shd w:val="clear" w:color="auto" w:fill="auto"/>
            <w:tcMar>
              <w:top w:w="0" w:type="dxa"/>
              <w:left w:w="57" w:type="dxa"/>
              <w:bottom w:w="0" w:type="dxa"/>
              <w:right w:w="57" w:type="dxa"/>
            </w:tcMar>
            <w:vAlign w:val="center"/>
          </w:tcPr>
          <w:p>
            <w:pPr>
              <w:widowControl/>
              <w:spacing w:line="280" w:lineRule="exact"/>
              <w:jc w:val="center"/>
              <w:textAlignment w:val="center"/>
              <w:rPr>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435" w:hRule="atLeast"/>
          <w:jc w:val="center"/>
        </w:trPr>
        <w:tc>
          <w:tcPr>
            <w:tcW w:w="261" w:type="pct"/>
            <w:vMerge w:val="restart"/>
            <w:shd w:val="clear" w:color="auto" w:fill="auto"/>
            <w:tcMar>
              <w:top w:w="0" w:type="dxa"/>
              <w:left w:w="57" w:type="dxa"/>
              <w:bottom w:w="0" w:type="dxa"/>
              <w:right w:w="57" w:type="dxa"/>
            </w:tcMar>
            <w:vAlign w:val="center"/>
          </w:tcPr>
          <w:p>
            <w:pPr>
              <w:widowControl/>
              <w:spacing w:line="240" w:lineRule="exact"/>
              <w:jc w:val="center"/>
              <w:rPr>
                <w:color w:val="auto"/>
                <w:highlight w:val="none"/>
              </w:rPr>
            </w:pPr>
            <w:r>
              <w:rPr>
                <w:color w:val="auto"/>
                <w:highlight w:val="none"/>
              </w:rPr>
              <w:t>5</w:t>
            </w:r>
          </w:p>
        </w:tc>
        <w:tc>
          <w:tcPr>
            <w:tcW w:w="332" w:type="pct"/>
            <w:vMerge w:val="restart"/>
            <w:shd w:val="clear" w:color="auto" w:fill="auto"/>
            <w:tcMar>
              <w:top w:w="0" w:type="dxa"/>
              <w:left w:w="57" w:type="dxa"/>
              <w:bottom w:w="0" w:type="dxa"/>
              <w:right w:w="57" w:type="dxa"/>
            </w:tcMar>
            <w:vAlign w:val="center"/>
          </w:tcPr>
          <w:p>
            <w:pPr>
              <w:widowControl/>
              <w:spacing w:line="240" w:lineRule="exact"/>
              <w:jc w:val="center"/>
              <w:rPr>
                <w:color w:val="auto"/>
                <w:highlight w:val="none"/>
              </w:rPr>
            </w:pPr>
            <w:r>
              <w:rPr>
                <w:color w:val="auto"/>
                <w:highlight w:val="none"/>
              </w:rPr>
              <w:t>环保工程</w:t>
            </w:r>
          </w:p>
        </w:tc>
        <w:tc>
          <w:tcPr>
            <w:tcW w:w="788" w:type="pct"/>
            <w:shd w:val="clear" w:color="auto" w:fill="auto"/>
            <w:tcMar>
              <w:top w:w="0" w:type="dxa"/>
              <w:left w:w="57" w:type="dxa"/>
              <w:bottom w:w="0" w:type="dxa"/>
              <w:right w:w="57" w:type="dxa"/>
            </w:tcMar>
            <w:vAlign w:val="center"/>
          </w:tcPr>
          <w:p>
            <w:pPr>
              <w:widowControl/>
              <w:spacing w:line="240" w:lineRule="exact"/>
              <w:jc w:val="center"/>
              <w:rPr>
                <w:color w:val="auto"/>
                <w:highlight w:val="none"/>
              </w:rPr>
            </w:pPr>
            <w:r>
              <w:rPr>
                <w:color w:val="auto"/>
                <w:highlight w:val="none"/>
              </w:rPr>
              <w:t>废气</w:t>
            </w:r>
          </w:p>
        </w:tc>
        <w:tc>
          <w:tcPr>
            <w:tcW w:w="3286" w:type="pct"/>
            <w:shd w:val="clear" w:color="auto" w:fill="auto"/>
            <w:tcMar>
              <w:top w:w="0" w:type="dxa"/>
              <w:left w:w="57" w:type="dxa"/>
              <w:bottom w:w="0" w:type="dxa"/>
              <w:right w:w="57" w:type="dxa"/>
            </w:tcMar>
            <w:vAlign w:val="center"/>
          </w:tcPr>
          <w:p>
            <w:pPr>
              <w:widowControl/>
              <w:spacing w:line="240" w:lineRule="exact"/>
              <w:jc w:val="center"/>
              <w:rPr>
                <w:color w:val="auto"/>
                <w:highlight w:val="none"/>
              </w:rPr>
            </w:pPr>
            <w:r>
              <w:rPr>
                <w:bCs/>
                <w:color w:val="auto"/>
                <w:szCs w:val="21"/>
                <w:highlight w:val="none"/>
              </w:rPr>
              <w:t>挤出成型、熔融造粒、注塑</w:t>
            </w:r>
            <w:r>
              <w:rPr>
                <w:rFonts w:hint="eastAsia"/>
                <w:bCs/>
                <w:color w:val="auto"/>
                <w:szCs w:val="21"/>
                <w:highlight w:val="none"/>
              </w:rPr>
              <w:t>、破碎</w:t>
            </w:r>
            <w:r>
              <w:rPr>
                <w:bCs/>
                <w:color w:val="auto"/>
                <w:szCs w:val="21"/>
                <w:highlight w:val="none"/>
              </w:rPr>
              <w:t>废气</w:t>
            </w:r>
            <w:r>
              <w:rPr>
                <w:rFonts w:hint="eastAsia"/>
                <w:color w:val="auto"/>
                <w:szCs w:val="21"/>
                <w:highlight w:val="none"/>
              </w:rPr>
              <w:t>经布袋除尘+活性炭吸附浓缩+催化燃烧处理后通过</w:t>
            </w:r>
            <w:r>
              <w:rPr>
                <w:rFonts w:hint="eastAsia"/>
                <w:color w:val="auto"/>
                <w:szCs w:val="21"/>
                <w:highlight w:val="none"/>
                <w:lang w:eastAsia="zh-CN"/>
              </w:rPr>
              <w:t>20m</w:t>
            </w:r>
            <w:r>
              <w:rPr>
                <w:rFonts w:hint="eastAsia"/>
                <w:color w:val="auto"/>
                <w:szCs w:val="21"/>
                <w:highlight w:val="none"/>
              </w:rPr>
              <w:t>排气筒（DA001）排放</w:t>
            </w:r>
          </w:p>
        </w:tc>
        <w:tc>
          <w:tcPr>
            <w:tcW w:w="331" w:type="pct"/>
            <w:shd w:val="clear" w:color="auto" w:fill="auto"/>
            <w:tcMar>
              <w:top w:w="0" w:type="dxa"/>
              <w:left w:w="57" w:type="dxa"/>
              <w:bottom w:w="0" w:type="dxa"/>
              <w:right w:w="57" w:type="dxa"/>
            </w:tcMar>
            <w:vAlign w:val="center"/>
          </w:tcPr>
          <w:p>
            <w:pPr>
              <w:widowControl/>
              <w:spacing w:line="280" w:lineRule="exact"/>
              <w:jc w:val="center"/>
              <w:textAlignment w:val="center"/>
              <w:rPr>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261" w:type="pct"/>
            <w:vMerge w:val="continue"/>
            <w:shd w:val="clear" w:color="auto" w:fill="auto"/>
            <w:tcMar>
              <w:top w:w="0" w:type="dxa"/>
              <w:left w:w="57" w:type="dxa"/>
              <w:bottom w:w="0" w:type="dxa"/>
              <w:right w:w="57" w:type="dxa"/>
            </w:tcMar>
            <w:vAlign w:val="center"/>
          </w:tcPr>
          <w:p>
            <w:pPr>
              <w:widowControl/>
              <w:spacing w:line="280" w:lineRule="exact"/>
              <w:jc w:val="center"/>
              <w:textAlignment w:val="center"/>
              <w:rPr>
                <w:bCs/>
                <w:color w:val="auto"/>
                <w:kern w:val="0"/>
                <w:szCs w:val="21"/>
                <w:highlight w:val="none"/>
              </w:rPr>
            </w:pPr>
          </w:p>
        </w:tc>
        <w:tc>
          <w:tcPr>
            <w:tcW w:w="332" w:type="pct"/>
            <w:vMerge w:val="continue"/>
            <w:shd w:val="clear" w:color="auto" w:fill="auto"/>
            <w:tcMar>
              <w:top w:w="0" w:type="dxa"/>
              <w:left w:w="57" w:type="dxa"/>
              <w:bottom w:w="0" w:type="dxa"/>
              <w:right w:w="57" w:type="dxa"/>
            </w:tcMar>
            <w:vAlign w:val="center"/>
          </w:tcPr>
          <w:p>
            <w:pPr>
              <w:widowControl/>
              <w:spacing w:line="280" w:lineRule="exact"/>
              <w:jc w:val="center"/>
              <w:textAlignment w:val="center"/>
              <w:rPr>
                <w:bCs/>
                <w:color w:val="auto"/>
                <w:kern w:val="0"/>
                <w:szCs w:val="21"/>
                <w:highlight w:val="none"/>
              </w:rPr>
            </w:pPr>
          </w:p>
        </w:tc>
        <w:tc>
          <w:tcPr>
            <w:tcW w:w="788" w:type="pct"/>
            <w:shd w:val="clear" w:color="auto" w:fill="auto"/>
            <w:tcMar>
              <w:top w:w="0" w:type="dxa"/>
              <w:left w:w="57" w:type="dxa"/>
              <w:bottom w:w="0" w:type="dxa"/>
              <w:right w:w="57" w:type="dxa"/>
            </w:tcMar>
            <w:vAlign w:val="center"/>
          </w:tcPr>
          <w:p>
            <w:pPr>
              <w:widowControl/>
              <w:spacing w:line="240" w:lineRule="exact"/>
              <w:jc w:val="center"/>
              <w:rPr>
                <w:color w:val="auto"/>
                <w:highlight w:val="none"/>
              </w:rPr>
            </w:pPr>
            <w:r>
              <w:rPr>
                <w:color w:val="auto"/>
                <w:highlight w:val="none"/>
              </w:rPr>
              <w:t>废水</w:t>
            </w:r>
          </w:p>
        </w:tc>
        <w:tc>
          <w:tcPr>
            <w:tcW w:w="3286" w:type="pct"/>
            <w:shd w:val="clear" w:color="auto" w:fill="auto"/>
            <w:tcMar>
              <w:top w:w="0" w:type="dxa"/>
              <w:left w:w="57" w:type="dxa"/>
              <w:bottom w:w="0" w:type="dxa"/>
              <w:right w:w="57" w:type="dxa"/>
            </w:tcMar>
            <w:vAlign w:val="center"/>
          </w:tcPr>
          <w:p>
            <w:pPr>
              <w:widowControl/>
              <w:spacing w:line="240" w:lineRule="exact"/>
              <w:jc w:val="center"/>
              <w:rPr>
                <w:color w:val="auto"/>
                <w:highlight w:val="none"/>
              </w:rPr>
            </w:pPr>
            <w:r>
              <w:rPr>
                <w:color w:val="auto"/>
                <w:highlight w:val="none"/>
              </w:rPr>
              <w:t>雨污分流；</w:t>
            </w:r>
            <w:r>
              <w:rPr>
                <w:rFonts w:hint="eastAsia"/>
                <w:color w:val="auto"/>
                <w:highlight w:val="none"/>
              </w:rPr>
              <w:t>无生产废水，</w:t>
            </w:r>
            <w:r>
              <w:rPr>
                <w:color w:val="auto"/>
                <w:highlight w:val="none"/>
              </w:rPr>
              <w:t>生活污水</w:t>
            </w:r>
            <w:r>
              <w:rPr>
                <w:rFonts w:hint="eastAsia"/>
                <w:color w:val="auto"/>
                <w:highlight w:val="none"/>
              </w:rPr>
              <w:t>经化粪池收集后由环卫部门定期清掏</w:t>
            </w:r>
          </w:p>
        </w:tc>
        <w:tc>
          <w:tcPr>
            <w:tcW w:w="331" w:type="pct"/>
            <w:shd w:val="clear" w:color="auto" w:fill="auto"/>
            <w:tcMar>
              <w:top w:w="0" w:type="dxa"/>
              <w:left w:w="57" w:type="dxa"/>
              <w:bottom w:w="0" w:type="dxa"/>
              <w:right w:w="57" w:type="dxa"/>
            </w:tcMar>
            <w:vAlign w:val="center"/>
          </w:tcPr>
          <w:p>
            <w:pPr>
              <w:widowControl/>
              <w:spacing w:line="280" w:lineRule="exact"/>
              <w:jc w:val="center"/>
              <w:textAlignment w:val="center"/>
              <w:rPr>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261" w:type="pct"/>
            <w:vMerge w:val="continue"/>
            <w:shd w:val="clear" w:color="auto" w:fill="auto"/>
            <w:tcMar>
              <w:top w:w="0" w:type="dxa"/>
              <w:left w:w="57" w:type="dxa"/>
              <w:bottom w:w="0" w:type="dxa"/>
              <w:right w:w="57" w:type="dxa"/>
            </w:tcMar>
            <w:vAlign w:val="center"/>
          </w:tcPr>
          <w:p>
            <w:pPr>
              <w:widowControl/>
              <w:spacing w:line="280" w:lineRule="exact"/>
              <w:jc w:val="center"/>
              <w:textAlignment w:val="center"/>
              <w:rPr>
                <w:bCs/>
                <w:color w:val="auto"/>
                <w:kern w:val="0"/>
                <w:szCs w:val="21"/>
                <w:highlight w:val="none"/>
              </w:rPr>
            </w:pPr>
          </w:p>
        </w:tc>
        <w:tc>
          <w:tcPr>
            <w:tcW w:w="332" w:type="pct"/>
            <w:vMerge w:val="continue"/>
            <w:shd w:val="clear" w:color="auto" w:fill="auto"/>
            <w:tcMar>
              <w:top w:w="0" w:type="dxa"/>
              <w:left w:w="57" w:type="dxa"/>
              <w:bottom w:w="0" w:type="dxa"/>
              <w:right w:w="57" w:type="dxa"/>
            </w:tcMar>
            <w:vAlign w:val="center"/>
          </w:tcPr>
          <w:p>
            <w:pPr>
              <w:widowControl/>
              <w:spacing w:line="280" w:lineRule="exact"/>
              <w:jc w:val="center"/>
              <w:textAlignment w:val="center"/>
              <w:rPr>
                <w:bCs/>
                <w:color w:val="auto"/>
                <w:kern w:val="0"/>
                <w:szCs w:val="21"/>
                <w:highlight w:val="none"/>
              </w:rPr>
            </w:pPr>
          </w:p>
        </w:tc>
        <w:tc>
          <w:tcPr>
            <w:tcW w:w="788" w:type="pct"/>
            <w:shd w:val="clear" w:color="auto" w:fill="auto"/>
            <w:tcMar>
              <w:top w:w="0" w:type="dxa"/>
              <w:left w:w="57" w:type="dxa"/>
              <w:bottom w:w="0" w:type="dxa"/>
              <w:right w:w="57" w:type="dxa"/>
            </w:tcMar>
            <w:vAlign w:val="center"/>
          </w:tcPr>
          <w:p>
            <w:pPr>
              <w:widowControl/>
              <w:spacing w:line="240" w:lineRule="exact"/>
              <w:jc w:val="center"/>
              <w:rPr>
                <w:color w:val="auto"/>
                <w:highlight w:val="none"/>
              </w:rPr>
            </w:pPr>
            <w:r>
              <w:rPr>
                <w:color w:val="auto"/>
                <w:highlight w:val="none"/>
              </w:rPr>
              <w:t>固废</w:t>
            </w:r>
          </w:p>
        </w:tc>
        <w:tc>
          <w:tcPr>
            <w:tcW w:w="3286" w:type="pct"/>
            <w:shd w:val="clear" w:color="auto" w:fill="auto"/>
            <w:tcMar>
              <w:top w:w="0" w:type="dxa"/>
              <w:left w:w="57" w:type="dxa"/>
              <w:bottom w:w="0" w:type="dxa"/>
              <w:right w:w="57" w:type="dxa"/>
            </w:tcMar>
            <w:vAlign w:val="center"/>
          </w:tcPr>
          <w:p>
            <w:pPr>
              <w:widowControl/>
              <w:spacing w:line="240" w:lineRule="exact"/>
              <w:jc w:val="left"/>
              <w:rPr>
                <w:color w:val="auto"/>
                <w:highlight w:val="none"/>
              </w:rPr>
            </w:pPr>
            <w:r>
              <w:rPr>
                <w:rFonts w:hint="eastAsia"/>
                <w:color w:val="auto"/>
                <w:highlight w:val="none"/>
              </w:rPr>
              <w:t>本项目固体废物包括危险废物、一般工业固废和生活垃圾。</w:t>
            </w:r>
          </w:p>
          <w:p>
            <w:pPr>
              <w:widowControl/>
              <w:spacing w:line="240" w:lineRule="exact"/>
              <w:jc w:val="left"/>
              <w:rPr>
                <w:color w:val="auto"/>
                <w:highlight w:val="none"/>
              </w:rPr>
            </w:pPr>
            <w:r>
              <w:rPr>
                <w:rFonts w:hint="eastAsia"/>
                <w:color w:val="auto"/>
                <w:highlight w:val="none"/>
              </w:rPr>
              <w:t>一般固体废物：管道及配件生产切割下脚料、质检不合格产品经破碎后回用于造粒工序；造粒工序熔融挤出废料、废滤网外卖；生活垃圾由当地环卫部门定期清运。</w:t>
            </w:r>
          </w:p>
          <w:p>
            <w:pPr>
              <w:widowControl/>
              <w:spacing w:line="240" w:lineRule="exact"/>
              <w:jc w:val="left"/>
              <w:rPr>
                <w:color w:val="auto"/>
                <w:highlight w:val="none"/>
              </w:rPr>
            </w:pPr>
            <w:r>
              <w:rPr>
                <w:rFonts w:hint="eastAsia"/>
                <w:color w:val="auto"/>
                <w:highlight w:val="none"/>
              </w:rPr>
              <w:t>危险废物：主要包括废活性炭、废催化剂、废矿物油。</w:t>
            </w:r>
          </w:p>
        </w:tc>
        <w:tc>
          <w:tcPr>
            <w:tcW w:w="331" w:type="pct"/>
            <w:shd w:val="clear" w:color="auto" w:fill="auto"/>
            <w:tcMar>
              <w:top w:w="0" w:type="dxa"/>
              <w:left w:w="57" w:type="dxa"/>
              <w:bottom w:w="0" w:type="dxa"/>
              <w:right w:w="57" w:type="dxa"/>
            </w:tcMar>
            <w:vAlign w:val="center"/>
          </w:tcPr>
          <w:p>
            <w:pPr>
              <w:widowControl/>
              <w:spacing w:line="280" w:lineRule="exact"/>
              <w:jc w:val="center"/>
              <w:textAlignment w:val="center"/>
              <w:rPr>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261" w:type="pct"/>
            <w:vMerge w:val="continue"/>
            <w:shd w:val="clear" w:color="auto" w:fill="auto"/>
            <w:tcMar>
              <w:top w:w="0" w:type="dxa"/>
              <w:left w:w="57" w:type="dxa"/>
              <w:bottom w:w="0" w:type="dxa"/>
              <w:right w:w="57" w:type="dxa"/>
            </w:tcMar>
            <w:vAlign w:val="center"/>
          </w:tcPr>
          <w:p>
            <w:pPr>
              <w:widowControl/>
              <w:spacing w:line="280" w:lineRule="exact"/>
              <w:jc w:val="center"/>
              <w:textAlignment w:val="center"/>
              <w:rPr>
                <w:bCs/>
                <w:color w:val="auto"/>
                <w:kern w:val="0"/>
                <w:szCs w:val="21"/>
                <w:highlight w:val="none"/>
              </w:rPr>
            </w:pPr>
          </w:p>
        </w:tc>
        <w:tc>
          <w:tcPr>
            <w:tcW w:w="332" w:type="pct"/>
            <w:vMerge w:val="continue"/>
            <w:shd w:val="clear" w:color="auto" w:fill="auto"/>
            <w:tcMar>
              <w:top w:w="0" w:type="dxa"/>
              <w:left w:w="57" w:type="dxa"/>
              <w:bottom w:w="0" w:type="dxa"/>
              <w:right w:w="57" w:type="dxa"/>
            </w:tcMar>
            <w:vAlign w:val="center"/>
          </w:tcPr>
          <w:p>
            <w:pPr>
              <w:widowControl/>
              <w:spacing w:line="280" w:lineRule="exact"/>
              <w:jc w:val="center"/>
              <w:textAlignment w:val="center"/>
              <w:rPr>
                <w:bCs/>
                <w:color w:val="auto"/>
                <w:kern w:val="0"/>
                <w:szCs w:val="21"/>
                <w:highlight w:val="none"/>
              </w:rPr>
            </w:pPr>
          </w:p>
        </w:tc>
        <w:tc>
          <w:tcPr>
            <w:tcW w:w="788" w:type="pct"/>
            <w:shd w:val="clear" w:color="auto" w:fill="auto"/>
            <w:tcMar>
              <w:top w:w="0" w:type="dxa"/>
              <w:left w:w="57" w:type="dxa"/>
              <w:bottom w:w="0" w:type="dxa"/>
              <w:right w:w="57" w:type="dxa"/>
            </w:tcMar>
            <w:vAlign w:val="center"/>
          </w:tcPr>
          <w:p>
            <w:pPr>
              <w:widowControl/>
              <w:spacing w:line="240" w:lineRule="exact"/>
              <w:jc w:val="center"/>
              <w:rPr>
                <w:color w:val="auto"/>
                <w:highlight w:val="none"/>
              </w:rPr>
            </w:pPr>
            <w:r>
              <w:rPr>
                <w:color w:val="auto"/>
                <w:highlight w:val="none"/>
              </w:rPr>
              <w:t>防渗</w:t>
            </w:r>
          </w:p>
        </w:tc>
        <w:tc>
          <w:tcPr>
            <w:tcW w:w="3286" w:type="pct"/>
            <w:shd w:val="clear" w:color="auto" w:fill="auto"/>
            <w:tcMar>
              <w:top w:w="0" w:type="dxa"/>
              <w:left w:w="57" w:type="dxa"/>
              <w:bottom w:w="0" w:type="dxa"/>
              <w:right w:w="57" w:type="dxa"/>
            </w:tcMar>
            <w:vAlign w:val="center"/>
          </w:tcPr>
          <w:p>
            <w:pPr>
              <w:widowControl/>
              <w:spacing w:line="240" w:lineRule="exact"/>
              <w:jc w:val="center"/>
              <w:rPr>
                <w:color w:val="auto"/>
                <w:highlight w:val="none"/>
              </w:rPr>
            </w:pPr>
            <w:r>
              <w:rPr>
                <w:rFonts w:hint="eastAsia"/>
                <w:color w:val="auto"/>
                <w:highlight w:val="none"/>
              </w:rPr>
              <w:t>沉淀</w:t>
            </w:r>
            <w:r>
              <w:rPr>
                <w:color w:val="auto"/>
                <w:highlight w:val="none"/>
              </w:rPr>
              <w:t>池、事故水池、污水管网、危废间等均进行防渗处理等进行重点防渗处理，其他区域加强地面硬化</w:t>
            </w:r>
          </w:p>
        </w:tc>
        <w:tc>
          <w:tcPr>
            <w:tcW w:w="331" w:type="pct"/>
            <w:shd w:val="clear" w:color="auto" w:fill="auto"/>
            <w:tcMar>
              <w:top w:w="0" w:type="dxa"/>
              <w:left w:w="57" w:type="dxa"/>
              <w:bottom w:w="0" w:type="dxa"/>
              <w:right w:w="57" w:type="dxa"/>
            </w:tcMar>
            <w:vAlign w:val="center"/>
          </w:tcPr>
          <w:p>
            <w:pPr>
              <w:widowControl/>
              <w:spacing w:line="280" w:lineRule="exact"/>
              <w:jc w:val="center"/>
              <w:textAlignment w:val="center"/>
              <w:rPr>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261" w:type="pct"/>
            <w:vMerge w:val="continue"/>
            <w:shd w:val="clear" w:color="auto" w:fill="auto"/>
            <w:tcMar>
              <w:top w:w="0" w:type="dxa"/>
              <w:left w:w="57" w:type="dxa"/>
              <w:bottom w:w="0" w:type="dxa"/>
              <w:right w:w="57" w:type="dxa"/>
            </w:tcMar>
            <w:vAlign w:val="center"/>
          </w:tcPr>
          <w:p>
            <w:pPr>
              <w:widowControl/>
              <w:spacing w:line="280" w:lineRule="exact"/>
              <w:jc w:val="center"/>
              <w:textAlignment w:val="center"/>
              <w:rPr>
                <w:bCs/>
                <w:color w:val="auto"/>
                <w:kern w:val="0"/>
                <w:szCs w:val="21"/>
                <w:highlight w:val="none"/>
              </w:rPr>
            </w:pPr>
          </w:p>
        </w:tc>
        <w:tc>
          <w:tcPr>
            <w:tcW w:w="332" w:type="pct"/>
            <w:vMerge w:val="continue"/>
            <w:shd w:val="clear" w:color="auto" w:fill="auto"/>
            <w:tcMar>
              <w:top w:w="0" w:type="dxa"/>
              <w:left w:w="57" w:type="dxa"/>
              <w:bottom w:w="0" w:type="dxa"/>
              <w:right w:w="57" w:type="dxa"/>
            </w:tcMar>
            <w:vAlign w:val="center"/>
          </w:tcPr>
          <w:p>
            <w:pPr>
              <w:widowControl/>
              <w:spacing w:line="280" w:lineRule="exact"/>
              <w:jc w:val="center"/>
              <w:textAlignment w:val="center"/>
              <w:rPr>
                <w:bCs/>
                <w:color w:val="auto"/>
                <w:kern w:val="0"/>
                <w:szCs w:val="21"/>
                <w:highlight w:val="none"/>
              </w:rPr>
            </w:pPr>
          </w:p>
        </w:tc>
        <w:tc>
          <w:tcPr>
            <w:tcW w:w="788" w:type="pct"/>
            <w:shd w:val="clear" w:color="auto" w:fill="auto"/>
            <w:tcMar>
              <w:top w:w="0" w:type="dxa"/>
              <w:left w:w="57" w:type="dxa"/>
              <w:bottom w:w="0" w:type="dxa"/>
              <w:right w:w="57" w:type="dxa"/>
            </w:tcMar>
            <w:vAlign w:val="center"/>
          </w:tcPr>
          <w:p>
            <w:pPr>
              <w:widowControl/>
              <w:spacing w:line="240" w:lineRule="exact"/>
              <w:jc w:val="center"/>
              <w:rPr>
                <w:color w:val="auto"/>
                <w:highlight w:val="none"/>
              </w:rPr>
            </w:pPr>
            <w:r>
              <w:rPr>
                <w:rFonts w:hint="eastAsia"/>
                <w:color w:val="auto"/>
                <w:highlight w:val="none"/>
              </w:rPr>
              <w:t>噪声</w:t>
            </w:r>
          </w:p>
        </w:tc>
        <w:tc>
          <w:tcPr>
            <w:tcW w:w="3286" w:type="pct"/>
            <w:shd w:val="clear" w:color="auto" w:fill="auto"/>
            <w:tcMar>
              <w:top w:w="0" w:type="dxa"/>
              <w:left w:w="57" w:type="dxa"/>
              <w:bottom w:w="0" w:type="dxa"/>
              <w:right w:w="57" w:type="dxa"/>
            </w:tcMar>
            <w:vAlign w:val="center"/>
          </w:tcPr>
          <w:p>
            <w:pPr>
              <w:widowControl/>
              <w:spacing w:line="240" w:lineRule="exact"/>
              <w:jc w:val="center"/>
              <w:rPr>
                <w:color w:val="auto"/>
                <w:highlight w:val="none"/>
              </w:rPr>
            </w:pPr>
            <w:r>
              <w:rPr>
                <w:rFonts w:hint="eastAsia"/>
                <w:color w:val="auto"/>
                <w:highlight w:val="none"/>
              </w:rPr>
              <w:t>采取基础减震、建筑隔声、距离衰减等降噪措施</w:t>
            </w:r>
          </w:p>
        </w:tc>
        <w:tc>
          <w:tcPr>
            <w:tcW w:w="331" w:type="pct"/>
            <w:shd w:val="clear" w:color="auto" w:fill="auto"/>
            <w:tcMar>
              <w:top w:w="0" w:type="dxa"/>
              <w:left w:w="57" w:type="dxa"/>
              <w:bottom w:w="0" w:type="dxa"/>
              <w:right w:w="57" w:type="dxa"/>
            </w:tcMar>
            <w:vAlign w:val="center"/>
          </w:tcPr>
          <w:p>
            <w:pPr>
              <w:widowControl/>
              <w:spacing w:line="280" w:lineRule="exact"/>
              <w:jc w:val="center"/>
              <w:textAlignment w:val="center"/>
              <w:rPr>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261" w:type="pct"/>
            <w:vMerge w:val="continue"/>
            <w:shd w:val="clear" w:color="auto" w:fill="auto"/>
            <w:tcMar>
              <w:top w:w="0" w:type="dxa"/>
              <w:left w:w="57" w:type="dxa"/>
              <w:bottom w:w="0" w:type="dxa"/>
              <w:right w:w="57" w:type="dxa"/>
            </w:tcMar>
            <w:vAlign w:val="center"/>
          </w:tcPr>
          <w:p>
            <w:pPr>
              <w:widowControl/>
              <w:spacing w:line="280" w:lineRule="exact"/>
              <w:jc w:val="center"/>
              <w:textAlignment w:val="center"/>
              <w:rPr>
                <w:bCs/>
                <w:color w:val="auto"/>
                <w:kern w:val="0"/>
                <w:szCs w:val="21"/>
                <w:highlight w:val="none"/>
              </w:rPr>
            </w:pPr>
          </w:p>
        </w:tc>
        <w:tc>
          <w:tcPr>
            <w:tcW w:w="332" w:type="pct"/>
            <w:vMerge w:val="continue"/>
            <w:shd w:val="clear" w:color="auto" w:fill="auto"/>
            <w:tcMar>
              <w:top w:w="0" w:type="dxa"/>
              <w:left w:w="57" w:type="dxa"/>
              <w:bottom w:w="0" w:type="dxa"/>
              <w:right w:w="57" w:type="dxa"/>
            </w:tcMar>
            <w:vAlign w:val="center"/>
          </w:tcPr>
          <w:p>
            <w:pPr>
              <w:widowControl/>
              <w:spacing w:line="280" w:lineRule="exact"/>
              <w:jc w:val="center"/>
              <w:textAlignment w:val="center"/>
              <w:rPr>
                <w:bCs/>
                <w:color w:val="auto"/>
                <w:kern w:val="0"/>
                <w:szCs w:val="21"/>
                <w:highlight w:val="none"/>
              </w:rPr>
            </w:pPr>
          </w:p>
        </w:tc>
        <w:tc>
          <w:tcPr>
            <w:tcW w:w="788" w:type="pct"/>
            <w:shd w:val="clear" w:color="auto" w:fill="auto"/>
            <w:tcMar>
              <w:top w:w="0" w:type="dxa"/>
              <w:left w:w="57" w:type="dxa"/>
              <w:bottom w:w="0" w:type="dxa"/>
              <w:right w:w="57" w:type="dxa"/>
            </w:tcMar>
            <w:vAlign w:val="center"/>
          </w:tcPr>
          <w:p>
            <w:pPr>
              <w:widowControl/>
              <w:spacing w:line="240" w:lineRule="exact"/>
              <w:jc w:val="center"/>
              <w:rPr>
                <w:color w:val="auto"/>
                <w:highlight w:val="none"/>
              </w:rPr>
            </w:pPr>
            <w:r>
              <w:rPr>
                <w:color w:val="auto"/>
                <w:highlight w:val="none"/>
              </w:rPr>
              <w:t>绿化</w:t>
            </w:r>
          </w:p>
        </w:tc>
        <w:tc>
          <w:tcPr>
            <w:tcW w:w="3286" w:type="pct"/>
            <w:shd w:val="clear" w:color="auto" w:fill="auto"/>
            <w:tcMar>
              <w:top w:w="0" w:type="dxa"/>
              <w:left w:w="57" w:type="dxa"/>
              <w:bottom w:w="0" w:type="dxa"/>
              <w:right w:w="57" w:type="dxa"/>
            </w:tcMar>
            <w:vAlign w:val="center"/>
          </w:tcPr>
          <w:p>
            <w:pPr>
              <w:widowControl/>
              <w:spacing w:line="240" w:lineRule="exact"/>
              <w:jc w:val="center"/>
              <w:rPr>
                <w:color w:val="auto"/>
                <w:highlight w:val="none"/>
              </w:rPr>
            </w:pPr>
            <w:r>
              <w:rPr>
                <w:color w:val="auto"/>
                <w:highlight w:val="none"/>
              </w:rPr>
              <w:t>绿化面积</w:t>
            </w:r>
            <w:r>
              <w:rPr>
                <w:rFonts w:hint="eastAsia"/>
                <w:color w:val="auto"/>
                <w:highlight w:val="none"/>
              </w:rPr>
              <w:t>5</w:t>
            </w:r>
            <w:r>
              <w:rPr>
                <w:color w:val="auto"/>
                <w:highlight w:val="none"/>
              </w:rPr>
              <w:t>00m</w:t>
            </w:r>
            <w:r>
              <w:rPr>
                <w:color w:val="auto"/>
                <w:highlight w:val="none"/>
                <w:vertAlign w:val="superscript"/>
              </w:rPr>
              <w:t>2</w:t>
            </w:r>
          </w:p>
        </w:tc>
        <w:tc>
          <w:tcPr>
            <w:tcW w:w="331" w:type="pct"/>
            <w:shd w:val="clear" w:color="auto" w:fill="auto"/>
            <w:tcMar>
              <w:top w:w="0" w:type="dxa"/>
              <w:left w:w="57" w:type="dxa"/>
              <w:bottom w:w="0" w:type="dxa"/>
              <w:right w:w="57" w:type="dxa"/>
            </w:tcMar>
            <w:vAlign w:val="center"/>
          </w:tcPr>
          <w:p>
            <w:pPr>
              <w:widowControl/>
              <w:spacing w:line="280" w:lineRule="exact"/>
              <w:jc w:val="center"/>
              <w:textAlignment w:val="center"/>
              <w:rPr>
                <w:bCs/>
                <w:color w:val="auto"/>
                <w:kern w:val="0"/>
                <w:szCs w:val="21"/>
                <w:highlight w:val="none"/>
              </w:rPr>
            </w:pPr>
          </w:p>
        </w:tc>
      </w:tr>
    </w:tbl>
    <w:p>
      <w:pPr>
        <w:spacing w:line="360" w:lineRule="auto"/>
        <w:ind w:firstLine="480" w:firstLineChars="200"/>
        <w:rPr>
          <w:color w:val="auto"/>
          <w:sz w:val="24"/>
          <w:highlight w:val="none"/>
        </w:rPr>
      </w:pPr>
      <w:r>
        <w:rPr>
          <w:color w:val="auto"/>
          <w:sz w:val="24"/>
          <w:highlight w:val="none"/>
        </w:rPr>
        <w:t>项目建成后，全厂主要建(构)筑物见表2.1-2。</w:t>
      </w:r>
    </w:p>
    <w:p>
      <w:pPr>
        <w:widowControl/>
        <w:spacing w:line="360" w:lineRule="auto"/>
        <w:jc w:val="center"/>
        <w:rPr>
          <w:rFonts w:eastAsia="黑体"/>
          <w:color w:val="auto"/>
          <w:sz w:val="24"/>
          <w:highlight w:val="none"/>
        </w:rPr>
      </w:pPr>
      <w:r>
        <w:rPr>
          <w:rFonts w:eastAsia="黑体"/>
          <w:color w:val="auto"/>
          <w:sz w:val="24"/>
          <w:highlight w:val="none"/>
        </w:rPr>
        <w:t>表2.1-2  主要建</w:t>
      </w:r>
      <w:r>
        <w:rPr>
          <w:rFonts w:hint="eastAsia" w:eastAsia="黑体"/>
          <w:color w:val="auto"/>
          <w:sz w:val="24"/>
          <w:highlight w:val="none"/>
        </w:rPr>
        <w:t>(构)</w:t>
      </w:r>
      <w:r>
        <w:rPr>
          <w:rFonts w:eastAsia="黑体"/>
          <w:color w:val="auto"/>
          <w:sz w:val="24"/>
          <w:highlight w:val="none"/>
        </w:rPr>
        <w:t>筑物一览表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108" w:type="dxa"/>
          <w:bottom w:w="28" w:type="dxa"/>
          <w:right w:w="108" w:type="dxa"/>
        </w:tblCellMar>
      </w:tblPr>
      <w:tblGrid>
        <w:gridCol w:w="836"/>
        <w:gridCol w:w="2248"/>
        <w:gridCol w:w="1674"/>
        <w:gridCol w:w="1048"/>
        <w:gridCol w:w="1250"/>
        <w:gridCol w:w="19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464" w:type="pct"/>
            <w:shd w:val="clear" w:color="auto" w:fill="auto"/>
            <w:tcMar>
              <w:top w:w="0" w:type="dxa"/>
              <w:bottom w:w="0" w:type="dxa"/>
            </w:tcMar>
            <w:vAlign w:val="center"/>
          </w:tcPr>
          <w:p>
            <w:pPr>
              <w:widowControl/>
              <w:spacing w:line="240" w:lineRule="exact"/>
              <w:jc w:val="center"/>
              <w:rPr>
                <w:color w:val="auto"/>
                <w:highlight w:val="none"/>
              </w:rPr>
            </w:pPr>
            <w:r>
              <w:rPr>
                <w:color w:val="auto"/>
                <w:highlight w:val="none"/>
              </w:rPr>
              <w:t>序号</w:t>
            </w:r>
          </w:p>
        </w:tc>
        <w:tc>
          <w:tcPr>
            <w:tcW w:w="1248" w:type="pct"/>
            <w:shd w:val="clear" w:color="auto" w:fill="auto"/>
            <w:tcMar>
              <w:top w:w="0" w:type="dxa"/>
              <w:bottom w:w="0" w:type="dxa"/>
            </w:tcMar>
            <w:vAlign w:val="center"/>
          </w:tcPr>
          <w:p>
            <w:pPr>
              <w:widowControl/>
              <w:spacing w:line="240" w:lineRule="exact"/>
              <w:jc w:val="center"/>
              <w:rPr>
                <w:color w:val="auto"/>
                <w:highlight w:val="none"/>
              </w:rPr>
            </w:pPr>
            <w:r>
              <w:rPr>
                <w:color w:val="auto"/>
                <w:highlight w:val="none"/>
              </w:rPr>
              <w:t>建筑物</w:t>
            </w:r>
          </w:p>
        </w:tc>
        <w:tc>
          <w:tcPr>
            <w:tcW w:w="929" w:type="pct"/>
            <w:shd w:val="clear" w:color="auto" w:fill="auto"/>
            <w:tcMar>
              <w:top w:w="0" w:type="dxa"/>
              <w:bottom w:w="0" w:type="dxa"/>
            </w:tcMar>
            <w:vAlign w:val="center"/>
          </w:tcPr>
          <w:p>
            <w:pPr>
              <w:widowControl/>
              <w:spacing w:line="240" w:lineRule="exact"/>
              <w:jc w:val="center"/>
              <w:rPr>
                <w:color w:val="auto"/>
                <w:highlight w:val="none"/>
              </w:rPr>
            </w:pPr>
            <w:r>
              <w:rPr>
                <w:color w:val="auto"/>
                <w:highlight w:val="none"/>
              </w:rPr>
              <w:t>建筑面积(m</w:t>
            </w:r>
            <w:r>
              <w:rPr>
                <w:color w:val="auto"/>
                <w:highlight w:val="none"/>
                <w:vertAlign w:val="superscript"/>
              </w:rPr>
              <w:t>2</w:t>
            </w:r>
            <w:r>
              <w:rPr>
                <w:color w:val="auto"/>
                <w:highlight w:val="none"/>
              </w:rPr>
              <w:t>)</w:t>
            </w:r>
          </w:p>
        </w:tc>
        <w:tc>
          <w:tcPr>
            <w:tcW w:w="582" w:type="pct"/>
            <w:tcMar>
              <w:top w:w="0" w:type="dxa"/>
              <w:bottom w:w="0" w:type="dxa"/>
            </w:tcMar>
            <w:vAlign w:val="center"/>
          </w:tcPr>
          <w:p>
            <w:pPr>
              <w:widowControl/>
              <w:spacing w:line="240" w:lineRule="exact"/>
              <w:jc w:val="center"/>
              <w:rPr>
                <w:color w:val="auto"/>
                <w:highlight w:val="none"/>
              </w:rPr>
            </w:pPr>
            <w:r>
              <w:rPr>
                <w:color w:val="auto"/>
                <w:highlight w:val="none"/>
              </w:rPr>
              <w:t>层数</w:t>
            </w:r>
          </w:p>
        </w:tc>
        <w:tc>
          <w:tcPr>
            <w:tcW w:w="694" w:type="pct"/>
            <w:tcMar>
              <w:top w:w="0" w:type="dxa"/>
              <w:bottom w:w="0" w:type="dxa"/>
            </w:tcMar>
            <w:vAlign w:val="center"/>
          </w:tcPr>
          <w:p>
            <w:pPr>
              <w:widowControl/>
              <w:spacing w:line="240" w:lineRule="exact"/>
              <w:jc w:val="center"/>
              <w:rPr>
                <w:color w:val="auto"/>
                <w:highlight w:val="none"/>
              </w:rPr>
            </w:pPr>
            <w:r>
              <w:rPr>
                <w:color w:val="auto"/>
                <w:highlight w:val="none"/>
              </w:rPr>
              <w:t>结构形式</w:t>
            </w:r>
          </w:p>
        </w:tc>
        <w:tc>
          <w:tcPr>
            <w:tcW w:w="1081" w:type="pct"/>
            <w:shd w:val="clear" w:color="auto" w:fill="auto"/>
            <w:tcMar>
              <w:top w:w="0" w:type="dxa"/>
              <w:bottom w:w="0" w:type="dxa"/>
            </w:tcMar>
            <w:vAlign w:val="center"/>
          </w:tcPr>
          <w:p>
            <w:pPr>
              <w:widowControl/>
              <w:spacing w:line="240" w:lineRule="exact"/>
              <w:jc w:val="center"/>
              <w:rPr>
                <w:color w:val="auto"/>
                <w:highlight w:val="none"/>
              </w:rPr>
            </w:pPr>
            <w:r>
              <w:rPr>
                <w:color w:val="auto"/>
                <w:highlight w:val="none"/>
              </w:rPr>
              <w:t>尺寸(长×宽×高)</w:t>
            </w:r>
            <w:r>
              <w:rPr>
                <w:rFonts w:hint="eastAsia"/>
                <w:color w:val="auto"/>
                <w:highlight w:val="none"/>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464" w:type="pct"/>
            <w:shd w:val="clear" w:color="auto" w:fill="auto"/>
            <w:tcMar>
              <w:top w:w="0" w:type="dxa"/>
              <w:bottom w:w="0" w:type="dxa"/>
            </w:tcMar>
            <w:vAlign w:val="center"/>
          </w:tcPr>
          <w:p>
            <w:pPr>
              <w:widowControl/>
              <w:spacing w:line="240" w:lineRule="exact"/>
              <w:jc w:val="center"/>
              <w:rPr>
                <w:bCs/>
                <w:color w:val="auto"/>
                <w:highlight w:val="none"/>
              </w:rPr>
            </w:pPr>
            <w:r>
              <w:rPr>
                <w:bCs/>
                <w:color w:val="auto"/>
                <w:highlight w:val="none"/>
              </w:rPr>
              <w:t>1</w:t>
            </w:r>
          </w:p>
        </w:tc>
        <w:tc>
          <w:tcPr>
            <w:tcW w:w="1248" w:type="pct"/>
            <w:shd w:val="clear" w:color="auto" w:fill="auto"/>
            <w:tcMar>
              <w:top w:w="0" w:type="dxa"/>
              <w:bottom w:w="0" w:type="dxa"/>
            </w:tcMar>
            <w:vAlign w:val="center"/>
          </w:tcPr>
          <w:p>
            <w:pPr>
              <w:widowControl/>
              <w:spacing w:line="240" w:lineRule="exact"/>
              <w:jc w:val="center"/>
              <w:rPr>
                <w:bCs/>
                <w:color w:val="auto"/>
                <w:highlight w:val="none"/>
              </w:rPr>
            </w:pPr>
            <w:r>
              <w:rPr>
                <w:rFonts w:hint="eastAsia"/>
                <w:bCs/>
                <w:color w:val="auto"/>
                <w:highlight w:val="none"/>
              </w:rPr>
              <w:t>1#车间</w:t>
            </w:r>
          </w:p>
        </w:tc>
        <w:tc>
          <w:tcPr>
            <w:tcW w:w="929" w:type="pct"/>
            <w:shd w:val="clear" w:color="auto" w:fill="auto"/>
            <w:tcMar>
              <w:top w:w="0" w:type="dxa"/>
              <w:bottom w:w="0" w:type="dxa"/>
            </w:tcMar>
            <w:vAlign w:val="center"/>
          </w:tcPr>
          <w:p>
            <w:pPr>
              <w:widowControl/>
              <w:spacing w:line="240" w:lineRule="exact"/>
              <w:jc w:val="center"/>
              <w:rPr>
                <w:rFonts w:hint="default" w:eastAsia="宋体"/>
                <w:bCs/>
                <w:color w:val="auto"/>
                <w:highlight w:val="none"/>
                <w:lang w:val="en-US" w:eastAsia="zh-CN"/>
              </w:rPr>
            </w:pPr>
            <w:r>
              <w:rPr>
                <w:rFonts w:hint="eastAsia"/>
                <w:bCs/>
                <w:color w:val="auto"/>
                <w:highlight w:val="none"/>
                <w:lang w:val="en-US" w:eastAsia="zh-CN"/>
              </w:rPr>
              <w:t>1540</w:t>
            </w:r>
          </w:p>
        </w:tc>
        <w:tc>
          <w:tcPr>
            <w:tcW w:w="582" w:type="pct"/>
            <w:tcMar>
              <w:top w:w="0" w:type="dxa"/>
              <w:bottom w:w="0" w:type="dxa"/>
            </w:tcMar>
            <w:vAlign w:val="center"/>
          </w:tcPr>
          <w:p>
            <w:pPr>
              <w:widowControl/>
              <w:spacing w:line="240" w:lineRule="exact"/>
              <w:jc w:val="center"/>
              <w:rPr>
                <w:rFonts w:hint="eastAsia" w:eastAsia="宋体"/>
                <w:bCs/>
                <w:color w:val="auto"/>
                <w:highlight w:val="none"/>
                <w:lang w:eastAsia="zh-CN"/>
              </w:rPr>
            </w:pPr>
            <w:r>
              <w:rPr>
                <w:rFonts w:hint="eastAsia"/>
                <w:bCs/>
                <w:color w:val="auto"/>
                <w:highlight w:val="none"/>
                <w:lang w:val="en-US" w:eastAsia="zh-CN"/>
              </w:rPr>
              <w:t>1</w:t>
            </w:r>
          </w:p>
        </w:tc>
        <w:tc>
          <w:tcPr>
            <w:tcW w:w="694" w:type="pct"/>
            <w:tcMar>
              <w:top w:w="0" w:type="dxa"/>
              <w:bottom w:w="0" w:type="dxa"/>
            </w:tcMar>
            <w:vAlign w:val="center"/>
          </w:tcPr>
          <w:p>
            <w:pPr>
              <w:widowControl/>
              <w:spacing w:line="240" w:lineRule="exact"/>
              <w:jc w:val="center"/>
              <w:rPr>
                <w:color w:val="auto"/>
                <w:highlight w:val="none"/>
              </w:rPr>
            </w:pPr>
            <w:r>
              <w:rPr>
                <w:rFonts w:hint="eastAsia"/>
                <w:color w:val="auto"/>
                <w:highlight w:val="none"/>
              </w:rPr>
              <w:t>框架</w:t>
            </w:r>
          </w:p>
        </w:tc>
        <w:tc>
          <w:tcPr>
            <w:tcW w:w="1081" w:type="pct"/>
            <w:shd w:val="clear" w:color="auto" w:fill="auto"/>
            <w:tcMar>
              <w:top w:w="0" w:type="dxa"/>
              <w:bottom w:w="0" w:type="dxa"/>
            </w:tcMar>
            <w:vAlign w:val="center"/>
          </w:tcPr>
          <w:p>
            <w:pPr>
              <w:widowControl/>
              <w:spacing w:line="240" w:lineRule="exact"/>
              <w:jc w:val="center"/>
              <w:rPr>
                <w:rFonts w:hint="default" w:eastAsia="宋体"/>
                <w:color w:val="auto"/>
                <w:highlight w:val="none"/>
                <w:lang w:val="en-US" w:eastAsia="zh-CN"/>
              </w:rPr>
            </w:pPr>
            <w:r>
              <w:rPr>
                <w:rFonts w:hint="eastAsia"/>
                <w:color w:val="auto"/>
                <w:kern w:val="0"/>
                <w:szCs w:val="21"/>
                <w:highlight w:val="none"/>
              </w:rPr>
              <w:t>22</w:t>
            </w:r>
            <w:r>
              <w:rPr>
                <w:color w:val="auto"/>
                <w:highlight w:val="none"/>
              </w:rPr>
              <w:t>×</w:t>
            </w:r>
            <w:r>
              <w:rPr>
                <w:rFonts w:hint="eastAsia"/>
                <w:color w:val="auto"/>
                <w:kern w:val="0"/>
                <w:szCs w:val="21"/>
                <w:highlight w:val="none"/>
              </w:rPr>
              <w:t>70</w:t>
            </w:r>
            <w:r>
              <w:rPr>
                <w:color w:val="auto"/>
                <w:highlight w:val="none"/>
              </w:rPr>
              <w:t>×</w:t>
            </w:r>
            <w:r>
              <w:rPr>
                <w:rFonts w:hint="eastAsia"/>
                <w:color w:val="auto"/>
                <w:kern w:val="0"/>
                <w:szCs w:val="21"/>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464" w:type="pct"/>
            <w:shd w:val="clear" w:color="auto" w:fill="auto"/>
            <w:tcMar>
              <w:top w:w="0" w:type="dxa"/>
              <w:bottom w:w="0" w:type="dxa"/>
            </w:tcMar>
            <w:vAlign w:val="center"/>
          </w:tcPr>
          <w:p>
            <w:pPr>
              <w:widowControl/>
              <w:spacing w:line="240" w:lineRule="exact"/>
              <w:jc w:val="center"/>
              <w:rPr>
                <w:bCs/>
                <w:color w:val="auto"/>
                <w:highlight w:val="none"/>
              </w:rPr>
            </w:pPr>
            <w:r>
              <w:rPr>
                <w:bCs/>
                <w:color w:val="auto"/>
                <w:highlight w:val="none"/>
              </w:rPr>
              <w:t>2</w:t>
            </w:r>
          </w:p>
        </w:tc>
        <w:tc>
          <w:tcPr>
            <w:tcW w:w="1248" w:type="pct"/>
            <w:shd w:val="clear" w:color="auto" w:fill="auto"/>
            <w:tcMar>
              <w:top w:w="0" w:type="dxa"/>
              <w:bottom w:w="0" w:type="dxa"/>
            </w:tcMar>
            <w:vAlign w:val="center"/>
          </w:tcPr>
          <w:p>
            <w:pPr>
              <w:widowControl/>
              <w:spacing w:line="240" w:lineRule="exact"/>
              <w:jc w:val="center"/>
              <w:rPr>
                <w:bCs/>
                <w:color w:val="auto"/>
                <w:highlight w:val="none"/>
              </w:rPr>
            </w:pPr>
            <w:r>
              <w:rPr>
                <w:rFonts w:hint="eastAsia"/>
                <w:bCs/>
                <w:color w:val="auto"/>
                <w:highlight w:val="none"/>
              </w:rPr>
              <w:t>2#车间</w:t>
            </w:r>
          </w:p>
        </w:tc>
        <w:tc>
          <w:tcPr>
            <w:tcW w:w="929" w:type="pct"/>
            <w:shd w:val="clear" w:color="auto" w:fill="auto"/>
            <w:tcMar>
              <w:top w:w="0" w:type="dxa"/>
              <w:bottom w:w="0" w:type="dxa"/>
            </w:tcMar>
            <w:vAlign w:val="center"/>
          </w:tcPr>
          <w:p>
            <w:pPr>
              <w:widowControl/>
              <w:spacing w:line="240" w:lineRule="exact"/>
              <w:jc w:val="center"/>
              <w:rPr>
                <w:bCs/>
                <w:color w:val="auto"/>
                <w:highlight w:val="none"/>
              </w:rPr>
            </w:pPr>
            <w:r>
              <w:rPr>
                <w:rFonts w:hint="eastAsia"/>
                <w:bCs/>
                <w:color w:val="auto"/>
                <w:highlight w:val="none"/>
              </w:rPr>
              <w:t>3264</w:t>
            </w:r>
          </w:p>
        </w:tc>
        <w:tc>
          <w:tcPr>
            <w:tcW w:w="582" w:type="pct"/>
            <w:tcMar>
              <w:top w:w="0" w:type="dxa"/>
              <w:bottom w:w="0" w:type="dxa"/>
            </w:tcMar>
            <w:vAlign w:val="center"/>
          </w:tcPr>
          <w:p>
            <w:pPr>
              <w:widowControl/>
              <w:spacing w:line="240" w:lineRule="exact"/>
              <w:jc w:val="center"/>
              <w:rPr>
                <w:bCs/>
                <w:color w:val="auto"/>
                <w:highlight w:val="none"/>
              </w:rPr>
            </w:pPr>
            <w:r>
              <w:rPr>
                <w:rFonts w:hint="eastAsia"/>
                <w:bCs/>
                <w:color w:val="auto"/>
                <w:highlight w:val="none"/>
              </w:rPr>
              <w:t>1</w:t>
            </w:r>
          </w:p>
        </w:tc>
        <w:tc>
          <w:tcPr>
            <w:tcW w:w="694" w:type="pct"/>
            <w:tcMar>
              <w:top w:w="0" w:type="dxa"/>
              <w:bottom w:w="0" w:type="dxa"/>
            </w:tcMar>
            <w:vAlign w:val="center"/>
          </w:tcPr>
          <w:p>
            <w:pPr>
              <w:widowControl/>
              <w:spacing w:line="240" w:lineRule="exact"/>
              <w:jc w:val="center"/>
              <w:rPr>
                <w:color w:val="auto"/>
                <w:highlight w:val="none"/>
              </w:rPr>
            </w:pPr>
            <w:r>
              <w:rPr>
                <w:rFonts w:hint="eastAsia"/>
                <w:color w:val="auto"/>
                <w:highlight w:val="none"/>
              </w:rPr>
              <w:t>框架</w:t>
            </w:r>
          </w:p>
        </w:tc>
        <w:tc>
          <w:tcPr>
            <w:tcW w:w="1081" w:type="pct"/>
            <w:shd w:val="clear" w:color="auto" w:fill="auto"/>
            <w:tcMar>
              <w:top w:w="0" w:type="dxa"/>
              <w:bottom w:w="0" w:type="dxa"/>
            </w:tcMar>
            <w:vAlign w:val="center"/>
          </w:tcPr>
          <w:p>
            <w:pPr>
              <w:widowControl/>
              <w:spacing w:line="240" w:lineRule="exact"/>
              <w:jc w:val="center"/>
              <w:rPr>
                <w:color w:val="auto"/>
                <w:highlight w:val="none"/>
              </w:rPr>
            </w:pPr>
            <w:r>
              <w:rPr>
                <w:rFonts w:hint="eastAsia"/>
                <w:color w:val="auto"/>
                <w:highlight w:val="none"/>
              </w:rPr>
              <w:t>102</w:t>
            </w:r>
            <w:r>
              <w:rPr>
                <w:color w:val="auto"/>
                <w:highlight w:val="none"/>
              </w:rPr>
              <w:t>×</w:t>
            </w:r>
            <w:r>
              <w:rPr>
                <w:rFonts w:hint="eastAsia"/>
                <w:color w:val="auto"/>
                <w:highlight w:val="none"/>
              </w:rPr>
              <w:t>32</w:t>
            </w:r>
            <w:r>
              <w:rPr>
                <w:color w:val="auto"/>
                <w:highlight w:val="none"/>
              </w:rPr>
              <w:t>×</w:t>
            </w:r>
            <w:r>
              <w:rPr>
                <w:rFonts w:hint="eastAsia"/>
                <w:color w:val="auto"/>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464" w:type="pct"/>
            <w:shd w:val="clear" w:color="auto" w:fill="auto"/>
            <w:tcMar>
              <w:top w:w="0" w:type="dxa"/>
              <w:bottom w:w="0" w:type="dxa"/>
            </w:tcMar>
            <w:vAlign w:val="center"/>
          </w:tcPr>
          <w:p>
            <w:pPr>
              <w:widowControl/>
              <w:spacing w:line="240" w:lineRule="exact"/>
              <w:jc w:val="center"/>
              <w:rPr>
                <w:rFonts w:ascii="Times New Roman" w:hAnsi="Times New Roman" w:eastAsia="宋体" w:cs="Times New Roman"/>
                <w:bCs/>
                <w:color w:val="auto"/>
                <w:kern w:val="2"/>
                <w:sz w:val="21"/>
                <w:szCs w:val="22"/>
                <w:highlight w:val="none"/>
                <w:lang w:val="en-US" w:eastAsia="zh-CN" w:bidi="ar-SA"/>
              </w:rPr>
            </w:pPr>
            <w:r>
              <w:rPr>
                <w:bCs/>
                <w:color w:val="auto"/>
                <w:highlight w:val="none"/>
              </w:rPr>
              <w:t>3</w:t>
            </w:r>
          </w:p>
        </w:tc>
        <w:tc>
          <w:tcPr>
            <w:tcW w:w="1248" w:type="pct"/>
            <w:shd w:val="clear" w:color="auto" w:fill="auto"/>
            <w:tcMar>
              <w:top w:w="0" w:type="dxa"/>
              <w:bottom w:w="0" w:type="dxa"/>
            </w:tcMar>
            <w:vAlign w:val="center"/>
          </w:tcPr>
          <w:p>
            <w:pPr>
              <w:widowControl/>
              <w:spacing w:line="240" w:lineRule="exact"/>
              <w:jc w:val="center"/>
              <w:rPr>
                <w:rFonts w:hint="eastAsia" w:eastAsia="宋体"/>
                <w:bCs/>
                <w:color w:val="auto"/>
                <w:highlight w:val="none"/>
                <w:lang w:val="en-US" w:eastAsia="zh-CN"/>
              </w:rPr>
            </w:pPr>
            <w:r>
              <w:rPr>
                <w:rFonts w:hint="eastAsia"/>
                <w:bCs/>
                <w:color w:val="auto"/>
                <w:highlight w:val="none"/>
                <w:lang w:val="en-US" w:eastAsia="zh-CN"/>
              </w:rPr>
              <w:t>办公楼</w:t>
            </w:r>
          </w:p>
        </w:tc>
        <w:tc>
          <w:tcPr>
            <w:tcW w:w="929" w:type="pct"/>
            <w:shd w:val="clear" w:color="auto" w:fill="auto"/>
            <w:tcMar>
              <w:top w:w="0" w:type="dxa"/>
              <w:bottom w:w="0" w:type="dxa"/>
            </w:tcMar>
            <w:vAlign w:val="center"/>
          </w:tcPr>
          <w:p>
            <w:pPr>
              <w:widowControl/>
              <w:spacing w:line="240" w:lineRule="exact"/>
              <w:jc w:val="center"/>
              <w:rPr>
                <w:rFonts w:hint="default" w:eastAsia="宋体"/>
                <w:bCs/>
                <w:color w:val="auto"/>
                <w:highlight w:val="none"/>
                <w:lang w:val="en-US" w:eastAsia="zh-CN"/>
              </w:rPr>
            </w:pPr>
            <w:r>
              <w:rPr>
                <w:rFonts w:hint="eastAsia"/>
                <w:bCs/>
                <w:color w:val="auto"/>
                <w:highlight w:val="none"/>
                <w:lang w:val="en-US" w:eastAsia="zh-CN"/>
              </w:rPr>
              <w:t>960</w:t>
            </w:r>
          </w:p>
        </w:tc>
        <w:tc>
          <w:tcPr>
            <w:tcW w:w="582" w:type="pct"/>
            <w:tcMar>
              <w:top w:w="0" w:type="dxa"/>
              <w:bottom w:w="0" w:type="dxa"/>
            </w:tcMar>
            <w:vAlign w:val="center"/>
          </w:tcPr>
          <w:p>
            <w:pPr>
              <w:widowControl/>
              <w:spacing w:line="240" w:lineRule="exact"/>
              <w:jc w:val="center"/>
              <w:rPr>
                <w:rFonts w:hint="eastAsia" w:eastAsia="宋体"/>
                <w:bCs/>
                <w:color w:val="auto"/>
                <w:highlight w:val="none"/>
                <w:lang w:val="en-US" w:eastAsia="zh-CN"/>
              </w:rPr>
            </w:pPr>
            <w:r>
              <w:rPr>
                <w:rFonts w:hint="eastAsia"/>
                <w:bCs/>
                <w:color w:val="auto"/>
                <w:highlight w:val="none"/>
                <w:lang w:val="en-US" w:eastAsia="zh-CN"/>
              </w:rPr>
              <w:t>2</w:t>
            </w:r>
          </w:p>
        </w:tc>
        <w:tc>
          <w:tcPr>
            <w:tcW w:w="694" w:type="pct"/>
            <w:tcMar>
              <w:top w:w="0" w:type="dxa"/>
              <w:bottom w:w="0" w:type="dxa"/>
            </w:tcMar>
            <w:vAlign w:val="center"/>
          </w:tcPr>
          <w:p>
            <w:pPr>
              <w:widowControl/>
              <w:spacing w:line="240" w:lineRule="exact"/>
              <w:jc w:val="center"/>
              <w:rPr>
                <w:rFonts w:hint="eastAsia"/>
                <w:color w:val="auto"/>
                <w:highlight w:val="none"/>
              </w:rPr>
            </w:pPr>
            <w:r>
              <w:rPr>
                <w:rFonts w:hint="eastAsia"/>
                <w:color w:val="auto"/>
                <w:highlight w:val="none"/>
              </w:rPr>
              <w:t>砖混</w:t>
            </w:r>
          </w:p>
        </w:tc>
        <w:tc>
          <w:tcPr>
            <w:tcW w:w="1081" w:type="pct"/>
            <w:shd w:val="clear" w:color="auto" w:fill="auto"/>
            <w:tcMar>
              <w:top w:w="0" w:type="dxa"/>
              <w:bottom w:w="0" w:type="dxa"/>
            </w:tcMar>
            <w:vAlign w:val="center"/>
          </w:tcPr>
          <w:p>
            <w:pPr>
              <w:widowControl/>
              <w:spacing w:line="240" w:lineRule="exact"/>
              <w:jc w:val="center"/>
              <w:rPr>
                <w:rFonts w:hint="eastAsia" w:eastAsia="宋体"/>
                <w:color w:val="auto"/>
                <w:highlight w:val="none"/>
                <w:lang w:eastAsia="zh-CN"/>
              </w:rPr>
            </w:pPr>
            <w:r>
              <w:rPr>
                <w:rFonts w:hint="eastAsia"/>
                <w:color w:val="auto"/>
                <w:highlight w:val="none"/>
                <w:lang w:val="en-US" w:eastAsia="zh-CN"/>
              </w:rPr>
              <w:t>40</w:t>
            </w:r>
            <w:r>
              <w:rPr>
                <w:color w:val="auto"/>
                <w:highlight w:val="none"/>
              </w:rPr>
              <w:t>×</w:t>
            </w:r>
            <w:r>
              <w:rPr>
                <w:rFonts w:hint="eastAsia"/>
                <w:color w:val="auto"/>
                <w:highlight w:val="none"/>
                <w:lang w:val="en-US" w:eastAsia="zh-CN"/>
              </w:rPr>
              <w:t>12</w:t>
            </w:r>
            <w:r>
              <w:rPr>
                <w:color w:val="auto"/>
                <w:highlight w:val="none"/>
              </w:rPr>
              <w:t>×</w:t>
            </w:r>
            <w:r>
              <w:rPr>
                <w:rFonts w:hint="eastAsia"/>
                <w:color w:val="auto"/>
                <w:highlight w:val="none"/>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464" w:type="pct"/>
            <w:shd w:val="clear" w:color="auto" w:fill="auto"/>
            <w:tcMar>
              <w:top w:w="0" w:type="dxa"/>
              <w:bottom w:w="0" w:type="dxa"/>
            </w:tcMar>
            <w:vAlign w:val="center"/>
          </w:tcPr>
          <w:p>
            <w:pPr>
              <w:widowControl/>
              <w:spacing w:line="240" w:lineRule="exact"/>
              <w:jc w:val="center"/>
              <w:rPr>
                <w:rFonts w:ascii="Times New Roman" w:hAnsi="Times New Roman" w:eastAsia="宋体" w:cs="Times New Roman"/>
                <w:bCs/>
                <w:color w:val="auto"/>
                <w:kern w:val="2"/>
                <w:sz w:val="21"/>
                <w:szCs w:val="22"/>
                <w:highlight w:val="none"/>
                <w:lang w:val="en-US" w:eastAsia="zh-CN" w:bidi="ar-SA"/>
              </w:rPr>
            </w:pPr>
            <w:r>
              <w:rPr>
                <w:rFonts w:hint="eastAsia"/>
                <w:bCs/>
                <w:color w:val="auto"/>
                <w:highlight w:val="none"/>
              </w:rPr>
              <w:t>4</w:t>
            </w:r>
          </w:p>
        </w:tc>
        <w:tc>
          <w:tcPr>
            <w:tcW w:w="1248" w:type="pct"/>
            <w:shd w:val="clear" w:color="auto" w:fill="auto"/>
            <w:tcMar>
              <w:top w:w="0" w:type="dxa"/>
              <w:bottom w:w="0" w:type="dxa"/>
            </w:tcMar>
            <w:vAlign w:val="center"/>
          </w:tcPr>
          <w:p>
            <w:pPr>
              <w:widowControl/>
              <w:spacing w:line="240" w:lineRule="exact"/>
              <w:jc w:val="center"/>
              <w:rPr>
                <w:bCs/>
                <w:color w:val="auto"/>
                <w:highlight w:val="none"/>
              </w:rPr>
            </w:pPr>
            <w:r>
              <w:rPr>
                <w:rFonts w:hint="eastAsia"/>
                <w:bCs/>
                <w:color w:val="auto"/>
                <w:highlight w:val="none"/>
              </w:rPr>
              <w:t>循环水池</w:t>
            </w:r>
          </w:p>
        </w:tc>
        <w:tc>
          <w:tcPr>
            <w:tcW w:w="929" w:type="pct"/>
            <w:shd w:val="clear" w:color="auto" w:fill="auto"/>
            <w:tcMar>
              <w:top w:w="0" w:type="dxa"/>
              <w:bottom w:w="0" w:type="dxa"/>
            </w:tcMar>
            <w:vAlign w:val="center"/>
          </w:tcPr>
          <w:p>
            <w:pPr>
              <w:widowControl/>
              <w:spacing w:line="240" w:lineRule="exact"/>
              <w:jc w:val="center"/>
              <w:rPr>
                <w:bCs/>
                <w:color w:val="auto"/>
                <w:highlight w:val="none"/>
              </w:rPr>
            </w:pPr>
            <w:r>
              <w:rPr>
                <w:rFonts w:hint="eastAsia"/>
                <w:bCs/>
                <w:color w:val="auto"/>
                <w:highlight w:val="none"/>
              </w:rPr>
              <w:t>288</w:t>
            </w:r>
          </w:p>
        </w:tc>
        <w:tc>
          <w:tcPr>
            <w:tcW w:w="582" w:type="pct"/>
            <w:tcMar>
              <w:top w:w="0" w:type="dxa"/>
              <w:bottom w:w="0" w:type="dxa"/>
            </w:tcMar>
            <w:vAlign w:val="center"/>
          </w:tcPr>
          <w:p>
            <w:pPr>
              <w:widowControl/>
              <w:spacing w:line="240" w:lineRule="exact"/>
              <w:jc w:val="center"/>
              <w:rPr>
                <w:bCs/>
                <w:color w:val="auto"/>
                <w:highlight w:val="none"/>
              </w:rPr>
            </w:pPr>
            <w:r>
              <w:rPr>
                <w:rFonts w:hint="eastAsia"/>
                <w:bCs/>
                <w:color w:val="auto"/>
                <w:highlight w:val="none"/>
              </w:rPr>
              <w:t>1</w:t>
            </w:r>
          </w:p>
        </w:tc>
        <w:tc>
          <w:tcPr>
            <w:tcW w:w="694" w:type="pct"/>
            <w:tcMar>
              <w:top w:w="0" w:type="dxa"/>
              <w:bottom w:w="0" w:type="dxa"/>
            </w:tcMar>
            <w:vAlign w:val="center"/>
          </w:tcPr>
          <w:p>
            <w:pPr>
              <w:widowControl/>
              <w:spacing w:line="240" w:lineRule="exact"/>
              <w:jc w:val="center"/>
              <w:rPr>
                <w:color w:val="auto"/>
                <w:highlight w:val="none"/>
              </w:rPr>
            </w:pPr>
            <w:r>
              <w:rPr>
                <w:rFonts w:hint="eastAsia"/>
                <w:color w:val="auto"/>
                <w:highlight w:val="none"/>
              </w:rPr>
              <w:t>砖混</w:t>
            </w:r>
          </w:p>
        </w:tc>
        <w:tc>
          <w:tcPr>
            <w:tcW w:w="1081" w:type="pct"/>
            <w:shd w:val="clear" w:color="auto" w:fill="auto"/>
            <w:tcMar>
              <w:top w:w="0" w:type="dxa"/>
              <w:bottom w:w="0" w:type="dxa"/>
            </w:tcMar>
            <w:vAlign w:val="center"/>
          </w:tcPr>
          <w:p>
            <w:pPr>
              <w:widowControl/>
              <w:spacing w:line="240" w:lineRule="exact"/>
              <w:jc w:val="center"/>
              <w:rPr>
                <w:color w:val="auto"/>
                <w:highlight w:val="none"/>
              </w:rPr>
            </w:pPr>
            <w:r>
              <w:rPr>
                <w:rFonts w:hint="eastAsia"/>
                <w:color w:val="auto"/>
                <w:highlight w:val="none"/>
              </w:rPr>
              <w:t>18</w:t>
            </w:r>
            <w:r>
              <w:rPr>
                <w:color w:val="auto"/>
                <w:highlight w:val="none"/>
              </w:rPr>
              <w:t>×</w:t>
            </w:r>
            <w:r>
              <w:rPr>
                <w:rFonts w:hint="eastAsia"/>
                <w:color w:val="auto"/>
                <w:highlight w:val="none"/>
              </w:rPr>
              <w:t>16</w:t>
            </w:r>
            <w:r>
              <w:rPr>
                <w:color w:val="auto"/>
                <w:highlight w:val="none"/>
              </w:rPr>
              <w:t>×</w:t>
            </w:r>
            <w:r>
              <w:rPr>
                <w:rFonts w:hint="eastAsia"/>
                <w:color w:val="auto"/>
                <w:highlight w:val="none"/>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464" w:type="pct"/>
            <w:shd w:val="clear" w:color="auto" w:fill="auto"/>
            <w:tcMar>
              <w:top w:w="0" w:type="dxa"/>
              <w:bottom w:w="0" w:type="dxa"/>
            </w:tcMar>
            <w:vAlign w:val="center"/>
          </w:tcPr>
          <w:p>
            <w:pPr>
              <w:widowControl/>
              <w:spacing w:line="240" w:lineRule="exact"/>
              <w:jc w:val="center"/>
              <w:rPr>
                <w:rFonts w:ascii="Times New Roman" w:hAnsi="Times New Roman" w:eastAsia="宋体" w:cs="Times New Roman"/>
                <w:bCs/>
                <w:color w:val="auto"/>
                <w:kern w:val="2"/>
                <w:sz w:val="21"/>
                <w:szCs w:val="22"/>
                <w:highlight w:val="none"/>
                <w:lang w:val="en-US" w:eastAsia="zh-CN" w:bidi="ar-SA"/>
              </w:rPr>
            </w:pPr>
            <w:r>
              <w:rPr>
                <w:rFonts w:hint="eastAsia"/>
                <w:bCs/>
                <w:color w:val="auto"/>
                <w:highlight w:val="none"/>
              </w:rPr>
              <w:t>5</w:t>
            </w:r>
          </w:p>
        </w:tc>
        <w:tc>
          <w:tcPr>
            <w:tcW w:w="1248" w:type="pct"/>
            <w:shd w:val="clear" w:color="auto" w:fill="auto"/>
            <w:tcMar>
              <w:top w:w="0" w:type="dxa"/>
              <w:bottom w:w="0" w:type="dxa"/>
            </w:tcMar>
            <w:vAlign w:val="center"/>
          </w:tcPr>
          <w:p>
            <w:pPr>
              <w:widowControl/>
              <w:spacing w:line="240" w:lineRule="exact"/>
              <w:jc w:val="center"/>
              <w:rPr>
                <w:bCs/>
                <w:color w:val="auto"/>
                <w:highlight w:val="none"/>
              </w:rPr>
            </w:pPr>
            <w:r>
              <w:rPr>
                <w:rFonts w:hint="eastAsia"/>
                <w:bCs/>
                <w:color w:val="auto"/>
                <w:highlight w:val="none"/>
              </w:rPr>
              <w:t>配电室</w:t>
            </w:r>
          </w:p>
        </w:tc>
        <w:tc>
          <w:tcPr>
            <w:tcW w:w="929" w:type="pct"/>
            <w:shd w:val="clear" w:color="auto" w:fill="auto"/>
            <w:tcMar>
              <w:top w:w="0" w:type="dxa"/>
              <w:bottom w:w="0" w:type="dxa"/>
            </w:tcMar>
            <w:vAlign w:val="center"/>
          </w:tcPr>
          <w:p>
            <w:pPr>
              <w:widowControl/>
              <w:spacing w:line="240" w:lineRule="exact"/>
              <w:jc w:val="center"/>
              <w:rPr>
                <w:bCs/>
                <w:color w:val="auto"/>
                <w:highlight w:val="none"/>
              </w:rPr>
            </w:pPr>
            <w:r>
              <w:rPr>
                <w:rFonts w:hint="eastAsia"/>
                <w:bCs/>
                <w:color w:val="auto"/>
                <w:highlight w:val="none"/>
              </w:rPr>
              <w:t>100</w:t>
            </w:r>
          </w:p>
        </w:tc>
        <w:tc>
          <w:tcPr>
            <w:tcW w:w="582" w:type="pct"/>
            <w:tcMar>
              <w:top w:w="0" w:type="dxa"/>
              <w:bottom w:w="0" w:type="dxa"/>
            </w:tcMar>
            <w:vAlign w:val="center"/>
          </w:tcPr>
          <w:p>
            <w:pPr>
              <w:widowControl/>
              <w:spacing w:line="240" w:lineRule="exact"/>
              <w:jc w:val="center"/>
              <w:rPr>
                <w:bCs/>
                <w:color w:val="auto"/>
                <w:highlight w:val="none"/>
              </w:rPr>
            </w:pPr>
            <w:r>
              <w:rPr>
                <w:rFonts w:hint="eastAsia"/>
                <w:bCs/>
                <w:color w:val="auto"/>
                <w:highlight w:val="none"/>
              </w:rPr>
              <w:t>1</w:t>
            </w:r>
          </w:p>
        </w:tc>
        <w:tc>
          <w:tcPr>
            <w:tcW w:w="694" w:type="pct"/>
            <w:tcMar>
              <w:top w:w="0" w:type="dxa"/>
              <w:bottom w:w="0" w:type="dxa"/>
            </w:tcMar>
            <w:vAlign w:val="center"/>
          </w:tcPr>
          <w:p>
            <w:pPr>
              <w:widowControl/>
              <w:spacing w:line="240" w:lineRule="exact"/>
              <w:jc w:val="center"/>
              <w:rPr>
                <w:color w:val="auto"/>
                <w:highlight w:val="none"/>
              </w:rPr>
            </w:pPr>
            <w:r>
              <w:rPr>
                <w:rFonts w:hint="eastAsia"/>
                <w:color w:val="auto"/>
                <w:highlight w:val="none"/>
              </w:rPr>
              <w:t>砖混</w:t>
            </w:r>
          </w:p>
        </w:tc>
        <w:tc>
          <w:tcPr>
            <w:tcW w:w="1081" w:type="pct"/>
            <w:shd w:val="clear" w:color="auto" w:fill="auto"/>
            <w:tcMar>
              <w:top w:w="0" w:type="dxa"/>
              <w:bottom w:w="0" w:type="dxa"/>
            </w:tcMar>
            <w:vAlign w:val="center"/>
          </w:tcPr>
          <w:p>
            <w:pPr>
              <w:widowControl/>
              <w:spacing w:line="240" w:lineRule="exact"/>
              <w:jc w:val="center"/>
              <w:rPr>
                <w:color w:val="auto"/>
                <w:highlight w:val="none"/>
              </w:rPr>
            </w:pPr>
            <w:r>
              <w:rPr>
                <w:rFonts w:hint="eastAsia"/>
                <w:color w:val="auto"/>
                <w:highlight w:val="none"/>
              </w:rPr>
              <w:t>10</w:t>
            </w:r>
            <w:r>
              <w:rPr>
                <w:color w:val="auto"/>
                <w:highlight w:val="none"/>
              </w:rPr>
              <w:t>×</w:t>
            </w:r>
            <w:r>
              <w:rPr>
                <w:rFonts w:hint="eastAsia"/>
                <w:color w:val="auto"/>
                <w:highlight w:val="none"/>
              </w:rPr>
              <w:t>10</w:t>
            </w:r>
            <w:r>
              <w:rPr>
                <w:color w:val="auto"/>
                <w:highlight w:val="none"/>
              </w:rPr>
              <w:t>×</w:t>
            </w:r>
            <w:r>
              <w:rPr>
                <w:rFonts w:hint="eastAsia"/>
                <w:color w:val="auto"/>
                <w:highlight w:val="none"/>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464" w:type="pct"/>
            <w:shd w:val="clear" w:color="auto" w:fill="auto"/>
            <w:tcMar>
              <w:top w:w="0" w:type="dxa"/>
              <w:bottom w:w="0" w:type="dxa"/>
            </w:tcMar>
            <w:vAlign w:val="center"/>
          </w:tcPr>
          <w:p>
            <w:pPr>
              <w:widowControl/>
              <w:spacing w:line="240" w:lineRule="exact"/>
              <w:jc w:val="center"/>
              <w:rPr>
                <w:rFonts w:hint="eastAsia" w:eastAsia="宋体"/>
                <w:bCs/>
                <w:color w:val="auto"/>
                <w:highlight w:val="none"/>
                <w:lang w:val="en-US" w:eastAsia="zh-CN"/>
              </w:rPr>
            </w:pPr>
            <w:r>
              <w:rPr>
                <w:rFonts w:hint="eastAsia"/>
                <w:bCs/>
                <w:color w:val="auto"/>
                <w:highlight w:val="none"/>
                <w:lang w:val="en-US" w:eastAsia="zh-CN"/>
              </w:rPr>
              <w:t>6</w:t>
            </w:r>
          </w:p>
        </w:tc>
        <w:tc>
          <w:tcPr>
            <w:tcW w:w="1248" w:type="pct"/>
            <w:shd w:val="clear" w:color="auto" w:fill="auto"/>
            <w:tcMar>
              <w:top w:w="0" w:type="dxa"/>
              <w:bottom w:w="0" w:type="dxa"/>
            </w:tcMar>
            <w:vAlign w:val="center"/>
          </w:tcPr>
          <w:p>
            <w:pPr>
              <w:widowControl/>
              <w:spacing w:line="240" w:lineRule="exact"/>
              <w:jc w:val="center"/>
              <w:rPr>
                <w:bCs/>
                <w:color w:val="auto"/>
                <w:highlight w:val="none"/>
              </w:rPr>
            </w:pPr>
            <w:r>
              <w:rPr>
                <w:rFonts w:hint="eastAsia"/>
                <w:bCs/>
                <w:color w:val="auto"/>
                <w:highlight w:val="none"/>
              </w:rPr>
              <w:t>门卫</w:t>
            </w:r>
          </w:p>
        </w:tc>
        <w:tc>
          <w:tcPr>
            <w:tcW w:w="929" w:type="pct"/>
            <w:shd w:val="clear" w:color="auto" w:fill="auto"/>
            <w:tcMar>
              <w:top w:w="0" w:type="dxa"/>
              <w:bottom w:w="0" w:type="dxa"/>
            </w:tcMar>
            <w:vAlign w:val="center"/>
          </w:tcPr>
          <w:p>
            <w:pPr>
              <w:widowControl/>
              <w:spacing w:line="240" w:lineRule="exact"/>
              <w:jc w:val="center"/>
              <w:rPr>
                <w:bCs/>
                <w:color w:val="auto"/>
                <w:highlight w:val="none"/>
              </w:rPr>
            </w:pPr>
            <w:r>
              <w:rPr>
                <w:rFonts w:hint="eastAsia"/>
                <w:bCs/>
                <w:color w:val="auto"/>
                <w:highlight w:val="none"/>
              </w:rPr>
              <w:t>30</w:t>
            </w:r>
          </w:p>
        </w:tc>
        <w:tc>
          <w:tcPr>
            <w:tcW w:w="582" w:type="pct"/>
            <w:tcMar>
              <w:top w:w="0" w:type="dxa"/>
              <w:bottom w:w="0" w:type="dxa"/>
            </w:tcMar>
            <w:vAlign w:val="center"/>
          </w:tcPr>
          <w:p>
            <w:pPr>
              <w:widowControl/>
              <w:spacing w:line="240" w:lineRule="exact"/>
              <w:jc w:val="center"/>
              <w:rPr>
                <w:bCs/>
                <w:color w:val="auto"/>
                <w:highlight w:val="none"/>
              </w:rPr>
            </w:pPr>
            <w:r>
              <w:rPr>
                <w:rFonts w:hint="eastAsia"/>
                <w:bCs/>
                <w:color w:val="auto"/>
                <w:highlight w:val="none"/>
              </w:rPr>
              <w:t>1</w:t>
            </w:r>
          </w:p>
        </w:tc>
        <w:tc>
          <w:tcPr>
            <w:tcW w:w="694" w:type="pct"/>
            <w:tcMar>
              <w:top w:w="0" w:type="dxa"/>
              <w:bottom w:w="0" w:type="dxa"/>
            </w:tcMar>
            <w:vAlign w:val="center"/>
          </w:tcPr>
          <w:p>
            <w:pPr>
              <w:widowControl/>
              <w:spacing w:line="240" w:lineRule="exact"/>
              <w:jc w:val="center"/>
              <w:rPr>
                <w:color w:val="auto"/>
                <w:highlight w:val="none"/>
              </w:rPr>
            </w:pPr>
            <w:r>
              <w:rPr>
                <w:rFonts w:hint="eastAsia"/>
                <w:color w:val="auto"/>
                <w:highlight w:val="none"/>
              </w:rPr>
              <w:t>砖混</w:t>
            </w:r>
          </w:p>
        </w:tc>
        <w:tc>
          <w:tcPr>
            <w:tcW w:w="1081" w:type="pct"/>
            <w:shd w:val="clear" w:color="auto" w:fill="auto"/>
            <w:tcMar>
              <w:top w:w="0" w:type="dxa"/>
              <w:bottom w:w="0" w:type="dxa"/>
            </w:tcMar>
            <w:vAlign w:val="center"/>
          </w:tcPr>
          <w:p>
            <w:pPr>
              <w:widowControl/>
              <w:spacing w:line="240" w:lineRule="exact"/>
              <w:jc w:val="center"/>
              <w:rPr>
                <w:color w:val="auto"/>
                <w:highlight w:val="none"/>
              </w:rPr>
            </w:pPr>
            <w:r>
              <w:rPr>
                <w:rFonts w:hint="eastAsia"/>
                <w:color w:val="auto"/>
                <w:highlight w:val="none"/>
              </w:rPr>
              <w:t>10</w:t>
            </w:r>
            <w:r>
              <w:rPr>
                <w:color w:val="auto"/>
                <w:highlight w:val="none"/>
              </w:rPr>
              <w:t>×</w:t>
            </w:r>
            <w:r>
              <w:rPr>
                <w:rFonts w:hint="eastAsia"/>
                <w:color w:val="auto"/>
                <w:highlight w:val="none"/>
              </w:rPr>
              <w:t>3</w:t>
            </w:r>
            <w:r>
              <w:rPr>
                <w:color w:val="auto"/>
                <w:highlight w:val="none"/>
              </w:rPr>
              <w:t>×</w:t>
            </w:r>
            <w:r>
              <w:rPr>
                <w:rFonts w:hint="eastAsia"/>
                <w:color w:val="auto"/>
                <w:highlight w:val="none"/>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1712" w:type="pct"/>
            <w:gridSpan w:val="2"/>
            <w:shd w:val="clear" w:color="auto" w:fill="auto"/>
            <w:tcMar>
              <w:top w:w="0" w:type="dxa"/>
              <w:bottom w:w="0" w:type="dxa"/>
            </w:tcMar>
            <w:vAlign w:val="center"/>
          </w:tcPr>
          <w:p>
            <w:pPr>
              <w:widowControl/>
              <w:spacing w:line="240" w:lineRule="exact"/>
              <w:jc w:val="center"/>
              <w:rPr>
                <w:color w:val="auto"/>
                <w:highlight w:val="none"/>
              </w:rPr>
            </w:pPr>
            <w:r>
              <w:rPr>
                <w:rFonts w:hint="eastAsia"/>
                <w:color w:val="auto"/>
                <w:highlight w:val="none"/>
              </w:rPr>
              <w:t>合计</w:t>
            </w:r>
          </w:p>
        </w:tc>
        <w:tc>
          <w:tcPr>
            <w:tcW w:w="929" w:type="pct"/>
            <w:shd w:val="clear" w:color="auto" w:fill="auto"/>
            <w:tcMar>
              <w:top w:w="0" w:type="dxa"/>
              <w:bottom w:w="0" w:type="dxa"/>
            </w:tcMar>
            <w:vAlign w:val="center"/>
          </w:tcPr>
          <w:p>
            <w:pPr>
              <w:widowControl/>
              <w:spacing w:line="240" w:lineRule="exact"/>
              <w:jc w:val="center"/>
              <w:rPr>
                <w:rFonts w:hint="default" w:eastAsia="宋体"/>
                <w:color w:val="auto"/>
                <w:highlight w:val="none"/>
                <w:lang w:val="en-US" w:eastAsia="zh-CN"/>
              </w:rPr>
            </w:pPr>
            <w:r>
              <w:rPr>
                <w:rFonts w:hint="eastAsia"/>
                <w:color w:val="auto"/>
                <w:highlight w:val="none"/>
                <w:lang w:val="en-US" w:eastAsia="zh-CN"/>
              </w:rPr>
              <w:t>6182</w:t>
            </w:r>
          </w:p>
        </w:tc>
        <w:tc>
          <w:tcPr>
            <w:tcW w:w="582" w:type="pct"/>
            <w:tcMar>
              <w:top w:w="0" w:type="dxa"/>
              <w:bottom w:w="0" w:type="dxa"/>
            </w:tcMar>
            <w:vAlign w:val="center"/>
          </w:tcPr>
          <w:p>
            <w:pPr>
              <w:widowControl/>
              <w:spacing w:line="240" w:lineRule="exact"/>
              <w:jc w:val="center"/>
              <w:rPr>
                <w:color w:val="auto"/>
                <w:highlight w:val="none"/>
              </w:rPr>
            </w:pPr>
            <w:r>
              <w:rPr>
                <w:rFonts w:hint="eastAsia"/>
                <w:color w:val="auto"/>
                <w:highlight w:val="none"/>
              </w:rPr>
              <w:t>-</w:t>
            </w:r>
          </w:p>
        </w:tc>
        <w:tc>
          <w:tcPr>
            <w:tcW w:w="694" w:type="pct"/>
            <w:tcMar>
              <w:top w:w="0" w:type="dxa"/>
              <w:bottom w:w="0" w:type="dxa"/>
            </w:tcMar>
            <w:vAlign w:val="center"/>
          </w:tcPr>
          <w:p>
            <w:pPr>
              <w:widowControl/>
              <w:spacing w:line="240" w:lineRule="exact"/>
              <w:jc w:val="center"/>
              <w:rPr>
                <w:color w:val="auto"/>
                <w:highlight w:val="none"/>
              </w:rPr>
            </w:pPr>
            <w:r>
              <w:rPr>
                <w:rFonts w:hint="eastAsia"/>
                <w:color w:val="auto"/>
                <w:highlight w:val="none"/>
              </w:rPr>
              <w:t>-</w:t>
            </w:r>
          </w:p>
        </w:tc>
        <w:tc>
          <w:tcPr>
            <w:tcW w:w="1081" w:type="pct"/>
            <w:shd w:val="clear" w:color="auto" w:fill="auto"/>
            <w:tcMar>
              <w:top w:w="0" w:type="dxa"/>
              <w:bottom w:w="0" w:type="dxa"/>
            </w:tcMar>
            <w:vAlign w:val="center"/>
          </w:tcPr>
          <w:p>
            <w:pPr>
              <w:widowControl/>
              <w:spacing w:line="240" w:lineRule="exact"/>
              <w:jc w:val="center"/>
              <w:rPr>
                <w:color w:val="auto"/>
                <w:highlight w:val="none"/>
              </w:rPr>
            </w:pPr>
            <w:r>
              <w:rPr>
                <w:rFonts w:hint="eastAsia"/>
                <w:color w:val="auto"/>
                <w:highlight w:val="none"/>
              </w:rPr>
              <w:t>-</w:t>
            </w:r>
          </w:p>
        </w:tc>
      </w:tr>
      <w:bookmarkEnd w:id="104"/>
      <w:bookmarkEnd w:id="105"/>
    </w:tbl>
    <w:p>
      <w:pPr>
        <w:pStyle w:val="101"/>
        <w:spacing w:before="78"/>
        <w:rPr>
          <w:rFonts w:ascii="Times New Roman" w:hAnsi="Times New Roman"/>
          <w:color w:val="auto"/>
          <w:highlight w:val="none"/>
        </w:rPr>
      </w:pPr>
      <w:r>
        <w:rPr>
          <w:rFonts w:ascii="Times New Roman" w:hAnsi="Times New Roman"/>
          <w:color w:val="auto"/>
          <w:highlight w:val="none"/>
        </w:rPr>
        <w:t>2.1.4产品方案</w:t>
      </w:r>
    </w:p>
    <w:p>
      <w:pPr>
        <w:spacing w:line="360" w:lineRule="auto"/>
        <w:ind w:firstLine="480" w:firstLineChars="200"/>
        <w:rPr>
          <w:color w:val="auto"/>
          <w:sz w:val="24"/>
          <w:highlight w:val="none"/>
        </w:rPr>
      </w:pPr>
      <w:bookmarkStart w:id="106" w:name="_Hlk42866044"/>
      <w:r>
        <w:rPr>
          <w:color w:val="auto"/>
          <w:sz w:val="24"/>
          <w:highlight w:val="none"/>
        </w:rPr>
        <w:t>项目产品方案见表2.1-</w:t>
      </w:r>
      <w:r>
        <w:rPr>
          <w:rFonts w:hint="eastAsia"/>
          <w:color w:val="auto"/>
          <w:sz w:val="24"/>
          <w:highlight w:val="none"/>
        </w:rPr>
        <w:t>3</w:t>
      </w:r>
      <w:r>
        <w:rPr>
          <w:color w:val="auto"/>
          <w:sz w:val="24"/>
          <w:highlight w:val="none"/>
        </w:rPr>
        <w:t>。</w:t>
      </w:r>
    </w:p>
    <w:p>
      <w:pPr>
        <w:widowControl/>
        <w:spacing w:line="360" w:lineRule="auto"/>
        <w:ind w:firstLine="480" w:firstLineChars="200"/>
        <w:jc w:val="center"/>
        <w:rPr>
          <w:rFonts w:eastAsia="黑体"/>
          <w:color w:val="auto"/>
          <w:sz w:val="24"/>
          <w:highlight w:val="none"/>
        </w:rPr>
      </w:pPr>
      <w:bookmarkStart w:id="107" w:name="_Hlk41752687"/>
    </w:p>
    <w:p>
      <w:pPr>
        <w:widowControl/>
        <w:spacing w:line="360" w:lineRule="auto"/>
        <w:ind w:firstLine="480" w:firstLineChars="200"/>
        <w:jc w:val="center"/>
        <w:rPr>
          <w:rFonts w:eastAsia="黑体"/>
          <w:color w:val="auto"/>
          <w:sz w:val="24"/>
          <w:highlight w:val="none"/>
        </w:rPr>
      </w:pPr>
      <w:r>
        <w:rPr>
          <w:rFonts w:eastAsia="黑体"/>
          <w:color w:val="auto"/>
          <w:sz w:val="24"/>
          <w:highlight w:val="none"/>
        </w:rPr>
        <w:t>表2.1-</w:t>
      </w:r>
      <w:r>
        <w:rPr>
          <w:rFonts w:hint="eastAsia" w:eastAsia="黑体"/>
          <w:color w:val="auto"/>
          <w:sz w:val="24"/>
          <w:highlight w:val="none"/>
        </w:rPr>
        <w:t>3</w:t>
      </w:r>
      <w:r>
        <w:rPr>
          <w:rFonts w:eastAsia="黑体"/>
          <w:color w:val="auto"/>
          <w:sz w:val="24"/>
          <w:highlight w:val="none"/>
        </w:rPr>
        <w:t xml:space="preserve">  项目产品方案一览表</w:t>
      </w:r>
    </w:p>
    <w:tbl>
      <w:tblPr>
        <w:tblStyle w:val="5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498"/>
        <w:gridCol w:w="1649"/>
        <w:gridCol w:w="3123"/>
        <w:gridCol w:w="20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4" w:type="pct"/>
            <w:tcBorders>
              <w:tl2br w:val="nil"/>
              <w:tr2bl w:val="nil"/>
            </w:tcBorders>
            <w:vAlign w:val="center"/>
          </w:tcPr>
          <w:p>
            <w:pPr>
              <w:pStyle w:val="1319"/>
              <w:spacing w:line="240" w:lineRule="exact"/>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序号</w:t>
            </w:r>
          </w:p>
        </w:tc>
        <w:tc>
          <w:tcPr>
            <w:tcW w:w="832" w:type="pct"/>
            <w:tcBorders>
              <w:tl2br w:val="nil"/>
              <w:tr2bl w:val="nil"/>
            </w:tcBorders>
            <w:vAlign w:val="center"/>
          </w:tcPr>
          <w:p>
            <w:pPr>
              <w:pStyle w:val="1319"/>
              <w:spacing w:line="240" w:lineRule="exact"/>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名称</w:t>
            </w:r>
          </w:p>
        </w:tc>
        <w:tc>
          <w:tcPr>
            <w:tcW w:w="916" w:type="pct"/>
            <w:tcBorders>
              <w:tl2br w:val="nil"/>
              <w:tr2bl w:val="nil"/>
            </w:tcBorders>
            <w:vAlign w:val="center"/>
          </w:tcPr>
          <w:p>
            <w:pPr>
              <w:pStyle w:val="1319"/>
              <w:spacing w:line="240" w:lineRule="exact"/>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生产规模（t/a）</w:t>
            </w:r>
          </w:p>
        </w:tc>
        <w:tc>
          <w:tcPr>
            <w:tcW w:w="1734" w:type="pct"/>
            <w:tcBorders>
              <w:tl2br w:val="nil"/>
              <w:tr2bl w:val="nil"/>
            </w:tcBorders>
            <w:vAlign w:val="center"/>
          </w:tcPr>
          <w:p>
            <w:pPr>
              <w:pStyle w:val="1319"/>
              <w:spacing w:line="240" w:lineRule="exact"/>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备注</w:t>
            </w:r>
          </w:p>
        </w:tc>
        <w:tc>
          <w:tcPr>
            <w:tcW w:w="1111" w:type="pct"/>
            <w:tcBorders>
              <w:tl2br w:val="nil"/>
              <w:tr2bl w:val="nil"/>
            </w:tcBorders>
            <w:vAlign w:val="center"/>
          </w:tcPr>
          <w:p>
            <w:pPr>
              <w:pStyle w:val="1319"/>
              <w:spacing w:line="240" w:lineRule="exact"/>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rPr>
              <w:t>规格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4" w:type="pct"/>
            <w:tcBorders>
              <w:tl2br w:val="nil"/>
              <w:tr2bl w:val="nil"/>
            </w:tcBorders>
            <w:vAlign w:val="center"/>
          </w:tcPr>
          <w:p>
            <w:pPr>
              <w:pStyle w:val="1319"/>
              <w:spacing w:line="240" w:lineRule="exact"/>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1</w:t>
            </w:r>
          </w:p>
        </w:tc>
        <w:tc>
          <w:tcPr>
            <w:tcW w:w="832" w:type="pct"/>
            <w:tcBorders>
              <w:tl2br w:val="nil"/>
              <w:tr2bl w:val="nil"/>
            </w:tcBorders>
            <w:vAlign w:val="center"/>
          </w:tcPr>
          <w:p>
            <w:pPr>
              <w:pStyle w:val="1319"/>
              <w:spacing w:line="240" w:lineRule="exact"/>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给水管</w:t>
            </w:r>
          </w:p>
        </w:tc>
        <w:tc>
          <w:tcPr>
            <w:tcW w:w="916" w:type="pct"/>
            <w:tcBorders>
              <w:tl2br w:val="nil"/>
              <w:tr2bl w:val="nil"/>
            </w:tcBorders>
            <w:vAlign w:val="center"/>
          </w:tcPr>
          <w:p>
            <w:pPr>
              <w:pStyle w:val="1319"/>
              <w:spacing w:line="240" w:lineRule="exact"/>
              <w:ind w:firstLine="0" w:firstLineChars="0"/>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6800</w:t>
            </w:r>
          </w:p>
        </w:tc>
        <w:tc>
          <w:tcPr>
            <w:tcW w:w="1734" w:type="pct"/>
            <w:tcBorders>
              <w:tl2br w:val="nil"/>
              <w:tr2bl w:val="nil"/>
            </w:tcBorders>
            <w:vAlign w:val="center"/>
          </w:tcPr>
          <w:p>
            <w:pPr>
              <w:pStyle w:val="1319"/>
              <w:spacing w:line="240" w:lineRule="exact"/>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使用</w:t>
            </w:r>
            <w:r>
              <w:rPr>
                <w:rFonts w:hint="eastAsia" w:ascii="Times New Roman" w:hAnsi="Times New Roman"/>
                <w:color w:val="auto"/>
                <w:szCs w:val="21"/>
                <w:highlight w:val="none"/>
              </w:rPr>
              <w:t>聚乙烯</w:t>
            </w:r>
            <w:r>
              <w:rPr>
                <w:rFonts w:ascii="Times New Roman" w:hAnsi="Times New Roman"/>
                <w:color w:val="auto"/>
                <w:szCs w:val="21"/>
                <w:highlight w:val="none"/>
              </w:rPr>
              <w:t>新料生产</w:t>
            </w:r>
          </w:p>
        </w:tc>
        <w:tc>
          <w:tcPr>
            <w:tcW w:w="1111" w:type="pct"/>
            <w:tcBorders>
              <w:tl2br w:val="nil"/>
              <w:tr2bl w:val="nil"/>
            </w:tcBorders>
            <w:vAlign w:val="center"/>
          </w:tcPr>
          <w:p>
            <w:pPr>
              <w:pStyle w:val="1319"/>
              <w:spacing w:line="240" w:lineRule="exact"/>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rPr>
              <w:t>直径2cm-1.2m，长度约6m，具体可根据客户要求定制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04" w:type="pct"/>
            <w:tcBorders>
              <w:tl2br w:val="nil"/>
              <w:tr2bl w:val="nil"/>
            </w:tcBorders>
            <w:vAlign w:val="center"/>
          </w:tcPr>
          <w:p>
            <w:pPr>
              <w:pStyle w:val="1319"/>
              <w:spacing w:line="240" w:lineRule="exact"/>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2</w:t>
            </w:r>
          </w:p>
        </w:tc>
        <w:tc>
          <w:tcPr>
            <w:tcW w:w="832" w:type="pct"/>
            <w:tcBorders>
              <w:tl2br w:val="nil"/>
              <w:tr2bl w:val="nil"/>
            </w:tcBorders>
            <w:vAlign w:val="center"/>
          </w:tcPr>
          <w:p>
            <w:pPr>
              <w:pStyle w:val="1319"/>
              <w:spacing w:line="240" w:lineRule="exact"/>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中空壁缠绕管</w:t>
            </w:r>
          </w:p>
        </w:tc>
        <w:tc>
          <w:tcPr>
            <w:tcW w:w="916" w:type="pct"/>
            <w:tcBorders>
              <w:tl2br w:val="nil"/>
              <w:tr2bl w:val="nil"/>
            </w:tcBorders>
            <w:vAlign w:val="center"/>
          </w:tcPr>
          <w:p>
            <w:pPr>
              <w:pStyle w:val="1319"/>
              <w:spacing w:line="240" w:lineRule="exact"/>
              <w:ind w:firstLine="0" w:firstLineChars="0"/>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2000</w:t>
            </w:r>
          </w:p>
        </w:tc>
        <w:tc>
          <w:tcPr>
            <w:tcW w:w="1734" w:type="pct"/>
            <w:tcBorders>
              <w:tl2br w:val="nil"/>
              <w:tr2bl w:val="nil"/>
            </w:tcBorders>
            <w:vAlign w:val="center"/>
          </w:tcPr>
          <w:p>
            <w:pPr>
              <w:pStyle w:val="1319"/>
              <w:spacing w:line="240" w:lineRule="exact"/>
              <w:ind w:firstLine="0" w:firstLineChars="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废聚乙烯破碎</w:t>
            </w:r>
            <w:r>
              <w:rPr>
                <w:rFonts w:hint="eastAsia" w:ascii="Times New Roman" w:hAnsi="Times New Roman" w:eastAsia="宋体" w:cs="Times New Roman"/>
                <w:color w:val="auto"/>
                <w:kern w:val="2"/>
                <w:sz w:val="21"/>
                <w:szCs w:val="21"/>
                <w:highlight w:val="none"/>
                <w:lang w:val="en-US" w:eastAsia="zh-CN" w:bidi="ar-SA"/>
              </w:rPr>
              <w:t>料造粒后</w:t>
            </w:r>
            <w:r>
              <w:rPr>
                <w:rFonts w:ascii="Times New Roman" w:hAnsi="Times New Roman" w:eastAsia="宋体" w:cs="Times New Roman"/>
                <w:color w:val="auto"/>
                <w:kern w:val="2"/>
                <w:sz w:val="21"/>
                <w:szCs w:val="21"/>
                <w:highlight w:val="none"/>
                <w:lang w:val="en-US" w:eastAsia="zh-CN" w:bidi="ar-SA"/>
              </w:rPr>
              <w:t>生产</w:t>
            </w:r>
          </w:p>
        </w:tc>
        <w:tc>
          <w:tcPr>
            <w:tcW w:w="1111" w:type="pct"/>
            <w:vMerge w:val="restart"/>
            <w:tcBorders>
              <w:tl2br w:val="nil"/>
              <w:tr2bl w:val="nil"/>
            </w:tcBorders>
            <w:vAlign w:val="center"/>
          </w:tcPr>
          <w:p>
            <w:pPr>
              <w:pStyle w:val="1319"/>
              <w:spacing w:line="240" w:lineRule="exact"/>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rPr>
              <w:t>直径20cm-60cm，长度约6m，具体可根据客户要求定制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4" w:type="pct"/>
            <w:tcBorders>
              <w:tl2br w:val="nil"/>
              <w:tr2bl w:val="nil"/>
            </w:tcBorders>
            <w:vAlign w:val="center"/>
          </w:tcPr>
          <w:p>
            <w:pPr>
              <w:pStyle w:val="1319"/>
              <w:spacing w:line="240" w:lineRule="exact"/>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3</w:t>
            </w:r>
          </w:p>
        </w:tc>
        <w:tc>
          <w:tcPr>
            <w:tcW w:w="832" w:type="pct"/>
            <w:tcBorders>
              <w:tl2br w:val="nil"/>
              <w:tr2bl w:val="nil"/>
            </w:tcBorders>
            <w:vAlign w:val="center"/>
          </w:tcPr>
          <w:p>
            <w:pPr>
              <w:pStyle w:val="1319"/>
              <w:spacing w:line="240" w:lineRule="exact"/>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双壁波纹管</w:t>
            </w:r>
          </w:p>
        </w:tc>
        <w:tc>
          <w:tcPr>
            <w:tcW w:w="916" w:type="pct"/>
            <w:tcBorders>
              <w:tl2br w:val="nil"/>
              <w:tr2bl w:val="nil"/>
            </w:tcBorders>
            <w:vAlign w:val="center"/>
          </w:tcPr>
          <w:p>
            <w:pPr>
              <w:pStyle w:val="1319"/>
              <w:spacing w:line="240" w:lineRule="exact"/>
              <w:ind w:firstLine="0" w:firstLineChars="0"/>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3200</w:t>
            </w:r>
          </w:p>
        </w:tc>
        <w:tc>
          <w:tcPr>
            <w:tcW w:w="1734" w:type="pct"/>
            <w:tcBorders>
              <w:tl2br w:val="nil"/>
              <w:tr2bl w:val="nil"/>
            </w:tcBorders>
            <w:vAlign w:val="center"/>
          </w:tcPr>
          <w:p>
            <w:pPr>
              <w:pStyle w:val="1319"/>
              <w:spacing w:line="240" w:lineRule="exact"/>
              <w:ind w:firstLine="0" w:firstLineChars="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废聚乙烯破碎</w:t>
            </w:r>
            <w:r>
              <w:rPr>
                <w:rFonts w:hint="eastAsia" w:ascii="Times New Roman" w:hAnsi="Times New Roman" w:eastAsia="宋体" w:cs="Times New Roman"/>
                <w:color w:val="auto"/>
                <w:kern w:val="2"/>
                <w:sz w:val="21"/>
                <w:szCs w:val="21"/>
                <w:highlight w:val="none"/>
                <w:lang w:val="en-US" w:eastAsia="zh-CN" w:bidi="ar-SA"/>
              </w:rPr>
              <w:t>料造粒后</w:t>
            </w:r>
            <w:r>
              <w:rPr>
                <w:rFonts w:ascii="Times New Roman" w:hAnsi="Times New Roman" w:eastAsia="宋体" w:cs="Times New Roman"/>
                <w:color w:val="auto"/>
                <w:kern w:val="2"/>
                <w:sz w:val="21"/>
                <w:szCs w:val="21"/>
                <w:highlight w:val="none"/>
                <w:lang w:val="en-US" w:eastAsia="zh-CN" w:bidi="ar-SA"/>
              </w:rPr>
              <w:t>生产</w:t>
            </w:r>
          </w:p>
        </w:tc>
        <w:tc>
          <w:tcPr>
            <w:tcW w:w="1111" w:type="pct"/>
            <w:vMerge w:val="continue"/>
            <w:tcBorders>
              <w:tl2br w:val="nil"/>
              <w:tr2bl w:val="nil"/>
            </w:tcBorders>
            <w:vAlign w:val="center"/>
          </w:tcPr>
          <w:p>
            <w:pPr>
              <w:pStyle w:val="1319"/>
              <w:spacing w:line="240" w:lineRule="exact"/>
              <w:ind w:firstLine="0" w:firstLineChars="0"/>
              <w:jc w:val="center"/>
              <w:rPr>
                <w:rFonts w:ascii="Times New Roman" w:hAnsi="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4" w:type="pct"/>
            <w:tcBorders>
              <w:tl2br w:val="nil"/>
              <w:tr2bl w:val="nil"/>
            </w:tcBorders>
            <w:vAlign w:val="center"/>
          </w:tcPr>
          <w:p>
            <w:pPr>
              <w:pStyle w:val="1319"/>
              <w:spacing w:line="240" w:lineRule="exact"/>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4</w:t>
            </w:r>
          </w:p>
        </w:tc>
        <w:tc>
          <w:tcPr>
            <w:tcW w:w="832" w:type="pct"/>
            <w:tcBorders>
              <w:tl2br w:val="nil"/>
              <w:tr2bl w:val="nil"/>
            </w:tcBorders>
            <w:vAlign w:val="center"/>
          </w:tcPr>
          <w:p>
            <w:pPr>
              <w:pStyle w:val="1319"/>
              <w:spacing w:line="240" w:lineRule="exact"/>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注塑</w:t>
            </w:r>
            <w:r>
              <w:rPr>
                <w:rFonts w:hint="eastAsia" w:ascii="Times New Roman" w:hAnsi="Times New Roman"/>
                <w:color w:val="auto"/>
                <w:szCs w:val="21"/>
                <w:highlight w:val="none"/>
              </w:rPr>
              <w:t>污水</w:t>
            </w:r>
            <w:r>
              <w:rPr>
                <w:rFonts w:ascii="Times New Roman" w:hAnsi="Times New Roman"/>
                <w:color w:val="auto"/>
                <w:szCs w:val="21"/>
                <w:highlight w:val="none"/>
              </w:rPr>
              <w:t>管件</w:t>
            </w:r>
          </w:p>
        </w:tc>
        <w:tc>
          <w:tcPr>
            <w:tcW w:w="916" w:type="pct"/>
            <w:tcBorders>
              <w:tl2br w:val="nil"/>
              <w:tr2bl w:val="nil"/>
            </w:tcBorders>
            <w:vAlign w:val="center"/>
          </w:tcPr>
          <w:p>
            <w:pPr>
              <w:pStyle w:val="1319"/>
              <w:spacing w:line="240" w:lineRule="exact"/>
              <w:ind w:firstLine="0" w:firstLineChars="0"/>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8000</w:t>
            </w:r>
          </w:p>
        </w:tc>
        <w:tc>
          <w:tcPr>
            <w:tcW w:w="1734" w:type="pct"/>
            <w:tcBorders>
              <w:tl2br w:val="nil"/>
              <w:tr2bl w:val="nil"/>
            </w:tcBorders>
            <w:vAlign w:val="center"/>
          </w:tcPr>
          <w:p>
            <w:pPr>
              <w:pStyle w:val="24"/>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使用废聚丙烯破碎</w:t>
            </w:r>
            <w:r>
              <w:rPr>
                <w:rFonts w:hint="eastAsia" w:ascii="Times New Roman" w:hAnsi="Times New Roman" w:eastAsia="宋体" w:cs="Times New Roman"/>
                <w:color w:val="auto"/>
                <w:kern w:val="2"/>
                <w:sz w:val="21"/>
                <w:szCs w:val="21"/>
                <w:highlight w:val="none"/>
                <w:lang w:val="en-US" w:eastAsia="zh-CN" w:bidi="ar-SA"/>
              </w:rPr>
              <w:t>料造粒后</w:t>
            </w:r>
            <w:r>
              <w:rPr>
                <w:rFonts w:ascii="Times New Roman" w:hAnsi="Times New Roman" w:eastAsia="宋体" w:cs="Times New Roman"/>
                <w:color w:val="auto"/>
                <w:kern w:val="2"/>
                <w:sz w:val="21"/>
                <w:szCs w:val="21"/>
                <w:highlight w:val="none"/>
                <w:lang w:val="en-US" w:eastAsia="zh-CN" w:bidi="ar-SA"/>
              </w:rPr>
              <w:t>生产，包括检查井配件、垃圾桶、托盘等</w:t>
            </w:r>
          </w:p>
        </w:tc>
        <w:tc>
          <w:tcPr>
            <w:tcW w:w="1111" w:type="pct"/>
            <w:tcBorders>
              <w:tl2br w:val="nil"/>
              <w:tr2bl w:val="nil"/>
            </w:tcBorders>
            <w:vAlign w:val="center"/>
          </w:tcPr>
          <w:p>
            <w:pPr>
              <w:pStyle w:val="1319"/>
              <w:spacing w:line="240" w:lineRule="exact"/>
              <w:ind w:firstLine="0" w:firstLineChars="0"/>
              <w:jc w:val="center"/>
              <w:rPr>
                <w:rFonts w:ascii="Times New Roman" w:hAnsi="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4" w:type="pct"/>
            <w:tcBorders>
              <w:tl2br w:val="nil"/>
              <w:tr2bl w:val="nil"/>
            </w:tcBorders>
            <w:vAlign w:val="center"/>
          </w:tcPr>
          <w:p>
            <w:pPr>
              <w:pStyle w:val="1319"/>
              <w:spacing w:line="240" w:lineRule="exact"/>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5</w:t>
            </w:r>
          </w:p>
        </w:tc>
        <w:tc>
          <w:tcPr>
            <w:tcW w:w="832" w:type="pct"/>
            <w:tcBorders>
              <w:tl2br w:val="nil"/>
              <w:tr2bl w:val="nil"/>
            </w:tcBorders>
            <w:vAlign w:val="center"/>
          </w:tcPr>
          <w:p>
            <w:pPr>
              <w:pStyle w:val="1319"/>
              <w:spacing w:line="240" w:lineRule="exact"/>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合计</w:t>
            </w:r>
          </w:p>
        </w:tc>
        <w:tc>
          <w:tcPr>
            <w:tcW w:w="916" w:type="pct"/>
            <w:tcBorders>
              <w:tl2br w:val="nil"/>
              <w:tr2bl w:val="nil"/>
            </w:tcBorders>
            <w:vAlign w:val="center"/>
          </w:tcPr>
          <w:p>
            <w:pPr>
              <w:pStyle w:val="1319"/>
              <w:spacing w:line="240" w:lineRule="exact"/>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2</w:t>
            </w:r>
            <w:r>
              <w:rPr>
                <w:rFonts w:ascii="Times New Roman" w:hAnsi="Times New Roman"/>
                <w:color w:val="auto"/>
                <w:szCs w:val="21"/>
                <w:highlight w:val="none"/>
              </w:rPr>
              <w:t>0000</w:t>
            </w:r>
          </w:p>
        </w:tc>
        <w:tc>
          <w:tcPr>
            <w:tcW w:w="1734" w:type="pct"/>
            <w:tcBorders>
              <w:tl2br w:val="nil"/>
              <w:tr2bl w:val="nil"/>
            </w:tcBorders>
            <w:vAlign w:val="center"/>
          </w:tcPr>
          <w:p>
            <w:pPr>
              <w:pStyle w:val="1319"/>
              <w:spacing w:line="240" w:lineRule="exact"/>
              <w:ind w:firstLine="0" w:firstLineChars="0"/>
              <w:jc w:val="center"/>
              <w:rPr>
                <w:rFonts w:ascii="Times New Roman" w:hAnsi="Times New Roman"/>
                <w:color w:val="auto"/>
                <w:szCs w:val="21"/>
                <w:highlight w:val="none"/>
              </w:rPr>
            </w:pPr>
          </w:p>
        </w:tc>
        <w:tc>
          <w:tcPr>
            <w:tcW w:w="1111" w:type="pct"/>
            <w:tcBorders>
              <w:tl2br w:val="nil"/>
              <w:tr2bl w:val="nil"/>
            </w:tcBorders>
            <w:vAlign w:val="center"/>
          </w:tcPr>
          <w:p>
            <w:pPr>
              <w:pStyle w:val="1319"/>
              <w:spacing w:line="240" w:lineRule="exact"/>
              <w:ind w:firstLine="0" w:firstLineChars="0"/>
              <w:jc w:val="center"/>
              <w:rPr>
                <w:rFonts w:ascii="Times New Roman" w:hAnsi="Times New Roman"/>
                <w:color w:val="auto"/>
                <w:szCs w:val="21"/>
                <w:highlight w:val="none"/>
              </w:rPr>
            </w:pPr>
          </w:p>
        </w:tc>
      </w:tr>
      <w:bookmarkEnd w:id="106"/>
      <w:bookmarkEnd w:id="107"/>
    </w:tbl>
    <w:p>
      <w:pPr>
        <w:pStyle w:val="101"/>
        <w:spacing w:before="78"/>
        <w:rPr>
          <w:rFonts w:ascii="Times New Roman" w:hAnsi="Times New Roman"/>
          <w:color w:val="auto"/>
          <w:highlight w:val="none"/>
        </w:rPr>
      </w:pPr>
      <w:bookmarkStart w:id="108" w:name="_Hlk42867145"/>
      <w:r>
        <w:rPr>
          <w:rFonts w:ascii="Times New Roman" w:hAnsi="Times New Roman"/>
          <w:color w:val="auto"/>
          <w:highlight w:val="none"/>
        </w:rPr>
        <w:t>2.1.5主要原料及动力消耗</w:t>
      </w:r>
    </w:p>
    <w:p>
      <w:pPr>
        <w:pStyle w:val="102"/>
        <w:ind w:firstLine="480"/>
        <w:rPr>
          <w:color w:val="auto"/>
          <w:highlight w:val="none"/>
        </w:rPr>
      </w:pPr>
      <w:r>
        <w:rPr>
          <w:color w:val="auto"/>
          <w:highlight w:val="none"/>
        </w:rPr>
        <w:t>主要原料消耗见表2.1-</w:t>
      </w:r>
      <w:r>
        <w:rPr>
          <w:rFonts w:hint="eastAsia"/>
          <w:color w:val="auto"/>
          <w:highlight w:val="none"/>
          <w:lang w:val="en-US" w:eastAsia="zh-CN"/>
        </w:rPr>
        <w:t>4</w:t>
      </w:r>
      <w:r>
        <w:rPr>
          <w:rFonts w:hint="eastAsia"/>
          <w:color w:val="auto"/>
          <w:highlight w:val="none"/>
        </w:rPr>
        <w:t>。</w:t>
      </w:r>
    </w:p>
    <w:p>
      <w:pPr>
        <w:widowControl/>
        <w:spacing w:line="360" w:lineRule="auto"/>
        <w:ind w:firstLine="480" w:firstLineChars="200"/>
        <w:jc w:val="center"/>
        <w:rPr>
          <w:rFonts w:eastAsia="黑体"/>
          <w:color w:val="auto"/>
          <w:sz w:val="24"/>
          <w:highlight w:val="none"/>
        </w:rPr>
      </w:pPr>
      <w:bookmarkStart w:id="109" w:name="_Hlk50284836"/>
      <w:r>
        <w:rPr>
          <w:rFonts w:eastAsia="黑体"/>
          <w:color w:val="auto"/>
          <w:sz w:val="24"/>
          <w:highlight w:val="none"/>
        </w:rPr>
        <w:t>表2.1-</w:t>
      </w:r>
      <w:r>
        <w:rPr>
          <w:rFonts w:hint="eastAsia" w:eastAsia="黑体"/>
          <w:color w:val="auto"/>
          <w:sz w:val="24"/>
          <w:highlight w:val="none"/>
          <w:lang w:val="en-US" w:eastAsia="zh-CN"/>
        </w:rPr>
        <w:t>4</w:t>
      </w:r>
      <w:r>
        <w:rPr>
          <w:rFonts w:eastAsia="黑体"/>
          <w:color w:val="auto"/>
          <w:sz w:val="24"/>
          <w:highlight w:val="none"/>
        </w:rPr>
        <w:t xml:space="preserve">  主要原辅料</w:t>
      </w:r>
      <w:r>
        <w:rPr>
          <w:rFonts w:hint="eastAsia" w:eastAsia="黑体"/>
          <w:color w:val="auto"/>
          <w:sz w:val="24"/>
          <w:highlight w:val="none"/>
        </w:rPr>
        <w:t>及能源</w:t>
      </w:r>
      <w:r>
        <w:rPr>
          <w:rFonts w:eastAsia="黑体"/>
          <w:color w:val="auto"/>
          <w:sz w:val="24"/>
          <w:highlight w:val="none"/>
        </w:rPr>
        <w:t>消耗一览表</w:t>
      </w:r>
    </w:p>
    <w:tbl>
      <w:tblPr>
        <w:tblStyle w:val="5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718"/>
        <w:gridCol w:w="1064"/>
        <w:gridCol w:w="1091"/>
        <w:gridCol w:w="1621"/>
        <w:gridCol w:w="1133"/>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op w:val="single" w:color="auto" w:sz="12" w:space="0"/>
              <w:left w:val="nil"/>
            </w:tcBorders>
            <w:vAlign w:val="center"/>
          </w:tcPr>
          <w:p>
            <w:pPr>
              <w:pStyle w:val="105"/>
              <w:rPr>
                <w:color w:val="auto"/>
                <w:sz w:val="21"/>
                <w:szCs w:val="21"/>
                <w:highlight w:val="none"/>
              </w:rPr>
            </w:pPr>
            <w:r>
              <w:rPr>
                <w:color w:val="auto"/>
                <w:sz w:val="21"/>
                <w:szCs w:val="21"/>
                <w:highlight w:val="none"/>
              </w:rPr>
              <w:t>序号</w:t>
            </w:r>
          </w:p>
        </w:tc>
        <w:tc>
          <w:tcPr>
            <w:tcW w:w="954" w:type="pct"/>
            <w:tcBorders>
              <w:top w:val="single" w:color="auto" w:sz="12" w:space="0"/>
            </w:tcBorders>
            <w:vAlign w:val="center"/>
          </w:tcPr>
          <w:p>
            <w:pPr>
              <w:pStyle w:val="105"/>
              <w:rPr>
                <w:color w:val="auto"/>
                <w:sz w:val="21"/>
                <w:szCs w:val="21"/>
                <w:highlight w:val="none"/>
              </w:rPr>
            </w:pPr>
            <w:r>
              <w:rPr>
                <w:color w:val="auto"/>
                <w:sz w:val="21"/>
                <w:szCs w:val="21"/>
                <w:highlight w:val="none"/>
              </w:rPr>
              <w:t>名称</w:t>
            </w:r>
          </w:p>
        </w:tc>
        <w:tc>
          <w:tcPr>
            <w:tcW w:w="591" w:type="pct"/>
            <w:tcBorders>
              <w:top w:val="single" w:color="auto" w:sz="12" w:space="0"/>
              <w:right w:val="nil"/>
            </w:tcBorders>
            <w:vAlign w:val="center"/>
          </w:tcPr>
          <w:p>
            <w:pPr>
              <w:pStyle w:val="105"/>
              <w:rPr>
                <w:color w:val="auto"/>
                <w:sz w:val="21"/>
                <w:szCs w:val="21"/>
                <w:highlight w:val="none"/>
              </w:rPr>
            </w:pPr>
            <w:r>
              <w:rPr>
                <w:color w:val="auto"/>
                <w:sz w:val="21"/>
                <w:szCs w:val="21"/>
                <w:highlight w:val="none"/>
              </w:rPr>
              <w:t>用量</w:t>
            </w:r>
          </w:p>
        </w:tc>
        <w:tc>
          <w:tcPr>
            <w:tcW w:w="606" w:type="pct"/>
            <w:tcBorders>
              <w:top w:val="single" w:color="auto" w:sz="12" w:space="0"/>
              <w:right w:val="nil"/>
            </w:tcBorders>
            <w:vAlign w:val="center"/>
          </w:tcPr>
          <w:p>
            <w:pPr>
              <w:pStyle w:val="105"/>
              <w:rPr>
                <w:color w:val="auto"/>
                <w:sz w:val="21"/>
                <w:szCs w:val="21"/>
                <w:highlight w:val="none"/>
              </w:rPr>
            </w:pPr>
            <w:r>
              <w:rPr>
                <w:rFonts w:hint="eastAsia"/>
                <w:color w:val="auto"/>
                <w:sz w:val="21"/>
                <w:szCs w:val="21"/>
                <w:highlight w:val="none"/>
              </w:rPr>
              <w:t>单位</w:t>
            </w:r>
          </w:p>
        </w:tc>
        <w:tc>
          <w:tcPr>
            <w:tcW w:w="900" w:type="pct"/>
            <w:tcBorders>
              <w:top w:val="single" w:color="auto" w:sz="12" w:space="0"/>
              <w:right w:val="nil"/>
            </w:tcBorders>
            <w:vAlign w:val="center"/>
          </w:tcPr>
          <w:p>
            <w:pPr>
              <w:pStyle w:val="1321"/>
              <w:rPr>
                <w:color w:val="auto"/>
                <w:sz w:val="21"/>
                <w:szCs w:val="21"/>
                <w:highlight w:val="none"/>
              </w:rPr>
            </w:pPr>
            <w:r>
              <w:rPr>
                <w:bCs/>
                <w:color w:val="auto"/>
                <w:sz w:val="21"/>
                <w:szCs w:val="21"/>
                <w:highlight w:val="none"/>
              </w:rPr>
              <w:t>来源</w:t>
            </w:r>
          </w:p>
        </w:tc>
        <w:tc>
          <w:tcPr>
            <w:tcW w:w="629" w:type="pct"/>
            <w:tcBorders>
              <w:top w:val="single" w:color="auto" w:sz="12" w:space="0"/>
              <w:right w:val="nil"/>
            </w:tcBorders>
            <w:vAlign w:val="center"/>
          </w:tcPr>
          <w:p>
            <w:pPr>
              <w:pStyle w:val="1321"/>
              <w:rPr>
                <w:color w:val="auto"/>
                <w:sz w:val="21"/>
                <w:szCs w:val="21"/>
                <w:highlight w:val="none"/>
              </w:rPr>
            </w:pPr>
            <w:r>
              <w:rPr>
                <w:bCs/>
                <w:color w:val="auto"/>
                <w:sz w:val="21"/>
                <w:szCs w:val="21"/>
                <w:highlight w:val="none"/>
              </w:rPr>
              <w:t>运输方式</w:t>
            </w:r>
          </w:p>
        </w:tc>
        <w:tc>
          <w:tcPr>
            <w:tcW w:w="961" w:type="pct"/>
            <w:tcBorders>
              <w:top w:val="single" w:color="auto" w:sz="12" w:space="0"/>
              <w:right w:val="nil"/>
            </w:tcBorders>
            <w:vAlign w:val="center"/>
          </w:tcPr>
          <w:p>
            <w:pPr>
              <w:pStyle w:val="1321"/>
              <w:rPr>
                <w:color w:val="auto"/>
                <w:sz w:val="21"/>
                <w:szCs w:val="21"/>
                <w:highlight w:val="none"/>
              </w:rPr>
            </w:pPr>
            <w:r>
              <w:rPr>
                <w:rFonts w:hint="eastAsia"/>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left w:val="nil"/>
            </w:tcBorders>
            <w:vAlign w:val="center"/>
          </w:tcPr>
          <w:p>
            <w:pPr>
              <w:pStyle w:val="105"/>
              <w:rPr>
                <w:color w:val="auto"/>
                <w:sz w:val="21"/>
                <w:szCs w:val="21"/>
                <w:highlight w:val="none"/>
              </w:rPr>
            </w:pPr>
            <w:r>
              <w:rPr>
                <w:color w:val="auto"/>
                <w:sz w:val="21"/>
                <w:szCs w:val="21"/>
                <w:highlight w:val="none"/>
              </w:rPr>
              <w:t>1</w:t>
            </w:r>
          </w:p>
        </w:tc>
        <w:tc>
          <w:tcPr>
            <w:tcW w:w="954" w:type="pct"/>
            <w:vAlign w:val="center"/>
          </w:tcPr>
          <w:p>
            <w:pPr>
              <w:pStyle w:val="105"/>
              <w:rPr>
                <w:color w:val="auto"/>
                <w:sz w:val="21"/>
                <w:szCs w:val="21"/>
                <w:highlight w:val="none"/>
              </w:rPr>
            </w:pPr>
            <w:r>
              <w:rPr>
                <w:rFonts w:hint="eastAsia"/>
                <w:color w:val="auto"/>
                <w:sz w:val="21"/>
                <w:szCs w:val="21"/>
                <w:highlight w:val="none"/>
              </w:rPr>
              <w:t>聚乙烯颗粒新料</w:t>
            </w:r>
          </w:p>
        </w:tc>
        <w:tc>
          <w:tcPr>
            <w:tcW w:w="1064" w:type="dxa"/>
            <w:tcBorders>
              <w:right w:val="nil"/>
            </w:tcBorders>
            <w:vAlign w:val="center"/>
          </w:tcPr>
          <w:p>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6803.42</w:t>
            </w:r>
          </w:p>
        </w:tc>
        <w:tc>
          <w:tcPr>
            <w:tcW w:w="606" w:type="pct"/>
            <w:tcBorders>
              <w:right w:val="nil"/>
            </w:tcBorders>
            <w:vAlign w:val="center"/>
          </w:tcPr>
          <w:p>
            <w:pPr>
              <w:pStyle w:val="105"/>
              <w:rPr>
                <w:color w:val="auto"/>
                <w:sz w:val="21"/>
                <w:szCs w:val="21"/>
                <w:highlight w:val="none"/>
              </w:rPr>
            </w:pPr>
            <w:r>
              <w:rPr>
                <w:color w:val="auto"/>
                <w:sz w:val="21"/>
                <w:szCs w:val="21"/>
                <w:highlight w:val="none"/>
              </w:rPr>
              <w:t>t/a</w:t>
            </w:r>
          </w:p>
        </w:tc>
        <w:tc>
          <w:tcPr>
            <w:tcW w:w="900" w:type="pct"/>
            <w:tcBorders>
              <w:right w:val="nil"/>
            </w:tcBorders>
            <w:vAlign w:val="center"/>
          </w:tcPr>
          <w:p>
            <w:pPr>
              <w:pStyle w:val="105"/>
              <w:rPr>
                <w:color w:val="auto"/>
                <w:sz w:val="21"/>
                <w:szCs w:val="21"/>
                <w:highlight w:val="none"/>
              </w:rPr>
            </w:pPr>
            <w:r>
              <w:rPr>
                <w:rFonts w:hint="eastAsia"/>
                <w:color w:val="auto"/>
                <w:sz w:val="21"/>
                <w:szCs w:val="21"/>
                <w:highlight w:val="none"/>
              </w:rPr>
              <w:t>外购</w:t>
            </w:r>
          </w:p>
        </w:tc>
        <w:tc>
          <w:tcPr>
            <w:tcW w:w="629" w:type="pct"/>
            <w:tcBorders>
              <w:right w:val="nil"/>
            </w:tcBorders>
            <w:vAlign w:val="center"/>
          </w:tcPr>
          <w:p>
            <w:pPr>
              <w:pStyle w:val="105"/>
              <w:rPr>
                <w:color w:val="auto"/>
                <w:sz w:val="21"/>
                <w:szCs w:val="21"/>
                <w:highlight w:val="none"/>
              </w:rPr>
            </w:pPr>
            <w:r>
              <w:rPr>
                <w:rFonts w:hint="eastAsia"/>
                <w:color w:val="auto"/>
                <w:sz w:val="21"/>
                <w:szCs w:val="21"/>
                <w:highlight w:val="none"/>
              </w:rPr>
              <w:t>汽车</w:t>
            </w:r>
          </w:p>
        </w:tc>
        <w:tc>
          <w:tcPr>
            <w:tcW w:w="961" w:type="pct"/>
            <w:tcBorders>
              <w:right w:val="nil"/>
            </w:tcBorders>
            <w:vAlign w:val="center"/>
          </w:tcPr>
          <w:p>
            <w:pPr>
              <w:pStyle w:val="105"/>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 w:type="pct"/>
            <w:tcBorders>
              <w:left w:val="nil"/>
            </w:tcBorders>
            <w:vAlign w:val="center"/>
          </w:tcPr>
          <w:p>
            <w:pPr>
              <w:pStyle w:val="105"/>
              <w:rPr>
                <w:color w:val="auto"/>
                <w:sz w:val="21"/>
                <w:szCs w:val="21"/>
                <w:highlight w:val="none"/>
              </w:rPr>
            </w:pPr>
            <w:r>
              <w:rPr>
                <w:rFonts w:hint="eastAsia"/>
                <w:color w:val="auto"/>
                <w:sz w:val="21"/>
                <w:szCs w:val="21"/>
                <w:highlight w:val="none"/>
              </w:rPr>
              <w:t>2</w:t>
            </w:r>
          </w:p>
        </w:tc>
        <w:tc>
          <w:tcPr>
            <w:tcW w:w="954" w:type="pct"/>
            <w:vAlign w:val="center"/>
          </w:tcPr>
          <w:p>
            <w:pPr>
              <w:pStyle w:val="105"/>
              <w:rPr>
                <w:color w:val="auto"/>
                <w:sz w:val="21"/>
                <w:szCs w:val="21"/>
                <w:highlight w:val="none"/>
              </w:rPr>
            </w:pPr>
            <w:r>
              <w:rPr>
                <w:rFonts w:hint="eastAsia"/>
                <w:color w:val="auto"/>
                <w:sz w:val="21"/>
                <w:szCs w:val="21"/>
                <w:highlight w:val="none"/>
              </w:rPr>
              <w:t>色母料（新料）</w:t>
            </w:r>
          </w:p>
        </w:tc>
        <w:tc>
          <w:tcPr>
            <w:tcW w:w="1064" w:type="dxa"/>
            <w:tcBorders>
              <w:right w:val="nil"/>
            </w:tcBorders>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251.98</w:t>
            </w:r>
          </w:p>
        </w:tc>
        <w:tc>
          <w:tcPr>
            <w:tcW w:w="606" w:type="pct"/>
            <w:tcBorders>
              <w:right w:val="nil"/>
            </w:tcBorders>
            <w:vAlign w:val="center"/>
          </w:tcPr>
          <w:p>
            <w:pPr>
              <w:pStyle w:val="105"/>
              <w:rPr>
                <w:color w:val="auto"/>
                <w:sz w:val="21"/>
                <w:szCs w:val="21"/>
                <w:highlight w:val="none"/>
              </w:rPr>
            </w:pPr>
            <w:r>
              <w:rPr>
                <w:rFonts w:hint="eastAsia"/>
                <w:color w:val="auto"/>
                <w:sz w:val="21"/>
                <w:szCs w:val="21"/>
                <w:highlight w:val="none"/>
              </w:rPr>
              <w:t>t/a</w:t>
            </w:r>
          </w:p>
        </w:tc>
        <w:tc>
          <w:tcPr>
            <w:tcW w:w="900" w:type="pct"/>
            <w:tcBorders>
              <w:right w:val="nil"/>
            </w:tcBorders>
            <w:vAlign w:val="center"/>
          </w:tcPr>
          <w:p>
            <w:pPr>
              <w:pStyle w:val="105"/>
              <w:rPr>
                <w:color w:val="auto"/>
                <w:sz w:val="21"/>
                <w:szCs w:val="21"/>
                <w:highlight w:val="none"/>
              </w:rPr>
            </w:pPr>
            <w:r>
              <w:rPr>
                <w:rFonts w:hint="eastAsia"/>
                <w:color w:val="auto"/>
                <w:sz w:val="21"/>
                <w:szCs w:val="21"/>
                <w:highlight w:val="none"/>
              </w:rPr>
              <w:t>外购</w:t>
            </w:r>
          </w:p>
        </w:tc>
        <w:tc>
          <w:tcPr>
            <w:tcW w:w="629" w:type="pct"/>
            <w:tcBorders>
              <w:right w:val="nil"/>
            </w:tcBorders>
            <w:vAlign w:val="center"/>
          </w:tcPr>
          <w:p>
            <w:pPr>
              <w:pStyle w:val="105"/>
              <w:rPr>
                <w:color w:val="auto"/>
                <w:sz w:val="21"/>
                <w:szCs w:val="21"/>
                <w:highlight w:val="none"/>
              </w:rPr>
            </w:pPr>
            <w:r>
              <w:rPr>
                <w:rFonts w:hint="eastAsia"/>
                <w:color w:val="auto"/>
                <w:sz w:val="21"/>
                <w:szCs w:val="21"/>
                <w:highlight w:val="none"/>
              </w:rPr>
              <w:t>汽车</w:t>
            </w:r>
          </w:p>
        </w:tc>
        <w:tc>
          <w:tcPr>
            <w:tcW w:w="961" w:type="pct"/>
            <w:tcBorders>
              <w:right w:val="nil"/>
            </w:tcBorders>
            <w:vAlign w:val="center"/>
          </w:tcPr>
          <w:p>
            <w:pPr>
              <w:pStyle w:val="105"/>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left w:val="nil"/>
            </w:tcBorders>
            <w:vAlign w:val="center"/>
          </w:tcPr>
          <w:p>
            <w:pPr>
              <w:pStyle w:val="105"/>
              <w:rPr>
                <w:color w:val="auto"/>
                <w:sz w:val="21"/>
                <w:szCs w:val="21"/>
                <w:highlight w:val="none"/>
              </w:rPr>
            </w:pPr>
            <w:r>
              <w:rPr>
                <w:color w:val="auto"/>
                <w:sz w:val="21"/>
                <w:szCs w:val="21"/>
                <w:highlight w:val="none"/>
              </w:rPr>
              <w:t>3</w:t>
            </w:r>
          </w:p>
        </w:tc>
        <w:tc>
          <w:tcPr>
            <w:tcW w:w="954" w:type="pct"/>
            <w:vAlign w:val="center"/>
          </w:tcPr>
          <w:p>
            <w:pPr>
              <w:pStyle w:val="105"/>
              <w:rPr>
                <w:color w:val="auto"/>
                <w:sz w:val="21"/>
                <w:szCs w:val="21"/>
                <w:highlight w:val="none"/>
              </w:rPr>
            </w:pPr>
            <w:r>
              <w:rPr>
                <w:rFonts w:hint="eastAsia"/>
                <w:color w:val="auto"/>
                <w:sz w:val="21"/>
                <w:szCs w:val="21"/>
                <w:highlight w:val="none"/>
              </w:rPr>
              <w:t>废聚乙烯破碎料</w:t>
            </w:r>
          </w:p>
        </w:tc>
        <w:tc>
          <w:tcPr>
            <w:tcW w:w="591" w:type="pct"/>
            <w:tcBorders>
              <w:right w:val="nil"/>
            </w:tcBorders>
            <w:vAlign w:val="center"/>
          </w:tcPr>
          <w:p>
            <w:pPr>
              <w:pStyle w:val="105"/>
              <w:rPr>
                <w:rFonts w:hint="default" w:eastAsia="宋体"/>
                <w:color w:val="auto"/>
                <w:sz w:val="21"/>
                <w:szCs w:val="21"/>
                <w:highlight w:val="none"/>
                <w:lang w:val="en-US" w:eastAsia="zh-CN"/>
              </w:rPr>
            </w:pPr>
            <w:r>
              <w:rPr>
                <w:rFonts w:hint="eastAsia"/>
                <w:color w:val="auto"/>
                <w:sz w:val="21"/>
                <w:szCs w:val="21"/>
                <w:highlight w:val="none"/>
                <w:lang w:val="en-US" w:eastAsia="zh-CN"/>
              </w:rPr>
              <w:t>1929.566</w:t>
            </w:r>
          </w:p>
        </w:tc>
        <w:tc>
          <w:tcPr>
            <w:tcW w:w="606" w:type="pct"/>
            <w:tcBorders>
              <w:right w:val="nil"/>
            </w:tcBorders>
            <w:vAlign w:val="center"/>
          </w:tcPr>
          <w:p>
            <w:pPr>
              <w:pStyle w:val="105"/>
              <w:rPr>
                <w:color w:val="auto"/>
                <w:sz w:val="21"/>
                <w:szCs w:val="21"/>
                <w:highlight w:val="none"/>
              </w:rPr>
            </w:pPr>
            <w:r>
              <w:rPr>
                <w:rFonts w:hint="eastAsia"/>
                <w:color w:val="auto"/>
                <w:sz w:val="21"/>
                <w:szCs w:val="21"/>
                <w:highlight w:val="none"/>
              </w:rPr>
              <w:t>t/a</w:t>
            </w:r>
          </w:p>
        </w:tc>
        <w:tc>
          <w:tcPr>
            <w:tcW w:w="900" w:type="pct"/>
            <w:tcBorders>
              <w:right w:val="nil"/>
            </w:tcBorders>
            <w:vAlign w:val="center"/>
          </w:tcPr>
          <w:p>
            <w:pPr>
              <w:pStyle w:val="105"/>
              <w:rPr>
                <w:color w:val="auto"/>
                <w:sz w:val="21"/>
                <w:szCs w:val="21"/>
                <w:highlight w:val="none"/>
              </w:rPr>
            </w:pPr>
            <w:r>
              <w:rPr>
                <w:rFonts w:hint="eastAsia"/>
                <w:color w:val="auto"/>
                <w:sz w:val="21"/>
                <w:szCs w:val="21"/>
                <w:highlight w:val="none"/>
              </w:rPr>
              <w:t>外购</w:t>
            </w:r>
          </w:p>
        </w:tc>
        <w:tc>
          <w:tcPr>
            <w:tcW w:w="629" w:type="pct"/>
            <w:tcBorders>
              <w:right w:val="nil"/>
            </w:tcBorders>
            <w:vAlign w:val="center"/>
          </w:tcPr>
          <w:p>
            <w:pPr>
              <w:pStyle w:val="105"/>
              <w:rPr>
                <w:color w:val="auto"/>
                <w:sz w:val="21"/>
                <w:szCs w:val="21"/>
                <w:highlight w:val="none"/>
              </w:rPr>
            </w:pPr>
            <w:r>
              <w:rPr>
                <w:rFonts w:hint="eastAsia"/>
                <w:color w:val="auto"/>
                <w:sz w:val="21"/>
                <w:szCs w:val="21"/>
                <w:highlight w:val="none"/>
              </w:rPr>
              <w:t>汽车</w:t>
            </w:r>
          </w:p>
        </w:tc>
        <w:tc>
          <w:tcPr>
            <w:tcW w:w="961" w:type="pct"/>
            <w:tcBorders>
              <w:right w:val="nil"/>
            </w:tcBorders>
            <w:vAlign w:val="center"/>
          </w:tcPr>
          <w:p>
            <w:pPr>
              <w:pStyle w:val="105"/>
              <w:rPr>
                <w:color w:val="auto"/>
                <w:sz w:val="21"/>
                <w:szCs w:val="21"/>
                <w:highlight w:val="none"/>
              </w:rPr>
            </w:pPr>
            <w:r>
              <w:rPr>
                <w:rFonts w:hint="eastAsia"/>
                <w:color w:val="auto"/>
                <w:sz w:val="21"/>
                <w:szCs w:val="21"/>
                <w:highlight w:val="none"/>
              </w:rPr>
              <w:t>车间内单独储存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left w:val="nil"/>
            </w:tcBorders>
            <w:vAlign w:val="center"/>
          </w:tcPr>
          <w:p>
            <w:pPr>
              <w:pStyle w:val="105"/>
              <w:rPr>
                <w:color w:val="auto"/>
                <w:sz w:val="21"/>
                <w:szCs w:val="21"/>
                <w:highlight w:val="none"/>
              </w:rPr>
            </w:pPr>
            <w:r>
              <w:rPr>
                <w:rFonts w:hint="eastAsia"/>
                <w:color w:val="auto"/>
                <w:sz w:val="21"/>
                <w:szCs w:val="21"/>
                <w:highlight w:val="none"/>
              </w:rPr>
              <w:t>4</w:t>
            </w:r>
          </w:p>
        </w:tc>
        <w:tc>
          <w:tcPr>
            <w:tcW w:w="954" w:type="pct"/>
            <w:vAlign w:val="center"/>
          </w:tcPr>
          <w:p>
            <w:pPr>
              <w:pStyle w:val="105"/>
              <w:rPr>
                <w:color w:val="auto"/>
                <w:sz w:val="21"/>
                <w:szCs w:val="21"/>
                <w:highlight w:val="none"/>
              </w:rPr>
            </w:pPr>
            <w:r>
              <w:rPr>
                <w:rFonts w:hint="eastAsia"/>
                <w:color w:val="auto"/>
                <w:sz w:val="21"/>
                <w:szCs w:val="21"/>
                <w:highlight w:val="none"/>
              </w:rPr>
              <w:t>废聚丙烯破碎料</w:t>
            </w:r>
          </w:p>
        </w:tc>
        <w:tc>
          <w:tcPr>
            <w:tcW w:w="591" w:type="pct"/>
            <w:tcBorders>
              <w:right w:val="nil"/>
            </w:tcBorders>
            <w:vAlign w:val="center"/>
          </w:tcPr>
          <w:p>
            <w:pPr>
              <w:pStyle w:val="105"/>
              <w:rPr>
                <w:rFonts w:hint="default" w:eastAsia="宋体"/>
                <w:color w:val="auto"/>
                <w:sz w:val="21"/>
                <w:szCs w:val="21"/>
                <w:highlight w:val="none"/>
                <w:lang w:val="en-US" w:eastAsia="zh-CN"/>
              </w:rPr>
            </w:pPr>
            <w:r>
              <w:rPr>
                <w:rFonts w:hint="eastAsia"/>
                <w:color w:val="auto"/>
                <w:sz w:val="21"/>
                <w:szCs w:val="21"/>
                <w:highlight w:val="none"/>
                <w:lang w:val="en-US" w:eastAsia="zh-CN"/>
              </w:rPr>
              <w:t>2921.528</w:t>
            </w:r>
          </w:p>
        </w:tc>
        <w:tc>
          <w:tcPr>
            <w:tcW w:w="606" w:type="pct"/>
            <w:tcBorders>
              <w:right w:val="nil"/>
            </w:tcBorders>
            <w:vAlign w:val="center"/>
          </w:tcPr>
          <w:p>
            <w:pPr>
              <w:pStyle w:val="105"/>
              <w:rPr>
                <w:color w:val="auto"/>
                <w:sz w:val="21"/>
                <w:szCs w:val="21"/>
                <w:highlight w:val="none"/>
              </w:rPr>
            </w:pPr>
            <w:r>
              <w:rPr>
                <w:rFonts w:hint="eastAsia"/>
                <w:color w:val="auto"/>
                <w:sz w:val="21"/>
                <w:szCs w:val="21"/>
                <w:highlight w:val="none"/>
              </w:rPr>
              <w:t>t/a</w:t>
            </w:r>
          </w:p>
        </w:tc>
        <w:tc>
          <w:tcPr>
            <w:tcW w:w="900" w:type="pct"/>
            <w:tcBorders>
              <w:right w:val="nil"/>
            </w:tcBorders>
            <w:vAlign w:val="center"/>
          </w:tcPr>
          <w:p>
            <w:pPr>
              <w:pStyle w:val="105"/>
              <w:rPr>
                <w:color w:val="auto"/>
                <w:sz w:val="21"/>
                <w:szCs w:val="21"/>
                <w:highlight w:val="none"/>
              </w:rPr>
            </w:pPr>
            <w:r>
              <w:rPr>
                <w:rFonts w:hint="eastAsia"/>
                <w:color w:val="auto"/>
                <w:sz w:val="21"/>
                <w:szCs w:val="21"/>
                <w:highlight w:val="none"/>
              </w:rPr>
              <w:t>外购</w:t>
            </w:r>
          </w:p>
        </w:tc>
        <w:tc>
          <w:tcPr>
            <w:tcW w:w="629" w:type="pct"/>
            <w:tcBorders>
              <w:right w:val="nil"/>
            </w:tcBorders>
            <w:vAlign w:val="center"/>
          </w:tcPr>
          <w:p>
            <w:pPr>
              <w:pStyle w:val="105"/>
              <w:rPr>
                <w:color w:val="auto"/>
                <w:sz w:val="21"/>
                <w:szCs w:val="21"/>
                <w:highlight w:val="none"/>
              </w:rPr>
            </w:pPr>
            <w:r>
              <w:rPr>
                <w:rFonts w:hint="eastAsia"/>
                <w:color w:val="auto"/>
                <w:sz w:val="21"/>
                <w:szCs w:val="21"/>
                <w:highlight w:val="none"/>
              </w:rPr>
              <w:t>汽车</w:t>
            </w:r>
          </w:p>
        </w:tc>
        <w:tc>
          <w:tcPr>
            <w:tcW w:w="961" w:type="pct"/>
            <w:tcBorders>
              <w:right w:val="nil"/>
            </w:tcBorders>
            <w:vAlign w:val="center"/>
          </w:tcPr>
          <w:p>
            <w:pPr>
              <w:pStyle w:val="105"/>
              <w:rPr>
                <w:color w:val="auto"/>
                <w:sz w:val="21"/>
                <w:szCs w:val="21"/>
                <w:highlight w:val="none"/>
              </w:rPr>
            </w:pPr>
            <w:r>
              <w:rPr>
                <w:rFonts w:hint="eastAsia"/>
                <w:color w:val="auto"/>
                <w:sz w:val="21"/>
                <w:szCs w:val="21"/>
                <w:highlight w:val="none"/>
              </w:rPr>
              <w:t>车间内单独储存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6" w:type="pct"/>
            <w:tcBorders>
              <w:left w:val="nil"/>
            </w:tcBorders>
            <w:vAlign w:val="center"/>
          </w:tcPr>
          <w:p>
            <w:pPr>
              <w:pStyle w:val="105"/>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5</w:t>
            </w:r>
          </w:p>
        </w:tc>
        <w:tc>
          <w:tcPr>
            <w:tcW w:w="954" w:type="pct"/>
            <w:vAlign w:val="center"/>
          </w:tcPr>
          <w:p>
            <w:pPr>
              <w:pStyle w:val="105"/>
              <w:rPr>
                <w:rFonts w:hint="eastAsia" w:eastAsia="宋体"/>
                <w:color w:val="auto"/>
                <w:sz w:val="21"/>
                <w:szCs w:val="21"/>
                <w:highlight w:val="none"/>
                <w:lang w:val="en-US" w:eastAsia="zh-CN"/>
              </w:rPr>
            </w:pPr>
            <w:r>
              <w:rPr>
                <w:rFonts w:hint="eastAsia"/>
                <w:color w:val="auto"/>
                <w:sz w:val="21"/>
                <w:szCs w:val="21"/>
                <w:highlight w:val="none"/>
              </w:rPr>
              <w:t>聚乙烯</w:t>
            </w:r>
            <w:r>
              <w:rPr>
                <w:rFonts w:hint="eastAsia"/>
                <w:color w:val="auto"/>
                <w:sz w:val="21"/>
                <w:szCs w:val="21"/>
                <w:highlight w:val="none"/>
                <w:lang w:val="en-US" w:eastAsia="zh-CN"/>
              </w:rPr>
              <w:t>颗粒</w:t>
            </w:r>
          </w:p>
        </w:tc>
        <w:tc>
          <w:tcPr>
            <w:tcW w:w="591" w:type="pct"/>
            <w:tcBorders>
              <w:right w:val="nil"/>
            </w:tcBorders>
            <w:vAlign w:val="center"/>
          </w:tcPr>
          <w:p>
            <w:pPr>
              <w:pStyle w:val="105"/>
              <w:rPr>
                <w:rFonts w:hint="default"/>
                <w:color w:val="auto"/>
                <w:sz w:val="21"/>
                <w:szCs w:val="21"/>
                <w:highlight w:val="none"/>
                <w:lang w:val="en-US" w:eastAsia="zh-CN"/>
              </w:rPr>
            </w:pPr>
            <w:r>
              <w:rPr>
                <w:rFonts w:hint="eastAsia"/>
                <w:color w:val="auto"/>
                <w:sz w:val="21"/>
                <w:szCs w:val="21"/>
                <w:highlight w:val="none"/>
                <w:lang w:val="en-US" w:eastAsia="zh-CN"/>
              </w:rPr>
              <w:t>3221.2</w:t>
            </w:r>
          </w:p>
        </w:tc>
        <w:tc>
          <w:tcPr>
            <w:tcW w:w="606" w:type="pct"/>
            <w:tcBorders>
              <w:right w:val="nil"/>
            </w:tcBorders>
            <w:vAlign w:val="center"/>
          </w:tcPr>
          <w:p>
            <w:pPr>
              <w:pStyle w:val="105"/>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t/a</w:t>
            </w:r>
          </w:p>
        </w:tc>
        <w:tc>
          <w:tcPr>
            <w:tcW w:w="900" w:type="pct"/>
            <w:tcBorders>
              <w:right w:val="nil"/>
            </w:tcBorders>
            <w:vAlign w:val="center"/>
          </w:tcPr>
          <w:p>
            <w:pPr>
              <w:pStyle w:val="105"/>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外购</w:t>
            </w:r>
          </w:p>
        </w:tc>
        <w:tc>
          <w:tcPr>
            <w:tcW w:w="629" w:type="pct"/>
            <w:tcBorders>
              <w:right w:val="nil"/>
            </w:tcBorders>
            <w:vAlign w:val="center"/>
          </w:tcPr>
          <w:p>
            <w:pPr>
              <w:pStyle w:val="105"/>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汽车</w:t>
            </w:r>
          </w:p>
        </w:tc>
        <w:tc>
          <w:tcPr>
            <w:tcW w:w="961" w:type="pct"/>
            <w:tcBorders>
              <w:right w:val="nil"/>
            </w:tcBorders>
            <w:vAlign w:val="center"/>
          </w:tcPr>
          <w:p>
            <w:pPr>
              <w:pStyle w:val="105"/>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再生料，</w:t>
            </w:r>
            <w:r>
              <w:rPr>
                <w:rFonts w:hint="eastAsia"/>
                <w:color w:val="auto"/>
                <w:sz w:val="21"/>
                <w:szCs w:val="21"/>
                <w:highlight w:val="none"/>
              </w:rPr>
              <w:t>车间内单独储存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left w:val="nil"/>
            </w:tcBorders>
            <w:vAlign w:val="center"/>
          </w:tcPr>
          <w:p>
            <w:pPr>
              <w:pStyle w:val="105"/>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6</w:t>
            </w:r>
          </w:p>
        </w:tc>
        <w:tc>
          <w:tcPr>
            <w:tcW w:w="954" w:type="pct"/>
            <w:vAlign w:val="center"/>
          </w:tcPr>
          <w:p>
            <w:pPr>
              <w:pStyle w:val="105"/>
              <w:rPr>
                <w:rFonts w:hint="eastAsia"/>
                <w:color w:val="auto"/>
                <w:sz w:val="21"/>
                <w:szCs w:val="21"/>
                <w:highlight w:val="none"/>
              </w:rPr>
            </w:pPr>
            <w:r>
              <w:rPr>
                <w:rFonts w:hint="eastAsia"/>
                <w:color w:val="auto"/>
                <w:sz w:val="21"/>
                <w:szCs w:val="21"/>
                <w:highlight w:val="none"/>
              </w:rPr>
              <w:t>聚丙烯</w:t>
            </w:r>
            <w:r>
              <w:rPr>
                <w:rFonts w:hint="eastAsia"/>
                <w:color w:val="auto"/>
                <w:sz w:val="21"/>
                <w:szCs w:val="21"/>
                <w:highlight w:val="none"/>
                <w:lang w:val="en-US" w:eastAsia="zh-CN"/>
              </w:rPr>
              <w:t>颗粒</w:t>
            </w:r>
          </w:p>
        </w:tc>
        <w:tc>
          <w:tcPr>
            <w:tcW w:w="591" w:type="pct"/>
            <w:tcBorders>
              <w:right w:val="nil"/>
            </w:tcBorders>
            <w:vAlign w:val="center"/>
          </w:tcPr>
          <w:p>
            <w:pPr>
              <w:pStyle w:val="105"/>
              <w:rPr>
                <w:rFonts w:hint="default"/>
                <w:color w:val="auto"/>
                <w:sz w:val="21"/>
                <w:szCs w:val="21"/>
                <w:highlight w:val="none"/>
                <w:lang w:val="en-US" w:eastAsia="zh-CN"/>
              </w:rPr>
            </w:pPr>
            <w:r>
              <w:rPr>
                <w:rFonts w:hint="eastAsia"/>
                <w:color w:val="auto"/>
                <w:sz w:val="21"/>
                <w:szCs w:val="21"/>
                <w:highlight w:val="none"/>
                <w:lang w:val="en-US" w:eastAsia="zh-CN"/>
              </w:rPr>
              <w:t>5002.8</w:t>
            </w:r>
          </w:p>
        </w:tc>
        <w:tc>
          <w:tcPr>
            <w:tcW w:w="606" w:type="pct"/>
            <w:tcBorders>
              <w:right w:val="nil"/>
            </w:tcBorders>
            <w:vAlign w:val="center"/>
          </w:tcPr>
          <w:p>
            <w:pPr>
              <w:pStyle w:val="105"/>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t/a</w:t>
            </w:r>
          </w:p>
        </w:tc>
        <w:tc>
          <w:tcPr>
            <w:tcW w:w="900" w:type="pct"/>
            <w:tcBorders>
              <w:right w:val="nil"/>
            </w:tcBorders>
            <w:vAlign w:val="center"/>
          </w:tcPr>
          <w:p>
            <w:pPr>
              <w:pStyle w:val="105"/>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外购</w:t>
            </w:r>
          </w:p>
        </w:tc>
        <w:tc>
          <w:tcPr>
            <w:tcW w:w="629" w:type="pct"/>
            <w:tcBorders>
              <w:right w:val="nil"/>
            </w:tcBorders>
            <w:vAlign w:val="center"/>
          </w:tcPr>
          <w:p>
            <w:pPr>
              <w:pStyle w:val="105"/>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汽车</w:t>
            </w:r>
          </w:p>
        </w:tc>
        <w:tc>
          <w:tcPr>
            <w:tcW w:w="961" w:type="pct"/>
            <w:tcBorders>
              <w:right w:val="nil"/>
            </w:tcBorders>
            <w:vAlign w:val="center"/>
          </w:tcPr>
          <w:p>
            <w:pPr>
              <w:pStyle w:val="105"/>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再生料，</w:t>
            </w:r>
            <w:r>
              <w:rPr>
                <w:rFonts w:hint="eastAsia"/>
                <w:color w:val="auto"/>
                <w:sz w:val="21"/>
                <w:szCs w:val="21"/>
                <w:highlight w:val="none"/>
              </w:rPr>
              <w:t>车间内单独储存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left w:val="nil"/>
            </w:tcBorders>
            <w:vAlign w:val="center"/>
          </w:tcPr>
          <w:p>
            <w:pPr>
              <w:pStyle w:val="105"/>
              <w:rPr>
                <w:rFonts w:hint="eastAsia" w:eastAsia="宋体"/>
                <w:color w:val="auto"/>
                <w:sz w:val="21"/>
                <w:szCs w:val="21"/>
                <w:highlight w:val="none"/>
                <w:lang w:val="en-US" w:eastAsia="zh-CN"/>
              </w:rPr>
            </w:pPr>
            <w:r>
              <w:rPr>
                <w:rFonts w:hint="eastAsia"/>
                <w:color w:val="auto"/>
                <w:sz w:val="21"/>
                <w:szCs w:val="21"/>
                <w:highlight w:val="none"/>
                <w:lang w:val="en-US" w:eastAsia="zh-CN"/>
              </w:rPr>
              <w:t>7</w:t>
            </w:r>
          </w:p>
        </w:tc>
        <w:tc>
          <w:tcPr>
            <w:tcW w:w="954" w:type="pct"/>
            <w:vAlign w:val="center"/>
          </w:tcPr>
          <w:p>
            <w:pPr>
              <w:pStyle w:val="105"/>
              <w:rPr>
                <w:color w:val="auto"/>
                <w:sz w:val="21"/>
                <w:szCs w:val="21"/>
                <w:highlight w:val="none"/>
              </w:rPr>
            </w:pPr>
            <w:r>
              <w:rPr>
                <w:rFonts w:hint="eastAsia"/>
                <w:color w:val="auto"/>
                <w:sz w:val="21"/>
                <w:szCs w:val="21"/>
                <w:highlight w:val="none"/>
              </w:rPr>
              <w:t>水</w:t>
            </w:r>
          </w:p>
        </w:tc>
        <w:tc>
          <w:tcPr>
            <w:tcW w:w="591" w:type="pct"/>
            <w:tcBorders>
              <w:right w:val="nil"/>
            </w:tcBorders>
            <w:vAlign w:val="center"/>
          </w:tcPr>
          <w:p>
            <w:pPr>
              <w:pStyle w:val="105"/>
              <w:rPr>
                <w:color w:val="auto"/>
                <w:sz w:val="21"/>
                <w:szCs w:val="21"/>
                <w:highlight w:val="none"/>
              </w:rPr>
            </w:pPr>
            <w:r>
              <w:rPr>
                <w:rFonts w:hint="eastAsia"/>
                <w:color w:val="auto"/>
                <w:sz w:val="21"/>
                <w:szCs w:val="21"/>
                <w:highlight w:val="none"/>
              </w:rPr>
              <w:t>900</w:t>
            </w:r>
          </w:p>
        </w:tc>
        <w:tc>
          <w:tcPr>
            <w:tcW w:w="606" w:type="pct"/>
            <w:tcBorders>
              <w:right w:val="nil"/>
            </w:tcBorders>
            <w:vAlign w:val="center"/>
          </w:tcPr>
          <w:p>
            <w:pPr>
              <w:pStyle w:val="105"/>
              <w:rPr>
                <w:color w:val="auto"/>
                <w:sz w:val="21"/>
                <w:szCs w:val="21"/>
                <w:highlight w:val="none"/>
              </w:rPr>
            </w:pPr>
            <w:r>
              <w:rPr>
                <w:rFonts w:hint="eastAsia"/>
                <w:color w:val="auto"/>
                <w:sz w:val="21"/>
                <w:szCs w:val="21"/>
                <w:highlight w:val="none"/>
              </w:rPr>
              <w:t>m</w:t>
            </w:r>
            <w:r>
              <w:rPr>
                <w:rFonts w:hint="eastAsia"/>
                <w:color w:val="auto"/>
                <w:sz w:val="21"/>
                <w:szCs w:val="21"/>
                <w:highlight w:val="none"/>
                <w:vertAlign w:val="superscript"/>
              </w:rPr>
              <w:t>3</w:t>
            </w:r>
            <w:r>
              <w:rPr>
                <w:rFonts w:hint="eastAsia"/>
                <w:color w:val="auto"/>
                <w:sz w:val="21"/>
                <w:szCs w:val="21"/>
                <w:highlight w:val="none"/>
              </w:rPr>
              <w:t>/a</w:t>
            </w:r>
          </w:p>
        </w:tc>
        <w:tc>
          <w:tcPr>
            <w:tcW w:w="900" w:type="pct"/>
            <w:tcBorders>
              <w:right w:val="nil"/>
            </w:tcBorders>
            <w:vAlign w:val="center"/>
          </w:tcPr>
          <w:p>
            <w:pPr>
              <w:pStyle w:val="105"/>
              <w:rPr>
                <w:rFonts w:hint="default" w:eastAsia="宋体"/>
                <w:color w:val="auto"/>
                <w:sz w:val="21"/>
                <w:szCs w:val="21"/>
                <w:highlight w:val="none"/>
                <w:lang w:val="en-US" w:eastAsia="zh-CN"/>
              </w:rPr>
            </w:pPr>
            <w:r>
              <w:rPr>
                <w:rFonts w:hint="eastAsia"/>
                <w:color w:val="auto"/>
                <w:sz w:val="21"/>
                <w:szCs w:val="21"/>
                <w:highlight w:val="none"/>
              </w:rPr>
              <w:t>区域供水系统</w:t>
            </w:r>
            <w:r>
              <w:rPr>
                <w:rFonts w:hint="eastAsia"/>
                <w:color w:val="auto"/>
                <w:sz w:val="21"/>
                <w:szCs w:val="21"/>
                <w:highlight w:val="none"/>
                <w:lang w:eastAsia="zh-CN"/>
              </w:rPr>
              <w:t>、</w:t>
            </w:r>
            <w:r>
              <w:rPr>
                <w:rFonts w:hint="eastAsia"/>
                <w:color w:val="auto"/>
                <w:sz w:val="21"/>
                <w:szCs w:val="21"/>
                <w:highlight w:val="none"/>
                <w:lang w:val="en-US" w:eastAsia="zh-CN"/>
              </w:rPr>
              <w:t>外购去离子水</w:t>
            </w:r>
          </w:p>
        </w:tc>
        <w:tc>
          <w:tcPr>
            <w:tcW w:w="629" w:type="pct"/>
            <w:tcBorders>
              <w:right w:val="nil"/>
            </w:tcBorders>
            <w:vAlign w:val="center"/>
          </w:tcPr>
          <w:p>
            <w:pPr>
              <w:pStyle w:val="105"/>
              <w:rPr>
                <w:color w:val="auto"/>
                <w:sz w:val="21"/>
                <w:szCs w:val="21"/>
                <w:highlight w:val="none"/>
              </w:rPr>
            </w:pPr>
          </w:p>
        </w:tc>
        <w:tc>
          <w:tcPr>
            <w:tcW w:w="961" w:type="pct"/>
            <w:tcBorders>
              <w:right w:val="nil"/>
            </w:tcBorders>
            <w:vAlign w:val="center"/>
          </w:tcPr>
          <w:p>
            <w:pPr>
              <w:pStyle w:val="105"/>
              <w:rPr>
                <w:rFonts w:hint="default" w:eastAsia="宋体"/>
                <w:color w:val="auto"/>
                <w:sz w:val="21"/>
                <w:szCs w:val="21"/>
                <w:highlight w:val="none"/>
                <w:lang w:val="en-US" w:eastAsia="zh-CN"/>
              </w:rPr>
            </w:pPr>
            <w:r>
              <w:rPr>
                <w:rFonts w:hint="eastAsia"/>
                <w:color w:val="auto"/>
                <w:sz w:val="21"/>
                <w:szCs w:val="21"/>
                <w:highlight w:val="none"/>
              </w:rPr>
              <w:t>自来水</w:t>
            </w:r>
            <w:r>
              <w:rPr>
                <w:rFonts w:hint="eastAsia"/>
                <w:color w:val="auto"/>
                <w:sz w:val="21"/>
                <w:szCs w:val="21"/>
                <w:highlight w:val="none"/>
                <w:lang w:val="en-US" w:eastAsia="zh-CN"/>
              </w:rPr>
              <w:t>及去离子水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left w:val="nil"/>
              <w:bottom w:val="single" w:color="auto" w:sz="12" w:space="0"/>
            </w:tcBorders>
            <w:vAlign w:val="center"/>
          </w:tcPr>
          <w:p>
            <w:pPr>
              <w:pStyle w:val="105"/>
              <w:rPr>
                <w:rFonts w:hint="eastAsia" w:eastAsia="宋体"/>
                <w:color w:val="auto"/>
                <w:sz w:val="21"/>
                <w:szCs w:val="21"/>
                <w:highlight w:val="none"/>
                <w:lang w:val="en-US" w:eastAsia="zh-CN"/>
              </w:rPr>
            </w:pPr>
            <w:r>
              <w:rPr>
                <w:rFonts w:hint="eastAsia"/>
                <w:color w:val="auto"/>
                <w:sz w:val="21"/>
                <w:szCs w:val="21"/>
                <w:highlight w:val="none"/>
                <w:lang w:val="en-US" w:eastAsia="zh-CN"/>
              </w:rPr>
              <w:t>8</w:t>
            </w:r>
          </w:p>
        </w:tc>
        <w:tc>
          <w:tcPr>
            <w:tcW w:w="954" w:type="pct"/>
            <w:tcBorders>
              <w:bottom w:val="single" w:color="auto" w:sz="12" w:space="0"/>
            </w:tcBorders>
            <w:vAlign w:val="center"/>
          </w:tcPr>
          <w:p>
            <w:pPr>
              <w:pStyle w:val="105"/>
              <w:rPr>
                <w:color w:val="auto"/>
                <w:sz w:val="21"/>
                <w:szCs w:val="21"/>
                <w:highlight w:val="none"/>
              </w:rPr>
            </w:pPr>
            <w:r>
              <w:rPr>
                <w:rFonts w:hint="eastAsia"/>
                <w:color w:val="auto"/>
                <w:sz w:val="21"/>
                <w:szCs w:val="21"/>
                <w:highlight w:val="none"/>
              </w:rPr>
              <w:t>电</w:t>
            </w:r>
          </w:p>
        </w:tc>
        <w:tc>
          <w:tcPr>
            <w:tcW w:w="591" w:type="pct"/>
            <w:tcBorders>
              <w:bottom w:val="single" w:color="auto" w:sz="12" w:space="0"/>
              <w:right w:val="nil"/>
            </w:tcBorders>
            <w:vAlign w:val="center"/>
          </w:tcPr>
          <w:p>
            <w:pPr>
              <w:pStyle w:val="105"/>
              <w:rPr>
                <w:color w:val="auto"/>
                <w:sz w:val="21"/>
                <w:szCs w:val="21"/>
                <w:highlight w:val="none"/>
              </w:rPr>
            </w:pPr>
            <w:r>
              <w:rPr>
                <w:rFonts w:hint="eastAsia"/>
                <w:color w:val="auto"/>
                <w:sz w:val="21"/>
                <w:szCs w:val="21"/>
                <w:highlight w:val="none"/>
              </w:rPr>
              <w:t>150</w:t>
            </w:r>
          </w:p>
        </w:tc>
        <w:tc>
          <w:tcPr>
            <w:tcW w:w="606" w:type="pct"/>
            <w:tcBorders>
              <w:bottom w:val="single" w:color="auto" w:sz="12" w:space="0"/>
              <w:right w:val="nil"/>
            </w:tcBorders>
            <w:vAlign w:val="center"/>
          </w:tcPr>
          <w:p>
            <w:pPr>
              <w:pStyle w:val="1321"/>
              <w:rPr>
                <w:rFonts w:hint="default" w:eastAsia="等线"/>
                <w:color w:val="auto"/>
                <w:sz w:val="21"/>
                <w:szCs w:val="21"/>
                <w:highlight w:val="none"/>
                <w:lang w:val="en-US" w:eastAsia="zh-CN"/>
              </w:rPr>
            </w:pPr>
            <w:r>
              <w:rPr>
                <w:rFonts w:hint="default" w:ascii="Times New Roman" w:hAnsi="Times New Roman" w:cs="Times New Roman"/>
                <w:color w:val="auto"/>
                <w:sz w:val="21"/>
                <w:szCs w:val="21"/>
                <w:highlight w:val="none"/>
              </w:rPr>
              <w:t>万kWh</w:t>
            </w:r>
            <w:r>
              <w:rPr>
                <w:rStyle w:val="81"/>
                <w:rFonts w:hint="default" w:ascii="Times New Roman" w:hAnsi="Times New Roman" w:eastAsia="等线" w:cs="Times New Roman"/>
                <w:color w:val="auto"/>
                <w:sz w:val="21"/>
                <w:szCs w:val="21"/>
                <w:highlight w:val="none"/>
                <w:lang w:val="en-US" w:eastAsia="zh-CN"/>
              </w:rPr>
              <w:t>/a</w:t>
            </w:r>
          </w:p>
        </w:tc>
        <w:tc>
          <w:tcPr>
            <w:tcW w:w="900" w:type="pct"/>
            <w:tcBorders>
              <w:bottom w:val="single" w:color="auto" w:sz="12" w:space="0"/>
              <w:right w:val="nil"/>
            </w:tcBorders>
            <w:vAlign w:val="center"/>
          </w:tcPr>
          <w:p>
            <w:pPr>
              <w:pStyle w:val="1321"/>
              <w:rPr>
                <w:color w:val="auto"/>
                <w:sz w:val="21"/>
                <w:szCs w:val="21"/>
                <w:highlight w:val="none"/>
              </w:rPr>
            </w:pPr>
            <w:r>
              <w:rPr>
                <w:rFonts w:hint="eastAsia"/>
                <w:color w:val="auto"/>
                <w:sz w:val="21"/>
                <w:szCs w:val="21"/>
                <w:highlight w:val="none"/>
              </w:rPr>
              <w:t>市政</w:t>
            </w:r>
            <w:r>
              <w:rPr>
                <w:color w:val="auto"/>
                <w:sz w:val="21"/>
                <w:szCs w:val="21"/>
                <w:highlight w:val="none"/>
              </w:rPr>
              <w:t>电网</w:t>
            </w:r>
          </w:p>
        </w:tc>
        <w:tc>
          <w:tcPr>
            <w:tcW w:w="629" w:type="pct"/>
            <w:tcBorders>
              <w:bottom w:val="single" w:color="auto" w:sz="12" w:space="0"/>
              <w:right w:val="nil"/>
            </w:tcBorders>
            <w:vAlign w:val="center"/>
          </w:tcPr>
          <w:p>
            <w:pPr>
              <w:pStyle w:val="105"/>
              <w:rPr>
                <w:color w:val="auto"/>
                <w:sz w:val="21"/>
                <w:szCs w:val="21"/>
                <w:highlight w:val="none"/>
              </w:rPr>
            </w:pPr>
            <w:r>
              <w:rPr>
                <w:color w:val="auto"/>
                <w:sz w:val="21"/>
                <w:szCs w:val="21"/>
                <w:highlight w:val="none"/>
              </w:rPr>
              <w:t>电缆</w:t>
            </w:r>
          </w:p>
        </w:tc>
        <w:tc>
          <w:tcPr>
            <w:tcW w:w="961" w:type="pct"/>
            <w:tcBorders>
              <w:bottom w:val="single" w:color="auto" w:sz="12" w:space="0"/>
              <w:right w:val="nil"/>
            </w:tcBorders>
            <w:vAlign w:val="center"/>
          </w:tcPr>
          <w:p>
            <w:pPr>
              <w:pStyle w:val="105"/>
              <w:rPr>
                <w:color w:val="auto"/>
                <w:sz w:val="21"/>
                <w:szCs w:val="21"/>
                <w:highlight w:val="none"/>
              </w:rPr>
            </w:pPr>
          </w:p>
        </w:tc>
      </w:tr>
      <w:bookmarkEnd w:id="108"/>
      <w:bookmarkEnd w:id="109"/>
    </w:tbl>
    <w:p>
      <w:pPr>
        <w:ind w:firstLine="420" w:firstLineChars="200"/>
        <w:rPr>
          <w:rFonts w:hint="default" w:eastAsia="宋体"/>
          <w:color w:val="auto"/>
          <w:szCs w:val="21"/>
          <w:highlight w:val="none"/>
          <w:lang w:val="en-US" w:eastAsia="zh-CN"/>
        </w:rPr>
      </w:pPr>
      <w:bookmarkStart w:id="110" w:name="_Hlk42867153"/>
      <w:r>
        <w:rPr>
          <w:rFonts w:hint="eastAsia"/>
          <w:color w:val="auto"/>
          <w:szCs w:val="21"/>
          <w:highlight w:val="none"/>
        </w:rPr>
        <w:t>注：本项目所用废旧塑料均为清洗破碎好的，不在厂内进行清洗破碎，直接进入熔融工序。</w:t>
      </w:r>
      <w:r>
        <w:rPr>
          <w:rFonts w:hint="eastAsia"/>
          <w:color w:val="auto"/>
          <w:szCs w:val="21"/>
          <w:highlight w:val="none"/>
          <w:lang w:val="en-US" w:eastAsia="zh-CN"/>
        </w:rPr>
        <w:t>其中</w:t>
      </w:r>
      <w:r>
        <w:rPr>
          <w:rFonts w:hint="eastAsia"/>
          <w:color w:val="auto"/>
          <w:szCs w:val="21"/>
          <w:highlight w:val="none"/>
        </w:rPr>
        <w:t>聚乙烯</w:t>
      </w:r>
      <w:r>
        <w:rPr>
          <w:rFonts w:hint="eastAsia"/>
          <w:color w:val="auto"/>
          <w:szCs w:val="21"/>
          <w:highlight w:val="none"/>
          <w:lang w:val="en-US" w:eastAsia="zh-CN"/>
        </w:rPr>
        <w:t>破碎料来源为</w:t>
      </w:r>
      <w:r>
        <w:rPr>
          <w:rFonts w:hint="eastAsia"/>
          <w:color w:val="auto"/>
          <w:szCs w:val="21"/>
          <w:highlight w:val="none"/>
        </w:rPr>
        <w:t>饮水用聚乙烯管</w:t>
      </w:r>
      <w:r>
        <w:rPr>
          <w:rFonts w:hint="eastAsia"/>
          <w:color w:val="auto"/>
          <w:szCs w:val="21"/>
          <w:highlight w:val="none"/>
          <w:lang w:eastAsia="zh-CN"/>
        </w:rPr>
        <w:t>、</w:t>
      </w:r>
      <w:r>
        <w:rPr>
          <w:rFonts w:hint="eastAsia"/>
          <w:color w:val="auto"/>
          <w:szCs w:val="21"/>
          <w:highlight w:val="none"/>
        </w:rPr>
        <w:t>洗洁精瓶</w:t>
      </w:r>
      <w:r>
        <w:rPr>
          <w:rFonts w:hint="eastAsia"/>
          <w:color w:val="auto"/>
          <w:szCs w:val="21"/>
          <w:highlight w:val="none"/>
          <w:lang w:eastAsia="zh-CN"/>
        </w:rPr>
        <w:t>、</w:t>
      </w:r>
      <w:r>
        <w:rPr>
          <w:rFonts w:hint="eastAsia"/>
          <w:color w:val="auto"/>
          <w:szCs w:val="21"/>
          <w:highlight w:val="none"/>
        </w:rPr>
        <w:t>饮料瓶盖、奶瓶等粉碎料；聚丙烯</w:t>
      </w:r>
      <w:r>
        <w:rPr>
          <w:rFonts w:hint="eastAsia"/>
          <w:color w:val="auto"/>
          <w:szCs w:val="21"/>
          <w:highlight w:val="none"/>
          <w:lang w:val="en-US" w:eastAsia="zh-CN"/>
        </w:rPr>
        <w:t>碎料来源为</w:t>
      </w:r>
      <w:r>
        <w:rPr>
          <w:rFonts w:hint="eastAsia"/>
          <w:color w:val="auto"/>
          <w:szCs w:val="21"/>
          <w:highlight w:val="none"/>
        </w:rPr>
        <w:t>车用防护保险杠</w:t>
      </w:r>
      <w:r>
        <w:rPr>
          <w:rFonts w:hint="eastAsia"/>
          <w:color w:val="auto"/>
          <w:szCs w:val="21"/>
          <w:highlight w:val="none"/>
          <w:lang w:val="en-US" w:eastAsia="zh-CN"/>
        </w:rPr>
        <w:t>等，</w:t>
      </w:r>
      <w:r>
        <w:rPr>
          <w:rFonts w:hint="eastAsia"/>
          <w:color w:val="auto"/>
          <w:szCs w:val="21"/>
          <w:highlight w:val="none"/>
        </w:rPr>
        <w:t>以上这些</w:t>
      </w:r>
      <w:r>
        <w:rPr>
          <w:rFonts w:hint="eastAsia"/>
          <w:color w:val="auto"/>
          <w:szCs w:val="21"/>
          <w:highlight w:val="none"/>
          <w:lang w:val="en-US" w:eastAsia="zh-CN"/>
        </w:rPr>
        <w:t>为</w:t>
      </w:r>
      <w:r>
        <w:rPr>
          <w:rFonts w:hint="eastAsia"/>
          <w:color w:val="auto"/>
          <w:szCs w:val="21"/>
          <w:highlight w:val="none"/>
        </w:rPr>
        <w:t>已</w:t>
      </w:r>
      <w:r>
        <w:rPr>
          <w:rFonts w:hint="eastAsia"/>
          <w:color w:val="auto"/>
          <w:szCs w:val="21"/>
          <w:highlight w:val="none"/>
          <w:lang w:val="en-US" w:eastAsia="zh-CN"/>
        </w:rPr>
        <w:t>清洗</w:t>
      </w:r>
      <w:r>
        <w:rPr>
          <w:rFonts w:hint="eastAsia"/>
          <w:color w:val="auto"/>
          <w:szCs w:val="21"/>
          <w:highlight w:val="none"/>
        </w:rPr>
        <w:t>干净的粉碎料</w:t>
      </w:r>
      <w:r>
        <w:rPr>
          <w:rFonts w:hint="eastAsia"/>
          <w:color w:val="auto"/>
          <w:szCs w:val="21"/>
          <w:highlight w:val="none"/>
          <w:lang w:eastAsia="zh-CN"/>
        </w:rPr>
        <w:t>，</w:t>
      </w:r>
      <w:r>
        <w:rPr>
          <w:rFonts w:hint="eastAsia"/>
          <w:color w:val="auto"/>
          <w:szCs w:val="21"/>
          <w:highlight w:val="none"/>
          <w:lang w:val="en-US" w:eastAsia="zh-CN"/>
        </w:rPr>
        <w:t>且在厂区内一次熔融造粒，因此造粒过程不会产生油烟类物质。</w:t>
      </w:r>
    </w:p>
    <w:p>
      <w:pPr>
        <w:ind w:firstLine="420" w:firstLineChars="200"/>
        <w:rPr>
          <w:color w:val="auto"/>
          <w:szCs w:val="21"/>
          <w:highlight w:val="none"/>
        </w:rPr>
      </w:pPr>
      <w:r>
        <w:rPr>
          <w:rFonts w:hint="eastAsia"/>
          <w:color w:val="auto"/>
          <w:szCs w:val="21"/>
          <w:highlight w:val="none"/>
        </w:rPr>
        <w:t>本项目不涉及进口废塑料再生利用；不会回收、再生利用废塑料类危险废物原料，包括被危险化学品、农药等污染的废弃塑料包装物，废弃的一次性医疗用塑料制品（如输液器、血袋），盛装农药、废染料、强酸、强碱的废塑料等，满足《废塑料污染控制技术规范》（HJ364-2022）要求。本项目所用废塑料均在车间内堆存，并对车间地面进行防水、防渗、防腐处理。</w:t>
      </w:r>
    </w:p>
    <w:bookmarkEnd w:id="110"/>
    <w:p>
      <w:pPr>
        <w:pStyle w:val="101"/>
        <w:spacing w:before="78"/>
        <w:rPr>
          <w:rFonts w:ascii="Times New Roman" w:hAnsi="Times New Roman"/>
          <w:color w:val="auto"/>
          <w:highlight w:val="none"/>
        </w:rPr>
      </w:pPr>
      <w:r>
        <w:rPr>
          <w:rFonts w:ascii="Times New Roman" w:hAnsi="Times New Roman"/>
          <w:color w:val="auto"/>
          <w:highlight w:val="none"/>
        </w:rPr>
        <w:t>2.1.6主要生产设备</w:t>
      </w:r>
    </w:p>
    <w:p>
      <w:pPr>
        <w:pStyle w:val="102"/>
        <w:ind w:firstLine="480"/>
        <w:rPr>
          <w:color w:val="auto"/>
          <w:highlight w:val="none"/>
        </w:rPr>
      </w:pPr>
      <w:bookmarkStart w:id="111" w:name="_Hlk42868139"/>
      <w:r>
        <w:rPr>
          <w:color w:val="auto"/>
          <w:highlight w:val="none"/>
        </w:rPr>
        <w:t>本项目主要生产设备见表2.1-</w:t>
      </w:r>
      <w:r>
        <w:rPr>
          <w:rFonts w:hint="eastAsia"/>
          <w:color w:val="auto"/>
          <w:highlight w:val="none"/>
          <w:lang w:val="en-US" w:eastAsia="zh-CN"/>
        </w:rPr>
        <w:t>5</w:t>
      </w:r>
      <w:r>
        <w:rPr>
          <w:color w:val="auto"/>
          <w:highlight w:val="none"/>
        </w:rPr>
        <w:t>。</w:t>
      </w:r>
    </w:p>
    <w:p>
      <w:pPr>
        <w:widowControl/>
        <w:jc w:val="center"/>
        <w:rPr>
          <w:color w:val="auto"/>
          <w:highlight w:val="none"/>
        </w:rPr>
      </w:pPr>
      <w:r>
        <w:rPr>
          <w:rFonts w:eastAsia="黑体"/>
          <w:bCs/>
          <w:color w:val="auto"/>
          <w:kern w:val="24"/>
          <w:sz w:val="24"/>
          <w:szCs w:val="20"/>
          <w:highlight w:val="none"/>
        </w:rPr>
        <w:t>表2.1-</w:t>
      </w:r>
      <w:r>
        <w:rPr>
          <w:rFonts w:hint="eastAsia" w:eastAsia="黑体"/>
          <w:bCs/>
          <w:color w:val="auto"/>
          <w:kern w:val="24"/>
          <w:sz w:val="24"/>
          <w:szCs w:val="20"/>
          <w:highlight w:val="none"/>
          <w:lang w:val="en-US" w:eastAsia="zh-CN"/>
        </w:rPr>
        <w:t>5</w:t>
      </w:r>
      <w:r>
        <w:rPr>
          <w:rFonts w:eastAsia="黑体"/>
          <w:bCs/>
          <w:color w:val="auto"/>
          <w:kern w:val="24"/>
          <w:sz w:val="24"/>
          <w:szCs w:val="20"/>
          <w:highlight w:val="none"/>
        </w:rPr>
        <w:t xml:space="preserve">  </w:t>
      </w:r>
      <w:r>
        <w:rPr>
          <w:rFonts w:hint="eastAsia" w:eastAsia="黑体"/>
          <w:bCs/>
          <w:color w:val="auto"/>
          <w:kern w:val="24"/>
          <w:sz w:val="24"/>
          <w:szCs w:val="20"/>
          <w:highlight w:val="none"/>
        </w:rPr>
        <w:t>项目生产设备一览表</w:t>
      </w:r>
    </w:p>
    <w:tbl>
      <w:tblPr>
        <w:tblStyle w:val="59"/>
        <w:tblW w:w="4997" w:type="pct"/>
        <w:jc w:val="center"/>
        <w:tblLayout w:type="autofit"/>
        <w:tblCellMar>
          <w:top w:w="15" w:type="dxa"/>
          <w:left w:w="15" w:type="dxa"/>
          <w:bottom w:w="15" w:type="dxa"/>
          <w:right w:w="15" w:type="dxa"/>
        </w:tblCellMar>
      </w:tblPr>
      <w:tblGrid>
        <w:gridCol w:w="545"/>
        <w:gridCol w:w="2056"/>
        <w:gridCol w:w="1679"/>
        <w:gridCol w:w="1457"/>
        <w:gridCol w:w="3075"/>
      </w:tblGrid>
      <w:tr>
        <w:tblPrEx>
          <w:tblCellMar>
            <w:top w:w="15" w:type="dxa"/>
            <w:left w:w="15" w:type="dxa"/>
            <w:bottom w:w="15" w:type="dxa"/>
            <w:right w:w="15" w:type="dxa"/>
          </w:tblCellMar>
        </w:tblPrEx>
        <w:trPr>
          <w:trHeight w:val="340" w:hRule="atLeast"/>
          <w:jc w:val="center"/>
        </w:trPr>
        <w:tc>
          <w:tcPr>
            <w:tcW w:w="309" w:type="pct"/>
            <w:tcBorders>
              <w:top w:val="single" w:color="000000" w:sz="12" w:space="0"/>
              <w:left w:val="nil"/>
              <w:bottom w:val="single" w:color="000000" w:sz="4" w:space="0"/>
              <w:right w:val="single" w:color="000000" w:sz="4" w:space="0"/>
            </w:tcBorders>
            <w:vAlign w:val="center"/>
          </w:tcPr>
          <w:p>
            <w:pPr>
              <w:pStyle w:val="1319"/>
              <w:spacing w:line="240" w:lineRule="exact"/>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序号</w:t>
            </w:r>
          </w:p>
        </w:tc>
        <w:tc>
          <w:tcPr>
            <w:tcW w:w="1166" w:type="pct"/>
            <w:tcBorders>
              <w:top w:val="single" w:color="000000" w:sz="12" w:space="0"/>
              <w:left w:val="single" w:color="000000" w:sz="4" w:space="0"/>
              <w:bottom w:val="single" w:color="000000" w:sz="4" w:space="0"/>
              <w:right w:val="single" w:color="000000" w:sz="4" w:space="0"/>
            </w:tcBorders>
            <w:vAlign w:val="center"/>
          </w:tcPr>
          <w:p>
            <w:pPr>
              <w:pStyle w:val="1319"/>
              <w:spacing w:line="240" w:lineRule="exact"/>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设备名称</w:t>
            </w:r>
          </w:p>
        </w:tc>
        <w:tc>
          <w:tcPr>
            <w:tcW w:w="952" w:type="pct"/>
            <w:tcBorders>
              <w:top w:val="single" w:color="000000" w:sz="12" w:space="0"/>
              <w:left w:val="single" w:color="000000" w:sz="4" w:space="0"/>
              <w:bottom w:val="single" w:color="000000" w:sz="4" w:space="0"/>
              <w:right w:val="single" w:color="000000" w:sz="4" w:space="0"/>
            </w:tcBorders>
            <w:vAlign w:val="center"/>
          </w:tcPr>
          <w:p>
            <w:pPr>
              <w:pStyle w:val="1319"/>
              <w:spacing w:line="240" w:lineRule="exact"/>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规格型号/品牌</w:t>
            </w:r>
          </w:p>
        </w:tc>
        <w:tc>
          <w:tcPr>
            <w:tcW w:w="826" w:type="pct"/>
            <w:tcBorders>
              <w:top w:val="single" w:color="000000" w:sz="12" w:space="0"/>
              <w:left w:val="single" w:color="000000" w:sz="4" w:space="0"/>
              <w:bottom w:val="single" w:color="000000" w:sz="4" w:space="0"/>
              <w:right w:val="single" w:color="000000" w:sz="4" w:space="0"/>
            </w:tcBorders>
            <w:vAlign w:val="center"/>
          </w:tcPr>
          <w:p>
            <w:pPr>
              <w:pStyle w:val="1319"/>
              <w:spacing w:line="240" w:lineRule="exact"/>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数量</w:t>
            </w:r>
            <w:r>
              <w:rPr>
                <w:rFonts w:hint="eastAsia" w:ascii="Times New Roman" w:hAnsi="Times New Roman"/>
                <w:color w:val="auto"/>
                <w:szCs w:val="21"/>
                <w:highlight w:val="none"/>
              </w:rPr>
              <w:t>（台/套）</w:t>
            </w:r>
          </w:p>
        </w:tc>
        <w:tc>
          <w:tcPr>
            <w:tcW w:w="1744" w:type="pct"/>
            <w:tcBorders>
              <w:top w:val="single" w:color="000000" w:sz="12" w:space="0"/>
              <w:left w:val="single" w:color="000000" w:sz="4" w:space="0"/>
              <w:bottom w:val="single" w:color="000000" w:sz="4" w:space="0"/>
              <w:right w:val="nil"/>
            </w:tcBorders>
            <w:vAlign w:val="center"/>
          </w:tcPr>
          <w:p>
            <w:pPr>
              <w:pStyle w:val="1319"/>
              <w:spacing w:line="240" w:lineRule="exact"/>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rPr>
              <w:t>备注</w:t>
            </w:r>
          </w:p>
        </w:tc>
      </w:tr>
      <w:tr>
        <w:tblPrEx>
          <w:tblCellMar>
            <w:top w:w="15" w:type="dxa"/>
            <w:left w:w="15" w:type="dxa"/>
            <w:bottom w:w="15" w:type="dxa"/>
            <w:right w:w="15" w:type="dxa"/>
          </w:tblCellMar>
        </w:tblPrEx>
        <w:trPr>
          <w:trHeight w:val="340" w:hRule="atLeast"/>
          <w:jc w:val="center"/>
        </w:trPr>
        <w:tc>
          <w:tcPr>
            <w:tcW w:w="309" w:type="pct"/>
            <w:tcBorders>
              <w:top w:val="single" w:color="000000" w:sz="4" w:space="0"/>
              <w:left w:val="nil"/>
              <w:bottom w:val="single" w:color="000000" w:sz="4" w:space="0"/>
              <w:right w:val="single" w:color="000000" w:sz="4" w:space="0"/>
            </w:tcBorders>
            <w:shd w:val="clear" w:color="auto" w:fill="auto"/>
            <w:vAlign w:val="center"/>
          </w:tcPr>
          <w:p>
            <w:pPr>
              <w:pStyle w:val="1319"/>
              <w:spacing w:line="240" w:lineRule="exact"/>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1</w:t>
            </w:r>
          </w:p>
        </w:tc>
        <w:tc>
          <w:tcPr>
            <w:tcW w:w="11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19"/>
              <w:spacing w:line="240" w:lineRule="exact"/>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rPr>
              <w:t>给水管生产线</w:t>
            </w:r>
          </w:p>
        </w:tc>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19"/>
              <w:spacing w:line="240" w:lineRule="exact"/>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rPr>
              <w:t>MFH-PE110</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19"/>
              <w:spacing w:line="240" w:lineRule="exact"/>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rPr>
              <w:t>6条</w:t>
            </w:r>
          </w:p>
        </w:tc>
        <w:tc>
          <w:tcPr>
            <w:tcW w:w="1744" w:type="pct"/>
            <w:tcBorders>
              <w:top w:val="single" w:color="000000" w:sz="4" w:space="0"/>
              <w:left w:val="single" w:color="000000" w:sz="4" w:space="0"/>
              <w:bottom w:val="single" w:color="000000" w:sz="4" w:space="0"/>
              <w:right w:val="nil"/>
            </w:tcBorders>
            <w:shd w:val="clear" w:color="auto" w:fill="FFFFFF"/>
            <w:vAlign w:val="center"/>
          </w:tcPr>
          <w:p>
            <w:pPr>
              <w:pStyle w:val="1319"/>
              <w:spacing w:line="240" w:lineRule="exact"/>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rPr>
              <w:t>每条生产线配备2台挤出机、1台干燥机、1台上料机、1台牵引机、1台切割机</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lang w:val="en-US" w:eastAsia="zh-CN"/>
              </w:rPr>
              <w:t>冷切</w:t>
            </w:r>
            <w:r>
              <w:rPr>
                <w:rFonts w:hint="eastAsia" w:ascii="Times New Roman" w:hAnsi="Times New Roman"/>
                <w:color w:val="auto"/>
                <w:szCs w:val="21"/>
                <w:highlight w:val="none"/>
                <w:lang w:eastAsia="zh-CN"/>
              </w:rPr>
              <w:t>）</w:t>
            </w:r>
          </w:p>
        </w:tc>
      </w:tr>
      <w:tr>
        <w:tblPrEx>
          <w:tblCellMar>
            <w:top w:w="15" w:type="dxa"/>
            <w:left w:w="15" w:type="dxa"/>
            <w:bottom w:w="15" w:type="dxa"/>
            <w:right w:w="15" w:type="dxa"/>
          </w:tblCellMar>
        </w:tblPrEx>
        <w:trPr>
          <w:trHeight w:val="340" w:hRule="atLeast"/>
          <w:jc w:val="center"/>
        </w:trPr>
        <w:tc>
          <w:tcPr>
            <w:tcW w:w="309" w:type="pct"/>
            <w:tcBorders>
              <w:top w:val="single" w:color="000000" w:sz="4" w:space="0"/>
              <w:left w:val="nil"/>
              <w:bottom w:val="single" w:color="000000" w:sz="4" w:space="0"/>
              <w:right w:val="single" w:color="000000" w:sz="4" w:space="0"/>
            </w:tcBorders>
            <w:shd w:val="clear" w:color="auto" w:fill="auto"/>
            <w:vAlign w:val="center"/>
          </w:tcPr>
          <w:p>
            <w:pPr>
              <w:pStyle w:val="1319"/>
              <w:spacing w:line="240" w:lineRule="exact"/>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2</w:t>
            </w:r>
          </w:p>
        </w:tc>
        <w:tc>
          <w:tcPr>
            <w:tcW w:w="11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19"/>
              <w:spacing w:line="240" w:lineRule="exact"/>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rPr>
              <w:t>中空壁缠绕管生产线</w:t>
            </w:r>
          </w:p>
        </w:tc>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19"/>
              <w:spacing w:line="240" w:lineRule="exact"/>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rPr>
              <w:t>1200-3000mm</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19"/>
              <w:spacing w:line="240" w:lineRule="exact"/>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rPr>
              <w:t>4条</w:t>
            </w:r>
          </w:p>
        </w:tc>
        <w:tc>
          <w:tcPr>
            <w:tcW w:w="1744" w:type="pct"/>
            <w:tcBorders>
              <w:top w:val="single" w:color="000000" w:sz="4" w:space="0"/>
              <w:left w:val="single" w:color="000000" w:sz="4" w:space="0"/>
              <w:bottom w:val="single" w:color="000000" w:sz="4" w:space="0"/>
              <w:right w:val="nil"/>
            </w:tcBorders>
            <w:shd w:val="clear" w:color="auto" w:fill="FFFFFF"/>
            <w:vAlign w:val="center"/>
          </w:tcPr>
          <w:p>
            <w:pPr>
              <w:pStyle w:val="1319"/>
              <w:spacing w:line="240" w:lineRule="exact"/>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rPr>
              <w:t>每条线配备2台挤出机、1台成型机、1台切割锯</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lang w:val="en-US" w:eastAsia="zh-CN"/>
              </w:rPr>
              <w:t>冷切</w:t>
            </w:r>
            <w:r>
              <w:rPr>
                <w:rFonts w:hint="eastAsia" w:ascii="Times New Roman" w:hAnsi="Times New Roman"/>
                <w:color w:val="auto"/>
                <w:szCs w:val="21"/>
                <w:highlight w:val="none"/>
                <w:lang w:eastAsia="zh-CN"/>
              </w:rPr>
              <w:t>）</w:t>
            </w:r>
          </w:p>
        </w:tc>
      </w:tr>
      <w:tr>
        <w:tblPrEx>
          <w:tblCellMar>
            <w:top w:w="15" w:type="dxa"/>
            <w:left w:w="15" w:type="dxa"/>
            <w:bottom w:w="15" w:type="dxa"/>
            <w:right w:w="15" w:type="dxa"/>
          </w:tblCellMar>
        </w:tblPrEx>
        <w:trPr>
          <w:trHeight w:val="340" w:hRule="atLeast"/>
          <w:jc w:val="center"/>
        </w:trPr>
        <w:tc>
          <w:tcPr>
            <w:tcW w:w="309" w:type="pct"/>
            <w:tcBorders>
              <w:top w:val="single" w:color="000000" w:sz="4" w:space="0"/>
              <w:left w:val="nil"/>
              <w:bottom w:val="single" w:color="000000" w:sz="4" w:space="0"/>
              <w:right w:val="single" w:color="000000" w:sz="4" w:space="0"/>
            </w:tcBorders>
            <w:shd w:val="clear" w:color="auto" w:fill="auto"/>
            <w:vAlign w:val="center"/>
          </w:tcPr>
          <w:p>
            <w:pPr>
              <w:pStyle w:val="1319"/>
              <w:spacing w:line="240" w:lineRule="exact"/>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3</w:t>
            </w:r>
          </w:p>
        </w:tc>
        <w:tc>
          <w:tcPr>
            <w:tcW w:w="11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19"/>
              <w:spacing w:line="240" w:lineRule="exact"/>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rPr>
              <w:t>双壁波纹管生产线</w:t>
            </w:r>
          </w:p>
        </w:tc>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19"/>
              <w:spacing w:line="240" w:lineRule="exact"/>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rPr>
              <w:t xml:space="preserve">JWSBGL-PE600 </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19"/>
              <w:spacing w:line="240" w:lineRule="exact"/>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rPr>
              <w:t>4条</w:t>
            </w:r>
          </w:p>
        </w:tc>
        <w:tc>
          <w:tcPr>
            <w:tcW w:w="1744" w:type="pct"/>
            <w:tcBorders>
              <w:top w:val="single" w:color="000000" w:sz="4" w:space="0"/>
              <w:left w:val="single" w:color="000000" w:sz="4" w:space="0"/>
              <w:bottom w:val="single" w:color="000000" w:sz="4" w:space="0"/>
              <w:right w:val="nil"/>
            </w:tcBorders>
            <w:shd w:val="clear" w:color="auto" w:fill="FFFFFF"/>
            <w:vAlign w:val="center"/>
          </w:tcPr>
          <w:p>
            <w:pPr>
              <w:pStyle w:val="1319"/>
              <w:spacing w:line="240" w:lineRule="exact"/>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rPr>
              <w:t>每条线配备2台锥双挤出机、1台双壁波纹管成型机、1台单螺杆挤出机及模具若干</w:t>
            </w:r>
          </w:p>
        </w:tc>
      </w:tr>
      <w:tr>
        <w:tblPrEx>
          <w:tblCellMar>
            <w:top w:w="15" w:type="dxa"/>
            <w:left w:w="15" w:type="dxa"/>
            <w:bottom w:w="15" w:type="dxa"/>
            <w:right w:w="15" w:type="dxa"/>
          </w:tblCellMar>
        </w:tblPrEx>
        <w:trPr>
          <w:trHeight w:val="340" w:hRule="atLeast"/>
          <w:jc w:val="center"/>
        </w:trPr>
        <w:tc>
          <w:tcPr>
            <w:tcW w:w="309" w:type="pct"/>
            <w:tcBorders>
              <w:top w:val="single" w:color="000000" w:sz="4" w:space="0"/>
              <w:left w:val="nil"/>
              <w:bottom w:val="single" w:color="000000" w:sz="4" w:space="0"/>
              <w:right w:val="single" w:color="000000" w:sz="4" w:space="0"/>
            </w:tcBorders>
            <w:shd w:val="clear" w:color="auto" w:fill="auto"/>
            <w:vAlign w:val="center"/>
          </w:tcPr>
          <w:p>
            <w:pPr>
              <w:pStyle w:val="1319"/>
              <w:spacing w:line="240" w:lineRule="exact"/>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4</w:t>
            </w:r>
          </w:p>
        </w:tc>
        <w:tc>
          <w:tcPr>
            <w:tcW w:w="11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19"/>
              <w:spacing w:line="240" w:lineRule="exact"/>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rPr>
              <w:t>造粒线</w:t>
            </w:r>
          </w:p>
        </w:tc>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19"/>
              <w:spacing w:line="240" w:lineRule="exact"/>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rPr>
              <w:t>135型、180型号</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19"/>
              <w:spacing w:line="240" w:lineRule="exact"/>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rPr>
              <w:t>10条</w:t>
            </w:r>
          </w:p>
        </w:tc>
        <w:tc>
          <w:tcPr>
            <w:tcW w:w="1744" w:type="pct"/>
            <w:tcBorders>
              <w:top w:val="single" w:color="000000" w:sz="4" w:space="0"/>
              <w:left w:val="single" w:color="000000" w:sz="4" w:space="0"/>
              <w:bottom w:val="single" w:color="000000" w:sz="4" w:space="0"/>
              <w:right w:val="nil"/>
            </w:tcBorders>
            <w:shd w:val="clear" w:color="auto" w:fill="FFFFFF"/>
            <w:vAlign w:val="center"/>
          </w:tcPr>
          <w:p>
            <w:pPr>
              <w:pStyle w:val="1319"/>
              <w:spacing w:line="240" w:lineRule="exact"/>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rPr>
              <w:t>每条线配备1台上料机、1台造粒机、1台切粒机、1台储料桶</w:t>
            </w:r>
          </w:p>
        </w:tc>
      </w:tr>
      <w:tr>
        <w:tblPrEx>
          <w:tblCellMar>
            <w:top w:w="15" w:type="dxa"/>
            <w:left w:w="15" w:type="dxa"/>
            <w:bottom w:w="15" w:type="dxa"/>
            <w:right w:w="15" w:type="dxa"/>
          </w:tblCellMar>
        </w:tblPrEx>
        <w:trPr>
          <w:trHeight w:val="345" w:hRule="atLeast"/>
          <w:jc w:val="center"/>
        </w:trPr>
        <w:tc>
          <w:tcPr>
            <w:tcW w:w="309" w:type="pct"/>
            <w:tcBorders>
              <w:top w:val="single" w:color="000000" w:sz="4" w:space="0"/>
              <w:left w:val="nil"/>
              <w:bottom w:val="single" w:color="000000" w:sz="4" w:space="0"/>
              <w:right w:val="single" w:color="000000" w:sz="4" w:space="0"/>
            </w:tcBorders>
            <w:shd w:val="clear" w:color="auto" w:fill="auto"/>
            <w:vAlign w:val="center"/>
          </w:tcPr>
          <w:p>
            <w:pPr>
              <w:pStyle w:val="1319"/>
              <w:spacing w:line="240" w:lineRule="exact"/>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5</w:t>
            </w:r>
          </w:p>
        </w:tc>
        <w:tc>
          <w:tcPr>
            <w:tcW w:w="11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19"/>
              <w:spacing w:line="240" w:lineRule="exact"/>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rPr>
              <w:t>注塑污水管件</w:t>
            </w:r>
          </w:p>
        </w:tc>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19"/>
              <w:spacing w:line="240" w:lineRule="exact"/>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rPr>
              <w:t>160-3300T型</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19"/>
              <w:spacing w:line="240" w:lineRule="exact"/>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rPr>
              <w:t>7条</w:t>
            </w:r>
          </w:p>
        </w:tc>
        <w:tc>
          <w:tcPr>
            <w:tcW w:w="1744" w:type="pct"/>
            <w:tcBorders>
              <w:top w:val="single" w:color="000000" w:sz="4" w:space="0"/>
              <w:left w:val="single" w:color="000000" w:sz="4" w:space="0"/>
              <w:bottom w:val="single" w:color="000000" w:sz="4" w:space="0"/>
              <w:right w:val="nil"/>
            </w:tcBorders>
            <w:shd w:val="clear" w:color="auto" w:fill="FFFFFF"/>
            <w:vAlign w:val="center"/>
          </w:tcPr>
          <w:p>
            <w:pPr>
              <w:pStyle w:val="1319"/>
              <w:spacing w:line="240" w:lineRule="exact"/>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rPr>
              <w:t>每条生产线配备1台干燥机、1台注塑机</w:t>
            </w:r>
          </w:p>
        </w:tc>
      </w:tr>
      <w:tr>
        <w:tblPrEx>
          <w:tblCellMar>
            <w:top w:w="15" w:type="dxa"/>
            <w:left w:w="15" w:type="dxa"/>
            <w:bottom w:w="15" w:type="dxa"/>
            <w:right w:w="15" w:type="dxa"/>
          </w:tblCellMar>
        </w:tblPrEx>
        <w:trPr>
          <w:trHeight w:val="340" w:hRule="atLeast"/>
          <w:jc w:val="center"/>
        </w:trPr>
        <w:tc>
          <w:tcPr>
            <w:tcW w:w="309" w:type="pct"/>
            <w:tcBorders>
              <w:top w:val="single" w:color="000000" w:sz="4" w:space="0"/>
              <w:left w:val="nil"/>
              <w:bottom w:val="single" w:color="000000" w:sz="4" w:space="0"/>
              <w:right w:val="single" w:color="000000" w:sz="4" w:space="0"/>
            </w:tcBorders>
            <w:shd w:val="clear" w:color="auto" w:fill="auto"/>
            <w:vAlign w:val="center"/>
          </w:tcPr>
          <w:p>
            <w:pPr>
              <w:pStyle w:val="1319"/>
              <w:spacing w:line="240" w:lineRule="exact"/>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rPr>
              <w:t>6</w:t>
            </w:r>
          </w:p>
        </w:tc>
        <w:tc>
          <w:tcPr>
            <w:tcW w:w="11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19"/>
              <w:spacing w:line="240" w:lineRule="exact"/>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rPr>
              <w:t>破碎机</w:t>
            </w:r>
          </w:p>
        </w:tc>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19"/>
              <w:spacing w:line="240" w:lineRule="exact"/>
              <w:ind w:firstLine="0" w:firstLineChars="0"/>
              <w:jc w:val="center"/>
              <w:rPr>
                <w:rFonts w:ascii="Times New Roman" w:hAnsi="Times New Roman"/>
                <w:color w:val="auto"/>
                <w:szCs w:val="21"/>
                <w:highlight w:val="none"/>
              </w:rPr>
            </w:pP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19"/>
              <w:spacing w:line="240" w:lineRule="exact"/>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rPr>
              <w:t>1台</w:t>
            </w:r>
          </w:p>
        </w:tc>
        <w:tc>
          <w:tcPr>
            <w:tcW w:w="1744" w:type="pct"/>
            <w:tcBorders>
              <w:top w:val="single" w:color="000000" w:sz="4" w:space="0"/>
              <w:left w:val="single" w:color="000000" w:sz="4" w:space="0"/>
              <w:bottom w:val="single" w:color="000000" w:sz="4" w:space="0"/>
              <w:right w:val="nil"/>
            </w:tcBorders>
            <w:shd w:val="clear" w:color="auto" w:fill="FFFFFF"/>
            <w:vAlign w:val="center"/>
          </w:tcPr>
          <w:p>
            <w:pPr>
              <w:pStyle w:val="1319"/>
              <w:spacing w:line="240" w:lineRule="exact"/>
              <w:ind w:firstLine="0" w:firstLineChars="0"/>
              <w:jc w:val="center"/>
              <w:rPr>
                <w:rFonts w:ascii="Times New Roman" w:hAnsi="Times New Roman"/>
                <w:color w:val="auto"/>
                <w:szCs w:val="21"/>
                <w:highlight w:val="none"/>
              </w:rPr>
            </w:pPr>
          </w:p>
        </w:tc>
      </w:tr>
      <w:tr>
        <w:tblPrEx>
          <w:tblCellMar>
            <w:top w:w="15" w:type="dxa"/>
            <w:left w:w="15" w:type="dxa"/>
            <w:bottom w:w="15" w:type="dxa"/>
            <w:right w:w="15" w:type="dxa"/>
          </w:tblCellMar>
        </w:tblPrEx>
        <w:trPr>
          <w:trHeight w:val="340" w:hRule="atLeast"/>
          <w:jc w:val="center"/>
        </w:trPr>
        <w:tc>
          <w:tcPr>
            <w:tcW w:w="309" w:type="pct"/>
            <w:tcBorders>
              <w:top w:val="single" w:color="000000" w:sz="4" w:space="0"/>
              <w:left w:val="nil"/>
              <w:bottom w:val="single" w:color="000000" w:sz="4" w:space="0"/>
              <w:right w:val="single" w:color="000000" w:sz="4" w:space="0"/>
            </w:tcBorders>
            <w:shd w:val="clear" w:color="auto" w:fill="auto"/>
            <w:vAlign w:val="center"/>
          </w:tcPr>
          <w:p>
            <w:pPr>
              <w:pStyle w:val="1319"/>
              <w:spacing w:line="240" w:lineRule="exact"/>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rPr>
              <w:t>7</w:t>
            </w:r>
          </w:p>
        </w:tc>
        <w:tc>
          <w:tcPr>
            <w:tcW w:w="11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19"/>
              <w:spacing w:line="240" w:lineRule="exact"/>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rPr>
              <w:t>废气治理设施</w:t>
            </w:r>
          </w:p>
        </w:tc>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19"/>
              <w:spacing w:line="240" w:lineRule="exact"/>
              <w:ind w:firstLine="0" w:firstLineChars="0"/>
              <w:jc w:val="center"/>
              <w:rPr>
                <w:rFonts w:ascii="Times New Roman" w:hAnsi="Times New Roman"/>
                <w:color w:val="auto"/>
                <w:szCs w:val="21"/>
                <w:highlight w:val="none"/>
              </w:rPr>
            </w:pP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19"/>
              <w:spacing w:line="240" w:lineRule="exact"/>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rPr>
              <w:t>1套</w:t>
            </w:r>
          </w:p>
        </w:tc>
        <w:tc>
          <w:tcPr>
            <w:tcW w:w="1744" w:type="pct"/>
            <w:tcBorders>
              <w:top w:val="single" w:color="000000" w:sz="4" w:space="0"/>
              <w:left w:val="single" w:color="000000" w:sz="4" w:space="0"/>
              <w:bottom w:val="single" w:color="000000" w:sz="4" w:space="0"/>
              <w:right w:val="nil"/>
            </w:tcBorders>
            <w:shd w:val="clear" w:color="auto" w:fill="FFFFFF"/>
            <w:vAlign w:val="center"/>
          </w:tcPr>
          <w:p>
            <w:pPr>
              <w:pStyle w:val="1319"/>
              <w:spacing w:line="240" w:lineRule="exact"/>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rPr>
              <w:t>布袋除尘器+活性炭吸附浓缩+催化燃烧</w:t>
            </w:r>
          </w:p>
        </w:tc>
      </w:tr>
      <w:tr>
        <w:tblPrEx>
          <w:tblCellMar>
            <w:top w:w="15" w:type="dxa"/>
            <w:left w:w="15" w:type="dxa"/>
            <w:bottom w:w="15" w:type="dxa"/>
            <w:right w:w="15" w:type="dxa"/>
          </w:tblCellMar>
        </w:tblPrEx>
        <w:trPr>
          <w:trHeight w:val="340" w:hRule="atLeast"/>
          <w:jc w:val="center"/>
        </w:trPr>
        <w:tc>
          <w:tcPr>
            <w:tcW w:w="309" w:type="pct"/>
            <w:tcBorders>
              <w:top w:val="single" w:color="000000" w:sz="4" w:space="0"/>
              <w:left w:val="nil"/>
              <w:bottom w:val="single" w:color="000000" w:sz="12" w:space="0"/>
              <w:right w:val="single" w:color="000000" w:sz="4" w:space="0"/>
            </w:tcBorders>
            <w:shd w:val="clear" w:color="auto" w:fill="auto"/>
            <w:vAlign w:val="center"/>
          </w:tcPr>
          <w:p>
            <w:pPr>
              <w:pStyle w:val="1319"/>
              <w:spacing w:line="240" w:lineRule="exact"/>
              <w:ind w:firstLine="0" w:firstLineChars="0"/>
              <w:jc w:val="center"/>
              <w:rPr>
                <w:rFonts w:hint="eastAsia"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8</w:t>
            </w:r>
          </w:p>
        </w:tc>
        <w:tc>
          <w:tcPr>
            <w:tcW w:w="1166" w:type="pct"/>
            <w:tcBorders>
              <w:top w:val="single" w:color="000000" w:sz="4" w:space="0"/>
              <w:left w:val="single" w:color="000000" w:sz="4" w:space="0"/>
              <w:bottom w:val="single" w:color="000000" w:sz="12" w:space="0"/>
              <w:right w:val="single" w:color="000000" w:sz="4" w:space="0"/>
            </w:tcBorders>
            <w:shd w:val="clear" w:color="auto" w:fill="auto"/>
            <w:vAlign w:val="center"/>
          </w:tcPr>
          <w:p>
            <w:pPr>
              <w:pStyle w:val="1319"/>
              <w:spacing w:line="240" w:lineRule="exact"/>
              <w:ind w:firstLine="0" w:firstLineChars="0"/>
              <w:jc w:val="center"/>
              <w:rPr>
                <w:rFonts w:hint="eastAsia"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风机</w:t>
            </w:r>
          </w:p>
        </w:tc>
        <w:tc>
          <w:tcPr>
            <w:tcW w:w="952" w:type="pct"/>
            <w:tcBorders>
              <w:top w:val="single" w:color="000000" w:sz="4" w:space="0"/>
              <w:left w:val="single" w:color="000000" w:sz="4" w:space="0"/>
              <w:bottom w:val="single" w:color="000000" w:sz="12" w:space="0"/>
              <w:right w:val="single" w:color="000000" w:sz="4" w:space="0"/>
            </w:tcBorders>
            <w:shd w:val="clear" w:color="auto" w:fill="auto"/>
            <w:vAlign w:val="center"/>
          </w:tcPr>
          <w:p>
            <w:pPr>
              <w:pStyle w:val="1319"/>
              <w:spacing w:line="240" w:lineRule="exact"/>
              <w:ind w:firstLine="0" w:firstLineChars="0"/>
              <w:jc w:val="center"/>
              <w:rPr>
                <w:rFonts w:ascii="Times New Roman" w:hAnsi="Times New Roman"/>
                <w:color w:val="auto"/>
                <w:szCs w:val="21"/>
                <w:highlight w:val="none"/>
              </w:rPr>
            </w:pPr>
          </w:p>
        </w:tc>
        <w:tc>
          <w:tcPr>
            <w:tcW w:w="826" w:type="pct"/>
            <w:tcBorders>
              <w:top w:val="single" w:color="000000" w:sz="4" w:space="0"/>
              <w:left w:val="single" w:color="000000" w:sz="4" w:space="0"/>
              <w:bottom w:val="single" w:color="000000" w:sz="12" w:space="0"/>
              <w:right w:val="single" w:color="000000" w:sz="4" w:space="0"/>
            </w:tcBorders>
            <w:shd w:val="clear" w:color="auto" w:fill="auto"/>
            <w:vAlign w:val="center"/>
          </w:tcPr>
          <w:p>
            <w:pPr>
              <w:pStyle w:val="1319"/>
              <w:spacing w:line="240" w:lineRule="exact"/>
              <w:ind w:firstLine="0" w:firstLineChars="0"/>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2套</w:t>
            </w:r>
          </w:p>
        </w:tc>
        <w:tc>
          <w:tcPr>
            <w:tcW w:w="1744" w:type="pct"/>
            <w:tcBorders>
              <w:top w:val="single" w:color="000000" w:sz="4" w:space="0"/>
              <w:left w:val="single" w:color="000000" w:sz="4" w:space="0"/>
              <w:bottom w:val="single" w:color="000000" w:sz="12" w:space="0"/>
              <w:right w:val="nil"/>
            </w:tcBorders>
            <w:shd w:val="clear" w:color="auto" w:fill="FFFFFF"/>
            <w:vAlign w:val="center"/>
          </w:tcPr>
          <w:p>
            <w:pPr>
              <w:pStyle w:val="1319"/>
              <w:spacing w:line="240" w:lineRule="exact"/>
              <w:ind w:firstLine="0" w:firstLineChars="0"/>
              <w:jc w:val="center"/>
              <w:rPr>
                <w:rFonts w:hint="default" w:ascii="Times New Roman" w:hAnsi="Times New Roman" w:eastAsia="宋体"/>
                <w:color w:val="auto"/>
                <w:szCs w:val="21"/>
                <w:highlight w:val="none"/>
                <w:lang w:val="en-US" w:eastAsia="zh-CN"/>
              </w:rPr>
            </w:pPr>
            <w:r>
              <w:rPr>
                <w:rFonts w:hint="default" w:ascii="Times New Roman" w:hAnsi="Times New Roman" w:cs="Times New Roman"/>
                <w:color w:val="auto"/>
                <w:szCs w:val="21"/>
                <w:highlight w:val="none"/>
                <w:lang w:val="en-US" w:eastAsia="zh-CN"/>
              </w:rPr>
              <w:t>总风量</w:t>
            </w:r>
            <w:r>
              <w:rPr>
                <w:rFonts w:hint="default" w:ascii="Times New Roman" w:hAnsi="Times New Roman" w:cs="Times New Roman"/>
                <w:color w:val="auto"/>
                <w:highlight w:val="none"/>
                <w:lang w:val="en-US" w:eastAsia="zh-CN"/>
              </w:rPr>
              <w:t>15000m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/h</w:t>
            </w:r>
          </w:p>
        </w:tc>
      </w:tr>
      <w:bookmarkEnd w:id="111"/>
    </w:tbl>
    <w:p>
      <w:pPr>
        <w:pStyle w:val="101"/>
        <w:spacing w:before="78"/>
        <w:rPr>
          <w:rFonts w:ascii="Times New Roman" w:hAnsi="Times New Roman"/>
          <w:color w:val="auto"/>
          <w:highlight w:val="none"/>
        </w:rPr>
      </w:pPr>
      <w:r>
        <w:rPr>
          <w:rFonts w:ascii="Times New Roman" w:hAnsi="Times New Roman"/>
          <w:color w:val="auto"/>
          <w:highlight w:val="none"/>
        </w:rPr>
        <w:t>2.1.7公用工程</w:t>
      </w:r>
    </w:p>
    <w:p>
      <w:pPr>
        <w:pStyle w:val="112"/>
        <w:rPr>
          <w:color w:val="auto"/>
          <w:highlight w:val="none"/>
        </w:rPr>
      </w:pPr>
      <w:r>
        <w:rPr>
          <w:color w:val="auto"/>
          <w:highlight w:val="none"/>
        </w:rPr>
        <w:t>2.1.7.1给排水系统</w:t>
      </w:r>
    </w:p>
    <w:p>
      <w:pPr>
        <w:spacing w:line="360" w:lineRule="auto"/>
        <w:ind w:firstLine="482" w:firstLineChars="200"/>
        <w:rPr>
          <w:color w:val="auto"/>
          <w:sz w:val="24"/>
          <w:highlight w:val="none"/>
        </w:rPr>
      </w:pPr>
      <w:r>
        <w:rPr>
          <w:b/>
          <w:bCs/>
          <w:color w:val="auto"/>
          <w:sz w:val="24"/>
          <w:highlight w:val="none"/>
        </w:rPr>
        <w:t>1、给水系统</w:t>
      </w:r>
    </w:p>
    <w:p>
      <w:pPr>
        <w:pStyle w:val="99"/>
        <w:ind w:firstLine="480"/>
        <w:rPr>
          <w:color w:val="auto"/>
          <w:highlight w:val="none"/>
        </w:rPr>
      </w:pPr>
      <w:r>
        <w:rPr>
          <w:color w:val="auto"/>
          <w:highlight w:val="none"/>
        </w:rPr>
        <w:t>本项目用水由</w:t>
      </w:r>
      <w:r>
        <w:rPr>
          <w:rFonts w:hint="eastAsia"/>
          <w:color w:val="auto"/>
          <w:highlight w:val="none"/>
        </w:rPr>
        <w:t>峄城区峨山镇</w:t>
      </w:r>
      <w:r>
        <w:rPr>
          <w:color w:val="auto"/>
          <w:highlight w:val="none"/>
        </w:rPr>
        <w:t>供水管网统一供给。项目用水主要包括员工生活用水、</w:t>
      </w:r>
      <w:r>
        <w:rPr>
          <w:rFonts w:hint="eastAsia"/>
          <w:color w:val="auto"/>
          <w:highlight w:val="none"/>
        </w:rPr>
        <w:t>间接冷却水补水</w:t>
      </w:r>
      <w:r>
        <w:rPr>
          <w:color w:val="auto"/>
          <w:highlight w:val="none"/>
        </w:rPr>
        <w:t>及绿化用水等。用水情况及废水产生量如下：</w:t>
      </w:r>
    </w:p>
    <w:p>
      <w:pPr>
        <w:spacing w:line="360" w:lineRule="auto"/>
        <w:ind w:firstLine="480" w:firstLineChars="200"/>
        <w:rPr>
          <w:color w:val="auto"/>
          <w:sz w:val="24"/>
          <w:highlight w:val="none"/>
        </w:rPr>
      </w:pPr>
      <w:r>
        <w:rPr>
          <w:color w:val="auto"/>
          <w:sz w:val="24"/>
          <w:highlight w:val="none"/>
        </w:rPr>
        <w:t>(1) 项目劳动定员</w:t>
      </w:r>
      <w:r>
        <w:rPr>
          <w:rFonts w:hint="eastAsia"/>
          <w:color w:val="auto"/>
          <w:sz w:val="24"/>
          <w:highlight w:val="none"/>
        </w:rPr>
        <w:t>30</w:t>
      </w:r>
      <w:r>
        <w:rPr>
          <w:color w:val="auto"/>
          <w:sz w:val="24"/>
          <w:highlight w:val="none"/>
        </w:rPr>
        <w:t>人，员工生活用水平均按</w:t>
      </w:r>
      <w:r>
        <w:rPr>
          <w:rFonts w:hint="eastAsia"/>
          <w:color w:val="auto"/>
          <w:sz w:val="24"/>
          <w:highlight w:val="none"/>
        </w:rPr>
        <w:t>40</w:t>
      </w:r>
      <w:r>
        <w:rPr>
          <w:color w:val="auto"/>
          <w:sz w:val="24"/>
          <w:highlight w:val="none"/>
        </w:rPr>
        <w:t>L/人·d计算，用量为</w:t>
      </w:r>
      <w:r>
        <w:rPr>
          <w:rFonts w:hint="eastAsia"/>
          <w:color w:val="auto"/>
          <w:sz w:val="24"/>
          <w:highlight w:val="none"/>
        </w:rPr>
        <w:t>1.2</w:t>
      </w:r>
      <w:r>
        <w:rPr>
          <w:color w:val="auto"/>
          <w:sz w:val="24"/>
          <w:highlight w:val="none"/>
        </w:rPr>
        <w:t>m</w:t>
      </w:r>
      <w:r>
        <w:rPr>
          <w:color w:val="auto"/>
          <w:sz w:val="24"/>
          <w:highlight w:val="none"/>
          <w:vertAlign w:val="superscript"/>
        </w:rPr>
        <w:t>3</w:t>
      </w:r>
      <w:r>
        <w:rPr>
          <w:color w:val="auto"/>
          <w:sz w:val="24"/>
          <w:highlight w:val="none"/>
        </w:rPr>
        <w:t>/d，计</w:t>
      </w:r>
      <w:r>
        <w:rPr>
          <w:rFonts w:hint="eastAsia"/>
          <w:color w:val="auto"/>
          <w:sz w:val="24"/>
          <w:highlight w:val="none"/>
        </w:rPr>
        <w:t>360</w:t>
      </w:r>
      <w:r>
        <w:rPr>
          <w:color w:val="auto"/>
          <w:sz w:val="24"/>
          <w:highlight w:val="none"/>
        </w:rPr>
        <w:t>m</w:t>
      </w:r>
      <w:r>
        <w:rPr>
          <w:color w:val="auto"/>
          <w:sz w:val="24"/>
          <w:highlight w:val="none"/>
          <w:vertAlign w:val="superscript"/>
        </w:rPr>
        <w:t>3</w:t>
      </w:r>
      <w:r>
        <w:rPr>
          <w:color w:val="auto"/>
          <w:sz w:val="24"/>
          <w:highlight w:val="none"/>
        </w:rPr>
        <w:t>/a。生活污水产生量按用水量80%计，则生活污水产生量为</w:t>
      </w:r>
      <w:r>
        <w:rPr>
          <w:rFonts w:hint="eastAsia"/>
          <w:color w:val="auto"/>
          <w:sz w:val="24"/>
          <w:highlight w:val="none"/>
        </w:rPr>
        <w:t>0.96</w:t>
      </w:r>
      <w:r>
        <w:rPr>
          <w:color w:val="auto"/>
          <w:sz w:val="24"/>
          <w:highlight w:val="none"/>
        </w:rPr>
        <w:t>m</w:t>
      </w:r>
      <w:r>
        <w:rPr>
          <w:color w:val="auto"/>
          <w:sz w:val="24"/>
          <w:highlight w:val="none"/>
          <w:vertAlign w:val="superscript"/>
        </w:rPr>
        <w:t>3</w:t>
      </w:r>
      <w:r>
        <w:rPr>
          <w:color w:val="auto"/>
          <w:sz w:val="24"/>
          <w:highlight w:val="none"/>
        </w:rPr>
        <w:t>/d，计</w:t>
      </w:r>
      <w:r>
        <w:rPr>
          <w:rFonts w:hint="eastAsia"/>
          <w:color w:val="auto"/>
          <w:sz w:val="24"/>
          <w:highlight w:val="none"/>
        </w:rPr>
        <w:t>288</w:t>
      </w:r>
      <w:r>
        <w:rPr>
          <w:color w:val="auto"/>
          <w:sz w:val="24"/>
          <w:highlight w:val="none"/>
        </w:rPr>
        <w:t>m</w:t>
      </w:r>
      <w:r>
        <w:rPr>
          <w:color w:val="auto"/>
          <w:sz w:val="24"/>
          <w:highlight w:val="none"/>
          <w:vertAlign w:val="superscript"/>
        </w:rPr>
        <w:t>3</w:t>
      </w:r>
      <w:r>
        <w:rPr>
          <w:color w:val="auto"/>
          <w:sz w:val="24"/>
          <w:highlight w:val="none"/>
        </w:rPr>
        <w:t>/a。生活污水</w:t>
      </w:r>
      <w:r>
        <w:rPr>
          <w:rFonts w:hint="eastAsia"/>
          <w:color w:val="auto"/>
          <w:sz w:val="24"/>
          <w:highlight w:val="none"/>
        </w:rPr>
        <w:t>由</w:t>
      </w:r>
      <w:r>
        <w:rPr>
          <w:color w:val="auto"/>
          <w:sz w:val="24"/>
          <w:highlight w:val="none"/>
        </w:rPr>
        <w:t>化粪池</w:t>
      </w:r>
      <w:r>
        <w:rPr>
          <w:rFonts w:hint="eastAsia"/>
          <w:color w:val="auto"/>
          <w:sz w:val="24"/>
          <w:highlight w:val="none"/>
        </w:rPr>
        <w:t>收集后由环卫部门定期清运</w:t>
      </w:r>
      <w:r>
        <w:rPr>
          <w:color w:val="auto"/>
          <w:sz w:val="24"/>
          <w:highlight w:val="none"/>
        </w:rPr>
        <w:t>。</w:t>
      </w:r>
    </w:p>
    <w:p>
      <w:pPr>
        <w:pStyle w:val="9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 间接冷却水补水</w:t>
      </w:r>
    </w:p>
    <w:p>
      <w:pPr>
        <w:pStyle w:val="9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项目设备冷却需用水，冷却水冷却后循环使用，定期补充，循环水量约为5m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/h，新鲜水添加量约为360m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eastAsia" w:cs="Times New Roman"/>
          <w:color w:val="auto"/>
          <w:highlight w:val="none"/>
          <w:lang w:val="en-US" w:eastAsia="zh-CN"/>
        </w:rPr>
        <w:t>用水来源为外购去离子水，</w:t>
      </w:r>
      <w:r>
        <w:rPr>
          <w:rFonts w:hint="default" w:ascii="Times New Roman" w:hAnsi="Times New Roman" w:cs="Times New Roman"/>
          <w:color w:val="auto"/>
          <w:highlight w:val="none"/>
        </w:rPr>
        <w:t>项目设置1座循环水池（容积约1500m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p>
      <w:pPr>
        <w:pStyle w:val="9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 绿化用水</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rPr>
        <w:t>根据建筑给水排水设计规范GB50015-2003修订版，绿化浇灌用水定额按浇灌面积(1.0～3.0)L/m</w:t>
      </w:r>
      <w:r>
        <w:rPr>
          <w:rFonts w:hint="default" w:ascii="Times New Roman" w:hAnsi="Times New Roman" w:cs="Times New Roman"/>
          <w:bCs/>
          <w:color w:val="auto"/>
          <w:sz w:val="24"/>
          <w:highlight w:val="none"/>
          <w:vertAlign w:val="superscript"/>
        </w:rPr>
        <w:t>2</w:t>
      </w:r>
      <w:r>
        <w:rPr>
          <w:rFonts w:hint="default" w:ascii="Times New Roman" w:hAnsi="Times New Roman" w:cs="Times New Roman"/>
          <w:bCs/>
          <w:color w:val="auto"/>
          <w:sz w:val="24"/>
          <w:highlight w:val="none"/>
        </w:rPr>
        <w:t>·d计算。本项目绿化用水按2.0L/m</w:t>
      </w:r>
      <w:r>
        <w:rPr>
          <w:rFonts w:hint="default" w:ascii="Times New Roman" w:hAnsi="Times New Roman" w:cs="Times New Roman"/>
          <w:bCs/>
          <w:color w:val="auto"/>
          <w:sz w:val="24"/>
          <w:highlight w:val="none"/>
          <w:vertAlign w:val="superscript"/>
        </w:rPr>
        <w:t>2</w:t>
      </w:r>
      <w:r>
        <w:rPr>
          <w:rFonts w:hint="default" w:ascii="Times New Roman" w:hAnsi="Times New Roman" w:cs="Times New Roman"/>
          <w:bCs/>
          <w:color w:val="auto"/>
          <w:sz w:val="24"/>
          <w:highlight w:val="none"/>
        </w:rPr>
        <w:t>·d计算</w:t>
      </w:r>
      <w:r>
        <w:rPr>
          <w:rFonts w:hint="default" w:ascii="Times New Roman" w:hAnsi="Times New Roman" w:cs="Times New Roman"/>
          <w:color w:val="auto"/>
          <w:sz w:val="24"/>
          <w:highlight w:val="none"/>
        </w:rPr>
        <w:t>，绿化用水时间取180d/a，绿化面积500m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，则日用水量为1m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/d，每年绿化用水180m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w:t>
      </w:r>
    </w:p>
    <w:p>
      <w:pPr>
        <w:spacing w:line="360" w:lineRule="auto"/>
        <w:ind w:firstLine="482" w:firstLineChars="200"/>
        <w:rPr>
          <w:color w:val="auto"/>
          <w:sz w:val="24"/>
          <w:highlight w:val="none"/>
        </w:rPr>
      </w:pPr>
      <w:r>
        <w:rPr>
          <w:rFonts w:hint="eastAsia"/>
          <w:b/>
          <w:bCs/>
          <w:color w:val="auto"/>
          <w:sz w:val="24"/>
          <w:highlight w:val="none"/>
        </w:rPr>
        <w:t>2</w:t>
      </w:r>
      <w:r>
        <w:rPr>
          <w:b/>
          <w:bCs/>
          <w:color w:val="auto"/>
          <w:sz w:val="24"/>
          <w:highlight w:val="none"/>
        </w:rPr>
        <w:t>、</w:t>
      </w:r>
      <w:r>
        <w:rPr>
          <w:rFonts w:hint="eastAsia"/>
          <w:b/>
          <w:bCs/>
          <w:color w:val="auto"/>
          <w:sz w:val="24"/>
          <w:highlight w:val="none"/>
        </w:rPr>
        <w:t>排</w:t>
      </w:r>
      <w:r>
        <w:rPr>
          <w:b/>
          <w:bCs/>
          <w:color w:val="auto"/>
          <w:sz w:val="24"/>
          <w:highlight w:val="none"/>
        </w:rPr>
        <w:t>水系统</w:t>
      </w:r>
    </w:p>
    <w:p>
      <w:pPr>
        <w:pStyle w:val="99"/>
        <w:ind w:firstLine="480"/>
        <w:rPr>
          <w:rFonts w:hint="eastAsia"/>
          <w:color w:val="auto"/>
          <w:highlight w:val="none"/>
        </w:rPr>
      </w:pPr>
      <w:r>
        <w:rPr>
          <w:rFonts w:hint="eastAsia"/>
          <w:color w:val="auto"/>
          <w:highlight w:val="none"/>
        </w:rPr>
        <w:t>项目厂区排水按照“清污分流”的原则，产生的废水为生活污水，生活污水产生量按用水量80%计，则生活污水产生量为0.96m</w:t>
      </w:r>
      <w:r>
        <w:rPr>
          <w:rFonts w:hint="eastAsia"/>
          <w:color w:val="auto"/>
          <w:highlight w:val="none"/>
          <w:vertAlign w:val="superscript"/>
        </w:rPr>
        <w:t>3</w:t>
      </w:r>
      <w:r>
        <w:rPr>
          <w:rFonts w:hint="eastAsia"/>
          <w:color w:val="auto"/>
          <w:highlight w:val="none"/>
        </w:rPr>
        <w:t>/d，计288m</w:t>
      </w:r>
      <w:r>
        <w:rPr>
          <w:rFonts w:hint="eastAsia"/>
          <w:color w:val="auto"/>
          <w:highlight w:val="none"/>
          <w:vertAlign w:val="superscript"/>
        </w:rPr>
        <w:t>3</w:t>
      </w:r>
      <w:r>
        <w:rPr>
          <w:rFonts w:hint="eastAsia"/>
          <w:color w:val="auto"/>
          <w:highlight w:val="none"/>
        </w:rPr>
        <w:t>/a。生活污水由化粪池收集后由环卫部门定期清运。</w:t>
      </w:r>
    </w:p>
    <w:p>
      <w:pPr>
        <w:pStyle w:val="99"/>
        <w:ind w:firstLine="480"/>
        <w:rPr>
          <w:rFonts w:hint="eastAsia"/>
          <w:color w:val="auto"/>
          <w:highlight w:val="none"/>
        </w:rPr>
      </w:pPr>
    </w:p>
    <w:p>
      <w:pPr>
        <w:pStyle w:val="99"/>
        <w:ind w:firstLine="480"/>
        <w:rPr>
          <w:rFonts w:hint="eastAsia"/>
          <w:color w:val="auto"/>
          <w:highlight w:val="none"/>
        </w:rPr>
      </w:pPr>
    </w:p>
    <w:p>
      <w:pPr>
        <w:pStyle w:val="99"/>
        <w:ind w:firstLine="480"/>
        <w:rPr>
          <w:rFonts w:hint="eastAsia"/>
          <w:color w:val="auto"/>
          <w:highlight w:val="none"/>
        </w:rPr>
      </w:pPr>
      <w:r>
        <w:rPr>
          <w:color w:val="auto"/>
          <w:sz w:val="24"/>
        </w:rPr>
        <mc:AlternateContent>
          <mc:Choice Requires="wpg">
            <w:drawing>
              <wp:anchor distT="0" distB="0" distL="114300" distR="114300" simplePos="0" relativeHeight="251669504" behindDoc="0" locked="0" layoutInCell="1" allowOverlap="1">
                <wp:simplePos x="0" y="0"/>
                <wp:positionH relativeFrom="column">
                  <wp:posOffset>590550</wp:posOffset>
                </wp:positionH>
                <wp:positionV relativeFrom="paragraph">
                  <wp:posOffset>107950</wp:posOffset>
                </wp:positionV>
                <wp:extent cx="4064635" cy="2749550"/>
                <wp:effectExtent l="0" t="0" r="0" b="0"/>
                <wp:wrapNone/>
                <wp:docPr id="55" name="组合 55"/>
                <wp:cNvGraphicFramePr/>
                <a:graphic xmlns:a="http://schemas.openxmlformats.org/drawingml/2006/main">
                  <a:graphicData uri="http://schemas.microsoft.com/office/word/2010/wordprocessingGroup">
                    <wpg:wgp>
                      <wpg:cNvGrpSpPr/>
                      <wpg:grpSpPr>
                        <a:xfrm>
                          <a:off x="0" y="0"/>
                          <a:ext cx="4064635" cy="2749550"/>
                          <a:chOff x="2676" y="550524"/>
                          <a:chExt cx="6401" cy="4330"/>
                        </a:xfrm>
                      </wpg:grpSpPr>
                      <wps:wsp>
                        <wps:cNvPr id="839" name="Text Box 322"/>
                        <wps:cNvSpPr txBox="1">
                          <a:spLocks noChangeArrowheads="1"/>
                        </wps:cNvSpPr>
                        <wps:spPr bwMode="auto">
                          <a:xfrm>
                            <a:off x="3332" y="554230"/>
                            <a:ext cx="5183" cy="625"/>
                          </a:xfrm>
                          <a:prstGeom prst="rect">
                            <a:avLst/>
                          </a:prstGeom>
                          <a:noFill/>
                          <a:ln>
                            <a:noFill/>
                          </a:ln>
                        </wps:spPr>
                        <wps:txbx>
                          <w:txbxContent>
                            <w:p>
                              <w:pPr>
                                <w:rPr>
                                  <w:rFonts w:eastAsia="黑体"/>
                                  <w:sz w:val="24"/>
                                </w:rPr>
                              </w:pPr>
                              <w:r>
                                <w:rPr>
                                  <w:rFonts w:eastAsia="黑体"/>
                                  <w:sz w:val="24"/>
                                </w:rPr>
                                <w:t>图2.</w:t>
                              </w:r>
                              <w:r>
                                <w:rPr>
                                  <w:rFonts w:hint="eastAsia" w:eastAsia="黑体"/>
                                  <w:sz w:val="24"/>
                                </w:rPr>
                                <w:t>1</w:t>
                              </w:r>
                              <w:r>
                                <w:rPr>
                                  <w:rFonts w:eastAsia="黑体"/>
                                  <w:sz w:val="24"/>
                                </w:rPr>
                                <w:t>-</w:t>
                              </w:r>
                              <w:r>
                                <w:rPr>
                                  <w:rFonts w:hint="eastAsia" w:eastAsia="黑体"/>
                                  <w:sz w:val="24"/>
                                </w:rPr>
                                <w:t>1  项目厂区水平衡</w:t>
                              </w:r>
                              <w:r>
                                <w:rPr>
                                  <w:rFonts w:eastAsia="黑体"/>
                                  <w:sz w:val="24"/>
                                </w:rPr>
                                <w:t>图</w:t>
                              </w:r>
                              <w:r>
                                <w:rPr>
                                  <w:rFonts w:hint="eastAsia" w:eastAsia="黑体"/>
                                  <w:sz w:val="24"/>
                                </w:rPr>
                                <w:t xml:space="preserve">  单位：m</w:t>
                              </w:r>
                              <w:r>
                                <w:rPr>
                                  <w:rFonts w:hint="eastAsia" w:eastAsia="黑体"/>
                                  <w:sz w:val="24"/>
                                  <w:vertAlign w:val="superscript"/>
                                </w:rPr>
                                <w:t>3</w:t>
                              </w:r>
                              <w:r>
                                <w:rPr>
                                  <w:rFonts w:hint="eastAsia" w:eastAsia="黑体"/>
                                  <w:sz w:val="24"/>
                                </w:rPr>
                                <w:t>/a</w:t>
                              </w:r>
                            </w:p>
                          </w:txbxContent>
                        </wps:txbx>
                        <wps:bodyPr rot="0" vert="horz" wrap="square" lIns="91440" tIns="45720" rIns="91440" bIns="45720" anchor="t" anchorCtr="0" upright="1">
                          <a:noAutofit/>
                        </wps:bodyPr>
                      </wps:wsp>
                      <wps:wsp>
                        <wps:cNvPr id="825" name="AutoShape 308"/>
                        <wps:cNvCnPr>
                          <a:cxnSpLocks noChangeShapeType="1"/>
                        </wps:cNvCnPr>
                        <wps:spPr bwMode="auto">
                          <a:xfrm>
                            <a:off x="3062" y="552293"/>
                            <a:ext cx="1474" cy="0"/>
                          </a:xfrm>
                          <a:prstGeom prst="straightConnector1">
                            <a:avLst/>
                          </a:prstGeom>
                          <a:noFill/>
                          <a:ln w="9525">
                            <a:solidFill>
                              <a:srgbClr val="000000"/>
                            </a:solidFill>
                            <a:round/>
                            <a:tailEnd type="triangle" w="med" len="med"/>
                          </a:ln>
                        </wps:spPr>
                        <wps:bodyPr/>
                      </wps:wsp>
                      <wps:wsp>
                        <wps:cNvPr id="826" name="Text Box 309"/>
                        <wps:cNvSpPr txBox="1">
                          <a:spLocks noChangeArrowheads="1"/>
                        </wps:cNvSpPr>
                        <wps:spPr bwMode="auto">
                          <a:xfrm>
                            <a:off x="2676" y="551890"/>
                            <a:ext cx="1998" cy="823"/>
                          </a:xfrm>
                          <a:prstGeom prst="rect">
                            <a:avLst/>
                          </a:prstGeom>
                          <a:noFill/>
                          <a:ln>
                            <a:noFill/>
                          </a:ln>
                        </wps:spPr>
                        <wps:txbx>
                          <w:txbxContent>
                            <w:p>
                              <w:pPr>
                                <w:jc w:val="center"/>
                                <w:rPr>
                                  <w:rFonts w:hint="default" w:eastAsia="宋体"/>
                                  <w:lang w:val="en-US" w:eastAsia="zh-CN"/>
                                </w:rPr>
                              </w:pPr>
                              <w:r>
                                <w:rPr>
                                  <w:rFonts w:hint="eastAsia"/>
                                  <w:color w:val="000000"/>
                                  <w:szCs w:val="21"/>
                                </w:rPr>
                                <w:t>新鲜水</w:t>
                              </w:r>
                              <w:r>
                                <w:rPr>
                                  <w:rFonts w:hint="eastAsia"/>
                                  <w:color w:val="000000"/>
                                  <w:szCs w:val="21"/>
                                  <w:lang w:val="en-US" w:eastAsia="zh-CN"/>
                                </w:rPr>
                                <w:t>540</w:t>
                              </w:r>
                            </w:p>
                          </w:txbxContent>
                        </wps:txbx>
                        <wps:bodyPr rot="0" vert="horz" wrap="square" lIns="91440" tIns="45720" rIns="91440" bIns="45720" anchor="t" anchorCtr="0" upright="1">
                          <a:noAutofit/>
                        </wps:bodyPr>
                      </wps:wsp>
                      <wps:wsp>
                        <wps:cNvPr id="827" name="AutoShape 310"/>
                        <wps:cNvCnPr>
                          <a:cxnSpLocks noChangeShapeType="1"/>
                        </wps:cNvCnPr>
                        <wps:spPr bwMode="auto">
                          <a:xfrm>
                            <a:off x="4526" y="551198"/>
                            <a:ext cx="0" cy="2665"/>
                          </a:xfrm>
                          <a:prstGeom prst="straightConnector1">
                            <a:avLst/>
                          </a:prstGeom>
                          <a:noFill/>
                          <a:ln w="9525">
                            <a:solidFill>
                              <a:srgbClr val="000000"/>
                            </a:solidFill>
                            <a:round/>
                          </a:ln>
                        </wps:spPr>
                        <wps:bodyPr/>
                      </wps:wsp>
                      <wps:wsp>
                        <wps:cNvPr id="828" name="AutoShape 311"/>
                        <wps:cNvCnPr>
                          <a:cxnSpLocks noChangeShapeType="1"/>
                        </wps:cNvCnPr>
                        <wps:spPr bwMode="auto">
                          <a:xfrm>
                            <a:off x="4526" y="551198"/>
                            <a:ext cx="810" cy="0"/>
                          </a:xfrm>
                          <a:prstGeom prst="straightConnector1">
                            <a:avLst/>
                          </a:prstGeom>
                          <a:noFill/>
                          <a:ln w="9525">
                            <a:solidFill>
                              <a:srgbClr val="000000"/>
                            </a:solidFill>
                            <a:round/>
                            <a:tailEnd type="triangle" w="med" len="med"/>
                          </a:ln>
                        </wps:spPr>
                        <wps:bodyPr/>
                      </wps:wsp>
                      <wps:wsp>
                        <wps:cNvPr id="829" name="AutoShape 312"/>
                        <wps:cNvCnPr>
                          <a:cxnSpLocks noChangeShapeType="1"/>
                        </wps:cNvCnPr>
                        <wps:spPr bwMode="auto">
                          <a:xfrm>
                            <a:off x="5997" y="552440"/>
                            <a:ext cx="810" cy="0"/>
                          </a:xfrm>
                          <a:prstGeom prst="straightConnector1">
                            <a:avLst/>
                          </a:prstGeom>
                          <a:noFill/>
                          <a:ln w="9525">
                            <a:solidFill>
                              <a:srgbClr val="000000"/>
                            </a:solidFill>
                            <a:round/>
                            <a:tailEnd type="triangle" w="med" len="med"/>
                          </a:ln>
                        </wps:spPr>
                        <wps:bodyPr/>
                      </wps:wsp>
                      <wps:wsp>
                        <wps:cNvPr id="831" name="AutoShape 314"/>
                        <wps:cNvCnPr>
                          <a:cxnSpLocks noChangeShapeType="1"/>
                        </wps:cNvCnPr>
                        <wps:spPr bwMode="auto">
                          <a:xfrm>
                            <a:off x="4541" y="553861"/>
                            <a:ext cx="810" cy="0"/>
                          </a:xfrm>
                          <a:prstGeom prst="straightConnector1">
                            <a:avLst/>
                          </a:prstGeom>
                          <a:noFill/>
                          <a:ln w="9525">
                            <a:solidFill>
                              <a:srgbClr val="000000"/>
                            </a:solidFill>
                            <a:round/>
                            <a:tailEnd type="triangle" w="med" len="med"/>
                          </a:ln>
                        </wps:spPr>
                        <wps:bodyPr/>
                      </wps:wsp>
                      <wps:wsp>
                        <wps:cNvPr id="835" name="Text Box 318"/>
                        <wps:cNvSpPr txBox="1">
                          <a:spLocks noChangeArrowheads="1"/>
                        </wps:cNvSpPr>
                        <wps:spPr bwMode="auto">
                          <a:xfrm>
                            <a:off x="4406" y="550868"/>
                            <a:ext cx="960" cy="465"/>
                          </a:xfrm>
                          <a:prstGeom prst="rect">
                            <a:avLst/>
                          </a:prstGeom>
                          <a:noFill/>
                          <a:ln>
                            <a:noFill/>
                          </a:ln>
                        </wps:spPr>
                        <wps:txbx>
                          <w:txbxContent>
                            <w:p>
                              <w:pPr>
                                <w:jc w:val="center"/>
                              </w:pPr>
                              <w:r>
                                <w:rPr>
                                  <w:rFonts w:hint="eastAsia"/>
                                </w:rPr>
                                <w:t>360</w:t>
                              </w:r>
                            </w:p>
                          </w:txbxContent>
                        </wps:txbx>
                        <wps:bodyPr rot="0" vert="horz" wrap="square" lIns="91440" tIns="45720" rIns="91440" bIns="45720" anchor="t" anchorCtr="0" upright="1">
                          <a:noAutofit/>
                        </wps:bodyPr>
                      </wps:wsp>
                      <wps:wsp>
                        <wps:cNvPr id="836" name="Text Box 319"/>
                        <wps:cNvSpPr txBox="1">
                          <a:spLocks noChangeArrowheads="1"/>
                        </wps:cNvSpPr>
                        <wps:spPr bwMode="auto">
                          <a:xfrm>
                            <a:off x="4989" y="552021"/>
                            <a:ext cx="1396" cy="772"/>
                          </a:xfrm>
                          <a:prstGeom prst="rect">
                            <a:avLst/>
                          </a:prstGeom>
                          <a:noFill/>
                          <a:ln>
                            <a:noFill/>
                          </a:ln>
                        </wps:spPr>
                        <wps:txbx>
                          <w:txbxContent>
                            <w:p>
                              <w:pPr>
                                <w:jc w:val="center"/>
                              </w:pPr>
                              <w:r>
                                <w:rPr>
                                  <w:rFonts w:hint="eastAsia"/>
                                  <w:lang w:val="en-US" w:eastAsia="zh-CN"/>
                                </w:rPr>
                                <w:t>外购去离子水</w:t>
                              </w:r>
                              <w:r>
                                <w:rPr>
                                  <w:rFonts w:hint="eastAsia"/>
                                </w:rPr>
                                <w:t>360</w:t>
                              </w:r>
                            </w:p>
                          </w:txbxContent>
                        </wps:txbx>
                        <wps:bodyPr rot="0" vert="horz" wrap="square" lIns="91440" tIns="45720" rIns="91440" bIns="45720" anchor="t" anchorCtr="0" upright="1">
                          <a:noAutofit/>
                        </wps:bodyPr>
                      </wps:wsp>
                      <wps:wsp>
                        <wps:cNvPr id="837" name="Text Box 320"/>
                        <wps:cNvSpPr txBox="1">
                          <a:spLocks noChangeArrowheads="1"/>
                        </wps:cNvSpPr>
                        <wps:spPr bwMode="auto">
                          <a:xfrm>
                            <a:off x="4421" y="553501"/>
                            <a:ext cx="1050" cy="450"/>
                          </a:xfrm>
                          <a:prstGeom prst="rect">
                            <a:avLst/>
                          </a:prstGeom>
                          <a:noFill/>
                          <a:ln>
                            <a:noFill/>
                          </a:ln>
                        </wps:spPr>
                        <wps:txbx>
                          <w:txbxContent>
                            <w:p>
                              <w:pPr>
                                <w:jc w:val="center"/>
                              </w:pPr>
                              <w:r>
                                <w:rPr>
                                  <w:rFonts w:hint="eastAsia"/>
                                </w:rPr>
                                <w:t>180</w:t>
                              </w:r>
                            </w:p>
                          </w:txbxContent>
                        </wps:txbx>
                        <wps:bodyPr rot="0" vert="horz" wrap="square" lIns="91440" tIns="45720" rIns="91440" bIns="45720" anchor="t" anchorCtr="0" upright="1">
                          <a:noAutofit/>
                        </wps:bodyPr>
                      </wps:wsp>
                      <wps:wsp>
                        <wps:cNvPr id="838" name="Text Box 321"/>
                        <wps:cNvSpPr txBox="1">
                          <a:spLocks noChangeArrowheads="1"/>
                        </wps:cNvSpPr>
                        <wps:spPr bwMode="auto">
                          <a:xfrm>
                            <a:off x="6461" y="551080"/>
                            <a:ext cx="960" cy="465"/>
                          </a:xfrm>
                          <a:prstGeom prst="rect">
                            <a:avLst/>
                          </a:prstGeom>
                          <a:noFill/>
                          <a:ln>
                            <a:noFill/>
                          </a:ln>
                        </wps:spPr>
                        <wps:txbx>
                          <w:txbxContent>
                            <w:p>
                              <w:pPr>
                                <w:jc w:val="center"/>
                              </w:pPr>
                              <w:r>
                                <w:rPr>
                                  <w:rFonts w:hint="eastAsia"/>
                                </w:rPr>
                                <w:t>288</w:t>
                              </w:r>
                            </w:p>
                          </w:txbxContent>
                        </wps:txbx>
                        <wps:bodyPr rot="0" vert="horz" wrap="square" lIns="91440" tIns="45720" rIns="91440" bIns="45720" anchor="t" anchorCtr="0" upright="1">
                          <a:noAutofit/>
                        </wps:bodyPr>
                      </wps:wsp>
                      <wps:wsp>
                        <wps:cNvPr id="840" name="Text Box 323"/>
                        <wps:cNvSpPr txBox="1">
                          <a:spLocks noChangeArrowheads="1"/>
                        </wps:cNvSpPr>
                        <wps:spPr bwMode="auto">
                          <a:xfrm>
                            <a:off x="5336" y="550943"/>
                            <a:ext cx="1080" cy="450"/>
                          </a:xfrm>
                          <a:prstGeom prst="rect">
                            <a:avLst/>
                          </a:prstGeom>
                          <a:solidFill>
                            <a:srgbClr val="FFFFFF"/>
                          </a:solidFill>
                          <a:ln w="9525">
                            <a:solidFill>
                              <a:srgbClr val="000000"/>
                            </a:solidFill>
                            <a:miter lim="800000"/>
                          </a:ln>
                        </wps:spPr>
                        <wps:txbx>
                          <w:txbxContent>
                            <w:p>
                              <w:pPr>
                                <w:jc w:val="center"/>
                              </w:pPr>
                              <w:r>
                                <w:rPr>
                                  <w:rFonts w:hint="eastAsia"/>
                                </w:rPr>
                                <w:t>生活用水</w:t>
                              </w:r>
                            </w:p>
                          </w:txbxContent>
                        </wps:txbx>
                        <wps:bodyPr rot="0" vert="horz" wrap="square" lIns="0" tIns="45720" rIns="0" bIns="45720" anchor="t" anchorCtr="0" upright="1">
                          <a:noAutofit/>
                        </wps:bodyPr>
                      </wps:wsp>
                      <wps:wsp>
                        <wps:cNvPr id="841" name="Text Box 324"/>
                        <wps:cNvSpPr txBox="1">
                          <a:spLocks noChangeArrowheads="1"/>
                        </wps:cNvSpPr>
                        <wps:spPr bwMode="auto">
                          <a:xfrm>
                            <a:off x="6815" y="552182"/>
                            <a:ext cx="1080" cy="450"/>
                          </a:xfrm>
                          <a:prstGeom prst="rect">
                            <a:avLst/>
                          </a:prstGeom>
                          <a:solidFill>
                            <a:srgbClr val="FFFFFF"/>
                          </a:solidFill>
                          <a:ln w="9525">
                            <a:solidFill>
                              <a:srgbClr val="000000"/>
                            </a:solidFill>
                            <a:miter lim="800000"/>
                          </a:ln>
                        </wps:spPr>
                        <wps:txbx>
                          <w:txbxContent>
                            <w:p>
                              <w:pPr>
                                <w:jc w:val="center"/>
                              </w:pPr>
                              <w:r>
                                <w:rPr>
                                  <w:rFonts w:hint="eastAsia"/>
                                </w:rPr>
                                <w:t>冷却水补水</w:t>
                              </w:r>
                            </w:p>
                          </w:txbxContent>
                        </wps:txbx>
                        <wps:bodyPr rot="0" vert="horz" wrap="square" lIns="0" tIns="45720" rIns="0" bIns="45720" anchor="t" anchorCtr="0" upright="1">
                          <a:noAutofit/>
                        </wps:bodyPr>
                      </wps:wsp>
                      <wps:wsp>
                        <wps:cNvPr id="842" name="Text Box 325"/>
                        <wps:cNvSpPr txBox="1">
                          <a:spLocks noChangeArrowheads="1"/>
                        </wps:cNvSpPr>
                        <wps:spPr bwMode="auto">
                          <a:xfrm>
                            <a:off x="5381" y="553606"/>
                            <a:ext cx="1080" cy="450"/>
                          </a:xfrm>
                          <a:prstGeom prst="rect">
                            <a:avLst/>
                          </a:prstGeom>
                          <a:solidFill>
                            <a:srgbClr val="FFFFFF"/>
                          </a:solidFill>
                          <a:ln w="9525">
                            <a:solidFill>
                              <a:srgbClr val="000000"/>
                            </a:solidFill>
                            <a:miter lim="800000"/>
                          </a:ln>
                        </wps:spPr>
                        <wps:txbx>
                          <w:txbxContent>
                            <w:p>
                              <w:pPr>
                                <w:jc w:val="center"/>
                              </w:pPr>
                              <w:r>
                                <w:rPr>
                                  <w:rFonts w:hint="eastAsia"/>
                                </w:rPr>
                                <w:t>绿化用水</w:t>
                              </w:r>
                            </w:p>
                          </w:txbxContent>
                        </wps:txbx>
                        <wps:bodyPr rot="0" vert="horz" wrap="square" lIns="0" tIns="45720" rIns="0" bIns="45720" anchor="t" anchorCtr="0" upright="1">
                          <a:noAutofit/>
                        </wps:bodyPr>
                      </wps:wsp>
                      <wps:wsp>
                        <wps:cNvPr id="848" name="AutoShape 331"/>
                        <wps:cNvCnPr>
                          <a:cxnSpLocks noChangeShapeType="1"/>
                        </wps:cNvCnPr>
                        <wps:spPr bwMode="auto">
                          <a:xfrm>
                            <a:off x="6446" y="551155"/>
                            <a:ext cx="1020" cy="8"/>
                          </a:xfrm>
                          <a:prstGeom prst="straightConnector1">
                            <a:avLst/>
                          </a:prstGeom>
                          <a:noFill/>
                          <a:ln w="9525">
                            <a:solidFill>
                              <a:srgbClr val="000000"/>
                            </a:solidFill>
                            <a:round/>
                            <a:tailEnd type="triangle" w="med" len="med"/>
                          </a:ln>
                        </wps:spPr>
                        <wps:bodyPr/>
                      </wps:wsp>
                      <wps:wsp>
                        <wps:cNvPr id="861" name="AutoShape 344"/>
                        <wps:cNvCnPr>
                          <a:cxnSpLocks noChangeShapeType="1"/>
                        </wps:cNvCnPr>
                        <wps:spPr bwMode="auto">
                          <a:xfrm flipV="1">
                            <a:off x="5950" y="553399"/>
                            <a:ext cx="370" cy="207"/>
                          </a:xfrm>
                          <a:prstGeom prst="curvedConnector3">
                            <a:avLst>
                              <a:gd name="adj1" fmla="val 50000"/>
                            </a:avLst>
                          </a:prstGeom>
                          <a:noFill/>
                          <a:ln w="9525">
                            <a:solidFill>
                              <a:srgbClr val="000000"/>
                            </a:solidFill>
                            <a:prstDash val="dash"/>
                            <a:round/>
                            <a:tailEnd type="triangle" w="med" len="med"/>
                          </a:ln>
                        </wps:spPr>
                        <wps:bodyPr/>
                      </wps:wsp>
                      <wps:wsp>
                        <wps:cNvPr id="863" name="AutoShape 346"/>
                        <wps:cNvCnPr>
                          <a:cxnSpLocks noChangeShapeType="1"/>
                        </wps:cNvCnPr>
                        <wps:spPr bwMode="auto">
                          <a:xfrm flipV="1">
                            <a:off x="7399" y="551975"/>
                            <a:ext cx="370" cy="207"/>
                          </a:xfrm>
                          <a:prstGeom prst="curvedConnector3">
                            <a:avLst>
                              <a:gd name="adj1" fmla="val 50000"/>
                            </a:avLst>
                          </a:prstGeom>
                          <a:noFill/>
                          <a:ln w="9525">
                            <a:solidFill>
                              <a:srgbClr val="000000"/>
                            </a:solidFill>
                            <a:prstDash val="dash"/>
                            <a:round/>
                            <a:tailEnd type="triangle" w="med" len="med"/>
                          </a:ln>
                        </wps:spPr>
                        <wps:bodyPr/>
                      </wps:wsp>
                      <wps:wsp>
                        <wps:cNvPr id="864" name="AutoShape 347"/>
                        <wps:cNvCnPr>
                          <a:cxnSpLocks noChangeShapeType="1"/>
                        </wps:cNvCnPr>
                        <wps:spPr bwMode="auto">
                          <a:xfrm flipV="1">
                            <a:off x="5950" y="550736"/>
                            <a:ext cx="370" cy="207"/>
                          </a:xfrm>
                          <a:prstGeom prst="curvedConnector3">
                            <a:avLst>
                              <a:gd name="adj1" fmla="val 50000"/>
                            </a:avLst>
                          </a:prstGeom>
                          <a:noFill/>
                          <a:ln w="9525">
                            <a:solidFill>
                              <a:srgbClr val="000000"/>
                            </a:solidFill>
                            <a:prstDash val="dash"/>
                            <a:round/>
                            <a:tailEnd type="triangle" w="med" len="med"/>
                          </a:ln>
                        </wps:spPr>
                        <wps:bodyPr/>
                      </wps:wsp>
                      <wps:wsp>
                        <wps:cNvPr id="866" name="Text Box 349"/>
                        <wps:cNvSpPr txBox="1">
                          <a:spLocks noChangeArrowheads="1"/>
                        </wps:cNvSpPr>
                        <wps:spPr bwMode="auto">
                          <a:xfrm>
                            <a:off x="6060" y="553159"/>
                            <a:ext cx="888" cy="405"/>
                          </a:xfrm>
                          <a:prstGeom prst="rect">
                            <a:avLst/>
                          </a:prstGeom>
                          <a:noFill/>
                          <a:ln>
                            <a:noFill/>
                          </a:ln>
                        </wps:spPr>
                        <wps:txbx>
                          <w:txbxContent>
                            <w:p>
                              <w:pPr>
                                <w:jc w:val="center"/>
                              </w:pPr>
                              <w:r>
                                <w:rPr>
                                  <w:rFonts w:hint="eastAsia"/>
                                </w:rPr>
                                <w:t>180</w:t>
                              </w:r>
                            </w:p>
                          </w:txbxContent>
                        </wps:txbx>
                        <wps:bodyPr rot="0" vert="horz" wrap="square" lIns="91440" tIns="45720" rIns="91440" bIns="45720" anchor="t" anchorCtr="0" upright="1">
                          <a:noAutofit/>
                        </wps:bodyPr>
                      </wps:wsp>
                      <wps:wsp>
                        <wps:cNvPr id="868" name="Text Box 351"/>
                        <wps:cNvSpPr txBox="1">
                          <a:spLocks noChangeArrowheads="1"/>
                        </wps:cNvSpPr>
                        <wps:spPr bwMode="auto">
                          <a:xfrm>
                            <a:off x="7549" y="551632"/>
                            <a:ext cx="679" cy="405"/>
                          </a:xfrm>
                          <a:prstGeom prst="rect">
                            <a:avLst/>
                          </a:prstGeom>
                          <a:noFill/>
                          <a:ln>
                            <a:noFill/>
                          </a:ln>
                        </wps:spPr>
                        <wps:txbx>
                          <w:txbxContent>
                            <w:p>
                              <w:pPr>
                                <w:jc w:val="center"/>
                              </w:pPr>
                              <w:r>
                                <w:rPr>
                                  <w:rFonts w:hint="eastAsia"/>
                                </w:rPr>
                                <w:t>360</w:t>
                              </w:r>
                            </w:p>
                          </w:txbxContent>
                        </wps:txbx>
                        <wps:bodyPr rot="0" vert="horz" wrap="square" lIns="91440" tIns="45720" rIns="91440" bIns="45720" anchor="t" anchorCtr="0" upright="1">
                          <a:noAutofit/>
                        </wps:bodyPr>
                      </wps:wsp>
                      <wps:wsp>
                        <wps:cNvPr id="869" name="Text Box 352"/>
                        <wps:cNvSpPr txBox="1">
                          <a:spLocks noChangeArrowheads="1"/>
                        </wps:cNvSpPr>
                        <wps:spPr bwMode="auto">
                          <a:xfrm>
                            <a:off x="6092" y="550524"/>
                            <a:ext cx="888" cy="405"/>
                          </a:xfrm>
                          <a:prstGeom prst="rect">
                            <a:avLst/>
                          </a:prstGeom>
                          <a:noFill/>
                          <a:ln>
                            <a:noFill/>
                          </a:ln>
                        </wps:spPr>
                        <wps:txbx>
                          <w:txbxContent>
                            <w:p>
                              <w:pPr>
                                <w:jc w:val="center"/>
                              </w:pPr>
                              <w:r>
                                <w:rPr>
                                  <w:rFonts w:hint="eastAsia"/>
                                </w:rPr>
                                <w:t>72</w:t>
                              </w:r>
                            </w:p>
                          </w:txbxContent>
                        </wps:txbx>
                        <wps:bodyPr rot="0" vert="horz" wrap="square" lIns="91440" tIns="45720" rIns="91440" bIns="45720" anchor="t" anchorCtr="0" upright="1">
                          <a:noAutofit/>
                        </wps:bodyPr>
                      </wps:wsp>
                      <wps:wsp>
                        <wps:cNvPr id="3" name="Text Box 324"/>
                        <wps:cNvSpPr txBox="1">
                          <a:spLocks noChangeArrowheads="1"/>
                        </wps:cNvSpPr>
                        <wps:spPr bwMode="auto">
                          <a:xfrm>
                            <a:off x="7451" y="550937"/>
                            <a:ext cx="1080" cy="450"/>
                          </a:xfrm>
                          <a:prstGeom prst="rect">
                            <a:avLst/>
                          </a:prstGeom>
                          <a:solidFill>
                            <a:srgbClr val="FFFFFF"/>
                          </a:solidFill>
                          <a:ln w="9525">
                            <a:solidFill>
                              <a:srgbClr val="000000"/>
                            </a:solidFill>
                            <a:miter lim="800000"/>
                          </a:ln>
                        </wps:spPr>
                        <wps:txbx>
                          <w:txbxContent>
                            <w:p>
                              <w:pPr>
                                <w:jc w:val="center"/>
                              </w:pPr>
                              <w:r>
                                <w:rPr>
                                  <w:rFonts w:hint="eastAsia"/>
                                </w:rPr>
                                <w:t>化粪池</w:t>
                              </w:r>
                            </w:p>
                          </w:txbxContent>
                        </wps:txbx>
                        <wps:bodyPr rot="0" vert="horz" wrap="square" lIns="0" tIns="45720" rIns="0" bIns="45720" anchor="t" anchorCtr="0" upright="1">
                          <a:noAutofit/>
                        </wps:bodyPr>
                      </wps:wsp>
                      <wps:wsp>
                        <wps:cNvPr id="12" name="肘形连接符 12"/>
                        <wps:cNvCnPr>
                          <a:stCxn id="841" idx="3"/>
                        </wps:cNvCnPr>
                        <wps:spPr>
                          <a:xfrm flipH="1">
                            <a:off x="7400" y="552407"/>
                            <a:ext cx="495" cy="616"/>
                          </a:xfrm>
                          <a:prstGeom prst="bentConnector4">
                            <a:avLst>
                              <a:gd name="adj1" fmla="val -75758"/>
                              <a:gd name="adj2" fmla="val 100000"/>
                            </a:avLst>
                          </a:prstGeom>
                          <a:ln>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3" name="直接箭头连接符 13"/>
                        <wps:cNvCnPr/>
                        <wps:spPr>
                          <a:xfrm flipV="1">
                            <a:off x="7385" y="552632"/>
                            <a:ext cx="0" cy="406"/>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 name="Text Box 319"/>
                        <wps:cNvSpPr txBox="1">
                          <a:spLocks noChangeArrowheads="1"/>
                        </wps:cNvSpPr>
                        <wps:spPr bwMode="auto">
                          <a:xfrm>
                            <a:off x="8163" y="552422"/>
                            <a:ext cx="915" cy="465"/>
                          </a:xfrm>
                          <a:prstGeom prst="rect">
                            <a:avLst/>
                          </a:prstGeom>
                          <a:noFill/>
                          <a:ln>
                            <a:noFill/>
                          </a:ln>
                        </wps:spPr>
                        <wps:txbx>
                          <w:txbxContent>
                            <w:p>
                              <w:pPr>
                                <w:jc w:val="center"/>
                              </w:pPr>
                              <w:r>
                                <w:rPr>
                                  <w:rFonts w:hint="eastAsia"/>
                                </w:rPr>
                                <w:t>36000</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6.5pt;margin-top:8.5pt;height:216.5pt;width:320.05pt;z-index:251669504;mso-width-relative:page;mso-height-relative:page;" coordorigin="2676,550524" coordsize="6401,4330" o:gfxdata="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">
                <o:lock v:ext="edit" aspectratio="f"/>
                <v:shape id="Text Box 322" o:spid="_x0000_s1026" o:spt="202" type="#_x0000_t202" style="position:absolute;left:3332;top:554230;height:625;width:5183;" filled="f" stroked="f" coordsize="21600,21600" o:gfxdata="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ct4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eastAsia="黑体"/>
                            <w:sz w:val="24"/>
                          </w:rPr>
                        </w:pPr>
                        <w:r>
                          <w:rPr>
                            <w:rFonts w:eastAsia="黑体"/>
                            <w:sz w:val="24"/>
                          </w:rPr>
                          <w:t>图2.</w:t>
                        </w:r>
                        <w:r>
                          <w:rPr>
                            <w:rFonts w:hint="eastAsia" w:eastAsia="黑体"/>
                            <w:sz w:val="24"/>
                          </w:rPr>
                          <w:t>1</w:t>
                        </w:r>
                        <w:r>
                          <w:rPr>
                            <w:rFonts w:eastAsia="黑体"/>
                            <w:sz w:val="24"/>
                          </w:rPr>
                          <w:t>-</w:t>
                        </w:r>
                        <w:r>
                          <w:rPr>
                            <w:rFonts w:hint="eastAsia" w:eastAsia="黑体"/>
                            <w:sz w:val="24"/>
                          </w:rPr>
                          <w:t>1  项目厂区水平衡</w:t>
                        </w:r>
                        <w:r>
                          <w:rPr>
                            <w:rFonts w:eastAsia="黑体"/>
                            <w:sz w:val="24"/>
                          </w:rPr>
                          <w:t>图</w:t>
                        </w:r>
                        <w:r>
                          <w:rPr>
                            <w:rFonts w:hint="eastAsia" w:eastAsia="黑体"/>
                            <w:sz w:val="24"/>
                          </w:rPr>
                          <w:t xml:space="preserve">  单位：m</w:t>
                        </w:r>
                        <w:r>
                          <w:rPr>
                            <w:rFonts w:hint="eastAsia" w:eastAsia="黑体"/>
                            <w:sz w:val="24"/>
                            <w:vertAlign w:val="superscript"/>
                          </w:rPr>
                          <w:t>3</w:t>
                        </w:r>
                        <w:r>
                          <w:rPr>
                            <w:rFonts w:hint="eastAsia" w:eastAsia="黑体"/>
                            <w:sz w:val="24"/>
                          </w:rPr>
                          <w:t>/a</w:t>
                        </w:r>
                      </w:p>
                    </w:txbxContent>
                  </v:textbox>
                </v:shape>
                <v:shape id="AutoShape 308" o:spid="_x0000_s1026" o:spt="32" type="#_x0000_t32" style="position:absolute;left:3062;top:552293;height:0;width:1474;" filled="f" stroked="t" coordsize="21600,21600" o:gfxdata="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UFgW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Text Box 309" o:spid="_x0000_s1026" o:spt="202" type="#_x0000_t202" style="position:absolute;left:2676;top:551890;height:823;width:1998;" filled="f" stroked="f" coordsize="21600,21600" o:gfxdata="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EvT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hint="default" w:eastAsia="宋体"/>
                            <w:lang w:val="en-US" w:eastAsia="zh-CN"/>
                          </w:rPr>
                        </w:pPr>
                        <w:r>
                          <w:rPr>
                            <w:rFonts w:hint="eastAsia"/>
                            <w:color w:val="000000"/>
                            <w:szCs w:val="21"/>
                          </w:rPr>
                          <w:t>新鲜水</w:t>
                        </w:r>
                        <w:r>
                          <w:rPr>
                            <w:rFonts w:hint="eastAsia"/>
                            <w:color w:val="000000"/>
                            <w:szCs w:val="21"/>
                            <w:lang w:val="en-US" w:eastAsia="zh-CN"/>
                          </w:rPr>
                          <w:t>540</w:t>
                        </w:r>
                      </w:p>
                    </w:txbxContent>
                  </v:textbox>
                </v:shape>
                <v:shape id="AutoShape 310" o:spid="_x0000_s1026" o:spt="32" type="#_x0000_t32" style="position:absolute;left:4526;top:551198;height:2665;width:0;" filled="f" stroked="t" coordsize="21600,21600" o:gfxdata="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CjR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311" o:spid="_x0000_s1026" o:spt="32" type="#_x0000_t32" style="position:absolute;left:4526;top:551198;height:0;width:810;" filled="f" stroked="t" coordsize="21600,21600" o:gfxdata="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0DPx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AutoShape 312" o:spid="_x0000_s1026" o:spt="32" type="#_x0000_t32" style="position:absolute;left:5997;top:552440;height:0;width:810;" filled="f" stroked="t" coordsize="21600,21600" o:gfxdata="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xqX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314" o:spid="_x0000_s1026" o:spt="32" type="#_x0000_t32" style="position:absolute;left:4541;top:553861;height:0;width:810;" filled="f" stroked="t" coordsize="21600,21600" o:gfxdata="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j8I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Text Box 318" o:spid="_x0000_s1026" o:spt="202" type="#_x0000_t202" style="position:absolute;left:4406;top:550868;height:465;width:960;" filled="f" stroked="f" coordsize="21600,21600" o:gfxdata="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on5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pPr>
                        <w:r>
                          <w:rPr>
                            <w:rFonts w:hint="eastAsia"/>
                          </w:rPr>
                          <w:t>360</w:t>
                        </w:r>
                      </w:p>
                    </w:txbxContent>
                  </v:textbox>
                </v:shape>
                <v:shape id="Text Box 319" o:spid="_x0000_s1026" o:spt="202" type="#_x0000_t202" style="position:absolute;left:4989;top:552021;height:772;width:1396;" filled="f" stroked="f" coordsize="21600,21600" o:gfxdata="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4uZG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pPr>
                        <w:r>
                          <w:rPr>
                            <w:rFonts w:hint="eastAsia"/>
                            <w:lang w:val="en-US" w:eastAsia="zh-CN"/>
                          </w:rPr>
                          <w:t>外购去离子水</w:t>
                        </w:r>
                        <w:r>
                          <w:rPr>
                            <w:rFonts w:hint="eastAsia"/>
                          </w:rPr>
                          <w:t>360</w:t>
                        </w:r>
                      </w:p>
                    </w:txbxContent>
                  </v:textbox>
                </v:shape>
                <v:shape id="Text Box 320" o:spid="_x0000_s1026" o:spt="202" type="#_x0000_t202" style="position:absolute;left:4421;top:553501;height:450;width:1050;" filled="f" stroked="f" coordsize="21600,21600" o:gfxdata="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dBwK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pPr>
                        <w:r>
                          <w:rPr>
                            <w:rFonts w:hint="eastAsia"/>
                          </w:rPr>
                          <w:t>180</w:t>
                        </w:r>
                      </w:p>
                    </w:txbxContent>
                  </v:textbox>
                </v:shape>
                <v:shape id="Text Box 321" o:spid="_x0000_s1026" o:spt="202" type="#_x0000_t202" style="position:absolute;left:6461;top:551080;height:465;width:960;" filled="f" stroked="f" coordsize="21600,21600" o:gfxdata="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64h4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jc w:val="center"/>
                        </w:pPr>
                        <w:r>
                          <w:rPr>
                            <w:rFonts w:hint="eastAsia"/>
                          </w:rPr>
                          <w:t>288</w:t>
                        </w:r>
                      </w:p>
                    </w:txbxContent>
                  </v:textbox>
                </v:shape>
                <v:shape id="Text Box 323" o:spid="_x0000_s1026" o:spt="202" type="#_x0000_t202" style="position:absolute;left:5336;top:550943;height:450;width:1080;" fillcolor="#FFFFFF" filled="t" stroked="t" coordsize="21600,21600" o:gfxdata="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78M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mm,1.27mm,0mm,1.27mm">
                    <w:txbxContent>
                      <w:p>
                        <w:pPr>
                          <w:jc w:val="center"/>
                        </w:pPr>
                        <w:r>
                          <w:rPr>
                            <w:rFonts w:hint="eastAsia"/>
                          </w:rPr>
                          <w:t>生活用水</w:t>
                        </w:r>
                      </w:p>
                    </w:txbxContent>
                  </v:textbox>
                </v:shape>
                <v:shape id="Text Box 324" o:spid="_x0000_s1026" o:spt="202" type="#_x0000_t202" style="position:absolute;left:6815;top:552182;height:450;width:1080;" fillcolor="#FFFFFF" filled="t" stroked="t" coordsize="21600,21600" o:gfxdata="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slmo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1.27mm,0mm,1.27mm">
                    <w:txbxContent>
                      <w:p>
                        <w:pPr>
                          <w:jc w:val="center"/>
                        </w:pPr>
                        <w:r>
                          <w:rPr>
                            <w:rFonts w:hint="eastAsia"/>
                          </w:rPr>
                          <w:t>冷却水补水</w:t>
                        </w:r>
                      </w:p>
                    </w:txbxContent>
                  </v:textbox>
                </v:shape>
                <v:shape id="Text Box 325" o:spid="_x0000_s1026" o:spt="202" type="#_x0000_t202" style="position:absolute;left:5381;top:553606;height:450;width:1080;" fillcolor="#FFFFFF" filled="t" stroked="t" coordsize="21600,21600" o:gfxdata="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DH3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1.27mm,0mm,1.27mm">
                    <w:txbxContent>
                      <w:p>
                        <w:pPr>
                          <w:jc w:val="center"/>
                        </w:pPr>
                        <w:r>
                          <w:rPr>
                            <w:rFonts w:hint="eastAsia"/>
                          </w:rPr>
                          <w:t>绿化用水</w:t>
                        </w:r>
                      </w:p>
                    </w:txbxContent>
                  </v:textbox>
                </v:shape>
                <v:shape id="AutoShape 331" o:spid="_x0000_s1026" o:spt="32" type="#_x0000_t32" style="position:absolute;left:6446;top:551155;height:8;width:1020;" filled="f" stroked="t" coordsize="21600,21600" o:gfxdata="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fKm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344" o:spid="_x0000_s1026" o:spt="38" type="#_x0000_t38" style="position:absolute;left:5950;top:553399;flip:y;height:207;width:370;" filled="f" stroked="t" coordsize="21600,21600" o:gfxdata="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OWpIvQAA&#10;ANwAAAAPAAAAAAAAAAEAIAAAACIAAABkcnMvZG93bnJldi54bWxQSwECFAAUAAAACACHTuJAMy8F&#10;njsAAAA5AAAAEAAAAAAAAAABACAAAAAMAQAAZHJzL3NoYXBleG1sLnhtbFBLBQYAAAAABgAGAFsB&#10;AAC2AwAAAAA=&#10;" adj="10800">
                  <v:fill on="f" focussize="0,0"/>
                  <v:stroke color="#000000" joinstyle="round" dashstyle="dash" endarrow="block"/>
                  <v:imagedata o:title=""/>
                  <o:lock v:ext="edit" aspectratio="f"/>
                </v:shape>
                <v:shape id="AutoShape 346" o:spid="_x0000_s1026" o:spt="38" type="#_x0000_t38" style="position:absolute;left:7399;top:551975;flip:y;height:207;width:370;" filled="f" stroked="t" coordsize="21600,21600" o:gfxdata="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p1GkvQAA&#10;ANwAAAAPAAAAAAAAAAEAIAAAACIAAABkcnMvZG93bnJldi54bWxQSwECFAAUAAAACACHTuJAMy8F&#10;njsAAAA5AAAAEAAAAAAAAAABACAAAAAMAQAAZHJzL3NoYXBleG1sLnhtbFBLBQYAAAAABgAGAFsB&#10;AAC2AwAAAAA=&#10;" adj="10800">
                  <v:fill on="f" focussize="0,0"/>
                  <v:stroke color="#000000" joinstyle="round" dashstyle="dash" endarrow="block"/>
                  <v:imagedata o:title=""/>
                  <o:lock v:ext="edit" aspectratio="f"/>
                </v:shape>
                <v:shape id="AutoShape 347" o:spid="_x0000_s1026" o:spt="38" type="#_x0000_t38" style="position:absolute;left:5950;top:550736;flip:y;height:207;width:370;" filled="f" stroked="t" coordsize="21600,21600" o:gfxdata="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snQvQAA&#10;ANwAAAAPAAAAAAAAAAEAIAAAACIAAABkcnMvZG93bnJldi54bWxQSwECFAAUAAAACACHTuJAMy8F&#10;njsAAAA5AAAAEAAAAAAAAAABACAAAAAMAQAAZHJzL3NoYXBleG1sLnhtbFBLBQYAAAAABgAGAFsB&#10;AAC2AwAAAAA=&#10;" adj="10800">
                  <v:fill on="f" focussize="0,0"/>
                  <v:stroke color="#000000" joinstyle="round" dashstyle="dash" endarrow="block"/>
                  <v:imagedata o:title=""/>
                  <o:lock v:ext="edit" aspectratio="f"/>
                </v:shape>
                <v:shape id="Text Box 349" o:spid="_x0000_s1026" o:spt="202" type="#_x0000_t202" style="position:absolute;left:6060;top:553159;height:405;width:888;" filled="f" stroked="f" coordsize="21600,21600" o:gfxdata="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uWj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pPr>
                        <w:r>
                          <w:rPr>
                            <w:rFonts w:hint="eastAsia"/>
                          </w:rPr>
                          <w:t>180</w:t>
                        </w:r>
                      </w:p>
                    </w:txbxContent>
                  </v:textbox>
                </v:shape>
                <v:shape id="Text Box 351" o:spid="_x0000_s1026" o:spt="202" type="#_x0000_t202" style="position:absolute;left:7549;top:551632;height:405;width:679;" filled="f" stroked="f" coordsize="21600,21600" o:gfxdata="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lYp2W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pPr>
                        <w:r>
                          <w:rPr>
                            <w:rFonts w:hint="eastAsia"/>
                          </w:rPr>
                          <w:t>360</w:t>
                        </w:r>
                      </w:p>
                    </w:txbxContent>
                  </v:textbox>
                </v:shape>
                <v:shape id="Text Box 352" o:spid="_x0000_s1026" o:spt="202" type="#_x0000_t202" style="position:absolute;left:6092;top:550524;height:405;width:888;" filled="f" stroked="f" coordsize="21600,21600" o:gfxdata="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QC/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pPr>
                        <w:r>
                          <w:rPr>
                            <w:rFonts w:hint="eastAsia"/>
                          </w:rPr>
                          <w:t>72</w:t>
                        </w:r>
                      </w:p>
                    </w:txbxContent>
                  </v:textbox>
                </v:shape>
                <v:shape id="Text Box 324" o:spid="_x0000_s1026" o:spt="202" type="#_x0000_t202" style="position:absolute;left:7451;top:550937;height:450;width:1080;" fillcolor="#FFFFFF" filled="t" stroked="t" coordsize="21600,21600" o:gfxdata="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gsQcbsAAADa&#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mm,1.27mm,0mm,1.27mm">
                    <w:txbxContent>
                      <w:p>
                        <w:pPr>
                          <w:jc w:val="center"/>
                        </w:pPr>
                        <w:r>
                          <w:rPr>
                            <w:rFonts w:hint="eastAsia"/>
                          </w:rPr>
                          <w:t>化粪池</w:t>
                        </w:r>
                      </w:p>
                    </w:txbxContent>
                  </v:textbox>
                </v:shape>
                <v:shape id="_x0000_s1026" o:spid="_x0000_s1026" o:spt="35" type="#_x0000_t35" style="position:absolute;left:7400;top:552407;flip:x;height:616;width:495;" filled="f" stroked="t" coordsize="21600,21600" o:gfxdata="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Twji8AAAA&#10;2wAAAA8AAAAAAAAAAQAgAAAAIgAAAGRycy9kb3ducmV2LnhtbFBLAQIUABQAAAAIAIdO4kAzLwWe&#10;OwAAADkAAAAQAAAAAAAAAAEAIAAAAAsBAABkcnMvc2hhcGV4bWwueG1sUEsFBgAAAAAGAAYAWwEA&#10;ALUDAAAAAA==&#10;" adj="-16364,21600">
                  <v:fill on="f" focussize="0,0"/>
                  <v:stroke weight="0.5pt" color="#000000 [3213]" miterlimit="8" joinstyle="miter"/>
                  <v:imagedata o:title=""/>
                  <o:lock v:ext="edit" aspectratio="f"/>
                </v:shape>
                <v:shape id="_x0000_s1026" o:spid="_x0000_s1026" o:spt="32" type="#_x0000_t32" style="position:absolute;left:7385;top:552632;flip:y;height:406;width:0;" filled="f" stroked="t" coordsize="21600,21600" o:gfxdata="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v/5m8AAAA&#10;2w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Text Box 319" o:spid="_x0000_s1026" o:spt="202" type="#_x0000_t202" style="position:absolute;left:8163;top:552422;height:465;width:915;" filled="f" stroked="f" coordsize="21600,21600" o:gfxdata="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EJW6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pPr>
                        <w:r>
                          <w:rPr>
                            <w:rFonts w:hint="eastAsia"/>
                          </w:rPr>
                          <w:t>36000</w:t>
                        </w:r>
                      </w:p>
                    </w:txbxContent>
                  </v:textbox>
                </v:shape>
              </v:group>
            </w:pict>
          </mc:Fallback>
        </mc:AlternateContent>
      </w: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rPr>
          <w:color w:val="auto"/>
          <w:highlight w:val="none"/>
        </w:rPr>
      </w:pPr>
    </w:p>
    <w:p>
      <w:pPr>
        <w:pStyle w:val="112"/>
        <w:rPr>
          <w:color w:val="auto"/>
          <w:highlight w:val="none"/>
        </w:rPr>
      </w:pPr>
      <w:r>
        <w:rPr>
          <w:color w:val="auto"/>
          <w:highlight w:val="none"/>
        </w:rPr>
        <w:t>2.1.7.2供电系统</w:t>
      </w:r>
    </w:p>
    <w:p>
      <w:pPr>
        <w:pStyle w:val="99"/>
        <w:ind w:firstLine="480"/>
        <w:rPr>
          <w:color w:val="auto"/>
          <w:highlight w:val="none"/>
        </w:rPr>
      </w:pPr>
      <w:r>
        <w:rPr>
          <w:rFonts w:hint="eastAsia"/>
          <w:color w:val="auto"/>
          <w:highlight w:val="none"/>
        </w:rPr>
        <w:t>年耗电量150万kWh，用电由当地供电所提供，厂内设有变压器。</w:t>
      </w:r>
    </w:p>
    <w:p>
      <w:pPr>
        <w:pStyle w:val="112"/>
        <w:rPr>
          <w:color w:val="auto"/>
          <w:highlight w:val="none"/>
        </w:rPr>
      </w:pPr>
      <w:r>
        <w:rPr>
          <w:color w:val="auto"/>
          <w:highlight w:val="none"/>
        </w:rPr>
        <w:t>2.1.7.3供热系统</w:t>
      </w:r>
    </w:p>
    <w:p>
      <w:pPr>
        <w:pStyle w:val="102"/>
        <w:ind w:firstLine="480"/>
        <w:rPr>
          <w:color w:val="auto"/>
          <w:highlight w:val="none"/>
        </w:rPr>
      </w:pPr>
      <w:r>
        <w:rPr>
          <w:color w:val="auto"/>
          <w:highlight w:val="none"/>
        </w:rPr>
        <w:t>本项目</w:t>
      </w:r>
      <w:r>
        <w:rPr>
          <w:rFonts w:hint="eastAsia"/>
          <w:color w:val="auto"/>
          <w:highlight w:val="none"/>
        </w:rPr>
        <w:t>用热采用设备自带电加热功能，厂内不设置锅炉。</w:t>
      </w:r>
    </w:p>
    <w:p>
      <w:pPr>
        <w:pStyle w:val="112"/>
        <w:rPr>
          <w:color w:val="auto"/>
          <w:highlight w:val="none"/>
        </w:rPr>
      </w:pPr>
      <w:r>
        <w:rPr>
          <w:color w:val="auto"/>
          <w:highlight w:val="none"/>
        </w:rPr>
        <w:t>2.1.7.</w:t>
      </w:r>
      <w:r>
        <w:rPr>
          <w:rFonts w:hint="eastAsia"/>
          <w:color w:val="auto"/>
          <w:highlight w:val="none"/>
        </w:rPr>
        <w:t>4</w:t>
      </w:r>
      <w:r>
        <w:rPr>
          <w:color w:val="auto"/>
          <w:highlight w:val="none"/>
        </w:rPr>
        <w:t>消防系统</w:t>
      </w:r>
    </w:p>
    <w:p>
      <w:pPr>
        <w:adjustRightInd w:val="0"/>
        <w:spacing w:line="360" w:lineRule="auto"/>
        <w:ind w:firstLine="480" w:firstLineChars="200"/>
        <w:rPr>
          <w:color w:val="auto"/>
          <w:sz w:val="24"/>
          <w:szCs w:val="24"/>
          <w:highlight w:val="none"/>
        </w:rPr>
      </w:pPr>
      <w:r>
        <w:rPr>
          <w:rFonts w:hint="eastAsia"/>
          <w:color w:val="auto"/>
          <w:sz w:val="24"/>
          <w:szCs w:val="24"/>
          <w:highlight w:val="none"/>
        </w:rPr>
        <w:t>企业厂内</w:t>
      </w:r>
      <w:r>
        <w:rPr>
          <w:color w:val="auto"/>
          <w:sz w:val="24"/>
          <w:szCs w:val="24"/>
          <w:highlight w:val="none"/>
        </w:rPr>
        <w:t>建</w:t>
      </w:r>
      <w:r>
        <w:rPr>
          <w:rFonts w:hint="eastAsia"/>
          <w:color w:val="auto"/>
          <w:sz w:val="24"/>
          <w:szCs w:val="24"/>
          <w:highlight w:val="none"/>
        </w:rPr>
        <w:t>设</w:t>
      </w:r>
      <w:r>
        <w:rPr>
          <w:color w:val="auto"/>
          <w:sz w:val="24"/>
          <w:szCs w:val="24"/>
          <w:highlight w:val="none"/>
        </w:rPr>
        <w:t>消防给水系统，供水压力为0.4MPa。厂区内消防通道，室外消防给水管网上设置室外消防栓，在室内及各个装置区设置有室内消火栓和小型灭火器。公司内设有安环科，负责管理厂内消防设施。</w:t>
      </w:r>
    </w:p>
    <w:p>
      <w:pPr>
        <w:pStyle w:val="99"/>
        <w:ind w:firstLine="480"/>
        <w:rPr>
          <w:color w:val="auto"/>
          <w:szCs w:val="24"/>
          <w:highlight w:val="none"/>
        </w:rPr>
      </w:pPr>
      <w:r>
        <w:rPr>
          <w:color w:val="auto"/>
          <w:szCs w:val="24"/>
          <w:highlight w:val="none"/>
        </w:rPr>
        <w:t>项目各专业严格按照有关规范进行消防措施的设计，按规范设置各类消防设施，主要包括消防水管网、消防水栓、干粉灭火器、泡沫灭火器等。因此消防系统具有较高的安全可靠性。</w:t>
      </w:r>
    </w:p>
    <w:p>
      <w:pPr>
        <w:pStyle w:val="101"/>
        <w:spacing w:before="78"/>
        <w:rPr>
          <w:rFonts w:ascii="Times New Roman" w:hAnsi="Times New Roman"/>
          <w:color w:val="auto"/>
          <w:highlight w:val="none"/>
        </w:rPr>
      </w:pPr>
      <w:r>
        <w:rPr>
          <w:rFonts w:ascii="Times New Roman" w:hAnsi="Times New Roman"/>
          <w:color w:val="auto"/>
          <w:highlight w:val="none"/>
        </w:rPr>
        <w:t>2.1.</w:t>
      </w:r>
      <w:r>
        <w:rPr>
          <w:rFonts w:hint="eastAsia" w:ascii="Times New Roman" w:hAnsi="Times New Roman"/>
          <w:color w:val="auto"/>
          <w:highlight w:val="none"/>
        </w:rPr>
        <w:t>8储存运输</w:t>
      </w:r>
    </w:p>
    <w:p>
      <w:pPr>
        <w:pStyle w:val="99"/>
        <w:ind w:firstLine="480"/>
        <w:rPr>
          <w:color w:val="auto"/>
          <w:szCs w:val="24"/>
          <w:highlight w:val="none"/>
        </w:rPr>
      </w:pPr>
      <w:r>
        <w:rPr>
          <w:rFonts w:hint="eastAsia"/>
          <w:color w:val="auto"/>
          <w:szCs w:val="24"/>
          <w:highlight w:val="none"/>
        </w:rPr>
        <w:t>原辅材料由供应单位送到厂内，产品运输依托社会运输力量解决。运输方式主要为汽运。</w:t>
      </w:r>
    </w:p>
    <w:p>
      <w:pPr>
        <w:pStyle w:val="99"/>
        <w:ind w:firstLine="480"/>
        <w:rPr>
          <w:color w:val="auto"/>
          <w:szCs w:val="24"/>
          <w:highlight w:val="none"/>
        </w:rPr>
      </w:pPr>
      <w:r>
        <w:rPr>
          <w:rFonts w:hint="eastAsia"/>
          <w:color w:val="auto"/>
          <w:szCs w:val="24"/>
          <w:highlight w:val="none"/>
        </w:rPr>
        <w:t>原辅料存储于车间内，废聚乙烯和废聚丙烯分类存放在车间内。厂外运输由社会运输完成。</w:t>
      </w:r>
    </w:p>
    <w:p>
      <w:pPr>
        <w:pStyle w:val="99"/>
        <w:ind w:firstLine="480"/>
        <w:rPr>
          <w:color w:val="auto"/>
          <w:szCs w:val="24"/>
          <w:highlight w:val="none"/>
        </w:rPr>
      </w:pPr>
      <w:r>
        <w:rPr>
          <w:rFonts w:hint="eastAsia"/>
          <w:color w:val="auto"/>
          <w:szCs w:val="24"/>
          <w:highlight w:val="none"/>
        </w:rPr>
        <w:t>厂内运输：厂区内固体物料运输以叉车和行车为主。</w:t>
      </w:r>
    </w:p>
    <w:p>
      <w:pPr>
        <w:pStyle w:val="99"/>
        <w:ind w:firstLine="480"/>
        <w:rPr>
          <w:color w:val="auto"/>
          <w:szCs w:val="24"/>
          <w:highlight w:val="none"/>
        </w:rPr>
      </w:pPr>
      <w:r>
        <w:rPr>
          <w:rFonts w:hint="eastAsia"/>
          <w:color w:val="auto"/>
          <w:szCs w:val="24"/>
          <w:highlight w:val="none"/>
        </w:rPr>
        <w:t>厂区</w:t>
      </w:r>
      <w:r>
        <w:rPr>
          <w:rFonts w:hint="eastAsia"/>
          <w:color w:val="auto"/>
          <w:szCs w:val="24"/>
          <w:highlight w:val="none"/>
          <w:lang w:val="en-US" w:eastAsia="zh-CN"/>
        </w:rPr>
        <w:t>东</w:t>
      </w:r>
      <w:r>
        <w:rPr>
          <w:rFonts w:hint="eastAsia"/>
          <w:color w:val="auto"/>
          <w:szCs w:val="24"/>
          <w:highlight w:val="none"/>
        </w:rPr>
        <w:t>侧紧贴公路，公路交通十分方便，通过汽车运输来满足生产所需的原材料的运输需求。该项目的运输工具主要是汽车，主要原材料的运进是原材料供应单位负责运输。</w:t>
      </w:r>
    </w:p>
    <w:p>
      <w:pPr>
        <w:pStyle w:val="101"/>
        <w:spacing w:before="0" w:beforeLines="0"/>
        <w:rPr>
          <w:rFonts w:ascii="Times New Roman" w:hAnsi="Times New Roman"/>
          <w:color w:val="auto"/>
          <w:highlight w:val="none"/>
        </w:rPr>
      </w:pPr>
      <w:r>
        <w:rPr>
          <w:rFonts w:ascii="Times New Roman" w:hAnsi="Times New Roman"/>
          <w:color w:val="auto"/>
          <w:highlight w:val="none"/>
        </w:rPr>
        <w:t>2.1.</w:t>
      </w:r>
      <w:r>
        <w:rPr>
          <w:rFonts w:hint="eastAsia" w:ascii="Times New Roman" w:hAnsi="Times New Roman"/>
          <w:color w:val="auto"/>
          <w:highlight w:val="none"/>
        </w:rPr>
        <w:t>9</w:t>
      </w:r>
      <w:r>
        <w:rPr>
          <w:rFonts w:ascii="Times New Roman" w:hAnsi="Times New Roman"/>
          <w:color w:val="auto"/>
          <w:highlight w:val="none"/>
        </w:rPr>
        <w:t>总平面布置</w:t>
      </w:r>
    </w:p>
    <w:p>
      <w:pPr>
        <w:pStyle w:val="102"/>
        <w:ind w:firstLine="480"/>
        <w:rPr>
          <w:color w:val="auto"/>
          <w:highlight w:val="none"/>
        </w:rPr>
      </w:pPr>
      <w:r>
        <w:rPr>
          <w:color w:val="auto"/>
          <w:highlight w:val="none"/>
        </w:rPr>
        <w:t>本项目厂区东西</w:t>
      </w:r>
      <w:r>
        <w:rPr>
          <w:rFonts w:hint="eastAsia"/>
          <w:color w:val="auto"/>
          <w:highlight w:val="none"/>
        </w:rPr>
        <w:t>约宽150</w:t>
      </w:r>
      <w:r>
        <w:rPr>
          <w:color w:val="auto"/>
          <w:highlight w:val="none"/>
        </w:rPr>
        <w:t>m、南北</w:t>
      </w:r>
      <w:r>
        <w:rPr>
          <w:rFonts w:hint="eastAsia"/>
          <w:color w:val="auto"/>
          <w:highlight w:val="none"/>
        </w:rPr>
        <w:t>长133.33</w:t>
      </w:r>
      <w:r>
        <w:rPr>
          <w:color w:val="auto"/>
          <w:highlight w:val="none"/>
        </w:rPr>
        <w:t>m，占地面积</w:t>
      </w:r>
      <w:r>
        <w:rPr>
          <w:rFonts w:hint="eastAsia"/>
          <w:color w:val="auto"/>
          <w:highlight w:val="none"/>
        </w:rPr>
        <w:t>2</w:t>
      </w:r>
      <w:r>
        <w:rPr>
          <w:rFonts w:hint="eastAsia"/>
          <w:color w:val="auto"/>
          <w:highlight w:val="none"/>
          <w:lang w:val="en-US" w:eastAsia="zh-CN"/>
        </w:rPr>
        <w:t>公顷</w:t>
      </w:r>
      <w:r>
        <w:rPr>
          <w:rFonts w:hint="eastAsia"/>
          <w:color w:val="auto"/>
          <w:highlight w:val="none"/>
        </w:rPr>
        <w:t>(20000</w:t>
      </w:r>
      <w:r>
        <w:rPr>
          <w:color w:val="auto"/>
          <w:highlight w:val="none"/>
        </w:rPr>
        <w:t>m</w:t>
      </w:r>
      <w:r>
        <w:rPr>
          <w:color w:val="auto"/>
          <w:highlight w:val="none"/>
          <w:vertAlign w:val="superscript"/>
        </w:rPr>
        <w:t>2</w:t>
      </w:r>
      <w:r>
        <w:rPr>
          <w:rFonts w:hint="eastAsia"/>
          <w:color w:val="auto"/>
          <w:highlight w:val="none"/>
        </w:rPr>
        <w:t>)，生产车间布置厂区西侧，从南向北依次为1#车间(</w:t>
      </w:r>
      <w:r>
        <w:rPr>
          <w:rFonts w:hint="eastAsia"/>
          <w:color w:val="auto"/>
          <w:kern w:val="0"/>
          <w:szCs w:val="21"/>
          <w:highlight w:val="none"/>
        </w:rPr>
        <w:t>给水管生产、注塑工序生产及聚乙烯颗粒存放</w:t>
      </w:r>
      <w:r>
        <w:rPr>
          <w:rFonts w:hint="eastAsia"/>
          <w:color w:val="auto"/>
          <w:kern w:val="0"/>
          <w:szCs w:val="21"/>
          <w:highlight w:val="none"/>
          <w:lang w:val="en-US" w:eastAsia="zh-CN"/>
        </w:rPr>
        <w:t>区</w:t>
      </w:r>
      <w:r>
        <w:rPr>
          <w:rFonts w:hint="eastAsia"/>
          <w:color w:val="auto"/>
          <w:highlight w:val="none"/>
        </w:rPr>
        <w:t>)、2#车间（</w:t>
      </w:r>
      <w:r>
        <w:rPr>
          <w:rFonts w:hint="eastAsia"/>
          <w:color w:val="auto"/>
          <w:kern w:val="0"/>
          <w:szCs w:val="21"/>
          <w:highlight w:val="none"/>
        </w:rPr>
        <w:t>造粒、双壁波纹管、中空壁缠绕管生产及聚乙烯颗粒存放、外购破碎清洗好废旧塑料存放</w:t>
      </w:r>
      <w:r>
        <w:rPr>
          <w:rFonts w:hint="eastAsia"/>
          <w:color w:val="auto"/>
          <w:highlight w:val="none"/>
        </w:rPr>
        <w:t>），2#车间北头西侧建设废气处理设施，厂内西北角循环水池</w:t>
      </w:r>
      <w:r>
        <w:rPr>
          <w:rFonts w:hint="eastAsia"/>
          <w:color w:val="auto"/>
          <w:highlight w:val="none"/>
          <w:lang w:eastAsia="zh-CN"/>
        </w:rPr>
        <w:t>，</w:t>
      </w:r>
      <w:r>
        <w:rPr>
          <w:rFonts w:hint="eastAsia"/>
          <w:color w:val="auto"/>
          <w:highlight w:val="none"/>
          <w:lang w:val="en-US" w:eastAsia="zh-CN"/>
        </w:rPr>
        <w:t>办公楼位于厂区东南侧，</w:t>
      </w:r>
      <w:r>
        <w:rPr>
          <w:color w:val="auto"/>
          <w:highlight w:val="none"/>
        </w:rPr>
        <w:t>厂区</w:t>
      </w:r>
      <w:r>
        <w:rPr>
          <w:rFonts w:hint="eastAsia"/>
          <w:color w:val="auto"/>
          <w:highlight w:val="none"/>
        </w:rPr>
        <w:t>内</w:t>
      </w:r>
      <w:r>
        <w:rPr>
          <w:color w:val="auto"/>
          <w:highlight w:val="none"/>
        </w:rPr>
        <w:t>道路宽6~10m，满足物流运输及消防道路要求</w:t>
      </w:r>
      <w:r>
        <w:rPr>
          <w:rFonts w:hint="eastAsia"/>
          <w:color w:val="auto"/>
          <w:highlight w:val="none"/>
        </w:rPr>
        <w:t>，厂区东侧中间设置出入口一处。</w:t>
      </w:r>
      <w:r>
        <w:rPr>
          <w:color w:val="auto"/>
          <w:highlight w:val="none"/>
        </w:rPr>
        <w:t>项目平面布置见图2.1-</w:t>
      </w:r>
      <w:r>
        <w:rPr>
          <w:rFonts w:hint="eastAsia"/>
          <w:color w:val="auto"/>
          <w:highlight w:val="none"/>
          <w:lang w:val="en-US" w:eastAsia="zh-CN"/>
        </w:rPr>
        <w:t>2，车间内设备布局图见图2.1-3</w:t>
      </w:r>
      <w:r>
        <w:rPr>
          <w:color w:val="auto"/>
          <w:highlight w:val="none"/>
        </w:rPr>
        <w:t>。</w:t>
      </w:r>
    </w:p>
    <w:p>
      <w:pPr>
        <w:pStyle w:val="100"/>
        <w:spacing w:before="0" w:beforeLines="0"/>
        <w:rPr>
          <w:rFonts w:ascii="Times New Roman" w:hAnsi="Times New Roman"/>
          <w:color w:val="auto"/>
          <w:highlight w:val="none"/>
        </w:rPr>
      </w:pPr>
      <w:bookmarkStart w:id="112" w:name="_Toc20204"/>
      <w:r>
        <w:rPr>
          <w:rFonts w:ascii="Times New Roman" w:hAnsi="Times New Roman"/>
          <w:color w:val="auto"/>
          <w:highlight w:val="none"/>
        </w:rPr>
        <w:t>2.2工艺流程及产污环节分析</w:t>
      </w:r>
      <w:bookmarkEnd w:id="112"/>
    </w:p>
    <w:p>
      <w:pPr>
        <w:pStyle w:val="99"/>
        <w:ind w:firstLine="480"/>
        <w:rPr>
          <w:color w:val="auto"/>
          <w:highlight w:val="none"/>
        </w:rPr>
      </w:pPr>
      <w:r>
        <w:rPr>
          <w:rFonts w:hint="eastAsia"/>
          <w:color w:val="auto"/>
          <w:highlight w:val="none"/>
        </w:rPr>
        <w:t>项目产品主要为给水管</w:t>
      </w:r>
      <w:r>
        <w:rPr>
          <w:rFonts w:hint="eastAsia"/>
          <w:color w:val="auto"/>
          <w:highlight w:val="none"/>
          <w:lang w:val="en-US" w:eastAsia="zh-CN"/>
        </w:rPr>
        <w:t>6800</w:t>
      </w:r>
      <w:r>
        <w:rPr>
          <w:rFonts w:hint="eastAsia"/>
          <w:color w:val="auto"/>
          <w:highlight w:val="none"/>
        </w:rPr>
        <w:t>t/a、中空壁缠绕管</w:t>
      </w:r>
      <w:r>
        <w:rPr>
          <w:rFonts w:hint="eastAsia"/>
          <w:color w:val="auto"/>
          <w:highlight w:val="none"/>
          <w:lang w:val="en-US" w:eastAsia="zh-CN"/>
        </w:rPr>
        <w:t>2</w:t>
      </w:r>
      <w:r>
        <w:rPr>
          <w:rFonts w:hint="eastAsia"/>
          <w:color w:val="auto"/>
          <w:highlight w:val="none"/>
        </w:rPr>
        <w:t>000t/a、双壁波纹管</w:t>
      </w:r>
      <w:r>
        <w:rPr>
          <w:rFonts w:hint="eastAsia"/>
          <w:color w:val="auto"/>
          <w:highlight w:val="none"/>
          <w:lang w:val="en-US" w:eastAsia="zh-CN"/>
        </w:rPr>
        <w:t>32</w:t>
      </w:r>
      <w:r>
        <w:rPr>
          <w:rFonts w:hint="eastAsia"/>
          <w:color w:val="auto"/>
          <w:highlight w:val="none"/>
        </w:rPr>
        <w:t>00t/a、注塑管件</w:t>
      </w:r>
      <w:r>
        <w:rPr>
          <w:rFonts w:hint="eastAsia"/>
          <w:color w:val="auto"/>
          <w:highlight w:val="none"/>
          <w:lang w:val="en-US" w:eastAsia="zh-CN"/>
        </w:rPr>
        <w:t>8</w:t>
      </w:r>
      <w:r>
        <w:rPr>
          <w:rFonts w:hint="eastAsia"/>
          <w:color w:val="auto"/>
          <w:highlight w:val="none"/>
        </w:rPr>
        <w:t>000t/a。其中给水管采用聚乙烯新料，中空壁缠绕管和双壁波纹管采用清洗破碎后的废聚乙烯料，注塑管件采用清洗破碎后的废聚丙烯料。</w:t>
      </w:r>
    </w:p>
    <w:p>
      <w:pPr>
        <w:pStyle w:val="99"/>
        <w:ind w:firstLine="480"/>
        <w:rPr>
          <w:color w:val="auto"/>
          <w:highlight w:val="none"/>
        </w:rPr>
      </w:pPr>
      <w:r>
        <w:rPr>
          <w:rFonts w:hint="eastAsia"/>
          <w:color w:val="auto"/>
          <w:highlight w:val="none"/>
        </w:rPr>
        <w:t>项目外购洗破碎后的废聚乙烯、废聚丙烯，现在厂内统一进行造粒、切粒后再用于中空壁缠绕管、双壁波纹管和注塑管件生产，各原料来源及产品关系见图2.2-1。</w:t>
      </w:r>
    </w:p>
    <w:p>
      <w:pPr>
        <w:pStyle w:val="99"/>
        <w:ind w:firstLine="480"/>
        <w:rPr>
          <w:color w:val="auto"/>
          <w:highlight w:val="none"/>
        </w:rPr>
      </w:pPr>
      <w:r>
        <w:rPr>
          <w:color w:val="auto"/>
          <w:sz w:val="24"/>
          <w:highlight w:val="none"/>
        </w:rPr>
        <mc:AlternateContent>
          <mc:Choice Requires="wpg">
            <w:drawing>
              <wp:anchor distT="0" distB="0" distL="114300" distR="114300" simplePos="0" relativeHeight="251668480" behindDoc="0" locked="0" layoutInCell="1" allowOverlap="1">
                <wp:simplePos x="0" y="0"/>
                <wp:positionH relativeFrom="column">
                  <wp:posOffset>917575</wp:posOffset>
                </wp:positionH>
                <wp:positionV relativeFrom="paragraph">
                  <wp:posOffset>192405</wp:posOffset>
                </wp:positionV>
                <wp:extent cx="4032250" cy="2959735"/>
                <wp:effectExtent l="0" t="4445" r="0" b="0"/>
                <wp:wrapNone/>
                <wp:docPr id="54" name="组合 54"/>
                <wp:cNvGraphicFramePr/>
                <a:graphic xmlns:a="http://schemas.openxmlformats.org/drawingml/2006/main">
                  <a:graphicData uri="http://schemas.microsoft.com/office/word/2010/wordprocessingGroup">
                    <wpg:wgp>
                      <wpg:cNvGrpSpPr/>
                      <wpg:grpSpPr>
                        <a:xfrm>
                          <a:off x="0" y="0"/>
                          <a:ext cx="4032250" cy="2959735"/>
                          <a:chOff x="2746" y="556286"/>
                          <a:chExt cx="6350" cy="4661"/>
                        </a:xfrm>
                      </wpg:grpSpPr>
                      <wps:wsp>
                        <wps:cNvPr id="615" name="Text Box 245"/>
                        <wps:cNvSpPr txBox="1">
                          <a:spLocks noChangeArrowheads="1"/>
                        </wps:cNvSpPr>
                        <wps:spPr bwMode="auto">
                          <a:xfrm>
                            <a:off x="4142" y="560323"/>
                            <a:ext cx="4667" cy="625"/>
                          </a:xfrm>
                          <a:prstGeom prst="rect">
                            <a:avLst/>
                          </a:prstGeom>
                          <a:noFill/>
                          <a:ln>
                            <a:noFill/>
                          </a:ln>
                        </wps:spPr>
                        <wps:txbx>
                          <w:txbxContent>
                            <w:p>
                              <w:pPr>
                                <w:rPr>
                                  <w:rFonts w:eastAsia="黑体"/>
                                </w:rPr>
                              </w:pPr>
                              <w:r>
                                <w:rPr>
                                  <w:rFonts w:eastAsia="黑体"/>
                                  <w:sz w:val="24"/>
                                </w:rPr>
                                <w:t xml:space="preserve">图2.2-1  </w:t>
                              </w:r>
                              <w:r>
                                <w:rPr>
                                  <w:rFonts w:hint="eastAsia" w:eastAsia="黑体"/>
                                  <w:sz w:val="24"/>
                                </w:rPr>
                                <w:t>原料来源及产品关系</w:t>
                              </w:r>
                              <w:r>
                                <w:rPr>
                                  <w:rFonts w:eastAsia="黑体"/>
                                  <w:sz w:val="24"/>
                                </w:rPr>
                                <w:t>图</w:t>
                              </w:r>
                            </w:p>
                          </w:txbxContent>
                        </wps:txbx>
                        <wps:bodyPr rot="0" vert="horz" wrap="square" lIns="91440" tIns="45720" rIns="91440" bIns="45720" anchor="t" anchorCtr="0" upright="1">
                          <a:noAutofit/>
                        </wps:bodyPr>
                      </wps:wsp>
                      <wps:wsp>
                        <wps:cNvPr id="616" name="文本框 17"/>
                        <wps:cNvSpPr txBox="1">
                          <a:spLocks noChangeArrowheads="1"/>
                        </wps:cNvSpPr>
                        <wps:spPr bwMode="auto">
                          <a:xfrm>
                            <a:off x="4498" y="556286"/>
                            <a:ext cx="1402" cy="480"/>
                          </a:xfrm>
                          <a:prstGeom prst="rect">
                            <a:avLst/>
                          </a:prstGeom>
                          <a:solidFill>
                            <a:srgbClr val="FFFFFF"/>
                          </a:solidFill>
                          <a:ln w="9525">
                            <a:solidFill>
                              <a:schemeClr val="bg1"/>
                            </a:solidFill>
                            <a:miter lim="800000"/>
                          </a:ln>
                        </wps:spPr>
                        <wps:txbx>
                          <w:txbxContent>
                            <w:p>
                              <w:r>
                                <w:rPr>
                                  <w:rFonts w:hint="eastAsia"/>
                                  <w:szCs w:val="21"/>
                                </w:rPr>
                                <w:t>聚乙烯</w:t>
                              </w:r>
                              <w:r>
                                <w:rPr>
                                  <w:szCs w:val="21"/>
                                </w:rPr>
                                <w:t>新料</w:t>
                              </w:r>
                            </w:p>
                          </w:txbxContent>
                        </wps:txbx>
                        <wps:bodyPr rot="0" vert="horz" wrap="square" lIns="91440" tIns="45720" rIns="91440" bIns="45720" anchor="t" anchorCtr="0" upright="1">
                          <a:noAutofit/>
                        </wps:bodyPr>
                      </wps:wsp>
                      <wps:wsp>
                        <wps:cNvPr id="618" name="文本框 19"/>
                        <wps:cNvSpPr txBox="1">
                          <a:spLocks noChangeArrowheads="1"/>
                        </wps:cNvSpPr>
                        <wps:spPr bwMode="auto">
                          <a:xfrm>
                            <a:off x="5049" y="557094"/>
                            <a:ext cx="1701" cy="480"/>
                          </a:xfrm>
                          <a:prstGeom prst="rect">
                            <a:avLst/>
                          </a:prstGeom>
                          <a:solidFill>
                            <a:srgbClr val="FFFFFF"/>
                          </a:solidFill>
                          <a:ln w="9525">
                            <a:solidFill>
                              <a:srgbClr val="000000"/>
                            </a:solidFill>
                            <a:miter lim="800000"/>
                          </a:ln>
                        </wps:spPr>
                        <wps:txbx>
                          <w:txbxContent>
                            <w:p>
                              <w:pPr>
                                <w:jc w:val="center"/>
                              </w:pPr>
                              <w:r>
                                <w:rPr>
                                  <w:rFonts w:hint="eastAsia"/>
                                </w:rPr>
                                <w:t>造粒</w:t>
                              </w:r>
                            </w:p>
                          </w:txbxContent>
                        </wps:txbx>
                        <wps:bodyPr rot="0" vert="horz" wrap="square" lIns="91440" tIns="45720" rIns="91440" bIns="45720" anchor="t" anchorCtr="0" upright="1">
                          <a:noAutofit/>
                        </wps:bodyPr>
                      </wps:wsp>
                      <wps:wsp>
                        <wps:cNvPr id="19" name="Text Box 264"/>
                        <wps:cNvSpPr txBox="1">
                          <a:spLocks noChangeArrowheads="1"/>
                        </wps:cNvSpPr>
                        <wps:spPr bwMode="auto">
                          <a:xfrm>
                            <a:off x="7166" y="556980"/>
                            <a:ext cx="1931" cy="839"/>
                          </a:xfrm>
                          <a:prstGeom prst="rect">
                            <a:avLst/>
                          </a:prstGeom>
                          <a:noFill/>
                          <a:ln>
                            <a:noFill/>
                          </a:ln>
                        </wps:spPr>
                        <wps:txbx>
                          <w:txbxContent>
                            <w:p>
                              <w:pPr>
                                <w:jc w:val="center"/>
                              </w:pPr>
                              <w:r>
                                <w:rPr>
                                  <w:rFonts w:hint="eastAsia"/>
                                </w:rPr>
                                <w:t>生产中空壁缠绕管和双壁波纹管</w:t>
                              </w:r>
                            </w:p>
                          </w:txbxContent>
                        </wps:txbx>
                        <wps:bodyPr rot="0" vert="horz" wrap="square" lIns="91440" tIns="45720" rIns="91440" bIns="45720" anchor="t" anchorCtr="0" upright="1">
                          <a:noAutofit/>
                        </wps:bodyPr>
                      </wps:wsp>
                      <wps:wsp>
                        <wps:cNvPr id="20" name="AutoShape 265"/>
                        <wps:cNvCnPr>
                          <a:cxnSpLocks noChangeShapeType="1"/>
                        </wps:cNvCnPr>
                        <wps:spPr bwMode="auto">
                          <a:xfrm rot="16200000">
                            <a:off x="6991" y="557094"/>
                            <a:ext cx="0" cy="454"/>
                          </a:xfrm>
                          <a:prstGeom prst="straightConnector1">
                            <a:avLst/>
                          </a:prstGeom>
                          <a:noFill/>
                          <a:ln w="9525">
                            <a:solidFill>
                              <a:srgbClr val="000000"/>
                            </a:solidFill>
                            <a:round/>
                            <a:tailEnd type="triangle" w="med" len="med"/>
                          </a:ln>
                        </wps:spPr>
                        <wps:bodyPr/>
                      </wps:wsp>
                      <wps:wsp>
                        <wps:cNvPr id="24" name="Text Box 264"/>
                        <wps:cNvSpPr txBox="1">
                          <a:spLocks noChangeArrowheads="1"/>
                        </wps:cNvSpPr>
                        <wps:spPr bwMode="auto">
                          <a:xfrm>
                            <a:off x="6249" y="556303"/>
                            <a:ext cx="1360" cy="480"/>
                          </a:xfrm>
                          <a:prstGeom prst="rect">
                            <a:avLst/>
                          </a:prstGeom>
                          <a:noFill/>
                          <a:ln>
                            <a:noFill/>
                          </a:ln>
                        </wps:spPr>
                        <wps:txbx>
                          <w:txbxContent>
                            <w:p>
                              <w:pPr>
                                <w:jc w:val="center"/>
                              </w:pPr>
                              <w:r>
                                <w:t>给水管</w:t>
                              </w:r>
                            </w:p>
                          </w:txbxContent>
                        </wps:txbx>
                        <wps:bodyPr rot="0" vert="horz" wrap="square" lIns="91440" tIns="45720" rIns="91440" bIns="45720" anchor="t" anchorCtr="0" upright="1">
                          <a:noAutofit/>
                        </wps:bodyPr>
                      </wps:wsp>
                      <wps:wsp>
                        <wps:cNvPr id="25" name="AutoShape 265"/>
                        <wps:cNvCnPr>
                          <a:cxnSpLocks noChangeShapeType="1"/>
                        </wps:cNvCnPr>
                        <wps:spPr bwMode="auto">
                          <a:xfrm flipV="1">
                            <a:off x="5923" y="556536"/>
                            <a:ext cx="523" cy="3"/>
                          </a:xfrm>
                          <a:prstGeom prst="straightConnector1">
                            <a:avLst/>
                          </a:prstGeom>
                          <a:noFill/>
                          <a:ln w="9525">
                            <a:solidFill>
                              <a:srgbClr val="000000"/>
                            </a:solidFill>
                            <a:round/>
                            <a:tailEnd type="triangle" w="med" len="med"/>
                          </a:ln>
                        </wps:spPr>
                        <wps:bodyPr/>
                      </wps:wsp>
                      <wps:wsp>
                        <wps:cNvPr id="880" name="AutoShape 265"/>
                        <wps:cNvCnPr>
                          <a:cxnSpLocks noChangeShapeType="1"/>
                        </wps:cNvCnPr>
                        <wps:spPr bwMode="auto">
                          <a:xfrm rot="16200000">
                            <a:off x="4829" y="557095"/>
                            <a:ext cx="0" cy="454"/>
                          </a:xfrm>
                          <a:prstGeom prst="straightConnector1">
                            <a:avLst/>
                          </a:prstGeom>
                          <a:noFill/>
                          <a:ln w="9525">
                            <a:solidFill>
                              <a:srgbClr val="000000"/>
                            </a:solidFill>
                            <a:round/>
                            <a:tailEnd type="triangle" w="med" len="med"/>
                          </a:ln>
                        </wps:spPr>
                        <wps:bodyPr/>
                      </wps:wsp>
                      <wps:wsp>
                        <wps:cNvPr id="881" name="Text Box 264"/>
                        <wps:cNvSpPr txBox="1">
                          <a:spLocks noChangeArrowheads="1"/>
                        </wps:cNvSpPr>
                        <wps:spPr bwMode="auto">
                          <a:xfrm>
                            <a:off x="2746" y="556920"/>
                            <a:ext cx="1916" cy="869"/>
                          </a:xfrm>
                          <a:prstGeom prst="rect">
                            <a:avLst/>
                          </a:prstGeom>
                          <a:noFill/>
                          <a:ln>
                            <a:noFill/>
                          </a:ln>
                        </wps:spPr>
                        <wps:txbx>
                          <w:txbxContent>
                            <w:p>
                              <w:pPr>
                                <w:jc w:val="center"/>
                              </w:pPr>
                              <w:r>
                                <w:rPr>
                                  <w:rFonts w:hint="eastAsia"/>
                                </w:rPr>
                                <w:t>外购破碎清洗后的废聚乙烯料</w:t>
                              </w:r>
                            </w:p>
                          </w:txbxContent>
                        </wps:txbx>
                        <wps:bodyPr rot="0" vert="horz" wrap="square" lIns="91440" tIns="45720" rIns="91440" bIns="45720" anchor="t" anchorCtr="0" upright="1">
                          <a:noAutofit/>
                        </wps:bodyPr>
                      </wps:wsp>
                      <wps:wsp>
                        <wps:cNvPr id="481" name="文本框 19"/>
                        <wps:cNvSpPr txBox="1">
                          <a:spLocks noChangeArrowheads="1"/>
                        </wps:cNvSpPr>
                        <wps:spPr bwMode="auto">
                          <a:xfrm>
                            <a:off x="5069" y="558891"/>
                            <a:ext cx="1701" cy="480"/>
                          </a:xfrm>
                          <a:prstGeom prst="rect">
                            <a:avLst/>
                          </a:prstGeom>
                          <a:solidFill>
                            <a:srgbClr val="FFFFFF"/>
                          </a:solidFill>
                          <a:ln w="9525">
                            <a:solidFill>
                              <a:srgbClr val="000000"/>
                            </a:solidFill>
                            <a:miter lim="800000"/>
                          </a:ln>
                        </wps:spPr>
                        <wps:txbx>
                          <w:txbxContent>
                            <w:p>
                              <w:pPr>
                                <w:jc w:val="center"/>
                              </w:pPr>
                              <w:r>
                                <w:rPr>
                                  <w:rFonts w:hint="eastAsia"/>
                                </w:rPr>
                                <w:t>造粒</w:t>
                              </w:r>
                            </w:p>
                          </w:txbxContent>
                        </wps:txbx>
                        <wps:bodyPr rot="0" vert="horz" wrap="square" lIns="91440" tIns="45720" rIns="91440" bIns="45720" anchor="t" anchorCtr="0" upright="1">
                          <a:noAutofit/>
                        </wps:bodyPr>
                      </wps:wsp>
                      <wps:wsp>
                        <wps:cNvPr id="480" name="Text Box 264"/>
                        <wps:cNvSpPr txBox="1">
                          <a:spLocks noChangeArrowheads="1"/>
                        </wps:cNvSpPr>
                        <wps:spPr bwMode="auto">
                          <a:xfrm>
                            <a:off x="7216" y="558896"/>
                            <a:ext cx="1558" cy="495"/>
                          </a:xfrm>
                          <a:prstGeom prst="rect">
                            <a:avLst/>
                          </a:prstGeom>
                          <a:noFill/>
                          <a:ln>
                            <a:noFill/>
                          </a:ln>
                        </wps:spPr>
                        <wps:txbx>
                          <w:txbxContent>
                            <w:p>
                              <w:pPr>
                                <w:jc w:val="center"/>
                              </w:pPr>
                              <w:r>
                                <w:rPr>
                                  <w:rFonts w:hint="eastAsia"/>
                                </w:rPr>
                                <w:t>注塑管件</w:t>
                              </w:r>
                            </w:p>
                          </w:txbxContent>
                        </wps:txbx>
                        <wps:bodyPr rot="0" vert="horz" wrap="square" lIns="91440" tIns="45720" rIns="91440" bIns="45720" anchor="t" anchorCtr="0" upright="1">
                          <a:noAutofit/>
                        </wps:bodyPr>
                      </wps:wsp>
                      <wps:wsp>
                        <wps:cNvPr id="482" name="AutoShape 265"/>
                        <wps:cNvCnPr>
                          <a:cxnSpLocks noChangeShapeType="1"/>
                        </wps:cNvCnPr>
                        <wps:spPr bwMode="auto">
                          <a:xfrm rot="16200000">
                            <a:off x="7011" y="558903"/>
                            <a:ext cx="0" cy="454"/>
                          </a:xfrm>
                          <a:prstGeom prst="straightConnector1">
                            <a:avLst/>
                          </a:prstGeom>
                          <a:noFill/>
                          <a:ln w="9525">
                            <a:solidFill>
                              <a:srgbClr val="000000"/>
                            </a:solidFill>
                            <a:round/>
                            <a:tailEnd type="triangle" w="med" len="med"/>
                          </a:ln>
                        </wps:spPr>
                        <wps:bodyPr/>
                      </wps:wsp>
                      <wps:wsp>
                        <wps:cNvPr id="483" name="AutoShape 265"/>
                        <wps:cNvCnPr>
                          <a:cxnSpLocks noChangeShapeType="1"/>
                        </wps:cNvCnPr>
                        <wps:spPr bwMode="auto">
                          <a:xfrm rot="16200000">
                            <a:off x="4849" y="558904"/>
                            <a:ext cx="0" cy="454"/>
                          </a:xfrm>
                          <a:prstGeom prst="straightConnector1">
                            <a:avLst/>
                          </a:prstGeom>
                          <a:noFill/>
                          <a:ln w="9525">
                            <a:solidFill>
                              <a:srgbClr val="000000"/>
                            </a:solidFill>
                            <a:round/>
                            <a:tailEnd type="triangle" w="med" len="med"/>
                          </a:ln>
                        </wps:spPr>
                        <wps:bodyPr/>
                      </wps:wsp>
                      <wps:wsp>
                        <wps:cNvPr id="479" name="Text Box 264"/>
                        <wps:cNvSpPr txBox="1">
                          <a:spLocks noChangeArrowheads="1"/>
                        </wps:cNvSpPr>
                        <wps:spPr bwMode="auto">
                          <a:xfrm>
                            <a:off x="2766" y="558732"/>
                            <a:ext cx="1916" cy="869"/>
                          </a:xfrm>
                          <a:prstGeom prst="rect">
                            <a:avLst/>
                          </a:prstGeom>
                          <a:noFill/>
                          <a:ln>
                            <a:noFill/>
                          </a:ln>
                        </wps:spPr>
                        <wps:txbx>
                          <w:txbxContent>
                            <w:p>
                              <w:pPr>
                                <w:jc w:val="center"/>
                              </w:pPr>
                              <w:r>
                                <w:rPr>
                                  <w:rFonts w:hint="eastAsia"/>
                                </w:rPr>
                                <w:t>外购破碎清洗后的废聚丙烯料</w:t>
                              </w:r>
                            </w:p>
                          </w:txbxContent>
                        </wps:txbx>
                        <wps:bodyPr rot="0" vert="horz" wrap="square" lIns="91440" tIns="45720" rIns="91440" bIns="45720" anchor="t" anchorCtr="0" upright="1">
                          <a:noAutofit/>
                        </wps:bodyPr>
                      </wps:wsp>
                      <wps:wsp>
                        <wps:cNvPr id="16" name="Text Box 264"/>
                        <wps:cNvSpPr txBox="1">
                          <a:spLocks noChangeArrowheads="1"/>
                        </wps:cNvSpPr>
                        <wps:spPr bwMode="auto">
                          <a:xfrm>
                            <a:off x="4696" y="557990"/>
                            <a:ext cx="2186" cy="450"/>
                          </a:xfrm>
                          <a:prstGeom prst="rect">
                            <a:avLst/>
                          </a:prstGeom>
                          <a:noFill/>
                          <a:ln>
                            <a:noFill/>
                          </a:ln>
                        </wps:spPr>
                        <wps:txbx>
                          <w:txbxContent>
                            <w:p>
                              <w:pPr>
                                <w:jc w:val="center"/>
                              </w:pPr>
                              <w:r>
                                <w:rPr>
                                  <w:rFonts w:hint="eastAsia"/>
                                </w:rPr>
                                <w:t>外购</w:t>
                              </w:r>
                              <w:r>
                                <w:rPr>
                                  <w:rFonts w:hint="eastAsia"/>
                                  <w:lang w:val="en-US" w:eastAsia="zh-CN"/>
                                </w:rPr>
                                <w:t>再生</w:t>
                              </w:r>
                              <w:r>
                                <w:rPr>
                                  <w:rFonts w:hint="eastAsia"/>
                                </w:rPr>
                                <w:t>聚乙烯</w:t>
                              </w:r>
                              <w:r>
                                <w:rPr>
                                  <w:rFonts w:hint="eastAsia"/>
                                  <w:lang w:val="en-US" w:eastAsia="zh-CN"/>
                                </w:rPr>
                                <w:t>颗粒</w:t>
                              </w:r>
                            </w:p>
                          </w:txbxContent>
                        </wps:txbx>
                        <wps:bodyPr rot="0" vert="horz" wrap="square" lIns="91440" tIns="45720" rIns="91440" bIns="45720" anchor="t" anchorCtr="0" upright="1">
                          <a:noAutofit/>
                        </wps:bodyPr>
                      </wps:wsp>
                      <wps:wsp>
                        <wps:cNvPr id="17" name="肘形连接符 17"/>
                        <wps:cNvCnPr>
                          <a:stCxn id="16" idx="3"/>
                          <a:endCxn id="19" idx="2"/>
                        </wps:cNvCnPr>
                        <wps:spPr bwMode="auto">
                          <a:xfrm flipV="1">
                            <a:off x="6882" y="557819"/>
                            <a:ext cx="1250" cy="396"/>
                          </a:xfrm>
                          <a:prstGeom prst="bentConnector2">
                            <a:avLst/>
                          </a:prstGeom>
                          <a:noFill/>
                          <a:ln w="9525">
                            <a:solidFill>
                              <a:srgbClr val="000000"/>
                            </a:solidFill>
                            <a:round/>
                            <a:tailEnd type="triangle" w="med" len="med"/>
                          </a:ln>
                        </wps:spPr>
                        <wps:bodyPr/>
                      </wps:wsp>
                      <wps:wsp>
                        <wps:cNvPr id="35" name="Text Box 264"/>
                        <wps:cNvSpPr txBox="1">
                          <a:spLocks noChangeArrowheads="1"/>
                        </wps:cNvSpPr>
                        <wps:spPr bwMode="auto">
                          <a:xfrm>
                            <a:off x="4626" y="559790"/>
                            <a:ext cx="2186" cy="450"/>
                          </a:xfrm>
                          <a:prstGeom prst="rect">
                            <a:avLst/>
                          </a:prstGeom>
                          <a:noFill/>
                          <a:ln>
                            <a:noFill/>
                          </a:ln>
                        </wps:spPr>
                        <wps:txbx>
                          <w:txbxContent>
                            <w:p>
                              <w:pPr>
                                <w:jc w:val="center"/>
                              </w:pPr>
                              <w:r>
                                <w:rPr>
                                  <w:rFonts w:hint="eastAsia"/>
                                </w:rPr>
                                <w:t>外购</w:t>
                              </w:r>
                              <w:r>
                                <w:rPr>
                                  <w:rFonts w:hint="eastAsia"/>
                                  <w:lang w:val="en-US" w:eastAsia="zh-CN"/>
                                </w:rPr>
                                <w:t>再生</w:t>
                              </w:r>
                              <w:r>
                                <w:rPr>
                                  <w:rFonts w:hint="eastAsia"/>
                                </w:rPr>
                                <w:t>聚</w:t>
                              </w:r>
                              <w:r>
                                <w:rPr>
                                  <w:rFonts w:hint="eastAsia"/>
                                  <w:lang w:val="en-US" w:eastAsia="zh-CN"/>
                                </w:rPr>
                                <w:t>丙</w:t>
                              </w:r>
                              <w:r>
                                <w:rPr>
                                  <w:rFonts w:hint="eastAsia"/>
                                </w:rPr>
                                <w:t>烯</w:t>
                              </w:r>
                              <w:r>
                                <w:rPr>
                                  <w:rFonts w:hint="eastAsia"/>
                                  <w:lang w:val="en-US" w:eastAsia="zh-CN"/>
                                </w:rPr>
                                <w:t>颗粒</w:t>
                              </w:r>
                            </w:p>
                          </w:txbxContent>
                        </wps:txbx>
                        <wps:bodyPr rot="0" vert="horz" wrap="square" lIns="91440" tIns="45720" rIns="91440" bIns="45720" anchor="t" anchorCtr="0" upright="1">
                          <a:noAutofit/>
                        </wps:bodyPr>
                      </wps:wsp>
                      <wps:wsp>
                        <wps:cNvPr id="53" name="肘形连接符 53"/>
                        <wps:cNvCnPr>
                          <a:endCxn id="480" idx="2"/>
                        </wps:cNvCnPr>
                        <wps:spPr bwMode="auto">
                          <a:xfrm flipV="1">
                            <a:off x="6712" y="559391"/>
                            <a:ext cx="1283" cy="644"/>
                          </a:xfrm>
                          <a:prstGeom prst="bentConnector2">
                            <a:avLst/>
                          </a:prstGeom>
                          <a:noFill/>
                          <a:ln w="9525">
                            <a:solidFill>
                              <a:srgbClr val="000000"/>
                            </a:solidFill>
                            <a:round/>
                            <a:tailEnd type="triangle" w="med" len="med"/>
                          </a:ln>
                        </wps:spPr>
                        <wps:bodyPr/>
                      </wps:wsp>
                    </wpg:wgp>
                  </a:graphicData>
                </a:graphic>
              </wp:anchor>
            </w:drawing>
          </mc:Choice>
          <mc:Fallback>
            <w:pict>
              <v:group id="_x0000_s1026" o:spid="_x0000_s1026" o:spt="203" style="position:absolute;left:0pt;margin-left:72.25pt;margin-top:15.15pt;height:233.05pt;width:317.5pt;z-index:251668480;mso-width-relative:page;mso-height-relative:page;" coordorigin="2746,556286" coordsize="6350,4661" o:gfxdata="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">
                <o:lock v:ext="edit" aspectratio="f"/>
                <v:shape id="Text Box 245" o:spid="_x0000_s1026" o:spt="202" type="#_x0000_t202" style="position:absolute;left:4142;top:560323;height:625;width:4667;" filled="f" stroked="f" coordsize="21600,21600" o:gfxdata="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rgT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eastAsia="黑体"/>
                          </w:rPr>
                        </w:pPr>
                        <w:r>
                          <w:rPr>
                            <w:rFonts w:eastAsia="黑体"/>
                            <w:sz w:val="24"/>
                          </w:rPr>
                          <w:t xml:space="preserve">图2.2-1  </w:t>
                        </w:r>
                        <w:r>
                          <w:rPr>
                            <w:rFonts w:hint="eastAsia" w:eastAsia="黑体"/>
                            <w:sz w:val="24"/>
                          </w:rPr>
                          <w:t>原料来源及产品关系</w:t>
                        </w:r>
                        <w:r>
                          <w:rPr>
                            <w:rFonts w:eastAsia="黑体"/>
                            <w:sz w:val="24"/>
                          </w:rPr>
                          <w:t>图</w:t>
                        </w:r>
                      </w:p>
                    </w:txbxContent>
                  </v:textbox>
                </v:shape>
                <v:shape id="文本框 17" o:spid="_x0000_s1026" o:spt="202" type="#_x0000_t202" style="position:absolute;left:4498;top:556286;height:480;width:1402;" fillcolor="#FFFFFF" filled="t" stroked="t" coordsize="21600,21600" o:gfxdata="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3W1JvQAA&#10;ANwAAAAPAAAAAAAAAAEAIAAAACIAAABkcnMvZG93bnJldi54bWxQSwECFAAUAAAACACHTuJAMy8F&#10;njsAAAA5AAAAEAAAAAAAAAABACAAAAAMAQAAZHJzL3NoYXBleG1sLnhtbFBLBQYAAAAABgAGAFsB&#10;AAC2AwAAAAA=&#10;">
                  <v:fill on="t" focussize="0,0"/>
                  <v:stroke color="#FFFFFF [3212]" miterlimit="8" joinstyle="miter"/>
                  <v:imagedata o:title=""/>
                  <o:lock v:ext="edit" aspectratio="f"/>
                  <v:textbox>
                    <w:txbxContent>
                      <w:p>
                        <w:r>
                          <w:rPr>
                            <w:rFonts w:hint="eastAsia"/>
                            <w:szCs w:val="21"/>
                          </w:rPr>
                          <w:t>聚乙烯</w:t>
                        </w:r>
                        <w:r>
                          <w:rPr>
                            <w:szCs w:val="21"/>
                          </w:rPr>
                          <w:t>新料</w:t>
                        </w:r>
                      </w:p>
                    </w:txbxContent>
                  </v:textbox>
                </v:shape>
                <v:shape id="文本框 19" o:spid="_x0000_s1026" o:spt="202" type="#_x0000_t202" style="position:absolute;left:5049;top:557094;height:480;width:1701;" fillcolor="#FFFFFF" filled="t" stroked="t" coordsize="21600,21600" o:gfxdata="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LbBW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pPr>
                        <w:r>
                          <w:rPr>
                            <w:rFonts w:hint="eastAsia"/>
                          </w:rPr>
                          <w:t>造粒</w:t>
                        </w:r>
                      </w:p>
                    </w:txbxContent>
                  </v:textbox>
                </v:shape>
                <v:shape id="Text Box 264" o:spid="_x0000_s1026" o:spt="202" type="#_x0000_t202" style="position:absolute;left:7166;top:556980;height:839;width:1931;" filled="f" stroked="f" coordsize="21600,21600" o:gfxdata="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okva7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jc w:val="center"/>
                        </w:pPr>
                        <w:r>
                          <w:rPr>
                            <w:rFonts w:hint="eastAsia"/>
                          </w:rPr>
                          <w:t>生产中空壁缠绕管和双壁波纹管</w:t>
                        </w:r>
                      </w:p>
                    </w:txbxContent>
                  </v:textbox>
                </v:shape>
                <v:shape id="AutoShape 265" o:spid="_x0000_s1026" o:spt="32" type="#_x0000_t32" style="position:absolute;left:6991;top:557094;height:454;width:0;rotation:-5898240f;" filled="f" stroked="t" coordsize="21600,21600" o:gfxdata="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iRvW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Text Box 264" o:spid="_x0000_s1026" o:spt="202" type="#_x0000_t202" style="position:absolute;left:6249;top:556303;height:480;width:1360;" filled="f" stroked="f" coordsize="21600,21600" o:gfxdata="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Ep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pPr>
                        <w:r>
                          <w:t>给水管</w:t>
                        </w:r>
                      </w:p>
                    </w:txbxContent>
                  </v:textbox>
                </v:shape>
                <v:shape id="AutoShape 265" o:spid="_x0000_s1026" o:spt="32" type="#_x0000_t32" style="position:absolute;left:5923;top:556536;flip:y;height:3;width:523;" filled="f" stroked="t" coordsize="21600,21600" o:gfxdata="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bVc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265" o:spid="_x0000_s1026" o:spt="32" type="#_x0000_t32" style="position:absolute;left:4829;top:557095;height:454;width:0;rotation:-5898240f;" filled="f" stroked="t" coordsize="21600,21600" o:gfxdata="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qlw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Text Box 264" o:spid="_x0000_s1026" o:spt="202" type="#_x0000_t202" style="position:absolute;left:2746;top:556920;height:869;width:1916;" filled="f" stroked="f" coordsize="21600,21600" o:gfxdata="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bugC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pPr>
                        <w:r>
                          <w:rPr>
                            <w:rFonts w:hint="eastAsia"/>
                          </w:rPr>
                          <w:t>外购破碎清洗后的废聚乙烯料</w:t>
                        </w:r>
                      </w:p>
                    </w:txbxContent>
                  </v:textbox>
                </v:shape>
                <v:shape id="文本框 19" o:spid="_x0000_s1026" o:spt="202" type="#_x0000_t202" style="position:absolute;left:5069;top:558891;height:480;width:1701;" fillcolor="#FFFFFF" filled="t" stroked="t" coordsize="21600,21600" o:gfxdata="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Pu6/&#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pPr>
                        <w:r>
                          <w:rPr>
                            <w:rFonts w:hint="eastAsia"/>
                          </w:rPr>
                          <w:t>造粒</w:t>
                        </w:r>
                      </w:p>
                    </w:txbxContent>
                  </v:textbox>
                </v:shape>
                <v:shape id="Text Box 264" o:spid="_x0000_s1026" o:spt="202" type="#_x0000_t202" style="position:absolute;left:7216;top:558896;height:495;width:1558;" filled="f" stroked="f" coordsize="21600,21600" o:gfxdata="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qzuLO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pPr>
                        <w:r>
                          <w:rPr>
                            <w:rFonts w:hint="eastAsia"/>
                          </w:rPr>
                          <w:t>注塑管件</w:t>
                        </w:r>
                      </w:p>
                    </w:txbxContent>
                  </v:textbox>
                </v:shape>
                <v:shape id="AutoShape 265" o:spid="_x0000_s1026" o:spt="32" type="#_x0000_t32" style="position:absolute;left:7011;top:558903;height:454;width:0;rotation:-5898240f;" filled="f" stroked="t" coordsize="21600,21600" o:gfxdata="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5Vn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AutoShape 265" o:spid="_x0000_s1026" o:spt="32" type="#_x0000_t32" style="position:absolute;left:4849;top:558904;height:454;width:0;rotation:-5898240f;" filled="f" stroked="t" coordsize="21600,21600" o:gfxdata="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qfx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Text Box 264" o:spid="_x0000_s1026" o:spt="202" type="#_x0000_t202" style="position:absolute;left:2766;top:558732;height:869;width:1916;" filled="f" stroked="f" coordsize="21600,21600" o:gfxdata="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xhC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pPr>
                        <w:r>
                          <w:rPr>
                            <w:rFonts w:hint="eastAsia"/>
                          </w:rPr>
                          <w:t>外购破碎清洗后的废聚丙烯料</w:t>
                        </w:r>
                      </w:p>
                    </w:txbxContent>
                  </v:textbox>
                </v:shape>
                <v:shape id="Text Box 264" o:spid="_x0000_s1026" o:spt="202" type="#_x0000_t202" style="position:absolute;left:4696;top:557990;height:450;width:2186;" filled="f" stroked="f" coordsize="21600,21600" o:gfxdata="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Wuxm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pPr>
                        <w:r>
                          <w:rPr>
                            <w:rFonts w:hint="eastAsia"/>
                          </w:rPr>
                          <w:t>外购</w:t>
                        </w:r>
                        <w:r>
                          <w:rPr>
                            <w:rFonts w:hint="eastAsia"/>
                            <w:lang w:val="en-US" w:eastAsia="zh-CN"/>
                          </w:rPr>
                          <w:t>再生</w:t>
                        </w:r>
                        <w:r>
                          <w:rPr>
                            <w:rFonts w:hint="eastAsia"/>
                          </w:rPr>
                          <w:t>聚乙烯</w:t>
                        </w:r>
                        <w:r>
                          <w:rPr>
                            <w:rFonts w:hint="eastAsia"/>
                            <w:lang w:val="en-US" w:eastAsia="zh-CN"/>
                          </w:rPr>
                          <w:t>颗粒</w:t>
                        </w:r>
                      </w:p>
                    </w:txbxContent>
                  </v:textbox>
                </v:shape>
                <v:shape id="_x0000_s1026" o:spid="_x0000_s1026" o:spt="33" type="#_x0000_t33" style="position:absolute;left:6882;top:557819;flip:y;height:396;width:1250;" filled="f" stroked="t" coordsize="21600,21600" o:gfxdata="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Noa4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Text Box 264" o:spid="_x0000_s1026" o:spt="202" type="#_x0000_t202" style="position:absolute;left:4626;top:559790;height:450;width:2186;" filled="f" stroked="f" coordsize="21600,21600" o:gfxdata="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cXk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pPr>
                        <w:r>
                          <w:rPr>
                            <w:rFonts w:hint="eastAsia"/>
                          </w:rPr>
                          <w:t>外购</w:t>
                        </w:r>
                        <w:r>
                          <w:rPr>
                            <w:rFonts w:hint="eastAsia"/>
                            <w:lang w:val="en-US" w:eastAsia="zh-CN"/>
                          </w:rPr>
                          <w:t>再生</w:t>
                        </w:r>
                        <w:r>
                          <w:rPr>
                            <w:rFonts w:hint="eastAsia"/>
                          </w:rPr>
                          <w:t>聚</w:t>
                        </w:r>
                        <w:r>
                          <w:rPr>
                            <w:rFonts w:hint="eastAsia"/>
                            <w:lang w:val="en-US" w:eastAsia="zh-CN"/>
                          </w:rPr>
                          <w:t>丙</w:t>
                        </w:r>
                        <w:r>
                          <w:rPr>
                            <w:rFonts w:hint="eastAsia"/>
                          </w:rPr>
                          <w:t>烯</w:t>
                        </w:r>
                        <w:r>
                          <w:rPr>
                            <w:rFonts w:hint="eastAsia"/>
                            <w:lang w:val="en-US" w:eastAsia="zh-CN"/>
                          </w:rPr>
                          <w:t>颗粒</w:t>
                        </w:r>
                      </w:p>
                    </w:txbxContent>
                  </v:textbox>
                </v:shape>
                <v:shape id="_x0000_s1026" o:spid="_x0000_s1026" o:spt="33" type="#_x0000_t33" style="position:absolute;left:6712;top:559391;flip:y;height:644;width:1283;" filled="f" stroked="t" coordsize="21600,21600" o:gfxdata="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nOX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w:pict>
          </mc:Fallback>
        </mc:AlternateContent>
      </w: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101"/>
        <w:spacing w:before="78"/>
        <w:rPr>
          <w:rFonts w:ascii="Times New Roman" w:hAnsi="Times New Roman"/>
          <w:color w:val="auto"/>
          <w:highlight w:val="none"/>
        </w:rPr>
      </w:pPr>
      <w:r>
        <w:rPr>
          <w:rFonts w:ascii="Times New Roman" w:hAnsi="Times New Roman"/>
          <w:color w:val="auto"/>
          <w:highlight w:val="none"/>
        </w:rPr>
        <w:t>2.2.</w:t>
      </w:r>
      <w:r>
        <w:rPr>
          <w:rFonts w:hint="eastAsia" w:ascii="Times New Roman" w:hAnsi="Times New Roman"/>
          <w:color w:val="auto"/>
          <w:highlight w:val="none"/>
        </w:rPr>
        <w:t>1给水管道生产流程及产污环节分析</w:t>
      </w:r>
    </w:p>
    <w:p>
      <w:pPr>
        <w:pStyle w:val="99"/>
        <w:ind w:firstLine="480"/>
        <w:rPr>
          <w:color w:val="auto"/>
          <w:highlight w:val="none"/>
        </w:rPr>
      </w:pPr>
      <w:r>
        <w:rPr>
          <w:rFonts w:hint="eastAsia"/>
          <w:color w:val="auto"/>
          <w:highlight w:val="none"/>
        </w:rPr>
        <w:t>项目给水管道生产采用聚乙烯颗粒新料，规格为直径2cm-1.2m，长6m，也可根据客户需要定制长度和直径，主要生产流程及产污环节见图2.2-1。</w:t>
      </w:r>
    </w:p>
    <w:p>
      <w:pPr>
        <w:pStyle w:val="99"/>
        <w:ind w:firstLine="480"/>
        <w:rPr>
          <w:color w:val="auto"/>
          <w:szCs w:val="24"/>
          <w:highlight w:val="none"/>
        </w:rPr>
      </w:pPr>
      <w:r>
        <w:rPr>
          <w:color w:val="auto"/>
          <w:szCs w:val="24"/>
          <w:highlight w:val="none"/>
        </w:rPr>
        <w:t>1、烘干：使用PE颗粒首先经干燥机85℃烘干2h，使原料中的水分蒸发后送入挤出设备进行生产。</w:t>
      </w:r>
    </w:p>
    <w:p>
      <w:pPr>
        <w:pStyle w:val="99"/>
        <w:ind w:firstLine="480"/>
        <w:rPr>
          <w:color w:val="auto"/>
          <w:szCs w:val="24"/>
          <w:highlight w:val="none"/>
        </w:rPr>
      </w:pPr>
      <w:r>
        <w:rPr>
          <w:color w:val="auto"/>
          <w:szCs w:val="24"/>
          <w:highlight w:val="none"/>
        </w:rPr>
        <w:t>2、挤出：设定主机机筒和机头各区温度，设定辅机筒及机头预加热温度为180℃±20℃，根据原料的不同温度可再浮动±20℃。穿线引管（绳），将牵引管（绳）牵至刚刚接触模口位置，打开主、辅机开关，并将挤出口模管和牵引管（绳）压实接好，由慢至快启动牵引。</w:t>
      </w:r>
    </w:p>
    <w:p>
      <w:pPr>
        <w:pStyle w:val="99"/>
        <w:ind w:firstLine="480"/>
        <w:rPr>
          <w:color w:val="auto"/>
          <w:szCs w:val="24"/>
          <w:highlight w:val="none"/>
        </w:rPr>
      </w:pPr>
      <w:r>
        <w:rPr>
          <w:rFonts w:hint="eastAsia"/>
          <w:color w:val="auto"/>
          <w:szCs w:val="24"/>
          <w:highlight w:val="none"/>
        </w:rPr>
        <w:t>3、定型</w:t>
      </w:r>
    </w:p>
    <w:p>
      <w:pPr>
        <w:pStyle w:val="99"/>
        <w:ind w:firstLine="480"/>
        <w:rPr>
          <w:color w:val="auto"/>
          <w:szCs w:val="24"/>
          <w:highlight w:val="none"/>
        </w:rPr>
      </w:pPr>
      <w:r>
        <w:rPr>
          <w:rFonts w:hint="eastAsia"/>
          <w:color w:val="auto"/>
          <w:szCs w:val="24"/>
          <w:highlight w:val="none"/>
        </w:rPr>
        <w:t>模口定径：管径经模口初步定径。</w:t>
      </w:r>
    </w:p>
    <w:p>
      <w:pPr>
        <w:pStyle w:val="99"/>
        <w:ind w:firstLine="480"/>
        <w:rPr>
          <w:color w:val="auto"/>
          <w:szCs w:val="24"/>
          <w:highlight w:val="none"/>
        </w:rPr>
      </w:pPr>
      <w:r>
        <w:rPr>
          <w:rFonts w:hint="eastAsia"/>
          <w:color w:val="auto"/>
          <w:szCs w:val="24"/>
          <w:highlight w:val="none"/>
        </w:rPr>
        <w:t>真空定径：管材进入真空定径箱，达到精确定径，真空定径箱的真空度在0.02～0.08MPa，冷却水的水温在10～40℃，供水压力0.1～0.4Mpa。</w:t>
      </w:r>
    </w:p>
    <w:p>
      <w:pPr>
        <w:pStyle w:val="99"/>
        <w:numPr>
          <w:ilvl w:val="0"/>
          <w:numId w:val="15"/>
        </w:numPr>
        <w:ind w:firstLine="480"/>
        <w:rPr>
          <w:color w:val="auto"/>
          <w:szCs w:val="24"/>
          <w:highlight w:val="none"/>
        </w:rPr>
      </w:pPr>
      <w:r>
        <w:rPr>
          <w:rFonts w:hint="eastAsia"/>
          <w:color w:val="auto"/>
          <w:szCs w:val="24"/>
          <w:highlight w:val="none"/>
        </w:rPr>
        <w:t>冷却</w:t>
      </w:r>
    </w:p>
    <w:p>
      <w:pPr>
        <w:pStyle w:val="99"/>
        <w:ind w:firstLine="480"/>
        <w:rPr>
          <w:color w:val="auto"/>
          <w:szCs w:val="24"/>
          <w:highlight w:val="none"/>
        </w:rPr>
      </w:pPr>
      <w:r>
        <w:rPr>
          <w:rFonts w:hint="eastAsia"/>
          <w:color w:val="auto"/>
          <w:szCs w:val="24"/>
          <w:highlight w:val="none"/>
        </w:rPr>
        <w:t>喷淋冷却：管材经真空箱定径后，形状、尺寸由于管材温度太高，还不能得到稳定，需进入喷淋冷却箱进一步冷却定型，冷水温度一般保持在15～30℃。</w:t>
      </w:r>
    </w:p>
    <w:p>
      <w:pPr>
        <w:pStyle w:val="99"/>
        <w:ind w:firstLine="480"/>
        <w:rPr>
          <w:color w:val="auto"/>
          <w:szCs w:val="24"/>
          <w:highlight w:val="none"/>
        </w:rPr>
      </w:pPr>
      <w:r>
        <w:rPr>
          <w:rFonts w:hint="eastAsia"/>
          <w:color w:val="auto"/>
          <w:szCs w:val="24"/>
          <w:highlight w:val="none"/>
        </w:rPr>
        <w:t>5、打印标记：形状、尺寸经冷却定型稳定后，再由印字机印上标记。</w:t>
      </w:r>
    </w:p>
    <w:p>
      <w:pPr>
        <w:pStyle w:val="99"/>
        <w:ind w:firstLine="480"/>
        <w:rPr>
          <w:color w:val="auto"/>
          <w:szCs w:val="24"/>
          <w:highlight w:val="none"/>
        </w:rPr>
      </w:pPr>
      <w:r>
        <w:rPr>
          <w:rFonts w:hint="eastAsia"/>
          <w:color w:val="auto"/>
          <w:szCs w:val="24"/>
          <w:highlight w:val="none"/>
        </w:rPr>
        <w:t>6、牵引：牵引机对挤出机挤出的管材进行牵引，牵引机的速度应该根据挤出机的挤出量进行计算。</w:t>
      </w:r>
    </w:p>
    <w:p>
      <w:pPr>
        <w:pStyle w:val="99"/>
        <w:ind w:firstLine="480"/>
        <w:rPr>
          <w:color w:val="auto"/>
          <w:szCs w:val="24"/>
          <w:highlight w:val="none"/>
        </w:rPr>
      </w:pPr>
      <w:r>
        <w:rPr>
          <w:rFonts w:hint="eastAsia"/>
          <w:color w:val="auto"/>
          <w:szCs w:val="24"/>
          <w:highlight w:val="none"/>
        </w:rPr>
        <w:t>7、切割：根据客户的要求将管材切割成不同长度</w:t>
      </w:r>
      <w:r>
        <w:rPr>
          <w:rFonts w:hint="eastAsia"/>
          <w:color w:val="auto"/>
          <w:szCs w:val="24"/>
          <w:highlight w:val="none"/>
          <w:lang w:eastAsia="zh-CN"/>
        </w:rPr>
        <w:t>，</w:t>
      </w:r>
      <w:r>
        <w:rPr>
          <w:rFonts w:hint="eastAsia"/>
          <w:color w:val="auto"/>
          <w:szCs w:val="24"/>
          <w:highlight w:val="none"/>
          <w:lang w:val="en-US" w:eastAsia="zh-CN"/>
        </w:rPr>
        <w:t>切割工序采用冷切</w:t>
      </w:r>
      <w:r>
        <w:rPr>
          <w:rFonts w:hint="eastAsia"/>
          <w:color w:val="auto"/>
          <w:szCs w:val="24"/>
          <w:highlight w:val="none"/>
        </w:rPr>
        <w:t>。</w:t>
      </w:r>
    </w:p>
    <w:p>
      <w:pPr>
        <w:pStyle w:val="99"/>
        <w:ind w:firstLine="480"/>
        <w:rPr>
          <w:color w:val="auto"/>
          <w:szCs w:val="24"/>
          <w:highlight w:val="none"/>
        </w:rPr>
      </w:pPr>
      <w:r>
        <w:rPr>
          <w:rFonts w:hint="eastAsia"/>
          <w:color w:val="auto"/>
          <w:szCs w:val="24"/>
          <w:highlight w:val="none"/>
        </w:rPr>
        <w:t>8、检验、封口：管材在检验合格后，管材两端应封口入库。产污环节见表2.2-1和图2.2-1。</w:t>
      </w:r>
    </w:p>
    <w:p>
      <w:pPr>
        <w:jc w:val="center"/>
        <w:rPr>
          <w:rFonts w:ascii="黑体" w:hAnsi="黑体" w:eastAsia="黑体" w:cs="黑体"/>
          <w:color w:val="auto"/>
          <w:sz w:val="24"/>
          <w:szCs w:val="24"/>
          <w:highlight w:val="none"/>
        </w:rPr>
      </w:pPr>
      <w:r>
        <w:rPr>
          <w:rFonts w:hint="eastAsia" w:ascii="黑体" w:hAnsi="黑体" w:eastAsia="黑体" w:cs="黑体"/>
          <w:color w:val="auto"/>
          <w:sz w:val="24"/>
          <w:szCs w:val="24"/>
          <w:highlight w:val="none"/>
        </w:rPr>
        <w:object>
          <v:shape id="_x0000_i1025" o:spt="75" type="#_x0000_t75" style="height:367.5pt;width:213pt;" o:ole="t" filled="f" o:preferrelative="t" stroked="f" coordsize="21600,21600">
            <v:path/>
            <v:fill on="f" focussize="0,0"/>
            <v:stroke on="f" joinstyle="miter"/>
            <v:imagedata r:id="rId31" o:title=""/>
            <o:lock v:ext="edit" aspectratio="f"/>
            <w10:wrap type="none"/>
            <w10:anchorlock/>
          </v:shape>
          <o:OLEObject Type="Embed" ProgID="Visio.Drawing.11" ShapeID="_x0000_i1025" DrawAspect="Content" ObjectID="_1468075725" r:id="rId30">
            <o:LockedField>false</o:LockedField>
          </o:OLEObject>
        </w:object>
      </w:r>
    </w:p>
    <w:p>
      <w:pPr>
        <w:jc w:val="center"/>
        <w:rPr>
          <w:rFonts w:eastAsia="黑体"/>
          <w:color w:val="auto"/>
          <w:kern w:val="0"/>
          <w:sz w:val="24"/>
          <w:szCs w:val="24"/>
          <w:highlight w:val="none"/>
        </w:rPr>
      </w:pPr>
      <w:r>
        <w:rPr>
          <w:rFonts w:eastAsia="黑体"/>
          <w:color w:val="auto"/>
          <w:sz w:val="24"/>
          <w:szCs w:val="24"/>
          <w:highlight w:val="none"/>
        </w:rPr>
        <w:t xml:space="preserve">图2.2-2  </w:t>
      </w:r>
      <w:r>
        <w:rPr>
          <w:rFonts w:eastAsia="黑体"/>
          <w:color w:val="auto"/>
          <w:kern w:val="0"/>
          <w:sz w:val="24"/>
          <w:szCs w:val="24"/>
          <w:highlight w:val="none"/>
        </w:rPr>
        <w:t>给水管生产工艺流程及产污环节图</w:t>
      </w:r>
    </w:p>
    <w:p>
      <w:pPr>
        <w:pStyle w:val="99"/>
        <w:ind w:firstLine="482"/>
        <w:rPr>
          <w:color w:val="auto"/>
          <w:highlight w:val="none"/>
        </w:rPr>
      </w:pPr>
      <w:r>
        <w:rPr>
          <w:b/>
          <w:bCs/>
          <w:color w:val="auto"/>
          <w:highlight w:val="none"/>
        </w:rPr>
        <w:t>产污环节</w:t>
      </w:r>
      <w:r>
        <w:rPr>
          <w:color w:val="auto"/>
          <w:highlight w:val="none"/>
        </w:rPr>
        <w:t>：挤出工序产生有机废气（G</w:t>
      </w:r>
      <w:r>
        <w:rPr>
          <w:color w:val="auto"/>
          <w:highlight w:val="none"/>
          <w:vertAlign w:val="subscript"/>
        </w:rPr>
        <w:t>1-1</w:t>
      </w:r>
      <w:r>
        <w:rPr>
          <w:color w:val="auto"/>
          <w:highlight w:val="none"/>
        </w:rPr>
        <w:t>）；干燥、挤出、牵引、切割工序产生的噪声（N）；切割下脚料(S</w:t>
      </w:r>
      <w:r>
        <w:rPr>
          <w:color w:val="auto"/>
          <w:highlight w:val="none"/>
          <w:vertAlign w:val="subscript"/>
        </w:rPr>
        <w:t>1-1</w:t>
      </w:r>
      <w:r>
        <w:rPr>
          <w:color w:val="auto"/>
          <w:highlight w:val="none"/>
        </w:rPr>
        <w:t>)、</w:t>
      </w:r>
      <w:r>
        <w:rPr>
          <w:rFonts w:hint="eastAsia"/>
          <w:color w:val="auto"/>
          <w:highlight w:val="none"/>
        </w:rPr>
        <w:t>质检</w:t>
      </w:r>
      <w:r>
        <w:rPr>
          <w:color w:val="auto"/>
          <w:highlight w:val="none"/>
        </w:rPr>
        <w:t>不合格产品(S</w:t>
      </w:r>
      <w:r>
        <w:rPr>
          <w:color w:val="auto"/>
          <w:highlight w:val="none"/>
          <w:vertAlign w:val="subscript"/>
        </w:rPr>
        <w:t>1-2</w:t>
      </w:r>
      <w:r>
        <w:rPr>
          <w:color w:val="auto"/>
          <w:highlight w:val="none"/>
        </w:rPr>
        <w:t>)。</w:t>
      </w:r>
    </w:p>
    <w:p>
      <w:pPr>
        <w:pStyle w:val="158"/>
        <w:spacing w:before="0" w:after="0" w:afterAutospacing="0"/>
        <w:rPr>
          <w:color w:val="auto"/>
          <w:highlight w:val="none"/>
        </w:rPr>
      </w:pPr>
      <w:r>
        <w:rPr>
          <w:color w:val="auto"/>
          <w:highlight w:val="none"/>
        </w:rPr>
        <w:t xml:space="preserve">表2.2-1  </w:t>
      </w:r>
      <w:r>
        <w:rPr>
          <w:rFonts w:hint="eastAsia" w:ascii="黑体" w:hAnsi="黑体" w:cs="黑体"/>
          <w:color w:val="auto"/>
          <w:kern w:val="0"/>
          <w:highlight w:val="none"/>
        </w:rPr>
        <w:t>给水管生产</w:t>
      </w:r>
      <w:r>
        <w:rPr>
          <w:rFonts w:hint="eastAsia"/>
          <w:color w:val="auto"/>
          <w:highlight w:val="none"/>
        </w:rPr>
        <w:t>产污</w:t>
      </w:r>
      <w:r>
        <w:rPr>
          <w:color w:val="auto"/>
          <w:highlight w:val="none"/>
        </w:rPr>
        <w:t>环节一览表</w:t>
      </w:r>
    </w:p>
    <w:tbl>
      <w:tblPr>
        <w:tblStyle w:val="59"/>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86"/>
        <w:gridCol w:w="3766"/>
        <w:gridCol w:w="1569"/>
        <w:gridCol w:w="266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86" w:type="dxa"/>
            <w:vAlign w:val="center"/>
          </w:tcPr>
          <w:p>
            <w:pPr>
              <w:pStyle w:val="137"/>
              <w:ind w:left="164" w:right="164"/>
              <w:jc w:val="center"/>
              <w:rPr>
                <w:rFonts w:ascii="Times New Roman" w:hAnsi="Times New Roman"/>
                <w:color w:val="auto"/>
                <w:sz w:val="21"/>
                <w:highlight w:val="none"/>
              </w:rPr>
            </w:pPr>
            <w:r>
              <w:rPr>
                <w:rFonts w:ascii="Times New Roman" w:hAnsi="Times New Roman"/>
                <w:color w:val="auto"/>
                <w:sz w:val="21"/>
                <w:highlight w:val="none"/>
              </w:rPr>
              <w:t>编号</w:t>
            </w:r>
          </w:p>
        </w:tc>
        <w:tc>
          <w:tcPr>
            <w:tcW w:w="3766" w:type="dxa"/>
            <w:vAlign w:val="center"/>
          </w:tcPr>
          <w:p>
            <w:pPr>
              <w:pStyle w:val="137"/>
              <w:ind w:left="62" w:right="64"/>
              <w:jc w:val="center"/>
              <w:rPr>
                <w:rFonts w:ascii="Times New Roman" w:hAnsi="Times New Roman"/>
                <w:color w:val="auto"/>
                <w:sz w:val="21"/>
                <w:highlight w:val="none"/>
              </w:rPr>
            </w:pPr>
            <w:r>
              <w:rPr>
                <w:rFonts w:ascii="Times New Roman" w:hAnsi="Times New Roman"/>
                <w:color w:val="auto"/>
                <w:sz w:val="21"/>
                <w:highlight w:val="none"/>
              </w:rPr>
              <w:t>工艺过程</w:t>
            </w:r>
          </w:p>
        </w:tc>
        <w:tc>
          <w:tcPr>
            <w:tcW w:w="1569" w:type="dxa"/>
            <w:vAlign w:val="center"/>
          </w:tcPr>
          <w:p>
            <w:pPr>
              <w:pStyle w:val="137"/>
              <w:ind w:left="153" w:right="156"/>
              <w:jc w:val="center"/>
              <w:rPr>
                <w:rFonts w:ascii="Times New Roman" w:hAnsi="Times New Roman"/>
                <w:color w:val="auto"/>
                <w:sz w:val="21"/>
                <w:highlight w:val="none"/>
              </w:rPr>
            </w:pPr>
            <w:r>
              <w:rPr>
                <w:rFonts w:ascii="Times New Roman" w:hAnsi="Times New Roman"/>
                <w:color w:val="auto"/>
                <w:sz w:val="21"/>
                <w:highlight w:val="none"/>
              </w:rPr>
              <w:t>污染物编号</w:t>
            </w:r>
          </w:p>
        </w:tc>
        <w:tc>
          <w:tcPr>
            <w:tcW w:w="2666" w:type="dxa"/>
            <w:vAlign w:val="center"/>
          </w:tcPr>
          <w:p>
            <w:pPr>
              <w:pStyle w:val="137"/>
              <w:ind w:left="136" w:right="135"/>
              <w:jc w:val="center"/>
              <w:rPr>
                <w:rFonts w:ascii="Times New Roman" w:hAnsi="Times New Roman"/>
                <w:color w:val="auto"/>
                <w:sz w:val="21"/>
                <w:highlight w:val="none"/>
              </w:rPr>
            </w:pPr>
            <w:r>
              <w:rPr>
                <w:rFonts w:ascii="Times New Roman" w:hAnsi="Times New Roman"/>
                <w:color w:val="auto"/>
                <w:sz w:val="21"/>
                <w:highlight w:val="none"/>
              </w:rPr>
              <w:t>污染物种类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86" w:type="dxa"/>
            <w:vAlign w:val="center"/>
          </w:tcPr>
          <w:p>
            <w:pPr>
              <w:jc w:val="center"/>
              <w:rPr>
                <w:color w:val="auto"/>
                <w:highlight w:val="none"/>
              </w:rPr>
            </w:pPr>
            <w:r>
              <w:rPr>
                <w:color w:val="auto"/>
                <w:highlight w:val="none"/>
              </w:rPr>
              <w:t>1</w:t>
            </w:r>
          </w:p>
        </w:tc>
        <w:tc>
          <w:tcPr>
            <w:tcW w:w="3766" w:type="dxa"/>
            <w:vAlign w:val="center"/>
          </w:tcPr>
          <w:p>
            <w:pPr>
              <w:jc w:val="center"/>
              <w:rPr>
                <w:color w:val="auto"/>
                <w:highlight w:val="none"/>
              </w:rPr>
            </w:pPr>
            <w:r>
              <w:rPr>
                <w:color w:val="auto"/>
                <w:highlight w:val="none"/>
              </w:rPr>
              <w:t>挤出</w:t>
            </w:r>
          </w:p>
        </w:tc>
        <w:tc>
          <w:tcPr>
            <w:tcW w:w="1569" w:type="dxa"/>
            <w:vAlign w:val="center"/>
          </w:tcPr>
          <w:p>
            <w:pPr>
              <w:pStyle w:val="137"/>
              <w:ind w:left="153" w:right="155"/>
              <w:jc w:val="center"/>
              <w:rPr>
                <w:rFonts w:ascii="Times New Roman" w:hAnsi="Times New Roman"/>
                <w:color w:val="auto"/>
                <w:sz w:val="21"/>
                <w:highlight w:val="none"/>
                <w:lang w:eastAsia="zh-CN"/>
              </w:rPr>
            </w:pPr>
            <w:r>
              <w:rPr>
                <w:rFonts w:ascii="Times New Roman" w:hAnsi="Times New Roman"/>
                <w:color w:val="auto"/>
                <w:highlight w:val="none"/>
                <w:lang w:eastAsia="zh-CN"/>
              </w:rPr>
              <w:t>G</w:t>
            </w:r>
            <w:r>
              <w:rPr>
                <w:rFonts w:ascii="Times New Roman" w:hAnsi="Times New Roman"/>
                <w:color w:val="auto"/>
                <w:highlight w:val="none"/>
                <w:vertAlign w:val="subscript"/>
                <w:lang w:eastAsia="zh-CN"/>
              </w:rPr>
              <w:t>1-1</w:t>
            </w:r>
          </w:p>
        </w:tc>
        <w:tc>
          <w:tcPr>
            <w:tcW w:w="2666" w:type="dxa"/>
            <w:vAlign w:val="center"/>
          </w:tcPr>
          <w:p>
            <w:pPr>
              <w:pStyle w:val="137"/>
              <w:ind w:left="135" w:right="135"/>
              <w:jc w:val="center"/>
              <w:rPr>
                <w:rFonts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val="en-US" w:eastAsia="zh-CN"/>
              </w:rPr>
              <w:t>颗粒物、</w:t>
            </w:r>
            <w:r>
              <w:rPr>
                <w:rFonts w:hint="eastAsia" w:ascii="Times New Roman" w:hAnsi="Times New Roman" w:eastAsia="宋体"/>
                <w:color w:val="auto"/>
                <w:sz w:val="21"/>
                <w:highlight w:val="none"/>
                <w:lang w:eastAsia="zh-CN"/>
              </w:rPr>
              <w:t>VOCs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86" w:type="dxa"/>
            <w:vAlign w:val="center"/>
          </w:tcPr>
          <w:p>
            <w:pPr>
              <w:pStyle w:val="137"/>
              <w:ind w:left="21"/>
              <w:jc w:val="center"/>
              <w:rPr>
                <w:rFonts w:ascii="Times New Roman" w:hAnsi="Times New Roman"/>
                <w:color w:val="auto"/>
                <w:sz w:val="21"/>
                <w:highlight w:val="none"/>
                <w:lang w:eastAsia="zh-CN"/>
              </w:rPr>
            </w:pPr>
            <w:r>
              <w:rPr>
                <w:rFonts w:ascii="Times New Roman" w:hAnsi="Times New Roman"/>
                <w:color w:val="auto"/>
                <w:sz w:val="21"/>
                <w:highlight w:val="none"/>
                <w:lang w:eastAsia="zh-CN"/>
              </w:rPr>
              <w:t>2</w:t>
            </w:r>
          </w:p>
        </w:tc>
        <w:tc>
          <w:tcPr>
            <w:tcW w:w="3766" w:type="dxa"/>
            <w:vAlign w:val="center"/>
          </w:tcPr>
          <w:p>
            <w:pPr>
              <w:pStyle w:val="137"/>
              <w:ind w:left="64" w:right="64"/>
              <w:jc w:val="center"/>
              <w:rPr>
                <w:rFonts w:ascii="Times New Roman" w:hAnsi="Times New Roman"/>
                <w:color w:val="auto"/>
                <w:sz w:val="21"/>
                <w:highlight w:val="none"/>
                <w:lang w:eastAsia="zh-CN"/>
              </w:rPr>
            </w:pPr>
            <w:r>
              <w:rPr>
                <w:rFonts w:ascii="Times New Roman" w:hAnsi="Times New Roman"/>
                <w:color w:val="auto"/>
                <w:highlight w:val="none"/>
                <w:lang w:eastAsia="zh-CN"/>
              </w:rPr>
              <w:t>干燥、挤出、牵引、切割</w:t>
            </w:r>
          </w:p>
        </w:tc>
        <w:tc>
          <w:tcPr>
            <w:tcW w:w="1569" w:type="dxa"/>
            <w:vAlign w:val="center"/>
          </w:tcPr>
          <w:p>
            <w:pPr>
              <w:pStyle w:val="137"/>
              <w:ind w:right="1"/>
              <w:jc w:val="center"/>
              <w:rPr>
                <w:rFonts w:ascii="Times New Roman" w:hAnsi="Times New Roman"/>
                <w:color w:val="auto"/>
                <w:sz w:val="21"/>
                <w:highlight w:val="none"/>
              </w:rPr>
            </w:pPr>
            <w:r>
              <w:rPr>
                <w:rFonts w:ascii="Times New Roman" w:hAnsi="Times New Roman"/>
                <w:color w:val="auto"/>
                <w:sz w:val="21"/>
                <w:highlight w:val="none"/>
              </w:rPr>
              <w:t>N</w:t>
            </w:r>
          </w:p>
        </w:tc>
        <w:tc>
          <w:tcPr>
            <w:tcW w:w="2666" w:type="dxa"/>
            <w:vAlign w:val="center"/>
          </w:tcPr>
          <w:p>
            <w:pPr>
              <w:pStyle w:val="137"/>
              <w:ind w:left="135" w:right="135"/>
              <w:jc w:val="center"/>
              <w:rPr>
                <w:rFonts w:ascii="Times New Roman" w:hAnsi="Times New Roman"/>
                <w:color w:val="auto"/>
                <w:sz w:val="21"/>
                <w:highlight w:val="none"/>
              </w:rPr>
            </w:pPr>
            <w:r>
              <w:rPr>
                <w:rFonts w:ascii="Times New Roman" w:hAnsi="Times New Roman"/>
                <w:color w:val="auto"/>
                <w:sz w:val="21"/>
                <w:highlight w:val="none"/>
              </w:rPr>
              <w:t>噪声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86" w:type="dxa"/>
            <w:vAlign w:val="center"/>
          </w:tcPr>
          <w:p>
            <w:pPr>
              <w:pStyle w:val="137"/>
              <w:ind w:left="21"/>
              <w:jc w:val="center"/>
              <w:rPr>
                <w:rFonts w:ascii="Times New Roman" w:hAnsi="Times New Roman"/>
                <w:color w:val="auto"/>
                <w:sz w:val="21"/>
                <w:highlight w:val="none"/>
                <w:lang w:eastAsia="zh-CN"/>
              </w:rPr>
            </w:pPr>
            <w:r>
              <w:rPr>
                <w:rFonts w:hint="eastAsia" w:ascii="Times New Roman" w:hAnsi="Times New Roman"/>
                <w:color w:val="auto"/>
                <w:sz w:val="21"/>
                <w:highlight w:val="none"/>
                <w:lang w:eastAsia="zh-CN"/>
              </w:rPr>
              <w:t>3</w:t>
            </w:r>
          </w:p>
        </w:tc>
        <w:tc>
          <w:tcPr>
            <w:tcW w:w="3766" w:type="dxa"/>
            <w:vAlign w:val="center"/>
          </w:tcPr>
          <w:p>
            <w:pPr>
              <w:jc w:val="center"/>
              <w:rPr>
                <w:color w:val="auto"/>
                <w:highlight w:val="none"/>
              </w:rPr>
            </w:pPr>
            <w:r>
              <w:rPr>
                <w:color w:val="auto"/>
                <w:highlight w:val="none"/>
              </w:rPr>
              <w:t>切割</w:t>
            </w:r>
          </w:p>
        </w:tc>
        <w:tc>
          <w:tcPr>
            <w:tcW w:w="1569" w:type="dxa"/>
            <w:vAlign w:val="center"/>
          </w:tcPr>
          <w:p>
            <w:pPr>
              <w:pStyle w:val="137"/>
              <w:ind w:left="153" w:right="155"/>
              <w:jc w:val="center"/>
              <w:rPr>
                <w:rFonts w:ascii="Times New Roman" w:hAnsi="Times New Roman"/>
                <w:color w:val="auto"/>
                <w:sz w:val="21"/>
                <w:highlight w:val="none"/>
                <w:lang w:eastAsia="zh-CN"/>
              </w:rPr>
            </w:pPr>
            <w:r>
              <w:rPr>
                <w:rFonts w:ascii="Times New Roman" w:hAnsi="Times New Roman"/>
                <w:color w:val="auto"/>
                <w:sz w:val="21"/>
                <w:highlight w:val="none"/>
              </w:rPr>
              <w:t>S</w:t>
            </w:r>
            <w:r>
              <w:rPr>
                <w:rFonts w:ascii="Times New Roman" w:hAnsi="Times New Roman"/>
                <w:color w:val="auto"/>
                <w:sz w:val="21"/>
                <w:highlight w:val="none"/>
                <w:vertAlign w:val="subscript"/>
              </w:rPr>
              <w:t>1</w:t>
            </w:r>
            <w:r>
              <w:rPr>
                <w:rFonts w:ascii="Times New Roman" w:hAnsi="Times New Roman"/>
                <w:color w:val="auto"/>
                <w:sz w:val="21"/>
                <w:highlight w:val="none"/>
                <w:vertAlign w:val="subscript"/>
                <w:lang w:eastAsia="zh-CN"/>
              </w:rPr>
              <w:t>-1</w:t>
            </w:r>
          </w:p>
        </w:tc>
        <w:tc>
          <w:tcPr>
            <w:tcW w:w="2666" w:type="dxa"/>
            <w:vAlign w:val="center"/>
          </w:tcPr>
          <w:p>
            <w:pPr>
              <w:pStyle w:val="137"/>
              <w:ind w:left="135" w:right="135"/>
              <w:jc w:val="center"/>
              <w:rPr>
                <w:rFonts w:ascii="Times New Roman" w:hAnsi="Times New Roman"/>
                <w:color w:val="auto"/>
                <w:sz w:val="21"/>
                <w:highlight w:val="none"/>
              </w:rPr>
            </w:pPr>
            <w:r>
              <w:rPr>
                <w:rFonts w:ascii="Times New Roman" w:hAnsi="Times New Roman"/>
                <w:color w:val="auto"/>
                <w:sz w:val="21"/>
                <w:highlight w:val="none"/>
              </w:rPr>
              <w:t>下脚料</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86" w:type="dxa"/>
            <w:vAlign w:val="center"/>
          </w:tcPr>
          <w:p>
            <w:pPr>
              <w:pStyle w:val="137"/>
              <w:ind w:left="21"/>
              <w:jc w:val="center"/>
              <w:rPr>
                <w:rFonts w:ascii="Times New Roman" w:hAnsi="Times New Roman"/>
                <w:color w:val="auto"/>
                <w:sz w:val="21"/>
                <w:highlight w:val="none"/>
                <w:lang w:eastAsia="zh-CN"/>
              </w:rPr>
            </w:pPr>
            <w:r>
              <w:rPr>
                <w:rFonts w:hint="eastAsia" w:ascii="Times New Roman" w:hAnsi="Times New Roman"/>
                <w:color w:val="auto"/>
                <w:sz w:val="21"/>
                <w:highlight w:val="none"/>
                <w:lang w:eastAsia="zh-CN"/>
              </w:rPr>
              <w:t>4</w:t>
            </w:r>
          </w:p>
        </w:tc>
        <w:tc>
          <w:tcPr>
            <w:tcW w:w="3766" w:type="dxa"/>
            <w:vAlign w:val="center"/>
          </w:tcPr>
          <w:p>
            <w:pPr>
              <w:pStyle w:val="137"/>
              <w:ind w:left="64" w:right="64"/>
              <w:jc w:val="center"/>
              <w:rPr>
                <w:rFonts w:ascii="Times New Roman" w:hAnsi="Times New Roman"/>
                <w:color w:val="auto"/>
                <w:sz w:val="21"/>
                <w:highlight w:val="none"/>
                <w:lang w:eastAsia="zh-CN"/>
              </w:rPr>
            </w:pPr>
            <w:r>
              <w:rPr>
                <w:rFonts w:hint="eastAsia" w:ascii="Times New Roman" w:hAnsi="Times New Roman"/>
                <w:color w:val="auto"/>
                <w:sz w:val="21"/>
                <w:highlight w:val="none"/>
                <w:lang w:eastAsia="zh-CN"/>
              </w:rPr>
              <w:t>检验</w:t>
            </w:r>
          </w:p>
        </w:tc>
        <w:tc>
          <w:tcPr>
            <w:tcW w:w="1569" w:type="dxa"/>
            <w:vAlign w:val="center"/>
          </w:tcPr>
          <w:p>
            <w:pPr>
              <w:pStyle w:val="137"/>
              <w:ind w:right="1"/>
              <w:jc w:val="center"/>
              <w:rPr>
                <w:rFonts w:ascii="Times New Roman" w:hAnsi="Times New Roman"/>
                <w:color w:val="auto"/>
                <w:sz w:val="21"/>
                <w:highlight w:val="none"/>
              </w:rPr>
            </w:pPr>
            <w:r>
              <w:rPr>
                <w:rFonts w:ascii="Times New Roman" w:hAnsi="Times New Roman"/>
                <w:color w:val="auto"/>
                <w:sz w:val="21"/>
                <w:highlight w:val="none"/>
              </w:rPr>
              <w:t>S</w:t>
            </w:r>
            <w:r>
              <w:rPr>
                <w:rFonts w:ascii="Times New Roman" w:hAnsi="Times New Roman"/>
                <w:color w:val="auto"/>
                <w:sz w:val="21"/>
                <w:highlight w:val="none"/>
                <w:vertAlign w:val="subscript"/>
              </w:rPr>
              <w:t>1</w:t>
            </w:r>
            <w:r>
              <w:rPr>
                <w:rFonts w:ascii="Times New Roman" w:hAnsi="Times New Roman"/>
                <w:color w:val="auto"/>
                <w:sz w:val="21"/>
                <w:highlight w:val="none"/>
                <w:vertAlign w:val="subscript"/>
                <w:lang w:eastAsia="zh-CN"/>
              </w:rPr>
              <w:t>-</w:t>
            </w:r>
            <w:r>
              <w:rPr>
                <w:rFonts w:hint="eastAsia" w:ascii="Times New Roman" w:hAnsi="Times New Roman"/>
                <w:color w:val="auto"/>
                <w:sz w:val="21"/>
                <w:highlight w:val="none"/>
                <w:vertAlign w:val="subscript"/>
                <w:lang w:eastAsia="zh-CN"/>
              </w:rPr>
              <w:t>2</w:t>
            </w:r>
          </w:p>
        </w:tc>
        <w:tc>
          <w:tcPr>
            <w:tcW w:w="2666" w:type="dxa"/>
            <w:vAlign w:val="center"/>
          </w:tcPr>
          <w:p>
            <w:pPr>
              <w:pStyle w:val="137"/>
              <w:ind w:left="135" w:right="135"/>
              <w:jc w:val="center"/>
              <w:rPr>
                <w:rFonts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不合格产品</w:t>
            </w:r>
          </w:p>
        </w:tc>
      </w:tr>
    </w:tbl>
    <w:p>
      <w:pPr>
        <w:pStyle w:val="101"/>
        <w:spacing w:before="78"/>
        <w:rPr>
          <w:rFonts w:ascii="Times New Roman" w:hAnsi="Times New Roman"/>
          <w:color w:val="auto"/>
          <w:highlight w:val="none"/>
        </w:rPr>
      </w:pPr>
      <w:r>
        <w:rPr>
          <w:rFonts w:ascii="Times New Roman" w:hAnsi="Times New Roman"/>
          <w:color w:val="auto"/>
          <w:highlight w:val="none"/>
        </w:rPr>
        <w:t>2.2.</w:t>
      </w:r>
      <w:r>
        <w:rPr>
          <w:rFonts w:hint="eastAsia" w:ascii="Times New Roman" w:hAnsi="Times New Roman"/>
          <w:color w:val="auto"/>
          <w:highlight w:val="none"/>
        </w:rPr>
        <w:t>2造粒工序生产流程及产污环节分析</w:t>
      </w:r>
    </w:p>
    <w:p>
      <w:pPr>
        <w:pStyle w:val="99"/>
        <w:ind w:firstLine="480"/>
        <w:rPr>
          <w:rFonts w:hint="eastAsia"/>
          <w:color w:val="auto"/>
          <w:highlight w:val="none"/>
          <w:lang w:val="en-US" w:eastAsia="zh-CN"/>
        </w:rPr>
      </w:pPr>
      <w:r>
        <w:rPr>
          <w:rFonts w:hint="eastAsia"/>
          <w:color w:val="auto"/>
          <w:highlight w:val="none"/>
          <w:lang w:val="en-US" w:eastAsia="zh-CN"/>
        </w:rPr>
        <w:t>本项目</w:t>
      </w:r>
      <w:r>
        <w:rPr>
          <w:rFonts w:hint="eastAsia"/>
          <w:color w:val="auto"/>
          <w:highlight w:val="none"/>
        </w:rPr>
        <w:t>中空壁缠绕管</w:t>
      </w:r>
      <w:r>
        <w:rPr>
          <w:rFonts w:hint="eastAsia"/>
          <w:color w:val="auto"/>
          <w:highlight w:val="none"/>
          <w:lang w:eastAsia="zh-CN"/>
        </w:rPr>
        <w:t>、</w:t>
      </w:r>
      <w:r>
        <w:rPr>
          <w:rFonts w:hint="eastAsia"/>
          <w:color w:val="auto"/>
          <w:highlight w:val="none"/>
        </w:rPr>
        <w:t>双壁波纹管</w:t>
      </w:r>
      <w:r>
        <w:rPr>
          <w:rFonts w:hint="eastAsia"/>
          <w:color w:val="auto"/>
          <w:highlight w:val="none"/>
          <w:lang w:val="en-US" w:eastAsia="zh-CN"/>
        </w:rPr>
        <w:t>及注塑污水配件所用塑料颗粒部分采用外购清洗破碎后的</w:t>
      </w:r>
      <w:r>
        <w:rPr>
          <w:rFonts w:hint="eastAsia"/>
          <w:color w:val="auto"/>
          <w:highlight w:val="none"/>
        </w:rPr>
        <w:t>废聚乙烯、废聚丙烯</w:t>
      </w:r>
      <w:r>
        <w:rPr>
          <w:rFonts w:hint="eastAsia"/>
          <w:color w:val="auto"/>
          <w:highlight w:val="none"/>
          <w:lang w:val="en-US" w:eastAsia="zh-CN"/>
        </w:rPr>
        <w:t>塑料及管道下脚料在厂内造粒得到，部分直接外购废塑料颗粒。</w:t>
      </w:r>
    </w:p>
    <w:p>
      <w:pPr>
        <w:pStyle w:val="99"/>
        <w:ind w:firstLine="480"/>
        <w:rPr>
          <w:color w:val="auto"/>
          <w:highlight w:val="none"/>
        </w:rPr>
      </w:pPr>
      <w:r>
        <w:rPr>
          <w:rFonts w:hint="eastAsia"/>
          <w:color w:val="auto"/>
          <w:highlight w:val="none"/>
        </w:rPr>
        <w:t>项目外购洗破碎后的废聚乙烯、废聚丙烯，在厂内统一进行造粒、切粒后再用于中空壁缠绕管、双壁波纹管和注塑管件生产</w:t>
      </w:r>
      <w:r>
        <w:rPr>
          <w:rFonts w:hint="eastAsia"/>
          <w:color w:val="auto"/>
          <w:highlight w:val="none"/>
          <w:lang w:eastAsia="zh-CN"/>
        </w:rPr>
        <w:t>，</w:t>
      </w:r>
      <w:r>
        <w:rPr>
          <w:rFonts w:hint="eastAsia"/>
          <w:color w:val="auto"/>
          <w:highlight w:val="none"/>
          <w:lang w:val="en-US" w:eastAsia="zh-CN"/>
        </w:rPr>
        <w:t>本项目造粒产能为聚乙烯颗粒2000t/a、聚丙烯颗粒3000t/a。</w:t>
      </w:r>
    </w:p>
    <w:p>
      <w:pPr>
        <w:pStyle w:val="102"/>
        <w:ind w:firstLine="480"/>
        <w:rPr>
          <w:color w:val="auto"/>
          <w:highlight w:val="none"/>
        </w:rPr>
      </w:pPr>
      <w:r>
        <w:rPr>
          <w:rFonts w:hint="eastAsia"/>
          <w:color w:val="auto"/>
          <w:highlight w:val="none"/>
        </w:rPr>
        <w:t>1</w:t>
      </w:r>
      <w:r>
        <w:rPr>
          <w:color w:val="auto"/>
          <w:highlight w:val="none"/>
        </w:rPr>
        <w:t>、熔融挤出工序</w:t>
      </w:r>
      <w:r>
        <w:rPr>
          <w:rFonts w:hint="eastAsia"/>
          <w:color w:val="auto"/>
          <w:highlight w:val="none"/>
        </w:rPr>
        <w:t>：将外购的废聚乙烯(PE)破碎料、废聚乙烯（PP）破碎料，以</w:t>
      </w:r>
      <w:r>
        <w:rPr>
          <w:color w:val="auto"/>
          <w:highlight w:val="none"/>
        </w:rPr>
        <w:t>电作为能源进行加热，</w:t>
      </w:r>
      <w:r>
        <w:rPr>
          <w:rFonts w:hint="eastAsia"/>
          <w:color w:val="auto"/>
          <w:highlight w:val="none"/>
        </w:rPr>
        <w:t>项目采用无丝网过滤器进行造粒，</w:t>
      </w:r>
      <w:r>
        <w:rPr>
          <w:color w:val="auto"/>
          <w:highlight w:val="none"/>
        </w:rPr>
        <w:t>在塑料加热和挤出过程由于温度上升塑料会有少量的分解，产生</w:t>
      </w:r>
      <w:r>
        <w:rPr>
          <w:rFonts w:hint="eastAsia"/>
          <w:color w:val="auto"/>
          <w:highlight w:val="none"/>
        </w:rPr>
        <w:t>颗粒物、</w:t>
      </w:r>
      <w:r>
        <w:rPr>
          <w:color w:val="auto"/>
          <w:highlight w:val="none"/>
        </w:rPr>
        <w:t>VOCs有机废气</w:t>
      </w:r>
      <w:r>
        <w:rPr>
          <w:rFonts w:hint="eastAsia"/>
          <w:color w:val="auto"/>
          <w:highlight w:val="none"/>
        </w:rPr>
        <w:t>、废料、废网及噪声</w:t>
      </w:r>
      <w:r>
        <w:rPr>
          <w:color w:val="auto"/>
          <w:highlight w:val="none"/>
        </w:rPr>
        <w:t>。</w:t>
      </w:r>
    </w:p>
    <w:p>
      <w:pPr>
        <w:pStyle w:val="102"/>
        <w:ind w:firstLine="480"/>
        <w:rPr>
          <w:color w:val="auto"/>
          <w:szCs w:val="24"/>
          <w:highlight w:val="none"/>
        </w:rPr>
      </w:pPr>
      <w:r>
        <w:rPr>
          <w:rFonts w:hint="eastAsia"/>
          <w:color w:val="auto"/>
          <w:highlight w:val="none"/>
        </w:rPr>
        <w:t>2</w:t>
      </w:r>
      <w:r>
        <w:rPr>
          <w:color w:val="auto"/>
          <w:highlight w:val="none"/>
        </w:rPr>
        <w:t>、冷却、切粒</w:t>
      </w:r>
      <w:r>
        <w:rPr>
          <w:rFonts w:hint="eastAsia"/>
          <w:color w:val="auto"/>
          <w:highlight w:val="none"/>
        </w:rPr>
        <w:t>：</w:t>
      </w:r>
      <w:r>
        <w:rPr>
          <w:color w:val="auto"/>
          <w:szCs w:val="24"/>
          <w:highlight w:val="none"/>
        </w:rPr>
        <w:t>经过挤出工艺出料的塑料软条进入冷却水池进行冷却，冷却成型后通过切刀切成颗粒装</w:t>
      </w:r>
      <w:r>
        <w:rPr>
          <w:rFonts w:hint="eastAsia"/>
          <w:color w:val="auto"/>
          <w:szCs w:val="24"/>
          <w:highlight w:val="none"/>
        </w:rPr>
        <w:t>进行下一步生产</w:t>
      </w:r>
      <w:r>
        <w:rPr>
          <w:color w:val="auto"/>
          <w:szCs w:val="24"/>
          <w:highlight w:val="none"/>
        </w:rPr>
        <w:t>。</w:t>
      </w:r>
    </w:p>
    <w:p>
      <w:pPr>
        <w:spacing w:line="360" w:lineRule="auto"/>
        <w:ind w:firstLine="420" w:firstLineChars="200"/>
        <w:rPr>
          <w:color w:val="auto"/>
          <w:sz w:val="24"/>
          <w:highlight w:val="none"/>
        </w:rPr>
      </w:pPr>
      <w:r>
        <w:rPr>
          <w:color w:val="auto"/>
          <w:highlight w:val="none"/>
        </w:rPr>
        <mc:AlternateContent>
          <mc:Choice Requires="wpg">
            <w:drawing>
              <wp:anchor distT="0" distB="0" distL="114300" distR="114300" simplePos="0" relativeHeight="251660288" behindDoc="0" locked="0" layoutInCell="1" allowOverlap="1">
                <wp:simplePos x="0" y="0"/>
                <wp:positionH relativeFrom="column">
                  <wp:posOffset>160020</wp:posOffset>
                </wp:positionH>
                <wp:positionV relativeFrom="paragraph">
                  <wp:posOffset>9525</wp:posOffset>
                </wp:positionV>
                <wp:extent cx="4887595" cy="1453515"/>
                <wp:effectExtent l="5080" t="0" r="3175" b="0"/>
                <wp:wrapNone/>
                <wp:docPr id="1" name="组合 1"/>
                <wp:cNvGraphicFramePr/>
                <a:graphic xmlns:a="http://schemas.openxmlformats.org/drawingml/2006/main">
                  <a:graphicData uri="http://schemas.microsoft.com/office/word/2010/wordprocessingGroup">
                    <wpg:wgp>
                      <wpg:cNvGrpSpPr/>
                      <wpg:grpSpPr>
                        <a:xfrm>
                          <a:off x="0" y="0"/>
                          <a:ext cx="4887595" cy="1453515"/>
                          <a:chOff x="3989" y="652782"/>
                          <a:chExt cx="7697" cy="2289"/>
                        </a:xfrm>
                      </wpg:grpSpPr>
                      <wps:wsp>
                        <wps:cNvPr id="527" name="文本框 527"/>
                        <wps:cNvSpPr txBox="1"/>
                        <wps:spPr>
                          <a:xfrm>
                            <a:off x="3989" y="653459"/>
                            <a:ext cx="1952" cy="1128"/>
                          </a:xfrm>
                          <a:prstGeom prst="rect">
                            <a:avLst/>
                          </a:prstGeom>
                          <a:noFill/>
                          <a:ln w="9525" cap="flat" cmpd="sng">
                            <a:solidFill>
                              <a:schemeClr val="bg1"/>
                            </a:solidFill>
                            <a:prstDash val="solid"/>
                            <a:miter/>
                            <a:headEnd type="none" w="med" len="med"/>
                            <a:tailEnd type="none" w="med" len="med"/>
                          </a:ln>
                        </wps:spPr>
                        <wps:txbx>
                          <w:txbxContent>
                            <w:p>
                              <w:pPr>
                                <w:jc w:val="center"/>
                                <w:rPr>
                                  <w:szCs w:val="21"/>
                                </w:rPr>
                              </w:pPr>
                              <w:r>
                                <w:rPr>
                                  <w:rFonts w:hint="eastAsia"/>
                                  <w:szCs w:val="21"/>
                                </w:rPr>
                                <w:t>废聚乙烯(PE)破碎料、废聚乙烯（PP）破碎料、色母粒</w:t>
                              </w:r>
                            </w:p>
                          </w:txbxContent>
                        </wps:txbx>
                        <wps:bodyPr upright="1"/>
                      </wps:wsp>
                      <wps:wsp>
                        <wps:cNvPr id="533" name="直接连接符 533"/>
                        <wps:cNvCnPr/>
                        <wps:spPr>
                          <a:xfrm flipV="1">
                            <a:off x="5867" y="653948"/>
                            <a:ext cx="940" cy="1"/>
                          </a:xfrm>
                          <a:prstGeom prst="line">
                            <a:avLst/>
                          </a:prstGeom>
                          <a:ln w="9525" cap="flat" cmpd="sng">
                            <a:solidFill>
                              <a:srgbClr val="000000"/>
                            </a:solidFill>
                            <a:prstDash val="solid"/>
                            <a:headEnd type="none" w="med" len="med"/>
                            <a:tailEnd type="triangle" w="med" len="med"/>
                          </a:ln>
                        </wps:spPr>
                        <wps:bodyPr/>
                      </wps:wsp>
                      <wps:wsp>
                        <wps:cNvPr id="532" name="直接连接符 532"/>
                        <wps:cNvCnPr/>
                        <wps:spPr>
                          <a:xfrm>
                            <a:off x="8110" y="653957"/>
                            <a:ext cx="520" cy="1"/>
                          </a:xfrm>
                          <a:prstGeom prst="line">
                            <a:avLst/>
                          </a:prstGeom>
                          <a:ln w="9525" cap="flat" cmpd="sng">
                            <a:solidFill>
                              <a:srgbClr val="000000"/>
                            </a:solidFill>
                            <a:prstDash val="solid"/>
                            <a:headEnd type="none" w="med" len="med"/>
                            <a:tailEnd type="triangle" w="med" len="med"/>
                          </a:ln>
                        </wps:spPr>
                        <wps:bodyPr/>
                      </wps:wsp>
                      <wps:wsp>
                        <wps:cNvPr id="531" name="直接连接符 531"/>
                        <wps:cNvCnPr/>
                        <wps:spPr>
                          <a:xfrm>
                            <a:off x="9956" y="653954"/>
                            <a:ext cx="520" cy="1"/>
                          </a:xfrm>
                          <a:prstGeom prst="line">
                            <a:avLst/>
                          </a:prstGeom>
                          <a:ln w="9525" cap="flat" cmpd="sng">
                            <a:solidFill>
                              <a:srgbClr val="000000"/>
                            </a:solidFill>
                            <a:prstDash val="solid"/>
                            <a:headEnd type="none" w="med" len="med"/>
                            <a:tailEnd type="triangle" w="med" len="med"/>
                          </a:ln>
                        </wps:spPr>
                        <wps:bodyPr/>
                      </wps:wsp>
                      <wps:wsp>
                        <wps:cNvPr id="535" name="文本框 535"/>
                        <wps:cNvSpPr txBox="1"/>
                        <wps:spPr>
                          <a:xfrm>
                            <a:off x="6603" y="654603"/>
                            <a:ext cx="1712" cy="468"/>
                          </a:xfrm>
                          <a:prstGeom prst="rect">
                            <a:avLst/>
                          </a:prstGeom>
                          <a:noFill/>
                          <a:ln>
                            <a:noFill/>
                          </a:ln>
                        </wps:spPr>
                        <wps:txbx>
                          <w:txbxContent>
                            <w:p>
                              <w:pPr>
                                <w:jc w:val="center"/>
                                <w:rPr>
                                  <w:szCs w:val="21"/>
                                </w:rPr>
                              </w:pPr>
                              <w:r>
                                <w:rPr>
                                  <w:rFonts w:hint="eastAsia"/>
                                  <w:szCs w:val="21"/>
                                </w:rPr>
                                <w:t>G</w:t>
                              </w:r>
                              <w:r>
                                <w:rPr>
                                  <w:rFonts w:hint="eastAsia"/>
                                  <w:szCs w:val="21"/>
                                  <w:vertAlign w:val="subscript"/>
                                </w:rPr>
                                <w:t>2</w:t>
                              </w:r>
                              <w:r>
                                <w:rPr>
                                  <w:rFonts w:hint="eastAsia"/>
                                  <w:szCs w:val="21"/>
                                </w:rPr>
                                <w:t>-</w:t>
                              </w:r>
                              <w:r>
                                <w:rPr>
                                  <w:rFonts w:hint="eastAsia"/>
                                  <w:szCs w:val="21"/>
                                  <w:vertAlign w:val="subscript"/>
                                </w:rPr>
                                <w:t>1</w:t>
                              </w:r>
                              <w:r>
                                <w:rPr>
                                  <w:rFonts w:hint="eastAsia"/>
                                  <w:szCs w:val="21"/>
                                </w:rPr>
                                <w:t>、S</w:t>
                              </w:r>
                              <w:r>
                                <w:rPr>
                                  <w:rFonts w:hint="eastAsia"/>
                                  <w:szCs w:val="21"/>
                                  <w:vertAlign w:val="subscript"/>
                                </w:rPr>
                                <w:t>2-1</w:t>
                              </w:r>
                              <w:r>
                                <w:rPr>
                                  <w:rFonts w:hint="eastAsia"/>
                                  <w:szCs w:val="21"/>
                                </w:rPr>
                                <w:t>、N</w:t>
                              </w:r>
                              <w:r>
                                <w:rPr>
                                  <w:rFonts w:hint="eastAsia"/>
                                  <w:szCs w:val="21"/>
                                  <w:vertAlign w:val="subscript"/>
                                </w:rPr>
                                <w:t>2-1</w:t>
                              </w:r>
                            </w:p>
                          </w:txbxContent>
                        </wps:txbx>
                        <wps:bodyPr upright="1"/>
                      </wps:wsp>
                      <wps:wsp>
                        <wps:cNvPr id="534" name="直接连接符 534"/>
                        <wps:cNvCnPr/>
                        <wps:spPr>
                          <a:xfrm>
                            <a:off x="7413" y="654170"/>
                            <a:ext cx="1" cy="429"/>
                          </a:xfrm>
                          <a:prstGeom prst="line">
                            <a:avLst/>
                          </a:prstGeom>
                          <a:ln w="9525" cap="flat" cmpd="sng">
                            <a:solidFill>
                              <a:srgbClr val="000000"/>
                            </a:solidFill>
                            <a:prstDash val="dash"/>
                            <a:headEnd type="none" w="med" len="med"/>
                            <a:tailEnd type="triangle" w="med" len="med"/>
                          </a:ln>
                        </wps:spPr>
                        <wps:bodyPr/>
                      </wps:wsp>
                      <wps:wsp>
                        <wps:cNvPr id="530" name="文本框 530"/>
                        <wps:cNvSpPr txBox="1"/>
                        <wps:spPr>
                          <a:xfrm>
                            <a:off x="6807" y="653709"/>
                            <a:ext cx="1303"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熔融、挤出</w:t>
                              </w:r>
                            </w:p>
                          </w:txbxContent>
                        </wps:txbx>
                        <wps:bodyPr upright="1"/>
                      </wps:wsp>
                      <wps:wsp>
                        <wps:cNvPr id="529" name="文本框 529"/>
                        <wps:cNvSpPr txBox="1"/>
                        <wps:spPr>
                          <a:xfrm>
                            <a:off x="8630" y="653708"/>
                            <a:ext cx="1303"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冷却、切粒</w:t>
                              </w:r>
                            </w:p>
                          </w:txbxContent>
                        </wps:txbx>
                        <wps:bodyPr upright="1"/>
                      </wps:wsp>
                      <wps:wsp>
                        <wps:cNvPr id="528" name="文本框 528"/>
                        <wps:cNvSpPr txBox="1"/>
                        <wps:spPr>
                          <a:xfrm>
                            <a:off x="10476" y="653708"/>
                            <a:ext cx="1210" cy="469"/>
                          </a:xfrm>
                          <a:prstGeom prst="rect">
                            <a:avLst/>
                          </a:prstGeom>
                          <a:solidFill>
                            <a:srgbClr val="FFFFFF"/>
                          </a:solidFill>
                          <a:ln>
                            <a:noFill/>
                          </a:ln>
                        </wps:spPr>
                        <wps:txbx>
                          <w:txbxContent>
                            <w:p>
                              <w:pPr>
                                <w:jc w:val="center"/>
                                <w:rPr>
                                  <w:szCs w:val="21"/>
                                </w:rPr>
                              </w:pPr>
                              <w:r>
                                <w:rPr>
                                  <w:rFonts w:hint="eastAsia"/>
                                  <w:szCs w:val="21"/>
                                </w:rPr>
                                <w:t>塑料颗粒</w:t>
                              </w:r>
                            </w:p>
                          </w:txbxContent>
                        </wps:txbx>
                        <wps:bodyPr upright="1"/>
                      </wps:wsp>
                      <wps:wsp>
                        <wps:cNvPr id="524" name="直接连接符 524"/>
                        <wps:cNvCnPr/>
                        <wps:spPr>
                          <a:xfrm flipV="1">
                            <a:off x="9676" y="653209"/>
                            <a:ext cx="1" cy="474"/>
                          </a:xfrm>
                          <a:prstGeom prst="line">
                            <a:avLst/>
                          </a:prstGeom>
                          <a:ln w="9525" cap="flat" cmpd="sng">
                            <a:solidFill>
                              <a:srgbClr val="000000"/>
                            </a:solidFill>
                            <a:prstDash val="dash"/>
                            <a:headEnd type="none" w="med" len="med"/>
                            <a:tailEnd type="triangle" w="med" len="med"/>
                          </a:ln>
                        </wps:spPr>
                        <wps:bodyPr/>
                      </wps:wsp>
                      <wps:wsp>
                        <wps:cNvPr id="523" name="文本框 523"/>
                        <wps:cNvSpPr txBox="1"/>
                        <wps:spPr>
                          <a:xfrm>
                            <a:off x="9386" y="652782"/>
                            <a:ext cx="771" cy="468"/>
                          </a:xfrm>
                          <a:prstGeom prst="rect">
                            <a:avLst/>
                          </a:prstGeom>
                          <a:noFill/>
                          <a:ln>
                            <a:noFill/>
                          </a:ln>
                        </wps:spPr>
                        <wps:txbx>
                          <w:txbxContent>
                            <w:p>
                              <w:pPr>
                                <w:jc w:val="center"/>
                                <w:rPr>
                                  <w:szCs w:val="21"/>
                                </w:rPr>
                              </w:pPr>
                              <w:r>
                                <w:rPr>
                                  <w:rFonts w:hint="eastAsia"/>
                                  <w:szCs w:val="21"/>
                                </w:rPr>
                                <w:t>N</w:t>
                              </w:r>
                              <w:r>
                                <w:rPr>
                                  <w:rFonts w:hint="eastAsia"/>
                                  <w:szCs w:val="21"/>
                                  <w:vertAlign w:val="subscript"/>
                                </w:rPr>
                                <w:t>2-2</w:t>
                              </w:r>
                            </w:p>
                          </w:txbxContent>
                        </wps:txbx>
                        <wps:bodyPr upright="1"/>
                      </wps:wsp>
                      <wps:wsp>
                        <wps:cNvPr id="526" name="直接连接符 526"/>
                        <wps:cNvCnPr/>
                        <wps:spPr>
                          <a:xfrm flipV="1">
                            <a:off x="8917" y="653178"/>
                            <a:ext cx="10" cy="503"/>
                          </a:xfrm>
                          <a:prstGeom prst="line">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525" name="文本框 525"/>
                        <wps:cNvSpPr txBox="1"/>
                        <wps:spPr>
                          <a:xfrm>
                            <a:off x="8352" y="652782"/>
                            <a:ext cx="981" cy="468"/>
                          </a:xfrm>
                          <a:prstGeom prst="rect">
                            <a:avLst/>
                          </a:prstGeom>
                          <a:noFill/>
                          <a:ln>
                            <a:noFill/>
                          </a:ln>
                        </wps:spPr>
                        <wps:txbx>
                          <w:txbxContent>
                            <w:p>
                              <w:pPr>
                                <w:jc w:val="center"/>
                                <w:rPr>
                                  <w:szCs w:val="21"/>
                                </w:rPr>
                              </w:pPr>
                              <w:r>
                                <w:rPr>
                                  <w:rFonts w:hint="eastAsia"/>
                                  <w:szCs w:val="21"/>
                                </w:rPr>
                                <w:t>循环水</w:t>
                              </w:r>
                            </w:p>
                          </w:txbxContent>
                        </wps:txbx>
                        <wps:bodyPr upright="1"/>
                      </wps:wsp>
                    </wpg:wgp>
                  </a:graphicData>
                </a:graphic>
              </wp:anchor>
            </w:drawing>
          </mc:Choice>
          <mc:Fallback>
            <w:pict>
              <v:group id="_x0000_s1026" o:spid="_x0000_s1026" o:spt="203" style="position:absolute;left:0pt;margin-left:12.6pt;margin-top:0.75pt;height:114.45pt;width:384.85pt;z-index:251660288;mso-width-relative:page;mso-height-relative:page;" coordorigin="3989,652782" coordsize="7697,2289" o:gfxdata="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">
                <o:lock v:ext="edit" aspectratio="f"/>
                <v:shape id="_x0000_s1026" o:spid="_x0000_s1026" o:spt="202" type="#_x0000_t202" style="position:absolute;left:3989;top:653459;height:1128;width:1952;" filled="f" stroked="t" coordsize="21600,21600" o:gfxdata="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M7KL4A&#10;AADcAAAADwAAAAAAAAABACAAAAAiAAAAZHJzL2Rvd25yZXYueG1sUEsBAhQAFAAAAAgAh07iQDMv&#10;BZ47AAAAOQAAABAAAAAAAAAAAQAgAAAADQEAAGRycy9zaGFwZXhtbC54bWxQSwUGAAAAAAYABgBb&#10;AQAAtwMAAAAA&#10;">
                  <v:fill on="f" focussize="0,0"/>
                  <v:stroke color="#FFFFFF [3212]" joinstyle="miter"/>
                  <v:imagedata o:title=""/>
                  <o:lock v:ext="edit" aspectratio="f"/>
                  <v:textbox>
                    <w:txbxContent>
                      <w:p>
                        <w:pPr>
                          <w:jc w:val="center"/>
                          <w:rPr>
                            <w:szCs w:val="21"/>
                          </w:rPr>
                        </w:pPr>
                        <w:r>
                          <w:rPr>
                            <w:rFonts w:hint="eastAsia"/>
                            <w:szCs w:val="21"/>
                          </w:rPr>
                          <w:t>废聚乙烯(PE)破碎料、废聚乙烯（PP）破碎料、色母粒</w:t>
                        </w:r>
                      </w:p>
                    </w:txbxContent>
                  </v:textbox>
                </v:shape>
                <v:line id="_x0000_s1026" o:spid="_x0000_s1026" o:spt="20" style="position:absolute;left:5867;top:653948;flip:y;height:1;width:940;" filled="f" stroked="t" coordsize="21600,21600" o:gfxdata="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Mgr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8110;top:653957;height:1;width:520;" filled="f" stroked="t" coordsize="21600,21600" o:gfxdata="UEsDBAoAAAAAAIdO4kAAAAAAAAAAAAAAAAAEAAAAZHJzL1BLAwQUAAAACACHTuJArMCj/s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GY/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wK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9956;top:653954;height:1;width:520;" filled="f" stroked="t" coordsize="21600,21600" o:gfxdata="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Ej2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6603;top:654603;height:468;width:1712;" filled="f" stroked="f" coordsize="21600,21600" o:gfxdata="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mt1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szCs w:val="21"/>
                          </w:rPr>
                        </w:pPr>
                        <w:r>
                          <w:rPr>
                            <w:rFonts w:hint="eastAsia"/>
                            <w:szCs w:val="21"/>
                          </w:rPr>
                          <w:t>G</w:t>
                        </w:r>
                        <w:r>
                          <w:rPr>
                            <w:rFonts w:hint="eastAsia"/>
                            <w:szCs w:val="21"/>
                            <w:vertAlign w:val="subscript"/>
                          </w:rPr>
                          <w:t>2</w:t>
                        </w:r>
                        <w:r>
                          <w:rPr>
                            <w:rFonts w:hint="eastAsia"/>
                            <w:szCs w:val="21"/>
                          </w:rPr>
                          <w:t>-</w:t>
                        </w:r>
                        <w:r>
                          <w:rPr>
                            <w:rFonts w:hint="eastAsia"/>
                            <w:szCs w:val="21"/>
                            <w:vertAlign w:val="subscript"/>
                          </w:rPr>
                          <w:t>1</w:t>
                        </w:r>
                        <w:r>
                          <w:rPr>
                            <w:rFonts w:hint="eastAsia"/>
                            <w:szCs w:val="21"/>
                          </w:rPr>
                          <w:t>、S</w:t>
                        </w:r>
                        <w:r>
                          <w:rPr>
                            <w:rFonts w:hint="eastAsia"/>
                            <w:szCs w:val="21"/>
                            <w:vertAlign w:val="subscript"/>
                          </w:rPr>
                          <w:t>2-1</w:t>
                        </w:r>
                        <w:r>
                          <w:rPr>
                            <w:rFonts w:hint="eastAsia"/>
                            <w:szCs w:val="21"/>
                          </w:rPr>
                          <w:t>、N</w:t>
                        </w:r>
                        <w:r>
                          <w:rPr>
                            <w:rFonts w:hint="eastAsia"/>
                            <w:szCs w:val="21"/>
                            <w:vertAlign w:val="subscript"/>
                          </w:rPr>
                          <w:t>2-1</w:t>
                        </w:r>
                      </w:p>
                    </w:txbxContent>
                  </v:textbox>
                </v:shape>
                <v:line id="_x0000_s1026" o:spid="_x0000_s1026" o:spt="20" style="position:absolute;left:7413;top:654170;height:429;width:1;" filled="f" stroked="t" coordsize="21600,21600" o:gfxdata="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5T0&#10;ccEAAADcAAAADwAAAAAAAAABACAAAAAiAAAAZHJzL2Rvd25yZXYueG1sUEsBAhQAFAAAAAgAh07i&#10;QDMvBZ47AAAAOQAAABAAAAAAAAAAAQAgAAAAEAEAAGRycy9zaGFwZXhtbC54bWxQSwUGAAAAAAYA&#10;BgBbAQAAugMAAAAA&#10;">
                  <v:fill on="f" focussize="0,0"/>
                  <v:stroke color="#000000" joinstyle="round" dashstyle="dash" endarrow="block"/>
                  <v:imagedata o:title=""/>
                  <o:lock v:ext="edit" aspectratio="f"/>
                </v:line>
                <v:shape id="_x0000_s1026" o:spid="_x0000_s1026" o:spt="202" type="#_x0000_t202" style="position:absolute;left:6807;top:653709;height:468;width:1303;" fillcolor="#FFFFFF" filled="t" stroked="t" coordsize="21600,21600" o:gfxdata="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tX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Cs w:val="21"/>
                          </w:rPr>
                        </w:pPr>
                        <w:r>
                          <w:rPr>
                            <w:rFonts w:hint="eastAsia"/>
                            <w:szCs w:val="21"/>
                          </w:rPr>
                          <w:t>熔融、挤出</w:t>
                        </w:r>
                      </w:p>
                    </w:txbxContent>
                  </v:textbox>
                </v:shape>
                <v:shape id="_x0000_s1026" o:spid="_x0000_s1026" o:spt="202" type="#_x0000_t202" style="position:absolute;left:8630;top:653708;height:468;width:1303;" fillcolor="#FFFFFF" filled="t" stroked="t" coordsize="21600,21600" o:gfxdata="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OY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Cs w:val="21"/>
                          </w:rPr>
                        </w:pPr>
                        <w:r>
                          <w:rPr>
                            <w:rFonts w:hint="eastAsia"/>
                            <w:szCs w:val="21"/>
                          </w:rPr>
                          <w:t>冷却、切粒</w:t>
                        </w:r>
                      </w:p>
                    </w:txbxContent>
                  </v:textbox>
                </v:shape>
                <v:shape id="_x0000_s1026" o:spid="_x0000_s1026" o:spt="202" type="#_x0000_t202" style="position:absolute;left:10476;top:653708;height:469;width:1210;" fillcolor="#FFFFFF" filled="t" stroked="f" coordsize="21600,21600" o:gfxdata="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eOtOO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jc w:val="center"/>
                          <w:rPr>
                            <w:szCs w:val="21"/>
                          </w:rPr>
                        </w:pPr>
                        <w:r>
                          <w:rPr>
                            <w:rFonts w:hint="eastAsia"/>
                            <w:szCs w:val="21"/>
                          </w:rPr>
                          <w:t>塑料颗粒</w:t>
                        </w:r>
                      </w:p>
                    </w:txbxContent>
                  </v:textbox>
                </v:shape>
                <v:line id="_x0000_s1026" o:spid="_x0000_s1026" o:spt="20" style="position:absolute;left:9676;top:653209;flip:y;height:474;width:1;" filled="f" stroked="t" coordsize="21600,21600" o:gfxdata="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zi4ugAAANw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shape id="_x0000_s1026" o:spid="_x0000_s1026" o:spt="202" type="#_x0000_t202" style="position:absolute;left:9386;top:652782;height:468;width:771;" filled="f" stroked="f" coordsize="21600,21600" o:gfxdata="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mdm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szCs w:val="21"/>
                          </w:rPr>
                        </w:pPr>
                        <w:r>
                          <w:rPr>
                            <w:rFonts w:hint="eastAsia"/>
                            <w:szCs w:val="21"/>
                          </w:rPr>
                          <w:t>N</w:t>
                        </w:r>
                        <w:r>
                          <w:rPr>
                            <w:rFonts w:hint="eastAsia"/>
                            <w:szCs w:val="21"/>
                            <w:vertAlign w:val="subscript"/>
                          </w:rPr>
                          <w:t>2-2</w:t>
                        </w:r>
                      </w:p>
                    </w:txbxContent>
                  </v:textbox>
                </v:shape>
                <v:line id="_x0000_s1026" o:spid="_x0000_s1026" o:spt="20" style="position:absolute;left:8917;top:653178;flip:y;height:503;width:10;" filled="f" stroked="t" coordsize="21600,21600" o:gfxdata="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AvEb4A&#10;AADcAAAADwAAAAAAAAABACAAAAAiAAAAZHJzL2Rvd25yZXYueG1sUEsBAhQAFAAAAAgAh07iQDMv&#10;BZ47AAAAOQAAABAAAAAAAAAAAQAgAAAADQEAAGRycy9zaGFwZXhtbC54bWxQSwUGAAAAAAYABgBb&#10;AQAAtwMAAAAA&#10;">
                  <v:fill on="f" focussize="0,0"/>
                  <v:stroke weight="0.5pt" color="#000000 [3200]" miterlimit="8" joinstyle="miter" startarrow="block"/>
                  <v:imagedata o:title=""/>
                  <o:lock v:ext="edit" aspectratio="f"/>
                </v:line>
                <v:shape id="_x0000_s1026" o:spid="_x0000_s1026" o:spt="202" type="#_x0000_t202" style="position:absolute;left:8352;top:652782;height:468;width:981;" filled="f" stroked="f" coordsize="21600,21600" o:gfxdata="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NLj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szCs w:val="21"/>
                          </w:rPr>
                        </w:pPr>
                        <w:r>
                          <w:rPr>
                            <w:rFonts w:hint="eastAsia"/>
                            <w:szCs w:val="21"/>
                          </w:rPr>
                          <w:t>循环水</w:t>
                        </w:r>
                      </w:p>
                    </w:txbxContent>
                  </v:textbox>
                </v:shape>
              </v:group>
            </w:pict>
          </mc:Fallback>
        </mc:AlternateContent>
      </w:r>
    </w:p>
    <w:p>
      <w:pPr>
        <w:rPr>
          <w:color w:val="auto"/>
          <w:highlight w:val="none"/>
        </w:rPr>
      </w:pP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pStyle w:val="2"/>
        <w:ind w:firstLine="480"/>
        <w:rPr>
          <w:color w:val="auto"/>
          <w:highlight w:val="none"/>
        </w:rPr>
      </w:pPr>
    </w:p>
    <w:p>
      <w:pPr>
        <w:rPr>
          <w:color w:val="auto"/>
          <w:highlight w:val="none"/>
        </w:rPr>
      </w:pPr>
    </w:p>
    <w:p>
      <w:pPr>
        <w:jc w:val="center"/>
        <w:rPr>
          <w:rFonts w:eastAsia="黑体"/>
          <w:color w:val="auto"/>
          <w:kern w:val="0"/>
          <w:sz w:val="24"/>
          <w:szCs w:val="24"/>
          <w:highlight w:val="none"/>
        </w:rPr>
      </w:pPr>
      <w:r>
        <w:rPr>
          <w:rFonts w:eastAsia="黑体"/>
          <w:color w:val="auto"/>
          <w:sz w:val="24"/>
          <w:szCs w:val="24"/>
          <w:highlight w:val="none"/>
        </w:rPr>
        <w:t xml:space="preserve">图2.2-3  </w:t>
      </w:r>
      <w:r>
        <w:rPr>
          <w:rFonts w:hint="eastAsia" w:eastAsia="黑体"/>
          <w:color w:val="auto"/>
          <w:sz w:val="24"/>
          <w:szCs w:val="24"/>
          <w:highlight w:val="none"/>
        </w:rPr>
        <w:t>造粒工序</w:t>
      </w:r>
      <w:r>
        <w:rPr>
          <w:rFonts w:eastAsia="黑体"/>
          <w:color w:val="auto"/>
          <w:kern w:val="0"/>
          <w:sz w:val="24"/>
          <w:szCs w:val="24"/>
          <w:highlight w:val="none"/>
        </w:rPr>
        <w:t>工艺流程及产污环节图</w:t>
      </w:r>
    </w:p>
    <w:p>
      <w:pPr>
        <w:pStyle w:val="99"/>
        <w:ind w:firstLine="482"/>
        <w:rPr>
          <w:color w:val="auto"/>
          <w:highlight w:val="none"/>
        </w:rPr>
      </w:pPr>
      <w:r>
        <w:rPr>
          <w:b/>
          <w:bCs/>
          <w:color w:val="auto"/>
          <w:highlight w:val="none"/>
        </w:rPr>
        <w:t>产污环节</w:t>
      </w:r>
      <w:r>
        <w:rPr>
          <w:color w:val="auto"/>
          <w:highlight w:val="none"/>
        </w:rPr>
        <w:t>：</w:t>
      </w:r>
      <w:r>
        <w:rPr>
          <w:rFonts w:hint="eastAsia"/>
          <w:color w:val="auto"/>
          <w:highlight w:val="none"/>
        </w:rPr>
        <w:t>熔融</w:t>
      </w:r>
      <w:r>
        <w:rPr>
          <w:color w:val="auto"/>
          <w:highlight w:val="none"/>
        </w:rPr>
        <w:t>挤出工序产生有机废气（G</w:t>
      </w:r>
      <w:r>
        <w:rPr>
          <w:rFonts w:hint="eastAsia"/>
          <w:color w:val="auto"/>
          <w:highlight w:val="none"/>
          <w:vertAlign w:val="subscript"/>
        </w:rPr>
        <w:t>2</w:t>
      </w:r>
      <w:r>
        <w:rPr>
          <w:color w:val="auto"/>
          <w:highlight w:val="none"/>
          <w:vertAlign w:val="subscript"/>
        </w:rPr>
        <w:t>-1</w:t>
      </w:r>
      <w:r>
        <w:rPr>
          <w:color w:val="auto"/>
          <w:highlight w:val="none"/>
        </w:rPr>
        <w:t>）；</w:t>
      </w:r>
      <w:r>
        <w:rPr>
          <w:rFonts w:hint="eastAsia"/>
          <w:color w:val="auto"/>
          <w:highlight w:val="none"/>
        </w:rPr>
        <w:t>熔融</w:t>
      </w:r>
      <w:r>
        <w:rPr>
          <w:color w:val="auto"/>
          <w:highlight w:val="none"/>
        </w:rPr>
        <w:t>挤出</w:t>
      </w:r>
      <w:r>
        <w:rPr>
          <w:rFonts w:hint="eastAsia"/>
          <w:color w:val="auto"/>
          <w:highlight w:val="none"/>
        </w:rPr>
        <w:t>切粒</w:t>
      </w:r>
      <w:r>
        <w:rPr>
          <w:color w:val="auto"/>
          <w:highlight w:val="none"/>
        </w:rPr>
        <w:t>工序产生的噪声（N）；</w:t>
      </w:r>
      <w:r>
        <w:rPr>
          <w:rFonts w:hint="eastAsia"/>
          <w:color w:val="auto"/>
          <w:highlight w:val="none"/>
        </w:rPr>
        <w:t>熔融挤出废料</w:t>
      </w:r>
      <w:r>
        <w:rPr>
          <w:color w:val="auto"/>
          <w:highlight w:val="none"/>
        </w:rPr>
        <w:t>(S</w:t>
      </w:r>
      <w:r>
        <w:rPr>
          <w:rFonts w:hint="eastAsia"/>
          <w:color w:val="auto"/>
          <w:highlight w:val="none"/>
          <w:vertAlign w:val="subscript"/>
        </w:rPr>
        <w:t>2</w:t>
      </w:r>
      <w:r>
        <w:rPr>
          <w:color w:val="auto"/>
          <w:highlight w:val="none"/>
          <w:vertAlign w:val="subscript"/>
        </w:rPr>
        <w:t>-1</w:t>
      </w:r>
      <w:r>
        <w:rPr>
          <w:color w:val="auto"/>
          <w:highlight w:val="none"/>
        </w:rPr>
        <w:t>)。</w:t>
      </w:r>
    </w:p>
    <w:p>
      <w:pPr>
        <w:pStyle w:val="158"/>
        <w:spacing w:before="0" w:after="0" w:afterAutospacing="0"/>
        <w:rPr>
          <w:color w:val="auto"/>
          <w:highlight w:val="none"/>
        </w:rPr>
      </w:pPr>
      <w:r>
        <w:rPr>
          <w:color w:val="auto"/>
          <w:highlight w:val="none"/>
        </w:rPr>
        <w:t>表2.2-</w:t>
      </w:r>
      <w:r>
        <w:rPr>
          <w:rFonts w:hint="eastAsia"/>
          <w:color w:val="auto"/>
          <w:highlight w:val="none"/>
        </w:rPr>
        <w:t>2</w:t>
      </w:r>
      <w:r>
        <w:rPr>
          <w:color w:val="auto"/>
          <w:highlight w:val="none"/>
        </w:rPr>
        <w:t xml:space="preserve">  </w:t>
      </w:r>
      <w:r>
        <w:rPr>
          <w:rFonts w:hint="eastAsia"/>
          <w:color w:val="auto"/>
          <w:highlight w:val="none"/>
        </w:rPr>
        <w:t>造粒工序产污</w:t>
      </w:r>
      <w:r>
        <w:rPr>
          <w:color w:val="auto"/>
          <w:highlight w:val="none"/>
        </w:rPr>
        <w:t>环节一览表</w:t>
      </w:r>
    </w:p>
    <w:tbl>
      <w:tblPr>
        <w:tblStyle w:val="59"/>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86"/>
        <w:gridCol w:w="3766"/>
        <w:gridCol w:w="1569"/>
        <w:gridCol w:w="266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86" w:type="dxa"/>
            <w:vAlign w:val="center"/>
          </w:tcPr>
          <w:p>
            <w:pPr>
              <w:pStyle w:val="137"/>
              <w:ind w:left="164" w:right="164"/>
              <w:jc w:val="center"/>
              <w:rPr>
                <w:rFonts w:ascii="Times New Roman" w:hAnsi="Times New Roman"/>
                <w:color w:val="auto"/>
                <w:sz w:val="21"/>
                <w:szCs w:val="21"/>
                <w:highlight w:val="none"/>
              </w:rPr>
            </w:pPr>
            <w:r>
              <w:rPr>
                <w:rFonts w:ascii="Times New Roman" w:hAnsi="Times New Roman"/>
                <w:color w:val="auto"/>
                <w:sz w:val="21"/>
                <w:szCs w:val="21"/>
                <w:highlight w:val="none"/>
              </w:rPr>
              <w:t>编号</w:t>
            </w:r>
          </w:p>
        </w:tc>
        <w:tc>
          <w:tcPr>
            <w:tcW w:w="3766" w:type="dxa"/>
            <w:vAlign w:val="center"/>
          </w:tcPr>
          <w:p>
            <w:pPr>
              <w:pStyle w:val="137"/>
              <w:ind w:left="62" w:right="64"/>
              <w:jc w:val="center"/>
              <w:rPr>
                <w:rFonts w:ascii="Times New Roman" w:hAnsi="Times New Roman" w:eastAsia="宋体"/>
                <w:color w:val="auto"/>
                <w:sz w:val="21"/>
                <w:szCs w:val="21"/>
                <w:highlight w:val="none"/>
                <w:lang w:eastAsia="zh-CN"/>
              </w:rPr>
            </w:pPr>
            <w:r>
              <w:rPr>
                <w:rFonts w:ascii="Times New Roman" w:hAnsi="Times New Roman"/>
                <w:color w:val="auto"/>
                <w:sz w:val="21"/>
                <w:szCs w:val="21"/>
                <w:highlight w:val="none"/>
              </w:rPr>
              <w:t>工艺</w:t>
            </w:r>
            <w:r>
              <w:rPr>
                <w:rFonts w:hint="eastAsia" w:ascii="Times New Roman" w:hAnsi="Times New Roman" w:eastAsia="宋体"/>
                <w:color w:val="auto"/>
                <w:sz w:val="21"/>
                <w:szCs w:val="21"/>
                <w:highlight w:val="none"/>
                <w:lang w:eastAsia="zh-CN"/>
              </w:rPr>
              <w:t>过程</w:t>
            </w:r>
          </w:p>
        </w:tc>
        <w:tc>
          <w:tcPr>
            <w:tcW w:w="1569" w:type="dxa"/>
            <w:vAlign w:val="center"/>
          </w:tcPr>
          <w:p>
            <w:pPr>
              <w:pStyle w:val="137"/>
              <w:ind w:left="153" w:right="156"/>
              <w:jc w:val="center"/>
              <w:rPr>
                <w:rFonts w:ascii="Times New Roman" w:hAnsi="Times New Roman"/>
                <w:color w:val="auto"/>
                <w:sz w:val="21"/>
                <w:szCs w:val="21"/>
                <w:highlight w:val="none"/>
              </w:rPr>
            </w:pPr>
            <w:r>
              <w:rPr>
                <w:rFonts w:ascii="Times New Roman" w:hAnsi="Times New Roman"/>
                <w:color w:val="auto"/>
                <w:sz w:val="21"/>
                <w:szCs w:val="21"/>
                <w:highlight w:val="none"/>
              </w:rPr>
              <w:t>污染物编号</w:t>
            </w:r>
          </w:p>
        </w:tc>
        <w:tc>
          <w:tcPr>
            <w:tcW w:w="2666" w:type="dxa"/>
            <w:vAlign w:val="center"/>
          </w:tcPr>
          <w:p>
            <w:pPr>
              <w:pStyle w:val="137"/>
              <w:ind w:left="136" w:right="135"/>
              <w:jc w:val="center"/>
              <w:rPr>
                <w:rFonts w:ascii="Times New Roman" w:hAnsi="Times New Roman"/>
                <w:color w:val="auto"/>
                <w:sz w:val="21"/>
                <w:szCs w:val="21"/>
                <w:highlight w:val="none"/>
              </w:rPr>
            </w:pPr>
            <w:r>
              <w:rPr>
                <w:rFonts w:ascii="Times New Roman" w:hAnsi="Times New Roman"/>
                <w:color w:val="auto"/>
                <w:sz w:val="21"/>
                <w:szCs w:val="21"/>
                <w:highlight w:val="none"/>
              </w:rPr>
              <w:t>污染物种类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86" w:type="dxa"/>
            <w:vAlign w:val="center"/>
          </w:tcPr>
          <w:p>
            <w:pPr>
              <w:jc w:val="center"/>
              <w:rPr>
                <w:color w:val="auto"/>
                <w:szCs w:val="21"/>
                <w:highlight w:val="none"/>
              </w:rPr>
            </w:pPr>
            <w:r>
              <w:rPr>
                <w:color w:val="auto"/>
                <w:szCs w:val="21"/>
                <w:highlight w:val="none"/>
              </w:rPr>
              <w:t>1</w:t>
            </w:r>
          </w:p>
        </w:tc>
        <w:tc>
          <w:tcPr>
            <w:tcW w:w="3766" w:type="dxa"/>
            <w:vAlign w:val="center"/>
          </w:tcPr>
          <w:p>
            <w:pPr>
              <w:jc w:val="center"/>
              <w:rPr>
                <w:color w:val="auto"/>
                <w:szCs w:val="21"/>
                <w:highlight w:val="none"/>
              </w:rPr>
            </w:pPr>
            <w:r>
              <w:rPr>
                <w:color w:val="auto"/>
                <w:szCs w:val="21"/>
                <w:highlight w:val="none"/>
              </w:rPr>
              <w:t>熔融挤出</w:t>
            </w:r>
          </w:p>
        </w:tc>
        <w:tc>
          <w:tcPr>
            <w:tcW w:w="1569" w:type="dxa"/>
            <w:vAlign w:val="center"/>
          </w:tcPr>
          <w:p>
            <w:pPr>
              <w:pStyle w:val="137"/>
              <w:ind w:left="153" w:right="155"/>
              <w:jc w:val="center"/>
              <w:rPr>
                <w:rFonts w:ascii="Times New Roman" w:hAnsi="Times New Roman"/>
                <w:color w:val="auto"/>
                <w:sz w:val="21"/>
                <w:szCs w:val="21"/>
                <w:highlight w:val="none"/>
                <w:lang w:eastAsia="zh-CN"/>
              </w:rPr>
            </w:pPr>
            <w:r>
              <w:rPr>
                <w:rFonts w:ascii="Times New Roman" w:hAnsi="Times New Roman"/>
                <w:color w:val="auto"/>
                <w:sz w:val="21"/>
                <w:szCs w:val="21"/>
                <w:highlight w:val="none"/>
                <w:lang w:eastAsia="zh-CN"/>
              </w:rPr>
              <w:t>G</w:t>
            </w:r>
            <w:r>
              <w:rPr>
                <w:rFonts w:hint="eastAsia" w:ascii="Times New Roman" w:hAnsi="Times New Roman"/>
                <w:color w:val="auto"/>
                <w:sz w:val="21"/>
                <w:szCs w:val="21"/>
                <w:highlight w:val="none"/>
                <w:vertAlign w:val="subscript"/>
                <w:lang w:eastAsia="zh-CN"/>
              </w:rPr>
              <w:t>2</w:t>
            </w:r>
            <w:r>
              <w:rPr>
                <w:rFonts w:ascii="Times New Roman" w:hAnsi="Times New Roman"/>
                <w:color w:val="auto"/>
                <w:sz w:val="21"/>
                <w:szCs w:val="21"/>
                <w:highlight w:val="none"/>
                <w:vertAlign w:val="subscript"/>
                <w:lang w:eastAsia="zh-CN"/>
              </w:rPr>
              <w:t>-1</w:t>
            </w:r>
          </w:p>
        </w:tc>
        <w:tc>
          <w:tcPr>
            <w:tcW w:w="2666" w:type="dxa"/>
            <w:vAlign w:val="center"/>
          </w:tcPr>
          <w:p>
            <w:pPr>
              <w:pStyle w:val="137"/>
              <w:ind w:left="135" w:right="135"/>
              <w:jc w:val="center"/>
              <w:rPr>
                <w:rFonts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eastAsia="zh-CN"/>
              </w:rPr>
              <w:t>颗粒物、VOCs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86" w:type="dxa"/>
            <w:vAlign w:val="center"/>
          </w:tcPr>
          <w:p>
            <w:pPr>
              <w:pStyle w:val="137"/>
              <w:ind w:left="21"/>
              <w:jc w:val="center"/>
              <w:rPr>
                <w:rFonts w:ascii="Times New Roman" w:hAnsi="Times New Roman"/>
                <w:color w:val="auto"/>
                <w:sz w:val="21"/>
                <w:szCs w:val="21"/>
                <w:highlight w:val="none"/>
                <w:lang w:eastAsia="zh-CN"/>
              </w:rPr>
            </w:pPr>
            <w:r>
              <w:rPr>
                <w:rFonts w:ascii="Times New Roman" w:hAnsi="Times New Roman"/>
                <w:color w:val="auto"/>
                <w:sz w:val="21"/>
                <w:szCs w:val="21"/>
                <w:highlight w:val="none"/>
                <w:lang w:eastAsia="zh-CN"/>
              </w:rPr>
              <w:t>2</w:t>
            </w:r>
          </w:p>
        </w:tc>
        <w:tc>
          <w:tcPr>
            <w:tcW w:w="3766" w:type="dxa"/>
            <w:vAlign w:val="center"/>
          </w:tcPr>
          <w:p>
            <w:pPr>
              <w:pStyle w:val="137"/>
              <w:ind w:left="64" w:right="64"/>
              <w:jc w:val="center"/>
              <w:rPr>
                <w:rFonts w:ascii="Times New Roman" w:hAnsi="Times New Roman"/>
                <w:color w:val="auto"/>
                <w:sz w:val="21"/>
                <w:szCs w:val="21"/>
                <w:highlight w:val="none"/>
                <w:lang w:eastAsia="zh-CN"/>
              </w:rPr>
            </w:pPr>
            <w:r>
              <w:rPr>
                <w:rFonts w:hint="eastAsia"/>
                <w:color w:val="auto"/>
                <w:sz w:val="21"/>
                <w:szCs w:val="21"/>
                <w:highlight w:val="none"/>
                <w:lang w:eastAsia="zh-CN"/>
              </w:rPr>
              <w:t>熔融</w:t>
            </w:r>
            <w:r>
              <w:rPr>
                <w:rFonts w:ascii="Times New Roman" w:hAnsi="Times New Roman"/>
                <w:color w:val="auto"/>
                <w:sz w:val="21"/>
                <w:szCs w:val="21"/>
                <w:highlight w:val="none"/>
                <w:lang w:eastAsia="zh-CN"/>
              </w:rPr>
              <w:t>挤出</w:t>
            </w:r>
            <w:r>
              <w:rPr>
                <w:rFonts w:hint="eastAsia"/>
                <w:color w:val="auto"/>
                <w:sz w:val="21"/>
                <w:szCs w:val="21"/>
                <w:highlight w:val="none"/>
                <w:lang w:eastAsia="zh-CN"/>
              </w:rPr>
              <w:t>切粒</w:t>
            </w:r>
          </w:p>
        </w:tc>
        <w:tc>
          <w:tcPr>
            <w:tcW w:w="1569" w:type="dxa"/>
            <w:vAlign w:val="center"/>
          </w:tcPr>
          <w:p>
            <w:pPr>
              <w:pStyle w:val="137"/>
              <w:ind w:right="1"/>
              <w:jc w:val="center"/>
              <w:rPr>
                <w:rFonts w:ascii="Times New Roman" w:hAnsi="Times New Roman"/>
                <w:color w:val="auto"/>
                <w:sz w:val="21"/>
                <w:szCs w:val="21"/>
                <w:highlight w:val="none"/>
              </w:rPr>
            </w:pPr>
            <w:r>
              <w:rPr>
                <w:rFonts w:ascii="Times New Roman" w:hAnsi="Times New Roman"/>
                <w:color w:val="auto"/>
                <w:sz w:val="21"/>
                <w:szCs w:val="21"/>
                <w:highlight w:val="none"/>
              </w:rPr>
              <w:t>N</w:t>
            </w:r>
          </w:p>
        </w:tc>
        <w:tc>
          <w:tcPr>
            <w:tcW w:w="2666" w:type="dxa"/>
            <w:vAlign w:val="center"/>
          </w:tcPr>
          <w:p>
            <w:pPr>
              <w:pStyle w:val="137"/>
              <w:ind w:left="135" w:right="135"/>
              <w:jc w:val="center"/>
              <w:rPr>
                <w:rFonts w:ascii="Times New Roman" w:hAnsi="Times New Roman"/>
                <w:color w:val="auto"/>
                <w:sz w:val="21"/>
                <w:szCs w:val="21"/>
                <w:highlight w:val="none"/>
              </w:rPr>
            </w:pPr>
            <w:r>
              <w:rPr>
                <w:rFonts w:ascii="Times New Roman" w:hAnsi="Times New Roman"/>
                <w:color w:val="auto"/>
                <w:sz w:val="21"/>
                <w:szCs w:val="21"/>
                <w:highlight w:val="none"/>
              </w:rPr>
              <w:t>噪声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86" w:type="dxa"/>
            <w:vAlign w:val="center"/>
          </w:tcPr>
          <w:p>
            <w:pPr>
              <w:pStyle w:val="137"/>
              <w:ind w:left="21"/>
              <w:jc w:val="center"/>
              <w:rPr>
                <w:rFonts w:ascii="Times New Roman" w:hAnsi="Times New Roman"/>
                <w:color w:val="auto"/>
                <w:sz w:val="21"/>
                <w:szCs w:val="21"/>
                <w:highlight w:val="none"/>
                <w:lang w:eastAsia="zh-CN"/>
              </w:rPr>
            </w:pPr>
            <w:r>
              <w:rPr>
                <w:rFonts w:hint="eastAsia" w:ascii="Times New Roman" w:hAnsi="Times New Roman"/>
                <w:color w:val="auto"/>
                <w:sz w:val="21"/>
                <w:szCs w:val="21"/>
                <w:highlight w:val="none"/>
                <w:lang w:eastAsia="zh-CN"/>
              </w:rPr>
              <w:t>3</w:t>
            </w:r>
          </w:p>
        </w:tc>
        <w:tc>
          <w:tcPr>
            <w:tcW w:w="3766" w:type="dxa"/>
            <w:vAlign w:val="center"/>
          </w:tcPr>
          <w:p>
            <w:pPr>
              <w:jc w:val="center"/>
              <w:rPr>
                <w:color w:val="auto"/>
                <w:szCs w:val="21"/>
                <w:highlight w:val="none"/>
              </w:rPr>
            </w:pPr>
            <w:r>
              <w:rPr>
                <w:rFonts w:hint="eastAsia"/>
                <w:color w:val="auto"/>
                <w:szCs w:val="21"/>
                <w:highlight w:val="none"/>
              </w:rPr>
              <w:t>熔融挤出</w:t>
            </w:r>
          </w:p>
        </w:tc>
        <w:tc>
          <w:tcPr>
            <w:tcW w:w="1569" w:type="dxa"/>
            <w:vAlign w:val="center"/>
          </w:tcPr>
          <w:p>
            <w:pPr>
              <w:pStyle w:val="137"/>
              <w:ind w:left="153" w:right="155"/>
              <w:jc w:val="center"/>
              <w:rPr>
                <w:rFonts w:ascii="Times New Roman" w:hAnsi="Times New Roman"/>
                <w:color w:val="auto"/>
                <w:sz w:val="21"/>
                <w:szCs w:val="21"/>
                <w:highlight w:val="none"/>
                <w:lang w:eastAsia="zh-CN"/>
              </w:rPr>
            </w:pPr>
            <w:r>
              <w:rPr>
                <w:rFonts w:ascii="Times New Roman" w:hAnsi="Times New Roman"/>
                <w:color w:val="auto"/>
                <w:sz w:val="21"/>
                <w:szCs w:val="21"/>
                <w:highlight w:val="none"/>
              </w:rPr>
              <w:t>S</w:t>
            </w:r>
            <w:r>
              <w:rPr>
                <w:rFonts w:hint="eastAsia" w:ascii="Times New Roman" w:hAnsi="Times New Roman" w:eastAsia="宋体"/>
                <w:color w:val="auto"/>
                <w:sz w:val="21"/>
                <w:szCs w:val="21"/>
                <w:highlight w:val="none"/>
                <w:vertAlign w:val="subscript"/>
                <w:lang w:eastAsia="zh-CN"/>
              </w:rPr>
              <w:t>2</w:t>
            </w:r>
            <w:r>
              <w:rPr>
                <w:rFonts w:ascii="Times New Roman" w:hAnsi="Times New Roman"/>
                <w:color w:val="auto"/>
                <w:sz w:val="21"/>
                <w:szCs w:val="21"/>
                <w:highlight w:val="none"/>
                <w:vertAlign w:val="subscript"/>
                <w:lang w:eastAsia="zh-CN"/>
              </w:rPr>
              <w:t>-1</w:t>
            </w:r>
          </w:p>
        </w:tc>
        <w:tc>
          <w:tcPr>
            <w:tcW w:w="2666" w:type="dxa"/>
            <w:vAlign w:val="center"/>
          </w:tcPr>
          <w:p>
            <w:pPr>
              <w:pStyle w:val="137"/>
              <w:ind w:left="135" w:right="135"/>
              <w:jc w:val="center"/>
              <w:rPr>
                <w:rFonts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eastAsia="zh-CN"/>
              </w:rPr>
              <w:t>废料、废网</w:t>
            </w:r>
          </w:p>
        </w:tc>
      </w:tr>
    </w:tbl>
    <w:p>
      <w:pPr>
        <w:pStyle w:val="101"/>
        <w:spacing w:before="78"/>
        <w:rPr>
          <w:rFonts w:ascii="Times New Roman" w:hAnsi="Times New Roman"/>
          <w:color w:val="auto"/>
          <w:highlight w:val="none"/>
        </w:rPr>
      </w:pPr>
      <w:r>
        <w:rPr>
          <w:rFonts w:hint="eastAsia" w:ascii="Times New Roman" w:hAnsi="Times New Roman"/>
          <w:color w:val="auto"/>
          <w:highlight w:val="none"/>
        </w:rPr>
        <w:t>2.2.3中空壁缠绕管生产流程及产污环节分析</w:t>
      </w:r>
    </w:p>
    <w:p>
      <w:pPr>
        <w:pStyle w:val="99"/>
        <w:ind w:firstLine="480"/>
        <w:rPr>
          <w:color w:val="auto"/>
          <w:highlight w:val="none"/>
        </w:rPr>
      </w:pPr>
      <w:r>
        <w:rPr>
          <w:rFonts w:hint="eastAsia"/>
          <w:color w:val="auto"/>
          <w:highlight w:val="none"/>
        </w:rPr>
        <w:t>中空壁缠绕管以聚乙烯颗粒为主要原料，加以生产及产品最终用途所必需的助剂，经配方混合和挤出成型的产品。</w:t>
      </w:r>
    </w:p>
    <w:p>
      <w:pPr>
        <w:pStyle w:val="99"/>
        <w:ind w:firstLine="480"/>
        <w:rPr>
          <w:color w:val="auto"/>
          <w:highlight w:val="none"/>
        </w:rPr>
      </w:pPr>
      <w:r>
        <w:rPr>
          <w:rFonts w:hint="eastAsia"/>
          <w:color w:val="auto"/>
          <w:highlight w:val="none"/>
        </w:rPr>
        <w:t>1、上料：通过塑料全自动上料机将原料储备糟中的原料自动输送给第一挤出机，上料机将根据第一挤出机的挤出速度而自动控制上料速度。上料机根据事先设定的生产产品规格的大小，可自动控制挤出机的转数。</w:t>
      </w:r>
    </w:p>
    <w:p>
      <w:pPr>
        <w:pStyle w:val="99"/>
        <w:ind w:firstLine="480"/>
        <w:rPr>
          <w:color w:val="auto"/>
          <w:highlight w:val="none"/>
        </w:rPr>
      </w:pPr>
      <w:r>
        <w:rPr>
          <w:rFonts w:hint="eastAsia"/>
          <w:color w:val="auto"/>
          <w:highlight w:val="none"/>
        </w:rPr>
        <w:t>2、挤出：在挤出机熔融挤出过程中将螺筒温度分别设定为180—220℃（可根据不同原料做工艺温度调整），在该工作温度下，挤出机将充分熔化的树脂挤出。</w:t>
      </w:r>
    </w:p>
    <w:p>
      <w:pPr>
        <w:pStyle w:val="99"/>
        <w:ind w:firstLine="480"/>
        <w:rPr>
          <w:color w:val="auto"/>
          <w:highlight w:val="none"/>
        </w:rPr>
      </w:pPr>
      <w:r>
        <w:rPr>
          <w:rFonts w:hint="eastAsia"/>
          <w:color w:val="auto"/>
          <w:highlight w:val="none"/>
        </w:rPr>
        <w:t>3、真空成型：第一挤出机挤出来的树脂熔化料，通过真空成型模具将熔化料定型成空心塑料异型矩管，然后输送到冷却机。</w:t>
      </w:r>
    </w:p>
    <w:p>
      <w:pPr>
        <w:pStyle w:val="99"/>
        <w:ind w:firstLine="480"/>
        <w:rPr>
          <w:color w:val="auto"/>
          <w:highlight w:val="none"/>
        </w:rPr>
      </w:pPr>
      <w:r>
        <w:rPr>
          <w:rFonts w:hint="eastAsia"/>
          <w:color w:val="auto"/>
          <w:highlight w:val="none"/>
        </w:rPr>
        <w:t>4、冷却：该流程中分两种冷却方式：（1）通过喷淋水箱将注塑机传递的异型矩管进行喷淋冷却，一般是冷却后温度为50℃，（主要是指矩形管壁表层温度）。（2）通过传递流程让矩型管自然冷却，这是冷却机与缠绕成型机设定一定的距离原故。</w:t>
      </w:r>
    </w:p>
    <w:p>
      <w:pPr>
        <w:pStyle w:val="99"/>
        <w:ind w:firstLine="480"/>
        <w:rPr>
          <w:color w:val="auto"/>
          <w:highlight w:val="none"/>
        </w:rPr>
      </w:pPr>
      <w:r>
        <w:rPr>
          <w:rFonts w:hint="eastAsia"/>
          <w:color w:val="auto"/>
          <w:highlight w:val="none"/>
        </w:rPr>
        <w:t>5、缠绕成型：该流程中工作主体是缠绕成型机，将冷却后的异型矩管缠绕在规定口径的模具上，同时通过第二挤出机（工作温度设定为170℃、180℃、200℃下）挤出的树脂熔化料（树脂温度达260℃）注塑给缠绕成型机，使缠绕在模具上的异型矩管在彼此间充分熔融状态下熔接成管，连续挤出成型管材。</w:t>
      </w:r>
    </w:p>
    <w:p>
      <w:pPr>
        <w:pStyle w:val="99"/>
        <w:ind w:firstLine="480"/>
        <w:rPr>
          <w:color w:val="auto"/>
          <w:highlight w:val="none"/>
        </w:rPr>
      </w:pPr>
      <w:r>
        <w:rPr>
          <w:rFonts w:hint="eastAsia"/>
          <w:color w:val="auto"/>
          <w:highlight w:val="none"/>
        </w:rPr>
        <w:t>6、冷却：在缠绕成型机熔接成管的同时经喷淋水管对成型的管材进行充分冷却定型。</w:t>
      </w:r>
    </w:p>
    <w:p>
      <w:pPr>
        <w:pStyle w:val="99"/>
        <w:ind w:firstLine="480"/>
        <w:rPr>
          <w:color w:val="auto"/>
          <w:highlight w:val="none"/>
        </w:rPr>
      </w:pPr>
      <w:r>
        <w:rPr>
          <w:rFonts w:hint="eastAsia"/>
          <w:color w:val="auto"/>
          <w:highlight w:val="none"/>
        </w:rPr>
        <w:t>7、切割：自动切割机以事先设定的管材长度输入给机器微型电脑，该自动控制切割机开关进行定长切割，并将切割下的管材自动推出切割机。</w:t>
      </w:r>
    </w:p>
    <w:p>
      <w:pPr>
        <w:pStyle w:val="99"/>
        <w:ind w:firstLine="480"/>
        <w:rPr>
          <w:color w:val="auto"/>
          <w:highlight w:val="none"/>
        </w:rPr>
      </w:pPr>
      <w:r>
        <w:rPr>
          <w:rFonts w:hint="eastAsia"/>
          <w:color w:val="auto"/>
          <w:highlight w:val="none"/>
        </w:rPr>
        <w:t>8、检验：该流程将由质检员来完成，质检员分别对管材外观情况以及管材的内径、壁厚、长度、环刚度等数据进行检验，然后确定该管材的等级，检验完毕后，产品入库。</w:t>
      </w:r>
    </w:p>
    <w:p>
      <w:pPr>
        <w:pStyle w:val="99"/>
        <w:ind w:firstLine="480"/>
        <w:jc w:val="center"/>
        <w:rPr>
          <w:color w:val="auto"/>
          <w:highlight w:val="none"/>
        </w:rPr>
      </w:pPr>
      <w:r>
        <w:rPr>
          <w:rFonts w:hint="eastAsia"/>
          <w:color w:val="auto"/>
          <w:highlight w:val="none"/>
        </w:rPr>
        <w:object>
          <v:shape id="_x0000_i1026" o:spt="75" type="#_x0000_t75" style="height:298.5pt;width:210.75pt;" o:ole="t" filled="f" o:preferrelative="t" stroked="f" coordsize="21600,21600">
            <v:path/>
            <v:fill on="f" focussize="0,0"/>
            <v:stroke on="f" joinstyle="miter"/>
            <v:imagedata r:id="rId33" cropbottom="6524f" o:title=""/>
            <o:lock v:ext="edit" aspectratio="f"/>
            <w10:wrap type="none"/>
            <w10:anchorlock/>
          </v:shape>
          <o:OLEObject Type="Embed" ProgID="Visio.Drawing.11" ShapeID="_x0000_i1026" DrawAspect="Content" ObjectID="_1468075726" r:id="rId32">
            <o:LockedField>false</o:LockedField>
          </o:OLEObject>
        </w:object>
      </w:r>
    </w:p>
    <w:p>
      <w:pPr>
        <w:pStyle w:val="99"/>
        <w:ind w:firstLine="480"/>
        <w:jc w:val="center"/>
        <w:rPr>
          <w:color w:val="auto"/>
          <w:highlight w:val="none"/>
        </w:rPr>
      </w:pPr>
      <w:r>
        <w:rPr>
          <w:rFonts w:eastAsia="黑体"/>
          <w:color w:val="auto"/>
          <w:szCs w:val="24"/>
          <w:highlight w:val="none"/>
        </w:rPr>
        <w:t>图2.2-</w:t>
      </w:r>
      <w:r>
        <w:rPr>
          <w:rFonts w:hint="eastAsia" w:eastAsia="黑体"/>
          <w:color w:val="auto"/>
          <w:szCs w:val="24"/>
          <w:highlight w:val="none"/>
        </w:rPr>
        <w:t>4</w:t>
      </w:r>
      <w:r>
        <w:rPr>
          <w:rFonts w:eastAsia="黑体"/>
          <w:color w:val="auto"/>
          <w:szCs w:val="24"/>
          <w:highlight w:val="none"/>
        </w:rPr>
        <w:t xml:space="preserve">  </w:t>
      </w:r>
      <w:r>
        <w:rPr>
          <w:rFonts w:hint="eastAsia" w:eastAsia="黑体"/>
          <w:color w:val="auto"/>
          <w:szCs w:val="24"/>
          <w:highlight w:val="none"/>
        </w:rPr>
        <w:t>中空壁缠绕管工序</w:t>
      </w:r>
      <w:r>
        <w:rPr>
          <w:rFonts w:eastAsia="黑体"/>
          <w:color w:val="auto"/>
          <w:kern w:val="0"/>
          <w:szCs w:val="24"/>
          <w:highlight w:val="none"/>
        </w:rPr>
        <w:t>工艺流程及产污环节图</w:t>
      </w:r>
    </w:p>
    <w:p>
      <w:pPr>
        <w:pStyle w:val="99"/>
        <w:ind w:firstLine="482"/>
        <w:rPr>
          <w:color w:val="auto"/>
          <w:highlight w:val="none"/>
        </w:rPr>
      </w:pPr>
      <w:r>
        <w:rPr>
          <w:b/>
          <w:bCs/>
          <w:color w:val="auto"/>
          <w:highlight w:val="none"/>
        </w:rPr>
        <w:t>产污环节</w:t>
      </w:r>
      <w:r>
        <w:rPr>
          <w:color w:val="auto"/>
          <w:highlight w:val="none"/>
        </w:rPr>
        <w:t>：挤出工序产生有机废气（G</w:t>
      </w:r>
      <w:r>
        <w:rPr>
          <w:rFonts w:hint="eastAsia"/>
          <w:color w:val="auto"/>
          <w:highlight w:val="none"/>
          <w:vertAlign w:val="subscript"/>
        </w:rPr>
        <w:t>3</w:t>
      </w:r>
      <w:r>
        <w:rPr>
          <w:color w:val="auto"/>
          <w:highlight w:val="none"/>
          <w:vertAlign w:val="subscript"/>
        </w:rPr>
        <w:t>-1</w:t>
      </w:r>
      <w:r>
        <w:rPr>
          <w:color w:val="auto"/>
          <w:highlight w:val="none"/>
        </w:rPr>
        <w:t>）</w:t>
      </w:r>
      <w:r>
        <w:rPr>
          <w:rFonts w:hint="eastAsia"/>
          <w:color w:val="auto"/>
          <w:highlight w:val="none"/>
        </w:rPr>
        <w:t>、缠绕工序有机废气</w:t>
      </w:r>
      <w:r>
        <w:rPr>
          <w:color w:val="auto"/>
          <w:highlight w:val="none"/>
        </w:rPr>
        <w:t>（G</w:t>
      </w:r>
      <w:r>
        <w:rPr>
          <w:rFonts w:hint="eastAsia"/>
          <w:color w:val="auto"/>
          <w:highlight w:val="none"/>
          <w:vertAlign w:val="subscript"/>
        </w:rPr>
        <w:t>3</w:t>
      </w:r>
      <w:r>
        <w:rPr>
          <w:color w:val="auto"/>
          <w:highlight w:val="none"/>
          <w:vertAlign w:val="subscript"/>
        </w:rPr>
        <w:t>-</w:t>
      </w:r>
      <w:r>
        <w:rPr>
          <w:rFonts w:hint="eastAsia"/>
          <w:color w:val="auto"/>
          <w:highlight w:val="none"/>
          <w:vertAlign w:val="subscript"/>
        </w:rPr>
        <w:t>2</w:t>
      </w:r>
      <w:r>
        <w:rPr>
          <w:color w:val="auto"/>
          <w:highlight w:val="none"/>
        </w:rPr>
        <w:t>）；</w:t>
      </w:r>
      <w:r>
        <w:rPr>
          <w:rFonts w:hint="eastAsia"/>
          <w:color w:val="auto"/>
          <w:highlight w:val="none"/>
        </w:rPr>
        <w:t>挤出、定型、缠绕、切割</w:t>
      </w:r>
      <w:r>
        <w:rPr>
          <w:color w:val="auto"/>
          <w:highlight w:val="none"/>
        </w:rPr>
        <w:t>工序产生的噪声（N）；切割下脚料(S</w:t>
      </w:r>
      <w:r>
        <w:rPr>
          <w:rFonts w:hint="eastAsia"/>
          <w:color w:val="auto"/>
          <w:highlight w:val="none"/>
          <w:vertAlign w:val="subscript"/>
        </w:rPr>
        <w:t>3</w:t>
      </w:r>
      <w:r>
        <w:rPr>
          <w:color w:val="auto"/>
          <w:highlight w:val="none"/>
          <w:vertAlign w:val="subscript"/>
        </w:rPr>
        <w:t>-1</w:t>
      </w:r>
      <w:r>
        <w:rPr>
          <w:color w:val="auto"/>
          <w:highlight w:val="none"/>
        </w:rPr>
        <w:t>)、</w:t>
      </w:r>
      <w:r>
        <w:rPr>
          <w:rFonts w:hint="eastAsia"/>
          <w:color w:val="auto"/>
          <w:highlight w:val="none"/>
        </w:rPr>
        <w:t>质检</w:t>
      </w:r>
      <w:r>
        <w:rPr>
          <w:color w:val="auto"/>
          <w:highlight w:val="none"/>
        </w:rPr>
        <w:t>不合格产品(S</w:t>
      </w:r>
      <w:r>
        <w:rPr>
          <w:rFonts w:hint="eastAsia"/>
          <w:color w:val="auto"/>
          <w:highlight w:val="none"/>
          <w:vertAlign w:val="subscript"/>
        </w:rPr>
        <w:t>3</w:t>
      </w:r>
      <w:r>
        <w:rPr>
          <w:color w:val="auto"/>
          <w:highlight w:val="none"/>
          <w:vertAlign w:val="subscript"/>
        </w:rPr>
        <w:t>-2</w:t>
      </w:r>
      <w:r>
        <w:rPr>
          <w:color w:val="auto"/>
          <w:highlight w:val="none"/>
        </w:rPr>
        <w:t>)。</w:t>
      </w:r>
    </w:p>
    <w:p>
      <w:pPr>
        <w:pStyle w:val="158"/>
        <w:spacing w:before="0" w:after="0" w:afterAutospacing="0"/>
        <w:rPr>
          <w:color w:val="auto"/>
          <w:highlight w:val="none"/>
        </w:rPr>
      </w:pPr>
      <w:r>
        <w:rPr>
          <w:color w:val="auto"/>
          <w:highlight w:val="none"/>
        </w:rPr>
        <w:t>表2.2-</w:t>
      </w:r>
      <w:r>
        <w:rPr>
          <w:rFonts w:hint="eastAsia"/>
          <w:color w:val="auto"/>
          <w:highlight w:val="none"/>
        </w:rPr>
        <w:t>3</w:t>
      </w:r>
      <w:r>
        <w:rPr>
          <w:color w:val="auto"/>
          <w:highlight w:val="none"/>
        </w:rPr>
        <w:t xml:space="preserve"> </w:t>
      </w:r>
      <w:r>
        <w:rPr>
          <w:rFonts w:hint="eastAsia"/>
          <w:color w:val="auto"/>
          <w:highlight w:val="none"/>
        </w:rPr>
        <w:t xml:space="preserve"> </w:t>
      </w:r>
      <w:r>
        <w:rPr>
          <w:color w:val="auto"/>
          <w:highlight w:val="none"/>
        </w:rPr>
        <w:t xml:space="preserve"> </w:t>
      </w:r>
      <w:r>
        <w:rPr>
          <w:rFonts w:hint="eastAsia"/>
          <w:color w:val="auto"/>
          <w:highlight w:val="none"/>
        </w:rPr>
        <w:t>中空壁缠绕管</w:t>
      </w:r>
      <w:r>
        <w:rPr>
          <w:rFonts w:hint="eastAsia" w:ascii="黑体" w:hAnsi="黑体" w:cs="黑体"/>
          <w:color w:val="auto"/>
          <w:kern w:val="0"/>
          <w:highlight w:val="none"/>
        </w:rPr>
        <w:t>生产</w:t>
      </w:r>
      <w:r>
        <w:rPr>
          <w:rFonts w:hint="eastAsia"/>
          <w:color w:val="auto"/>
          <w:highlight w:val="none"/>
        </w:rPr>
        <w:t>产污</w:t>
      </w:r>
      <w:r>
        <w:rPr>
          <w:color w:val="auto"/>
          <w:highlight w:val="none"/>
        </w:rPr>
        <w:t>环节一览表</w:t>
      </w:r>
    </w:p>
    <w:tbl>
      <w:tblPr>
        <w:tblStyle w:val="59"/>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86"/>
        <w:gridCol w:w="3766"/>
        <w:gridCol w:w="1569"/>
        <w:gridCol w:w="266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86" w:type="dxa"/>
            <w:vAlign w:val="center"/>
          </w:tcPr>
          <w:p>
            <w:pPr>
              <w:pStyle w:val="137"/>
              <w:ind w:left="164" w:right="164"/>
              <w:jc w:val="center"/>
              <w:rPr>
                <w:rFonts w:ascii="Times New Roman" w:hAnsi="Times New Roman"/>
                <w:color w:val="auto"/>
                <w:sz w:val="21"/>
                <w:highlight w:val="none"/>
              </w:rPr>
            </w:pPr>
            <w:r>
              <w:rPr>
                <w:rFonts w:ascii="Times New Roman" w:hAnsi="Times New Roman"/>
                <w:color w:val="auto"/>
                <w:sz w:val="21"/>
                <w:highlight w:val="none"/>
              </w:rPr>
              <w:t>编号</w:t>
            </w:r>
          </w:p>
        </w:tc>
        <w:tc>
          <w:tcPr>
            <w:tcW w:w="3766" w:type="dxa"/>
            <w:vAlign w:val="center"/>
          </w:tcPr>
          <w:p>
            <w:pPr>
              <w:pStyle w:val="137"/>
              <w:ind w:left="62" w:right="64"/>
              <w:jc w:val="center"/>
              <w:rPr>
                <w:rFonts w:ascii="Times New Roman" w:hAnsi="Times New Roman"/>
                <w:color w:val="auto"/>
                <w:sz w:val="21"/>
                <w:highlight w:val="none"/>
              </w:rPr>
            </w:pPr>
            <w:r>
              <w:rPr>
                <w:rFonts w:ascii="Times New Roman" w:hAnsi="Times New Roman"/>
                <w:color w:val="auto"/>
                <w:sz w:val="21"/>
                <w:highlight w:val="none"/>
              </w:rPr>
              <w:t>工艺过程</w:t>
            </w:r>
          </w:p>
        </w:tc>
        <w:tc>
          <w:tcPr>
            <w:tcW w:w="1569" w:type="dxa"/>
            <w:vAlign w:val="center"/>
          </w:tcPr>
          <w:p>
            <w:pPr>
              <w:pStyle w:val="137"/>
              <w:ind w:left="153" w:right="156"/>
              <w:jc w:val="center"/>
              <w:rPr>
                <w:rFonts w:ascii="Times New Roman" w:hAnsi="Times New Roman"/>
                <w:color w:val="auto"/>
                <w:sz w:val="21"/>
                <w:highlight w:val="none"/>
              </w:rPr>
            </w:pPr>
            <w:r>
              <w:rPr>
                <w:rFonts w:ascii="Times New Roman" w:hAnsi="Times New Roman"/>
                <w:color w:val="auto"/>
                <w:sz w:val="21"/>
                <w:highlight w:val="none"/>
              </w:rPr>
              <w:t>污染物编号</w:t>
            </w:r>
          </w:p>
        </w:tc>
        <w:tc>
          <w:tcPr>
            <w:tcW w:w="2666" w:type="dxa"/>
            <w:vAlign w:val="center"/>
          </w:tcPr>
          <w:p>
            <w:pPr>
              <w:pStyle w:val="137"/>
              <w:ind w:left="136" w:right="135"/>
              <w:jc w:val="center"/>
              <w:rPr>
                <w:rFonts w:ascii="Times New Roman" w:hAnsi="Times New Roman"/>
                <w:color w:val="auto"/>
                <w:sz w:val="21"/>
                <w:highlight w:val="none"/>
              </w:rPr>
            </w:pPr>
            <w:r>
              <w:rPr>
                <w:rFonts w:ascii="Times New Roman" w:hAnsi="Times New Roman"/>
                <w:color w:val="auto"/>
                <w:sz w:val="21"/>
                <w:highlight w:val="none"/>
              </w:rPr>
              <w:t>污染物种类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86" w:type="dxa"/>
            <w:vAlign w:val="center"/>
          </w:tcPr>
          <w:p>
            <w:pPr>
              <w:jc w:val="center"/>
              <w:rPr>
                <w:color w:val="auto"/>
                <w:highlight w:val="none"/>
              </w:rPr>
            </w:pPr>
            <w:r>
              <w:rPr>
                <w:color w:val="auto"/>
                <w:highlight w:val="none"/>
              </w:rPr>
              <w:t>1</w:t>
            </w:r>
          </w:p>
        </w:tc>
        <w:tc>
          <w:tcPr>
            <w:tcW w:w="3766" w:type="dxa"/>
            <w:vAlign w:val="center"/>
          </w:tcPr>
          <w:p>
            <w:pPr>
              <w:jc w:val="center"/>
              <w:rPr>
                <w:color w:val="auto"/>
                <w:highlight w:val="none"/>
              </w:rPr>
            </w:pPr>
            <w:r>
              <w:rPr>
                <w:color w:val="auto"/>
                <w:highlight w:val="none"/>
              </w:rPr>
              <w:t>挤出</w:t>
            </w:r>
            <w:r>
              <w:rPr>
                <w:rFonts w:hint="eastAsia"/>
                <w:color w:val="auto"/>
                <w:highlight w:val="none"/>
              </w:rPr>
              <w:t>、缠绕</w:t>
            </w:r>
          </w:p>
        </w:tc>
        <w:tc>
          <w:tcPr>
            <w:tcW w:w="1569" w:type="dxa"/>
            <w:vAlign w:val="center"/>
          </w:tcPr>
          <w:p>
            <w:pPr>
              <w:pStyle w:val="137"/>
              <w:ind w:left="153" w:right="155"/>
              <w:jc w:val="center"/>
              <w:rPr>
                <w:rFonts w:ascii="Times New Roman" w:hAnsi="Times New Roman"/>
                <w:color w:val="auto"/>
                <w:sz w:val="21"/>
                <w:highlight w:val="none"/>
                <w:lang w:eastAsia="zh-CN"/>
              </w:rPr>
            </w:pPr>
            <w:r>
              <w:rPr>
                <w:rFonts w:ascii="Times New Roman" w:hAnsi="Times New Roman"/>
                <w:color w:val="auto"/>
                <w:highlight w:val="none"/>
                <w:lang w:eastAsia="zh-CN"/>
              </w:rPr>
              <w:t>G</w:t>
            </w:r>
            <w:r>
              <w:rPr>
                <w:rFonts w:hint="eastAsia"/>
                <w:color w:val="auto"/>
                <w:highlight w:val="none"/>
                <w:vertAlign w:val="subscript"/>
                <w:lang w:eastAsia="zh-CN"/>
              </w:rPr>
              <w:t>3</w:t>
            </w:r>
            <w:r>
              <w:rPr>
                <w:rFonts w:ascii="Times New Roman" w:hAnsi="Times New Roman"/>
                <w:color w:val="auto"/>
                <w:highlight w:val="none"/>
                <w:vertAlign w:val="subscript"/>
                <w:lang w:eastAsia="zh-CN"/>
              </w:rPr>
              <w:t>-1</w:t>
            </w:r>
          </w:p>
        </w:tc>
        <w:tc>
          <w:tcPr>
            <w:tcW w:w="2666" w:type="dxa"/>
            <w:vAlign w:val="center"/>
          </w:tcPr>
          <w:p>
            <w:pPr>
              <w:pStyle w:val="137"/>
              <w:ind w:left="135" w:right="135"/>
              <w:jc w:val="center"/>
              <w:rPr>
                <w:rFonts w:ascii="Times New Roman" w:hAnsi="Times New Roman" w:eastAsia="宋体"/>
                <w:color w:val="auto"/>
                <w:sz w:val="21"/>
                <w:highlight w:val="none"/>
                <w:lang w:eastAsia="zh-CN"/>
              </w:rPr>
            </w:pPr>
            <w:r>
              <w:rPr>
                <w:rFonts w:hint="eastAsia" w:ascii="Times New Roman" w:hAnsi="Times New Roman" w:eastAsia="宋体"/>
                <w:color w:val="auto"/>
                <w:sz w:val="21"/>
                <w:szCs w:val="21"/>
                <w:highlight w:val="none"/>
                <w:lang w:eastAsia="zh-CN"/>
              </w:rPr>
              <w:t>颗粒物、</w:t>
            </w:r>
            <w:r>
              <w:rPr>
                <w:rFonts w:hint="eastAsia" w:ascii="Times New Roman" w:hAnsi="Times New Roman" w:eastAsia="宋体"/>
                <w:color w:val="auto"/>
                <w:sz w:val="21"/>
                <w:highlight w:val="none"/>
                <w:lang w:eastAsia="zh-CN"/>
              </w:rPr>
              <w:t>VOCs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86" w:type="dxa"/>
            <w:vAlign w:val="center"/>
          </w:tcPr>
          <w:p>
            <w:pPr>
              <w:pStyle w:val="137"/>
              <w:ind w:left="21"/>
              <w:jc w:val="center"/>
              <w:rPr>
                <w:rFonts w:ascii="Times New Roman" w:hAnsi="Times New Roman"/>
                <w:color w:val="auto"/>
                <w:highlight w:val="none"/>
              </w:rPr>
            </w:pPr>
            <w:r>
              <w:rPr>
                <w:rFonts w:ascii="Times New Roman" w:hAnsi="Times New Roman"/>
                <w:color w:val="auto"/>
                <w:sz w:val="21"/>
                <w:highlight w:val="none"/>
                <w:lang w:eastAsia="zh-CN"/>
              </w:rPr>
              <w:t>2</w:t>
            </w:r>
          </w:p>
        </w:tc>
        <w:tc>
          <w:tcPr>
            <w:tcW w:w="3766" w:type="dxa"/>
            <w:vAlign w:val="center"/>
          </w:tcPr>
          <w:p>
            <w:pPr>
              <w:pStyle w:val="137"/>
              <w:ind w:left="64" w:right="64"/>
              <w:jc w:val="center"/>
              <w:rPr>
                <w:rFonts w:ascii="Times New Roman" w:hAnsi="Times New Roman"/>
                <w:color w:val="auto"/>
                <w:sz w:val="21"/>
                <w:highlight w:val="none"/>
                <w:lang w:eastAsia="zh-CN"/>
              </w:rPr>
            </w:pPr>
            <w:r>
              <w:rPr>
                <w:rFonts w:hint="eastAsia"/>
                <w:color w:val="auto"/>
                <w:highlight w:val="none"/>
                <w:lang w:eastAsia="zh-CN"/>
              </w:rPr>
              <w:t>挤出、定型、缠绕、切割</w:t>
            </w:r>
          </w:p>
        </w:tc>
        <w:tc>
          <w:tcPr>
            <w:tcW w:w="1569" w:type="dxa"/>
            <w:vAlign w:val="center"/>
          </w:tcPr>
          <w:p>
            <w:pPr>
              <w:pStyle w:val="137"/>
              <w:ind w:right="1"/>
              <w:jc w:val="center"/>
              <w:rPr>
                <w:rFonts w:ascii="Times New Roman" w:hAnsi="Times New Roman"/>
                <w:color w:val="auto"/>
                <w:sz w:val="21"/>
                <w:highlight w:val="none"/>
                <w:lang w:eastAsia="zh-CN"/>
              </w:rPr>
            </w:pPr>
            <w:r>
              <w:rPr>
                <w:rFonts w:ascii="Times New Roman" w:hAnsi="Times New Roman"/>
                <w:color w:val="auto"/>
                <w:sz w:val="21"/>
                <w:highlight w:val="none"/>
              </w:rPr>
              <w:t>N</w:t>
            </w:r>
          </w:p>
        </w:tc>
        <w:tc>
          <w:tcPr>
            <w:tcW w:w="2666" w:type="dxa"/>
            <w:vAlign w:val="center"/>
          </w:tcPr>
          <w:p>
            <w:pPr>
              <w:pStyle w:val="137"/>
              <w:ind w:left="135" w:right="135"/>
              <w:jc w:val="center"/>
              <w:rPr>
                <w:rFonts w:ascii="Times New Roman" w:hAnsi="Times New Roman"/>
                <w:color w:val="auto"/>
                <w:sz w:val="21"/>
                <w:highlight w:val="none"/>
                <w:lang w:eastAsia="zh-CN"/>
              </w:rPr>
            </w:pPr>
            <w:r>
              <w:rPr>
                <w:rFonts w:ascii="Times New Roman" w:hAnsi="Times New Roman"/>
                <w:color w:val="auto"/>
                <w:sz w:val="21"/>
                <w:highlight w:val="none"/>
              </w:rPr>
              <w:t>噪声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86" w:type="dxa"/>
            <w:vAlign w:val="center"/>
          </w:tcPr>
          <w:p>
            <w:pPr>
              <w:pStyle w:val="137"/>
              <w:ind w:left="21"/>
              <w:jc w:val="center"/>
              <w:rPr>
                <w:rFonts w:ascii="Times New Roman" w:hAnsi="Times New Roman"/>
                <w:color w:val="auto"/>
                <w:sz w:val="21"/>
                <w:highlight w:val="none"/>
                <w:lang w:eastAsia="zh-CN"/>
              </w:rPr>
            </w:pPr>
            <w:r>
              <w:rPr>
                <w:rFonts w:hint="eastAsia" w:ascii="Times New Roman" w:hAnsi="Times New Roman"/>
                <w:color w:val="auto"/>
                <w:sz w:val="21"/>
                <w:highlight w:val="none"/>
                <w:lang w:eastAsia="zh-CN"/>
              </w:rPr>
              <w:t>3</w:t>
            </w:r>
          </w:p>
        </w:tc>
        <w:tc>
          <w:tcPr>
            <w:tcW w:w="3766" w:type="dxa"/>
            <w:vAlign w:val="center"/>
          </w:tcPr>
          <w:p>
            <w:pPr>
              <w:jc w:val="center"/>
              <w:rPr>
                <w:color w:val="auto"/>
                <w:highlight w:val="none"/>
              </w:rPr>
            </w:pPr>
            <w:r>
              <w:rPr>
                <w:color w:val="auto"/>
                <w:highlight w:val="none"/>
              </w:rPr>
              <w:t>切割</w:t>
            </w:r>
          </w:p>
        </w:tc>
        <w:tc>
          <w:tcPr>
            <w:tcW w:w="1569" w:type="dxa"/>
            <w:vAlign w:val="center"/>
          </w:tcPr>
          <w:p>
            <w:pPr>
              <w:pStyle w:val="137"/>
              <w:ind w:left="153" w:right="155"/>
              <w:jc w:val="center"/>
              <w:rPr>
                <w:rFonts w:ascii="Times New Roman" w:hAnsi="Times New Roman"/>
                <w:color w:val="auto"/>
                <w:sz w:val="21"/>
                <w:highlight w:val="none"/>
                <w:lang w:eastAsia="zh-CN"/>
              </w:rPr>
            </w:pPr>
            <w:r>
              <w:rPr>
                <w:rFonts w:ascii="Times New Roman" w:hAnsi="Times New Roman"/>
                <w:color w:val="auto"/>
                <w:sz w:val="21"/>
                <w:highlight w:val="none"/>
              </w:rPr>
              <w:t>S</w:t>
            </w:r>
            <w:r>
              <w:rPr>
                <w:rFonts w:hint="eastAsia" w:ascii="Times New Roman" w:hAnsi="Times New Roman" w:eastAsia="宋体"/>
                <w:color w:val="auto"/>
                <w:sz w:val="21"/>
                <w:highlight w:val="none"/>
                <w:vertAlign w:val="subscript"/>
                <w:lang w:eastAsia="zh-CN"/>
              </w:rPr>
              <w:t>3</w:t>
            </w:r>
            <w:r>
              <w:rPr>
                <w:rFonts w:ascii="Times New Roman" w:hAnsi="Times New Roman"/>
                <w:color w:val="auto"/>
                <w:sz w:val="21"/>
                <w:highlight w:val="none"/>
                <w:vertAlign w:val="subscript"/>
                <w:lang w:eastAsia="zh-CN"/>
              </w:rPr>
              <w:t>-1</w:t>
            </w:r>
          </w:p>
        </w:tc>
        <w:tc>
          <w:tcPr>
            <w:tcW w:w="2666" w:type="dxa"/>
            <w:vAlign w:val="center"/>
          </w:tcPr>
          <w:p>
            <w:pPr>
              <w:pStyle w:val="137"/>
              <w:ind w:left="135" w:right="135"/>
              <w:jc w:val="center"/>
              <w:rPr>
                <w:rFonts w:ascii="Times New Roman" w:hAnsi="Times New Roman"/>
                <w:color w:val="auto"/>
                <w:sz w:val="21"/>
                <w:highlight w:val="none"/>
              </w:rPr>
            </w:pPr>
            <w:r>
              <w:rPr>
                <w:rFonts w:ascii="Times New Roman" w:hAnsi="Times New Roman"/>
                <w:color w:val="auto"/>
                <w:sz w:val="21"/>
                <w:highlight w:val="none"/>
              </w:rPr>
              <w:t>下脚料</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86" w:type="dxa"/>
            <w:vAlign w:val="center"/>
          </w:tcPr>
          <w:p>
            <w:pPr>
              <w:pStyle w:val="137"/>
              <w:ind w:left="21"/>
              <w:jc w:val="center"/>
              <w:rPr>
                <w:rFonts w:ascii="Times New Roman" w:hAnsi="Times New Roman"/>
                <w:color w:val="auto"/>
                <w:sz w:val="21"/>
                <w:highlight w:val="none"/>
                <w:lang w:eastAsia="zh-CN"/>
              </w:rPr>
            </w:pPr>
            <w:r>
              <w:rPr>
                <w:rFonts w:hint="eastAsia" w:ascii="Times New Roman" w:hAnsi="Times New Roman"/>
                <w:color w:val="auto"/>
                <w:sz w:val="21"/>
                <w:highlight w:val="none"/>
                <w:lang w:eastAsia="zh-CN"/>
              </w:rPr>
              <w:t>4</w:t>
            </w:r>
          </w:p>
        </w:tc>
        <w:tc>
          <w:tcPr>
            <w:tcW w:w="3766" w:type="dxa"/>
            <w:vAlign w:val="center"/>
          </w:tcPr>
          <w:p>
            <w:pPr>
              <w:pStyle w:val="137"/>
              <w:ind w:left="64" w:right="64"/>
              <w:jc w:val="center"/>
              <w:rPr>
                <w:rFonts w:ascii="Times New Roman" w:hAnsi="Times New Roman"/>
                <w:color w:val="auto"/>
                <w:sz w:val="21"/>
                <w:highlight w:val="none"/>
                <w:lang w:eastAsia="zh-CN"/>
              </w:rPr>
            </w:pPr>
            <w:r>
              <w:rPr>
                <w:rFonts w:hint="eastAsia" w:ascii="Times New Roman" w:hAnsi="Times New Roman"/>
                <w:color w:val="auto"/>
                <w:sz w:val="21"/>
                <w:highlight w:val="none"/>
                <w:lang w:eastAsia="zh-CN"/>
              </w:rPr>
              <w:t>检验</w:t>
            </w:r>
          </w:p>
        </w:tc>
        <w:tc>
          <w:tcPr>
            <w:tcW w:w="1569" w:type="dxa"/>
            <w:vAlign w:val="center"/>
          </w:tcPr>
          <w:p>
            <w:pPr>
              <w:pStyle w:val="137"/>
              <w:ind w:right="1"/>
              <w:jc w:val="center"/>
              <w:rPr>
                <w:rFonts w:ascii="Times New Roman" w:hAnsi="Times New Roman"/>
                <w:color w:val="auto"/>
                <w:sz w:val="21"/>
                <w:highlight w:val="none"/>
                <w:lang w:eastAsia="zh-CN"/>
              </w:rPr>
            </w:pPr>
            <w:r>
              <w:rPr>
                <w:rFonts w:ascii="Times New Roman" w:hAnsi="Times New Roman"/>
                <w:color w:val="auto"/>
                <w:sz w:val="21"/>
                <w:highlight w:val="none"/>
              </w:rPr>
              <w:t>S</w:t>
            </w:r>
            <w:r>
              <w:rPr>
                <w:rFonts w:hint="eastAsia" w:ascii="Times New Roman" w:hAnsi="Times New Roman" w:eastAsia="宋体"/>
                <w:color w:val="auto"/>
                <w:sz w:val="21"/>
                <w:highlight w:val="none"/>
                <w:vertAlign w:val="subscript"/>
                <w:lang w:eastAsia="zh-CN"/>
              </w:rPr>
              <w:t>3</w:t>
            </w:r>
            <w:r>
              <w:rPr>
                <w:rFonts w:ascii="Times New Roman" w:hAnsi="Times New Roman"/>
                <w:color w:val="auto"/>
                <w:sz w:val="21"/>
                <w:highlight w:val="none"/>
                <w:vertAlign w:val="subscript"/>
                <w:lang w:eastAsia="zh-CN"/>
              </w:rPr>
              <w:t>-</w:t>
            </w:r>
            <w:r>
              <w:rPr>
                <w:rFonts w:hint="eastAsia" w:ascii="Times New Roman" w:hAnsi="Times New Roman"/>
                <w:color w:val="auto"/>
                <w:sz w:val="21"/>
                <w:highlight w:val="none"/>
                <w:vertAlign w:val="subscript"/>
                <w:lang w:eastAsia="zh-CN"/>
              </w:rPr>
              <w:t>2</w:t>
            </w:r>
          </w:p>
        </w:tc>
        <w:tc>
          <w:tcPr>
            <w:tcW w:w="2666" w:type="dxa"/>
            <w:vAlign w:val="center"/>
          </w:tcPr>
          <w:p>
            <w:pPr>
              <w:pStyle w:val="137"/>
              <w:ind w:left="135" w:right="135"/>
              <w:jc w:val="center"/>
              <w:rPr>
                <w:rFonts w:ascii="Times New Roman" w:hAnsi="Times New Roman" w:eastAsia="宋体"/>
                <w:color w:val="auto"/>
                <w:sz w:val="21"/>
                <w:highlight w:val="none"/>
              </w:rPr>
            </w:pPr>
            <w:r>
              <w:rPr>
                <w:rFonts w:hint="eastAsia" w:ascii="Times New Roman" w:hAnsi="Times New Roman" w:eastAsia="宋体"/>
                <w:color w:val="auto"/>
                <w:sz w:val="21"/>
                <w:highlight w:val="none"/>
                <w:lang w:eastAsia="zh-CN"/>
              </w:rPr>
              <w:t>不合格产品</w:t>
            </w:r>
          </w:p>
        </w:tc>
      </w:tr>
    </w:tbl>
    <w:p>
      <w:pPr>
        <w:pStyle w:val="101"/>
        <w:spacing w:before="78"/>
        <w:rPr>
          <w:rFonts w:ascii="Times New Roman" w:hAnsi="Times New Roman"/>
          <w:color w:val="auto"/>
          <w:highlight w:val="none"/>
        </w:rPr>
      </w:pPr>
      <w:r>
        <w:rPr>
          <w:rFonts w:hint="eastAsia" w:ascii="Times New Roman" w:hAnsi="Times New Roman"/>
          <w:color w:val="auto"/>
          <w:highlight w:val="none"/>
        </w:rPr>
        <w:t>2.2.4双壁波纹管生产流程及产污环节分析</w:t>
      </w:r>
    </w:p>
    <w:p>
      <w:pPr>
        <w:pStyle w:val="99"/>
        <w:ind w:firstLine="480"/>
        <w:rPr>
          <w:color w:val="auto"/>
          <w:highlight w:val="none"/>
        </w:rPr>
      </w:pPr>
      <w:r>
        <w:rPr>
          <w:rFonts w:hint="eastAsia"/>
          <w:color w:val="auto"/>
          <w:highlight w:val="none"/>
        </w:rPr>
        <w:t>1、投料：将聚乙烯颗粒按照一定的比例下料至内、外壁料仓，通过混料机搅拌均匀。项目内、外壁原料种类一致，仅色母粒的颜色不一样。同时，项目使用的原料为颗粒状（粒径5～8mm），故投料过程中不会有粉尘产生。</w:t>
      </w:r>
    </w:p>
    <w:p>
      <w:pPr>
        <w:pStyle w:val="99"/>
        <w:ind w:firstLine="480"/>
        <w:rPr>
          <w:color w:val="auto"/>
          <w:highlight w:val="none"/>
        </w:rPr>
      </w:pPr>
      <w:r>
        <w:rPr>
          <w:rFonts w:hint="eastAsia"/>
          <w:color w:val="auto"/>
          <w:highlight w:val="none"/>
        </w:rPr>
        <w:t>2、熔融挤出、模具成型：熔融是利用塑料粒子的热物理性质，把物料从料斗加入料筒中，料筒外由加热圈加热（加热温度约170-200℃），使物料熔融，在料筒内装有在外动力马达作用下驱动旋转的螺杆，物料在螺杆的作用下，沿着螺槽向前输送至压实，物料在外加热和螺杆剪切的双重作用下逐渐塑化、熔融和均化，当螺杆旋转时，物料在螺槽摩擦力以及剪切力的作用下，把熔融的物料推到螺杆头部，与此同时，螺杆在物料的反作用下后退，使螺杆头部形成出料空间，完成塑化过程。然后螺杆在活塞推力的作用下，以高速、高压，将出料室内的物料通过喷嘴注射到模具的型腔中，型腔中的物料经过保压、冷却、固化定型后，模具在合模机构的作用下，开启模具并通过顶出设备把定型好的制品从模具顶出。</w:t>
      </w:r>
    </w:p>
    <w:p>
      <w:pPr>
        <w:pStyle w:val="99"/>
        <w:ind w:firstLine="480"/>
        <w:rPr>
          <w:color w:val="auto"/>
          <w:highlight w:val="none"/>
        </w:rPr>
      </w:pPr>
      <w:r>
        <w:rPr>
          <w:rFonts w:hint="eastAsia"/>
          <w:color w:val="auto"/>
          <w:highlight w:val="none"/>
        </w:rPr>
        <w:t>双壁波纹管挤出模具的结构较复杂，主要特点是在同一模具内分成内外两层流道，内外流道夹层间通压缩空气帮助外层在成型模块上形成波纹，同时定径套的冷却水管也从芯棒内通过，冷却水循环使用定期补充。</w:t>
      </w:r>
    </w:p>
    <w:p>
      <w:pPr>
        <w:pStyle w:val="99"/>
        <w:ind w:firstLine="480"/>
        <w:rPr>
          <w:color w:val="auto"/>
          <w:highlight w:val="none"/>
        </w:rPr>
      </w:pPr>
      <w:r>
        <w:rPr>
          <w:rFonts w:hint="eastAsia"/>
          <w:color w:val="auto"/>
          <w:highlight w:val="none"/>
        </w:rPr>
        <w:t>3、切割：将已经成型的管材按照要求进行切割为指定长度的双壁波纹管</w:t>
      </w:r>
      <w:r>
        <w:rPr>
          <w:rFonts w:hint="eastAsia"/>
          <w:color w:val="auto"/>
          <w:highlight w:val="none"/>
          <w:lang w:eastAsia="zh-CN"/>
        </w:rPr>
        <w:t>，</w:t>
      </w:r>
      <w:r>
        <w:rPr>
          <w:rFonts w:hint="eastAsia"/>
          <w:color w:val="auto"/>
          <w:highlight w:val="none"/>
          <w:lang w:val="en-US" w:eastAsia="zh-CN"/>
        </w:rPr>
        <w:t>切割工序为冷切</w:t>
      </w:r>
      <w:r>
        <w:rPr>
          <w:rFonts w:hint="eastAsia"/>
          <w:color w:val="auto"/>
          <w:highlight w:val="none"/>
        </w:rPr>
        <w:t>。</w:t>
      </w:r>
    </w:p>
    <w:p>
      <w:pPr>
        <w:pStyle w:val="99"/>
        <w:ind w:firstLine="480"/>
        <w:rPr>
          <w:color w:val="auto"/>
          <w:highlight w:val="none"/>
        </w:rPr>
      </w:pPr>
      <w:r>
        <w:rPr>
          <w:rFonts w:hint="eastAsia"/>
          <w:color w:val="auto"/>
          <w:highlight w:val="none"/>
        </w:rPr>
        <w:t>4、检验入库：对切割后的产品进行检验，合格品入库待售，次品经破碎后用于熔融造粒。</w:t>
      </w:r>
    </w:p>
    <w:p>
      <w:pPr>
        <w:pStyle w:val="99"/>
        <w:ind w:firstLine="480"/>
        <w:jc w:val="center"/>
        <w:rPr>
          <w:color w:val="auto"/>
          <w:highlight w:val="none"/>
        </w:rPr>
      </w:pPr>
      <w:r>
        <w:rPr>
          <w:rFonts w:hint="eastAsia"/>
          <w:color w:val="auto"/>
          <w:highlight w:val="none"/>
        </w:rPr>
        <w:object>
          <v:shape id="_x0000_i1027" o:spt="75" type="#_x0000_t75" style="height:200.25pt;width:213pt;" o:ole="t" filled="f" o:preferrelative="t" stroked="f" coordsize="21600,21600">
            <v:path/>
            <v:fill on="f" focussize="0,0"/>
            <v:stroke on="f" joinstyle="miter"/>
            <v:imagedata r:id="rId35" o:title=""/>
            <o:lock v:ext="edit" aspectratio="f"/>
            <w10:wrap type="none"/>
            <w10:anchorlock/>
          </v:shape>
          <o:OLEObject Type="Embed" ProgID="Visio.Drawing.11" ShapeID="_x0000_i1027" DrawAspect="Content" ObjectID="_1468075727" r:id="rId34">
            <o:LockedField>false</o:LockedField>
          </o:OLEObject>
        </w:object>
      </w:r>
    </w:p>
    <w:p>
      <w:pPr>
        <w:pStyle w:val="99"/>
        <w:ind w:firstLine="480"/>
        <w:jc w:val="center"/>
        <w:rPr>
          <w:color w:val="auto"/>
          <w:highlight w:val="none"/>
        </w:rPr>
      </w:pPr>
      <w:r>
        <w:rPr>
          <w:rFonts w:eastAsia="黑体"/>
          <w:color w:val="auto"/>
          <w:szCs w:val="24"/>
          <w:highlight w:val="none"/>
        </w:rPr>
        <w:t>图2.2-</w:t>
      </w:r>
      <w:r>
        <w:rPr>
          <w:rFonts w:hint="eastAsia" w:eastAsia="黑体"/>
          <w:color w:val="auto"/>
          <w:szCs w:val="24"/>
          <w:highlight w:val="none"/>
        </w:rPr>
        <w:t xml:space="preserve">5 </w:t>
      </w:r>
      <w:r>
        <w:rPr>
          <w:rFonts w:eastAsia="黑体"/>
          <w:color w:val="auto"/>
          <w:szCs w:val="24"/>
          <w:highlight w:val="none"/>
        </w:rPr>
        <w:t xml:space="preserve">  双壁波纹管</w:t>
      </w:r>
      <w:r>
        <w:rPr>
          <w:rFonts w:eastAsia="黑体"/>
          <w:color w:val="auto"/>
          <w:kern w:val="0"/>
          <w:szCs w:val="24"/>
          <w:highlight w:val="none"/>
        </w:rPr>
        <w:t>工艺流程及产污环节图</w:t>
      </w:r>
    </w:p>
    <w:p>
      <w:pPr>
        <w:pStyle w:val="99"/>
        <w:ind w:firstLine="482"/>
        <w:rPr>
          <w:color w:val="auto"/>
          <w:highlight w:val="none"/>
        </w:rPr>
      </w:pPr>
      <w:r>
        <w:rPr>
          <w:b/>
          <w:bCs/>
          <w:color w:val="auto"/>
          <w:highlight w:val="none"/>
        </w:rPr>
        <w:t>产污环节</w:t>
      </w:r>
      <w:r>
        <w:rPr>
          <w:color w:val="auto"/>
          <w:highlight w:val="none"/>
        </w:rPr>
        <w:t>：挤出</w:t>
      </w:r>
      <w:r>
        <w:rPr>
          <w:rFonts w:hint="eastAsia"/>
          <w:color w:val="auto"/>
          <w:highlight w:val="none"/>
        </w:rPr>
        <w:t>、成型</w:t>
      </w:r>
      <w:r>
        <w:rPr>
          <w:color w:val="auto"/>
          <w:highlight w:val="none"/>
        </w:rPr>
        <w:t>工序产生有机废气（G</w:t>
      </w:r>
      <w:r>
        <w:rPr>
          <w:rFonts w:hint="eastAsia"/>
          <w:color w:val="auto"/>
          <w:highlight w:val="none"/>
          <w:vertAlign w:val="subscript"/>
        </w:rPr>
        <w:t>4</w:t>
      </w:r>
      <w:r>
        <w:rPr>
          <w:color w:val="auto"/>
          <w:highlight w:val="none"/>
          <w:vertAlign w:val="subscript"/>
        </w:rPr>
        <w:t>-1</w:t>
      </w:r>
      <w:r>
        <w:rPr>
          <w:color w:val="auto"/>
          <w:highlight w:val="none"/>
        </w:rPr>
        <w:t>）；</w:t>
      </w:r>
      <w:r>
        <w:rPr>
          <w:rFonts w:hint="eastAsia"/>
          <w:color w:val="auto"/>
          <w:highlight w:val="none"/>
        </w:rPr>
        <w:t>挤出、定型、切割</w:t>
      </w:r>
      <w:r>
        <w:rPr>
          <w:color w:val="auto"/>
          <w:highlight w:val="none"/>
        </w:rPr>
        <w:t>工序产生的噪声（N）；切割下脚料(S</w:t>
      </w:r>
      <w:r>
        <w:rPr>
          <w:rFonts w:hint="eastAsia"/>
          <w:color w:val="auto"/>
          <w:highlight w:val="none"/>
          <w:vertAlign w:val="subscript"/>
        </w:rPr>
        <w:t>4</w:t>
      </w:r>
      <w:r>
        <w:rPr>
          <w:color w:val="auto"/>
          <w:highlight w:val="none"/>
          <w:vertAlign w:val="subscript"/>
        </w:rPr>
        <w:t>-1</w:t>
      </w:r>
      <w:r>
        <w:rPr>
          <w:color w:val="auto"/>
          <w:highlight w:val="none"/>
        </w:rPr>
        <w:t>)、</w:t>
      </w:r>
      <w:r>
        <w:rPr>
          <w:rFonts w:hint="eastAsia"/>
          <w:color w:val="auto"/>
          <w:highlight w:val="none"/>
        </w:rPr>
        <w:t>质检</w:t>
      </w:r>
      <w:r>
        <w:rPr>
          <w:color w:val="auto"/>
          <w:highlight w:val="none"/>
        </w:rPr>
        <w:t>不合格产品(S</w:t>
      </w:r>
      <w:r>
        <w:rPr>
          <w:rFonts w:hint="eastAsia"/>
          <w:color w:val="auto"/>
          <w:highlight w:val="none"/>
          <w:vertAlign w:val="subscript"/>
        </w:rPr>
        <w:t>4</w:t>
      </w:r>
      <w:r>
        <w:rPr>
          <w:color w:val="auto"/>
          <w:highlight w:val="none"/>
          <w:vertAlign w:val="subscript"/>
        </w:rPr>
        <w:t>-2</w:t>
      </w:r>
      <w:r>
        <w:rPr>
          <w:color w:val="auto"/>
          <w:highlight w:val="none"/>
        </w:rPr>
        <w:t>)。</w:t>
      </w:r>
    </w:p>
    <w:p>
      <w:pPr>
        <w:pStyle w:val="158"/>
        <w:spacing w:before="0" w:after="0" w:afterAutospacing="0"/>
        <w:rPr>
          <w:color w:val="auto"/>
          <w:highlight w:val="none"/>
        </w:rPr>
      </w:pPr>
      <w:r>
        <w:rPr>
          <w:color w:val="auto"/>
          <w:highlight w:val="none"/>
        </w:rPr>
        <w:t>表2.2-</w:t>
      </w:r>
      <w:r>
        <w:rPr>
          <w:rFonts w:hint="eastAsia"/>
          <w:color w:val="auto"/>
          <w:highlight w:val="none"/>
        </w:rPr>
        <w:t>4</w:t>
      </w:r>
      <w:r>
        <w:rPr>
          <w:color w:val="auto"/>
          <w:highlight w:val="none"/>
        </w:rPr>
        <w:t xml:space="preserve">  </w:t>
      </w:r>
      <w:r>
        <w:rPr>
          <w:rFonts w:cs="Times New Roman"/>
          <w:color w:val="auto"/>
          <w:highlight w:val="none"/>
        </w:rPr>
        <w:t>双壁波纹管</w:t>
      </w:r>
      <w:r>
        <w:rPr>
          <w:rFonts w:hint="eastAsia" w:ascii="黑体" w:hAnsi="黑体" w:cs="黑体"/>
          <w:color w:val="auto"/>
          <w:kern w:val="0"/>
          <w:highlight w:val="none"/>
        </w:rPr>
        <w:t>生产</w:t>
      </w:r>
      <w:r>
        <w:rPr>
          <w:rFonts w:hint="eastAsia"/>
          <w:color w:val="auto"/>
          <w:highlight w:val="none"/>
        </w:rPr>
        <w:t>产污</w:t>
      </w:r>
      <w:r>
        <w:rPr>
          <w:color w:val="auto"/>
          <w:highlight w:val="none"/>
        </w:rPr>
        <w:t>环节一览表</w:t>
      </w:r>
    </w:p>
    <w:tbl>
      <w:tblPr>
        <w:tblStyle w:val="59"/>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86"/>
        <w:gridCol w:w="3766"/>
        <w:gridCol w:w="1569"/>
        <w:gridCol w:w="266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86" w:type="dxa"/>
            <w:vAlign w:val="center"/>
          </w:tcPr>
          <w:p>
            <w:pPr>
              <w:pStyle w:val="137"/>
              <w:ind w:left="164" w:right="164"/>
              <w:jc w:val="center"/>
              <w:rPr>
                <w:rFonts w:ascii="Times New Roman" w:hAnsi="Times New Roman"/>
                <w:color w:val="auto"/>
                <w:sz w:val="21"/>
                <w:highlight w:val="none"/>
              </w:rPr>
            </w:pPr>
            <w:r>
              <w:rPr>
                <w:rFonts w:ascii="Times New Roman" w:hAnsi="Times New Roman"/>
                <w:color w:val="auto"/>
                <w:sz w:val="21"/>
                <w:highlight w:val="none"/>
              </w:rPr>
              <w:t>编号</w:t>
            </w:r>
          </w:p>
        </w:tc>
        <w:tc>
          <w:tcPr>
            <w:tcW w:w="3766" w:type="dxa"/>
            <w:vAlign w:val="center"/>
          </w:tcPr>
          <w:p>
            <w:pPr>
              <w:pStyle w:val="137"/>
              <w:ind w:left="62" w:right="64"/>
              <w:jc w:val="center"/>
              <w:rPr>
                <w:rFonts w:ascii="Times New Roman" w:hAnsi="Times New Roman"/>
                <w:color w:val="auto"/>
                <w:sz w:val="21"/>
                <w:highlight w:val="none"/>
              </w:rPr>
            </w:pPr>
            <w:r>
              <w:rPr>
                <w:rFonts w:ascii="Times New Roman" w:hAnsi="Times New Roman"/>
                <w:color w:val="auto"/>
                <w:sz w:val="21"/>
                <w:highlight w:val="none"/>
              </w:rPr>
              <w:t>工艺过程</w:t>
            </w:r>
          </w:p>
        </w:tc>
        <w:tc>
          <w:tcPr>
            <w:tcW w:w="1569" w:type="dxa"/>
            <w:vAlign w:val="center"/>
          </w:tcPr>
          <w:p>
            <w:pPr>
              <w:pStyle w:val="137"/>
              <w:ind w:left="153" w:right="156"/>
              <w:jc w:val="center"/>
              <w:rPr>
                <w:rFonts w:ascii="Times New Roman" w:hAnsi="Times New Roman"/>
                <w:color w:val="auto"/>
                <w:sz w:val="21"/>
                <w:highlight w:val="none"/>
              </w:rPr>
            </w:pPr>
            <w:r>
              <w:rPr>
                <w:rFonts w:ascii="Times New Roman" w:hAnsi="Times New Roman"/>
                <w:color w:val="auto"/>
                <w:sz w:val="21"/>
                <w:highlight w:val="none"/>
              </w:rPr>
              <w:t>污染物编号</w:t>
            </w:r>
          </w:p>
        </w:tc>
        <w:tc>
          <w:tcPr>
            <w:tcW w:w="2666" w:type="dxa"/>
            <w:vAlign w:val="center"/>
          </w:tcPr>
          <w:p>
            <w:pPr>
              <w:pStyle w:val="137"/>
              <w:ind w:left="136" w:right="135"/>
              <w:jc w:val="center"/>
              <w:rPr>
                <w:rFonts w:ascii="Times New Roman" w:hAnsi="Times New Roman"/>
                <w:color w:val="auto"/>
                <w:sz w:val="21"/>
                <w:highlight w:val="none"/>
              </w:rPr>
            </w:pPr>
            <w:r>
              <w:rPr>
                <w:rFonts w:ascii="Times New Roman" w:hAnsi="Times New Roman"/>
                <w:color w:val="auto"/>
                <w:sz w:val="21"/>
                <w:highlight w:val="none"/>
              </w:rPr>
              <w:t>污染物种类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86" w:type="dxa"/>
            <w:vAlign w:val="center"/>
          </w:tcPr>
          <w:p>
            <w:pPr>
              <w:jc w:val="center"/>
              <w:rPr>
                <w:color w:val="auto"/>
                <w:highlight w:val="none"/>
              </w:rPr>
            </w:pPr>
            <w:r>
              <w:rPr>
                <w:color w:val="auto"/>
                <w:highlight w:val="none"/>
              </w:rPr>
              <w:t>1</w:t>
            </w:r>
          </w:p>
        </w:tc>
        <w:tc>
          <w:tcPr>
            <w:tcW w:w="3766" w:type="dxa"/>
            <w:vAlign w:val="center"/>
          </w:tcPr>
          <w:p>
            <w:pPr>
              <w:jc w:val="center"/>
              <w:rPr>
                <w:color w:val="auto"/>
                <w:highlight w:val="none"/>
              </w:rPr>
            </w:pPr>
            <w:r>
              <w:rPr>
                <w:color w:val="auto"/>
                <w:highlight w:val="none"/>
              </w:rPr>
              <w:t>挤出</w:t>
            </w:r>
            <w:r>
              <w:rPr>
                <w:rFonts w:hint="eastAsia"/>
                <w:color w:val="auto"/>
                <w:highlight w:val="none"/>
              </w:rPr>
              <w:t>、成型</w:t>
            </w:r>
          </w:p>
        </w:tc>
        <w:tc>
          <w:tcPr>
            <w:tcW w:w="1569" w:type="dxa"/>
            <w:vAlign w:val="center"/>
          </w:tcPr>
          <w:p>
            <w:pPr>
              <w:pStyle w:val="137"/>
              <w:ind w:left="153" w:right="155"/>
              <w:jc w:val="center"/>
              <w:rPr>
                <w:rFonts w:ascii="Times New Roman" w:hAnsi="Times New Roman"/>
                <w:color w:val="auto"/>
                <w:sz w:val="21"/>
                <w:highlight w:val="none"/>
                <w:lang w:eastAsia="zh-CN"/>
              </w:rPr>
            </w:pPr>
            <w:r>
              <w:rPr>
                <w:rFonts w:ascii="Times New Roman" w:hAnsi="Times New Roman"/>
                <w:color w:val="auto"/>
                <w:highlight w:val="none"/>
                <w:lang w:eastAsia="zh-CN"/>
              </w:rPr>
              <w:t>G</w:t>
            </w:r>
            <w:r>
              <w:rPr>
                <w:rFonts w:hint="eastAsia"/>
                <w:color w:val="auto"/>
                <w:highlight w:val="none"/>
                <w:vertAlign w:val="subscript"/>
                <w:lang w:eastAsia="zh-CN"/>
              </w:rPr>
              <w:t>4</w:t>
            </w:r>
            <w:r>
              <w:rPr>
                <w:rFonts w:ascii="Times New Roman" w:hAnsi="Times New Roman"/>
                <w:color w:val="auto"/>
                <w:highlight w:val="none"/>
                <w:vertAlign w:val="subscript"/>
                <w:lang w:eastAsia="zh-CN"/>
              </w:rPr>
              <w:t>-1</w:t>
            </w:r>
          </w:p>
        </w:tc>
        <w:tc>
          <w:tcPr>
            <w:tcW w:w="2666" w:type="dxa"/>
            <w:vAlign w:val="center"/>
          </w:tcPr>
          <w:p>
            <w:pPr>
              <w:pStyle w:val="137"/>
              <w:ind w:left="135" w:right="135"/>
              <w:jc w:val="center"/>
              <w:rPr>
                <w:rFonts w:ascii="Times New Roman" w:hAnsi="Times New Roman" w:eastAsia="宋体"/>
                <w:color w:val="auto"/>
                <w:sz w:val="21"/>
                <w:highlight w:val="none"/>
                <w:lang w:eastAsia="zh-CN"/>
              </w:rPr>
            </w:pPr>
            <w:r>
              <w:rPr>
                <w:rFonts w:hint="eastAsia" w:ascii="Times New Roman" w:hAnsi="Times New Roman" w:eastAsia="宋体"/>
                <w:color w:val="auto"/>
                <w:sz w:val="21"/>
                <w:szCs w:val="21"/>
                <w:highlight w:val="none"/>
                <w:lang w:eastAsia="zh-CN"/>
              </w:rPr>
              <w:t>颗粒物、</w:t>
            </w:r>
            <w:r>
              <w:rPr>
                <w:rFonts w:hint="eastAsia" w:ascii="Times New Roman" w:hAnsi="Times New Roman" w:eastAsia="宋体"/>
                <w:color w:val="auto"/>
                <w:sz w:val="21"/>
                <w:highlight w:val="none"/>
                <w:lang w:eastAsia="zh-CN"/>
              </w:rPr>
              <w:t>VOCs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86" w:type="dxa"/>
            <w:vAlign w:val="center"/>
          </w:tcPr>
          <w:p>
            <w:pPr>
              <w:pStyle w:val="137"/>
              <w:ind w:left="21"/>
              <w:jc w:val="center"/>
              <w:rPr>
                <w:rFonts w:ascii="Times New Roman" w:hAnsi="Times New Roman"/>
                <w:color w:val="auto"/>
                <w:highlight w:val="none"/>
              </w:rPr>
            </w:pPr>
            <w:r>
              <w:rPr>
                <w:rFonts w:ascii="Times New Roman" w:hAnsi="Times New Roman"/>
                <w:color w:val="auto"/>
                <w:sz w:val="21"/>
                <w:highlight w:val="none"/>
                <w:lang w:eastAsia="zh-CN"/>
              </w:rPr>
              <w:t>2</w:t>
            </w:r>
          </w:p>
        </w:tc>
        <w:tc>
          <w:tcPr>
            <w:tcW w:w="3766" w:type="dxa"/>
            <w:vAlign w:val="center"/>
          </w:tcPr>
          <w:p>
            <w:pPr>
              <w:pStyle w:val="137"/>
              <w:ind w:left="64" w:right="64"/>
              <w:jc w:val="center"/>
              <w:rPr>
                <w:rFonts w:ascii="Times New Roman" w:hAnsi="Times New Roman"/>
                <w:color w:val="auto"/>
                <w:sz w:val="21"/>
                <w:highlight w:val="none"/>
                <w:lang w:eastAsia="zh-CN"/>
              </w:rPr>
            </w:pPr>
            <w:r>
              <w:rPr>
                <w:rFonts w:hint="eastAsia"/>
                <w:color w:val="auto"/>
                <w:highlight w:val="none"/>
                <w:lang w:eastAsia="zh-CN"/>
              </w:rPr>
              <w:t>挤出、定型、切割</w:t>
            </w:r>
          </w:p>
        </w:tc>
        <w:tc>
          <w:tcPr>
            <w:tcW w:w="1569" w:type="dxa"/>
            <w:vAlign w:val="center"/>
          </w:tcPr>
          <w:p>
            <w:pPr>
              <w:pStyle w:val="137"/>
              <w:ind w:right="1"/>
              <w:jc w:val="center"/>
              <w:rPr>
                <w:rFonts w:ascii="Times New Roman" w:hAnsi="Times New Roman"/>
                <w:color w:val="auto"/>
                <w:sz w:val="21"/>
                <w:highlight w:val="none"/>
                <w:lang w:eastAsia="zh-CN"/>
              </w:rPr>
            </w:pPr>
            <w:r>
              <w:rPr>
                <w:rFonts w:ascii="Times New Roman" w:hAnsi="Times New Roman"/>
                <w:color w:val="auto"/>
                <w:sz w:val="21"/>
                <w:highlight w:val="none"/>
              </w:rPr>
              <w:t>N</w:t>
            </w:r>
          </w:p>
        </w:tc>
        <w:tc>
          <w:tcPr>
            <w:tcW w:w="2666" w:type="dxa"/>
            <w:vAlign w:val="center"/>
          </w:tcPr>
          <w:p>
            <w:pPr>
              <w:pStyle w:val="137"/>
              <w:ind w:left="135" w:right="135"/>
              <w:jc w:val="center"/>
              <w:rPr>
                <w:rFonts w:ascii="Times New Roman" w:hAnsi="Times New Roman"/>
                <w:color w:val="auto"/>
                <w:sz w:val="21"/>
                <w:highlight w:val="none"/>
                <w:lang w:eastAsia="zh-CN"/>
              </w:rPr>
            </w:pPr>
            <w:r>
              <w:rPr>
                <w:rFonts w:ascii="Times New Roman" w:hAnsi="Times New Roman"/>
                <w:color w:val="auto"/>
                <w:sz w:val="21"/>
                <w:highlight w:val="none"/>
              </w:rPr>
              <w:t>噪声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86" w:type="dxa"/>
            <w:vAlign w:val="center"/>
          </w:tcPr>
          <w:p>
            <w:pPr>
              <w:pStyle w:val="137"/>
              <w:ind w:left="21"/>
              <w:jc w:val="center"/>
              <w:rPr>
                <w:rFonts w:ascii="Times New Roman" w:hAnsi="Times New Roman"/>
                <w:color w:val="auto"/>
                <w:sz w:val="21"/>
                <w:highlight w:val="none"/>
                <w:lang w:eastAsia="zh-CN"/>
              </w:rPr>
            </w:pPr>
            <w:r>
              <w:rPr>
                <w:rFonts w:hint="eastAsia" w:ascii="Times New Roman" w:hAnsi="Times New Roman"/>
                <w:color w:val="auto"/>
                <w:sz w:val="21"/>
                <w:highlight w:val="none"/>
                <w:lang w:eastAsia="zh-CN"/>
              </w:rPr>
              <w:t>3</w:t>
            </w:r>
          </w:p>
        </w:tc>
        <w:tc>
          <w:tcPr>
            <w:tcW w:w="3766" w:type="dxa"/>
            <w:vAlign w:val="center"/>
          </w:tcPr>
          <w:p>
            <w:pPr>
              <w:jc w:val="center"/>
              <w:rPr>
                <w:color w:val="auto"/>
                <w:highlight w:val="none"/>
              </w:rPr>
            </w:pPr>
            <w:r>
              <w:rPr>
                <w:color w:val="auto"/>
                <w:highlight w:val="none"/>
              </w:rPr>
              <w:t>切割</w:t>
            </w:r>
          </w:p>
        </w:tc>
        <w:tc>
          <w:tcPr>
            <w:tcW w:w="1569" w:type="dxa"/>
            <w:vAlign w:val="center"/>
          </w:tcPr>
          <w:p>
            <w:pPr>
              <w:pStyle w:val="137"/>
              <w:ind w:left="153" w:right="155"/>
              <w:jc w:val="center"/>
              <w:rPr>
                <w:rFonts w:ascii="Times New Roman" w:hAnsi="Times New Roman"/>
                <w:color w:val="auto"/>
                <w:sz w:val="21"/>
                <w:highlight w:val="none"/>
                <w:lang w:eastAsia="zh-CN"/>
              </w:rPr>
            </w:pPr>
            <w:r>
              <w:rPr>
                <w:rFonts w:ascii="Times New Roman" w:hAnsi="Times New Roman"/>
                <w:color w:val="auto"/>
                <w:sz w:val="21"/>
                <w:highlight w:val="none"/>
              </w:rPr>
              <w:t>S</w:t>
            </w:r>
            <w:r>
              <w:rPr>
                <w:rFonts w:hint="eastAsia" w:ascii="Times New Roman" w:hAnsi="Times New Roman" w:eastAsia="宋体"/>
                <w:color w:val="auto"/>
                <w:sz w:val="21"/>
                <w:highlight w:val="none"/>
                <w:vertAlign w:val="subscript"/>
                <w:lang w:eastAsia="zh-CN"/>
              </w:rPr>
              <w:t>4</w:t>
            </w:r>
            <w:r>
              <w:rPr>
                <w:rFonts w:ascii="Times New Roman" w:hAnsi="Times New Roman"/>
                <w:color w:val="auto"/>
                <w:sz w:val="21"/>
                <w:highlight w:val="none"/>
                <w:vertAlign w:val="subscript"/>
                <w:lang w:eastAsia="zh-CN"/>
              </w:rPr>
              <w:t>-1</w:t>
            </w:r>
          </w:p>
        </w:tc>
        <w:tc>
          <w:tcPr>
            <w:tcW w:w="2666" w:type="dxa"/>
            <w:vAlign w:val="center"/>
          </w:tcPr>
          <w:p>
            <w:pPr>
              <w:pStyle w:val="137"/>
              <w:ind w:left="135" w:right="135"/>
              <w:jc w:val="center"/>
              <w:rPr>
                <w:rFonts w:ascii="Times New Roman" w:hAnsi="Times New Roman"/>
                <w:color w:val="auto"/>
                <w:sz w:val="21"/>
                <w:highlight w:val="none"/>
              </w:rPr>
            </w:pPr>
            <w:r>
              <w:rPr>
                <w:rFonts w:ascii="Times New Roman" w:hAnsi="Times New Roman"/>
                <w:color w:val="auto"/>
                <w:sz w:val="21"/>
                <w:highlight w:val="none"/>
              </w:rPr>
              <w:t>下脚料</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86" w:type="dxa"/>
            <w:vAlign w:val="center"/>
          </w:tcPr>
          <w:p>
            <w:pPr>
              <w:pStyle w:val="137"/>
              <w:ind w:left="21"/>
              <w:jc w:val="center"/>
              <w:rPr>
                <w:rFonts w:ascii="Times New Roman" w:hAnsi="Times New Roman"/>
                <w:color w:val="auto"/>
                <w:sz w:val="21"/>
                <w:highlight w:val="none"/>
                <w:lang w:eastAsia="zh-CN"/>
              </w:rPr>
            </w:pPr>
            <w:r>
              <w:rPr>
                <w:rFonts w:hint="eastAsia" w:ascii="Times New Roman" w:hAnsi="Times New Roman"/>
                <w:color w:val="auto"/>
                <w:sz w:val="21"/>
                <w:highlight w:val="none"/>
                <w:lang w:eastAsia="zh-CN"/>
              </w:rPr>
              <w:t>4</w:t>
            </w:r>
          </w:p>
        </w:tc>
        <w:tc>
          <w:tcPr>
            <w:tcW w:w="3766" w:type="dxa"/>
            <w:vAlign w:val="center"/>
          </w:tcPr>
          <w:p>
            <w:pPr>
              <w:pStyle w:val="137"/>
              <w:ind w:left="64" w:right="64"/>
              <w:jc w:val="center"/>
              <w:rPr>
                <w:rFonts w:ascii="Times New Roman" w:hAnsi="Times New Roman"/>
                <w:color w:val="auto"/>
                <w:sz w:val="21"/>
                <w:highlight w:val="none"/>
                <w:lang w:eastAsia="zh-CN"/>
              </w:rPr>
            </w:pPr>
            <w:r>
              <w:rPr>
                <w:rFonts w:hint="eastAsia" w:ascii="Times New Roman" w:hAnsi="Times New Roman"/>
                <w:color w:val="auto"/>
                <w:sz w:val="21"/>
                <w:highlight w:val="none"/>
                <w:lang w:eastAsia="zh-CN"/>
              </w:rPr>
              <w:t>检验</w:t>
            </w:r>
          </w:p>
        </w:tc>
        <w:tc>
          <w:tcPr>
            <w:tcW w:w="1569" w:type="dxa"/>
            <w:vAlign w:val="center"/>
          </w:tcPr>
          <w:p>
            <w:pPr>
              <w:pStyle w:val="137"/>
              <w:ind w:right="1"/>
              <w:jc w:val="center"/>
              <w:rPr>
                <w:rFonts w:ascii="Times New Roman" w:hAnsi="Times New Roman"/>
                <w:color w:val="auto"/>
                <w:sz w:val="21"/>
                <w:highlight w:val="none"/>
                <w:lang w:eastAsia="zh-CN"/>
              </w:rPr>
            </w:pPr>
            <w:r>
              <w:rPr>
                <w:rFonts w:ascii="Times New Roman" w:hAnsi="Times New Roman"/>
                <w:color w:val="auto"/>
                <w:sz w:val="21"/>
                <w:highlight w:val="none"/>
              </w:rPr>
              <w:t>S</w:t>
            </w:r>
            <w:r>
              <w:rPr>
                <w:rFonts w:hint="eastAsia" w:ascii="Times New Roman" w:hAnsi="Times New Roman" w:eastAsia="宋体"/>
                <w:color w:val="auto"/>
                <w:sz w:val="21"/>
                <w:highlight w:val="none"/>
                <w:vertAlign w:val="subscript"/>
                <w:lang w:eastAsia="zh-CN"/>
              </w:rPr>
              <w:t>4</w:t>
            </w:r>
            <w:r>
              <w:rPr>
                <w:rFonts w:ascii="Times New Roman" w:hAnsi="Times New Roman"/>
                <w:color w:val="auto"/>
                <w:sz w:val="21"/>
                <w:highlight w:val="none"/>
                <w:vertAlign w:val="subscript"/>
                <w:lang w:eastAsia="zh-CN"/>
              </w:rPr>
              <w:t>-</w:t>
            </w:r>
            <w:r>
              <w:rPr>
                <w:rFonts w:hint="eastAsia" w:ascii="Times New Roman" w:hAnsi="Times New Roman"/>
                <w:color w:val="auto"/>
                <w:sz w:val="21"/>
                <w:highlight w:val="none"/>
                <w:vertAlign w:val="subscript"/>
                <w:lang w:eastAsia="zh-CN"/>
              </w:rPr>
              <w:t>2</w:t>
            </w:r>
          </w:p>
        </w:tc>
        <w:tc>
          <w:tcPr>
            <w:tcW w:w="2666" w:type="dxa"/>
            <w:vAlign w:val="center"/>
          </w:tcPr>
          <w:p>
            <w:pPr>
              <w:pStyle w:val="137"/>
              <w:ind w:left="135" w:right="135"/>
              <w:jc w:val="center"/>
              <w:rPr>
                <w:rFonts w:ascii="Times New Roman" w:hAnsi="Times New Roman" w:eastAsia="宋体"/>
                <w:color w:val="auto"/>
                <w:sz w:val="21"/>
                <w:highlight w:val="none"/>
              </w:rPr>
            </w:pPr>
            <w:r>
              <w:rPr>
                <w:rFonts w:hint="eastAsia" w:ascii="Times New Roman" w:hAnsi="Times New Roman" w:eastAsia="宋体"/>
                <w:color w:val="auto"/>
                <w:sz w:val="21"/>
                <w:highlight w:val="none"/>
                <w:lang w:eastAsia="zh-CN"/>
              </w:rPr>
              <w:t>不合格产品</w:t>
            </w:r>
          </w:p>
        </w:tc>
      </w:tr>
    </w:tbl>
    <w:p>
      <w:pPr>
        <w:pStyle w:val="101"/>
        <w:spacing w:before="78"/>
        <w:rPr>
          <w:rFonts w:ascii="Times New Roman" w:hAnsi="Times New Roman"/>
          <w:color w:val="auto"/>
          <w:highlight w:val="none"/>
        </w:rPr>
      </w:pPr>
      <w:r>
        <w:rPr>
          <w:rFonts w:hint="eastAsia" w:ascii="Times New Roman" w:hAnsi="Times New Roman"/>
          <w:color w:val="auto"/>
          <w:highlight w:val="none"/>
        </w:rPr>
        <w:t>2.2.5注塑污水管件生产流程及产污环节分析</w:t>
      </w:r>
    </w:p>
    <w:p>
      <w:pPr>
        <w:pStyle w:val="99"/>
        <w:ind w:firstLine="480"/>
        <w:rPr>
          <w:color w:val="auto"/>
          <w:highlight w:val="none"/>
        </w:rPr>
      </w:pPr>
      <w:r>
        <w:rPr>
          <w:rFonts w:hint="eastAsia"/>
          <w:color w:val="auto"/>
          <w:highlight w:val="none"/>
        </w:rPr>
        <w:t>1、混料、干燥：根据产品质量要求，将聚丙烯颗粒、色母粒按一定比例组合吸入混料机内搅拌均匀，搅拌后经上料机进入料斗，通过上料进入干燥机烘干水分（烘干温度70℃）。因搅拌阶段塑料颗粒、色母粒等原材料均为较大颗粒（粒径3mm左右），无粉尘废气产生。</w:t>
      </w:r>
    </w:p>
    <w:p>
      <w:pPr>
        <w:pStyle w:val="99"/>
        <w:ind w:firstLine="480"/>
        <w:rPr>
          <w:color w:val="auto"/>
          <w:highlight w:val="none"/>
        </w:rPr>
      </w:pPr>
      <w:r>
        <w:rPr>
          <w:rFonts w:hint="eastAsia"/>
          <w:color w:val="auto"/>
          <w:highlight w:val="none"/>
        </w:rPr>
        <w:t>2、注塑成型：在一定温度下，注塑机先将热塑性颗粒加热塑化，塑化后黏流态的熔体用高压射入模腔。模腔填充95~99%后，注塑机受到压力增大的反馈，停止加压，此时压力会保持一段时间，称为“保压”，主要用于补偿模腔内由于塑料冷却收缩而减少的体积。注射压力为8~12MPa、保压压力为6~10MPa。塑料熔融过程采用电加热，加热温度约160℃~170℃，使塑料粒子软化，软化后的塑料完全冷却后，模腔内的塑料便硬化成型。产品冷却完成后，便从模腔中取出，冷却后用机械手臂将成型的产品接入传输装置中。料筒的前部也准备了足够的料，等待下一次注射的开始。该项目注塑成型过程为全自动化操作，生产过程在密封条件下进行。整个注塑成型过程中不需使用脱模剂。注塑挤出过程此过程会产生废气、设备噪声。</w:t>
      </w:r>
    </w:p>
    <w:p>
      <w:pPr>
        <w:pStyle w:val="99"/>
        <w:ind w:firstLine="480"/>
        <w:rPr>
          <w:color w:val="auto"/>
          <w:highlight w:val="none"/>
        </w:rPr>
      </w:pPr>
      <w:r>
        <w:rPr>
          <w:rFonts w:hint="eastAsia"/>
          <w:color w:val="auto"/>
          <w:highlight w:val="none"/>
        </w:rPr>
        <w:t>3、冷却：在注塑成型模具中，注塑机保压成型后通过冷却塔提供冷却水，塑料制品在模具中由于冷却水的作用，热量由模腔中的塑料通过热传导经模架传至冷却水管，再通过热对流被冷却水带走。注塑机机冷却段冷却方式采用水冷，为间接冷却，冷却水不直接与原料接触，冷却水需要定期补充。冷却塔运行产生噪声N。</w:t>
      </w:r>
    </w:p>
    <w:p>
      <w:pPr>
        <w:pStyle w:val="99"/>
        <w:ind w:firstLine="480"/>
        <w:rPr>
          <w:color w:val="auto"/>
          <w:highlight w:val="none"/>
        </w:rPr>
      </w:pPr>
      <w:r>
        <w:rPr>
          <w:rFonts w:hint="eastAsia"/>
          <w:color w:val="auto"/>
          <w:highlight w:val="none"/>
        </w:rPr>
        <w:t>4、修饰、检验：经注塑成型冷却后的塑料制品通过人工进行修整，去除边角、毛刺等，此工序产生废边角料。再通过外观检验，合格产品经包装后入成品仓库，此工序会产生残次品，废边角料和残次品进入破碎机破碎后回用。</w:t>
      </w:r>
    </w:p>
    <w:p>
      <w:pPr>
        <w:pStyle w:val="99"/>
        <w:spacing w:line="240" w:lineRule="auto"/>
        <w:ind w:firstLine="480"/>
        <w:jc w:val="center"/>
        <w:rPr>
          <w:color w:val="auto"/>
          <w:highlight w:val="none"/>
        </w:rPr>
      </w:pPr>
      <w:r>
        <w:rPr>
          <w:rFonts w:hint="eastAsia"/>
          <w:color w:val="auto"/>
          <w:highlight w:val="none"/>
        </w:rPr>
        <w:object>
          <v:shape id="_x0000_i1028" o:spt="75" type="#_x0000_t75" style="height:210pt;width:230.25pt;" o:ole="t" filled="f" o:preferrelative="t" stroked="f" coordsize="21600,21600">
            <v:path/>
            <v:fill on="f" focussize="0,0"/>
            <v:stroke on="f" joinstyle="miter"/>
            <v:imagedata r:id="rId37" o:title=""/>
            <o:lock v:ext="edit" aspectratio="f"/>
            <w10:wrap type="none"/>
            <w10:anchorlock/>
          </v:shape>
          <o:OLEObject Type="Embed" ProgID="Visio.Drawing.11" ShapeID="_x0000_i1028" DrawAspect="Content" ObjectID="_1468075728" r:id="rId36">
            <o:LockedField>false</o:LockedField>
          </o:OLEObject>
        </w:object>
      </w:r>
    </w:p>
    <w:p>
      <w:pPr>
        <w:pStyle w:val="99"/>
        <w:ind w:firstLine="480"/>
        <w:jc w:val="center"/>
        <w:rPr>
          <w:color w:val="auto"/>
          <w:highlight w:val="none"/>
        </w:rPr>
      </w:pPr>
      <w:r>
        <w:rPr>
          <w:rFonts w:eastAsia="黑体"/>
          <w:color w:val="auto"/>
          <w:szCs w:val="24"/>
          <w:highlight w:val="none"/>
        </w:rPr>
        <w:t>图2.2-</w:t>
      </w:r>
      <w:r>
        <w:rPr>
          <w:rFonts w:hint="eastAsia" w:eastAsia="黑体"/>
          <w:color w:val="auto"/>
          <w:szCs w:val="24"/>
          <w:highlight w:val="none"/>
          <w:lang w:val="en-US" w:eastAsia="zh-CN"/>
        </w:rPr>
        <w:t>6</w:t>
      </w:r>
      <w:r>
        <w:rPr>
          <w:rFonts w:eastAsia="黑体"/>
          <w:color w:val="auto"/>
          <w:szCs w:val="24"/>
          <w:highlight w:val="none"/>
        </w:rPr>
        <w:t xml:space="preserve">  </w:t>
      </w:r>
      <w:r>
        <w:rPr>
          <w:rFonts w:hint="eastAsia" w:eastAsia="黑体"/>
          <w:color w:val="auto"/>
          <w:szCs w:val="24"/>
          <w:highlight w:val="none"/>
        </w:rPr>
        <w:t>注塑污水管件</w:t>
      </w:r>
      <w:r>
        <w:rPr>
          <w:rFonts w:eastAsia="黑体"/>
          <w:color w:val="auto"/>
          <w:kern w:val="0"/>
          <w:szCs w:val="24"/>
          <w:highlight w:val="none"/>
        </w:rPr>
        <w:t>工艺流程及产污环节图</w:t>
      </w:r>
    </w:p>
    <w:p>
      <w:pPr>
        <w:pStyle w:val="99"/>
        <w:ind w:firstLine="482"/>
        <w:rPr>
          <w:color w:val="auto"/>
          <w:highlight w:val="none"/>
        </w:rPr>
      </w:pPr>
      <w:r>
        <w:rPr>
          <w:b/>
          <w:bCs/>
          <w:color w:val="auto"/>
          <w:highlight w:val="none"/>
        </w:rPr>
        <w:t>产污环节</w:t>
      </w:r>
      <w:r>
        <w:rPr>
          <w:color w:val="auto"/>
          <w:highlight w:val="none"/>
        </w:rPr>
        <w:t>：</w:t>
      </w:r>
      <w:r>
        <w:rPr>
          <w:rFonts w:hint="eastAsia"/>
          <w:color w:val="auto"/>
          <w:highlight w:val="none"/>
        </w:rPr>
        <w:t>注塑成型</w:t>
      </w:r>
      <w:r>
        <w:rPr>
          <w:color w:val="auto"/>
          <w:highlight w:val="none"/>
        </w:rPr>
        <w:t>工序产生有机废气（G</w:t>
      </w:r>
      <w:r>
        <w:rPr>
          <w:rFonts w:hint="eastAsia"/>
          <w:color w:val="auto"/>
          <w:highlight w:val="none"/>
          <w:vertAlign w:val="subscript"/>
        </w:rPr>
        <w:t>5</w:t>
      </w:r>
      <w:r>
        <w:rPr>
          <w:color w:val="auto"/>
          <w:highlight w:val="none"/>
          <w:vertAlign w:val="subscript"/>
        </w:rPr>
        <w:t>-1</w:t>
      </w:r>
      <w:r>
        <w:rPr>
          <w:color w:val="auto"/>
          <w:highlight w:val="none"/>
        </w:rPr>
        <w:t>）；</w:t>
      </w:r>
      <w:r>
        <w:rPr>
          <w:rFonts w:hint="eastAsia"/>
          <w:color w:val="auto"/>
          <w:highlight w:val="none"/>
        </w:rPr>
        <w:t>混料干燥、注塑成型</w:t>
      </w:r>
      <w:r>
        <w:rPr>
          <w:color w:val="auto"/>
          <w:highlight w:val="none"/>
        </w:rPr>
        <w:t>工序产生的噪声（N）；</w:t>
      </w:r>
      <w:r>
        <w:rPr>
          <w:rFonts w:hint="eastAsia"/>
          <w:color w:val="auto"/>
          <w:highlight w:val="none"/>
        </w:rPr>
        <w:t>修饰检验</w:t>
      </w:r>
      <w:r>
        <w:rPr>
          <w:color w:val="auto"/>
          <w:highlight w:val="none"/>
        </w:rPr>
        <w:t>下脚料</w:t>
      </w:r>
      <w:r>
        <w:rPr>
          <w:rFonts w:hint="eastAsia"/>
          <w:color w:val="auto"/>
          <w:highlight w:val="none"/>
        </w:rPr>
        <w:t>及</w:t>
      </w:r>
      <w:r>
        <w:rPr>
          <w:color w:val="auto"/>
          <w:highlight w:val="none"/>
        </w:rPr>
        <w:t>不合格产品(S</w:t>
      </w:r>
      <w:r>
        <w:rPr>
          <w:rFonts w:hint="eastAsia"/>
          <w:color w:val="auto"/>
          <w:highlight w:val="none"/>
          <w:vertAlign w:val="subscript"/>
        </w:rPr>
        <w:t>5</w:t>
      </w:r>
      <w:r>
        <w:rPr>
          <w:color w:val="auto"/>
          <w:highlight w:val="none"/>
          <w:vertAlign w:val="subscript"/>
        </w:rPr>
        <w:t>-</w:t>
      </w:r>
      <w:r>
        <w:rPr>
          <w:rFonts w:hint="eastAsia"/>
          <w:color w:val="auto"/>
          <w:highlight w:val="none"/>
          <w:vertAlign w:val="subscript"/>
        </w:rPr>
        <w:t>1</w:t>
      </w:r>
      <w:r>
        <w:rPr>
          <w:color w:val="auto"/>
          <w:highlight w:val="none"/>
        </w:rPr>
        <w:t>)。</w:t>
      </w:r>
    </w:p>
    <w:p>
      <w:pPr>
        <w:pStyle w:val="158"/>
        <w:spacing w:before="0" w:after="0" w:afterAutospacing="0"/>
        <w:rPr>
          <w:color w:val="auto"/>
          <w:highlight w:val="none"/>
        </w:rPr>
      </w:pPr>
      <w:r>
        <w:rPr>
          <w:color w:val="auto"/>
          <w:highlight w:val="none"/>
        </w:rPr>
        <w:t>表2.2-</w:t>
      </w:r>
      <w:r>
        <w:rPr>
          <w:rFonts w:hint="eastAsia"/>
          <w:color w:val="auto"/>
          <w:highlight w:val="none"/>
        </w:rPr>
        <w:t>5</w:t>
      </w:r>
      <w:r>
        <w:rPr>
          <w:color w:val="auto"/>
          <w:highlight w:val="none"/>
        </w:rPr>
        <w:t xml:space="preserve">  </w:t>
      </w:r>
      <w:r>
        <w:rPr>
          <w:rFonts w:hint="eastAsia" w:cs="Times New Roman"/>
          <w:color w:val="auto"/>
          <w:highlight w:val="none"/>
        </w:rPr>
        <w:t>注塑污水管件</w:t>
      </w:r>
      <w:r>
        <w:rPr>
          <w:rFonts w:hint="eastAsia" w:ascii="黑体" w:hAnsi="黑体" w:cs="黑体"/>
          <w:color w:val="auto"/>
          <w:kern w:val="0"/>
          <w:highlight w:val="none"/>
        </w:rPr>
        <w:t>生产</w:t>
      </w:r>
      <w:r>
        <w:rPr>
          <w:rFonts w:hint="eastAsia"/>
          <w:color w:val="auto"/>
          <w:highlight w:val="none"/>
        </w:rPr>
        <w:t>产污</w:t>
      </w:r>
      <w:r>
        <w:rPr>
          <w:color w:val="auto"/>
          <w:highlight w:val="none"/>
        </w:rPr>
        <w:t>环节一览表</w:t>
      </w:r>
    </w:p>
    <w:tbl>
      <w:tblPr>
        <w:tblStyle w:val="59"/>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86"/>
        <w:gridCol w:w="3766"/>
        <w:gridCol w:w="1569"/>
        <w:gridCol w:w="266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86" w:type="dxa"/>
            <w:vAlign w:val="center"/>
          </w:tcPr>
          <w:p>
            <w:pPr>
              <w:pStyle w:val="137"/>
              <w:ind w:left="164" w:right="164"/>
              <w:jc w:val="center"/>
              <w:rPr>
                <w:rFonts w:ascii="Times New Roman" w:hAnsi="Times New Roman"/>
                <w:color w:val="auto"/>
                <w:sz w:val="21"/>
                <w:highlight w:val="none"/>
              </w:rPr>
            </w:pPr>
            <w:r>
              <w:rPr>
                <w:rFonts w:ascii="Times New Roman" w:hAnsi="Times New Roman"/>
                <w:color w:val="auto"/>
                <w:sz w:val="21"/>
                <w:highlight w:val="none"/>
              </w:rPr>
              <w:t>编号</w:t>
            </w:r>
          </w:p>
        </w:tc>
        <w:tc>
          <w:tcPr>
            <w:tcW w:w="3766" w:type="dxa"/>
            <w:vAlign w:val="center"/>
          </w:tcPr>
          <w:p>
            <w:pPr>
              <w:pStyle w:val="137"/>
              <w:ind w:left="62" w:right="64"/>
              <w:jc w:val="center"/>
              <w:rPr>
                <w:rFonts w:ascii="Times New Roman" w:hAnsi="Times New Roman"/>
                <w:color w:val="auto"/>
                <w:sz w:val="21"/>
                <w:highlight w:val="none"/>
              </w:rPr>
            </w:pPr>
            <w:r>
              <w:rPr>
                <w:rFonts w:ascii="Times New Roman" w:hAnsi="Times New Roman"/>
                <w:color w:val="auto"/>
                <w:sz w:val="21"/>
                <w:highlight w:val="none"/>
              </w:rPr>
              <w:t>工艺过程</w:t>
            </w:r>
          </w:p>
        </w:tc>
        <w:tc>
          <w:tcPr>
            <w:tcW w:w="1569" w:type="dxa"/>
            <w:vAlign w:val="center"/>
          </w:tcPr>
          <w:p>
            <w:pPr>
              <w:pStyle w:val="137"/>
              <w:ind w:left="153" w:right="156"/>
              <w:jc w:val="center"/>
              <w:rPr>
                <w:rFonts w:ascii="Times New Roman" w:hAnsi="Times New Roman"/>
                <w:color w:val="auto"/>
                <w:sz w:val="21"/>
                <w:highlight w:val="none"/>
              </w:rPr>
            </w:pPr>
            <w:r>
              <w:rPr>
                <w:rFonts w:ascii="Times New Roman" w:hAnsi="Times New Roman"/>
                <w:color w:val="auto"/>
                <w:sz w:val="21"/>
                <w:highlight w:val="none"/>
              </w:rPr>
              <w:t>污染物编号</w:t>
            </w:r>
          </w:p>
        </w:tc>
        <w:tc>
          <w:tcPr>
            <w:tcW w:w="2666" w:type="dxa"/>
            <w:vAlign w:val="center"/>
          </w:tcPr>
          <w:p>
            <w:pPr>
              <w:pStyle w:val="137"/>
              <w:ind w:left="136" w:right="135"/>
              <w:jc w:val="center"/>
              <w:rPr>
                <w:rFonts w:ascii="Times New Roman" w:hAnsi="Times New Roman"/>
                <w:color w:val="auto"/>
                <w:sz w:val="21"/>
                <w:highlight w:val="none"/>
              </w:rPr>
            </w:pPr>
            <w:r>
              <w:rPr>
                <w:rFonts w:ascii="Times New Roman" w:hAnsi="Times New Roman"/>
                <w:color w:val="auto"/>
                <w:sz w:val="21"/>
                <w:highlight w:val="none"/>
              </w:rPr>
              <w:t>污染物种类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86" w:type="dxa"/>
            <w:vAlign w:val="center"/>
          </w:tcPr>
          <w:p>
            <w:pPr>
              <w:jc w:val="center"/>
              <w:rPr>
                <w:color w:val="auto"/>
                <w:highlight w:val="none"/>
              </w:rPr>
            </w:pPr>
            <w:r>
              <w:rPr>
                <w:color w:val="auto"/>
                <w:highlight w:val="none"/>
              </w:rPr>
              <w:t>1</w:t>
            </w:r>
          </w:p>
        </w:tc>
        <w:tc>
          <w:tcPr>
            <w:tcW w:w="3766" w:type="dxa"/>
            <w:vAlign w:val="center"/>
          </w:tcPr>
          <w:p>
            <w:pPr>
              <w:jc w:val="center"/>
              <w:rPr>
                <w:color w:val="auto"/>
                <w:highlight w:val="none"/>
              </w:rPr>
            </w:pPr>
            <w:r>
              <w:rPr>
                <w:rFonts w:hint="eastAsia"/>
                <w:color w:val="auto"/>
                <w:highlight w:val="none"/>
              </w:rPr>
              <w:t>注塑成型</w:t>
            </w:r>
          </w:p>
        </w:tc>
        <w:tc>
          <w:tcPr>
            <w:tcW w:w="1569" w:type="dxa"/>
            <w:vAlign w:val="center"/>
          </w:tcPr>
          <w:p>
            <w:pPr>
              <w:pStyle w:val="137"/>
              <w:ind w:left="153" w:right="155"/>
              <w:jc w:val="center"/>
              <w:rPr>
                <w:rFonts w:ascii="Times New Roman" w:hAnsi="Times New Roman"/>
                <w:color w:val="auto"/>
                <w:sz w:val="21"/>
                <w:highlight w:val="none"/>
                <w:lang w:eastAsia="zh-CN"/>
              </w:rPr>
            </w:pPr>
            <w:r>
              <w:rPr>
                <w:rFonts w:ascii="Times New Roman" w:hAnsi="Times New Roman"/>
                <w:color w:val="auto"/>
                <w:highlight w:val="none"/>
                <w:lang w:eastAsia="zh-CN"/>
              </w:rPr>
              <w:t>G</w:t>
            </w:r>
            <w:r>
              <w:rPr>
                <w:rFonts w:hint="eastAsia"/>
                <w:color w:val="auto"/>
                <w:highlight w:val="none"/>
                <w:vertAlign w:val="subscript"/>
                <w:lang w:eastAsia="zh-CN"/>
              </w:rPr>
              <w:t>5</w:t>
            </w:r>
            <w:r>
              <w:rPr>
                <w:rFonts w:ascii="Times New Roman" w:hAnsi="Times New Roman"/>
                <w:color w:val="auto"/>
                <w:highlight w:val="none"/>
                <w:vertAlign w:val="subscript"/>
                <w:lang w:eastAsia="zh-CN"/>
              </w:rPr>
              <w:t>-1</w:t>
            </w:r>
          </w:p>
        </w:tc>
        <w:tc>
          <w:tcPr>
            <w:tcW w:w="2666" w:type="dxa"/>
            <w:vAlign w:val="center"/>
          </w:tcPr>
          <w:p>
            <w:pPr>
              <w:pStyle w:val="137"/>
              <w:ind w:left="135" w:right="135"/>
              <w:jc w:val="center"/>
              <w:rPr>
                <w:rFonts w:ascii="Times New Roman" w:hAnsi="Times New Roman" w:eastAsia="宋体"/>
                <w:color w:val="auto"/>
                <w:sz w:val="21"/>
                <w:highlight w:val="none"/>
                <w:lang w:eastAsia="zh-CN"/>
              </w:rPr>
            </w:pPr>
            <w:r>
              <w:rPr>
                <w:rFonts w:hint="eastAsia" w:ascii="Times New Roman" w:hAnsi="Times New Roman" w:eastAsia="宋体"/>
                <w:color w:val="auto"/>
                <w:sz w:val="21"/>
                <w:szCs w:val="21"/>
                <w:highlight w:val="none"/>
                <w:lang w:eastAsia="zh-CN"/>
              </w:rPr>
              <w:t>颗粒物、</w:t>
            </w:r>
            <w:r>
              <w:rPr>
                <w:rFonts w:hint="eastAsia" w:ascii="Times New Roman" w:hAnsi="Times New Roman" w:eastAsia="宋体"/>
                <w:color w:val="auto"/>
                <w:sz w:val="21"/>
                <w:highlight w:val="none"/>
                <w:lang w:eastAsia="zh-CN"/>
              </w:rPr>
              <w:t>VOCs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86" w:type="dxa"/>
            <w:vAlign w:val="center"/>
          </w:tcPr>
          <w:p>
            <w:pPr>
              <w:pStyle w:val="137"/>
              <w:ind w:left="21"/>
              <w:jc w:val="center"/>
              <w:rPr>
                <w:rFonts w:ascii="Times New Roman" w:hAnsi="Times New Roman"/>
                <w:color w:val="auto"/>
                <w:highlight w:val="none"/>
              </w:rPr>
            </w:pPr>
            <w:r>
              <w:rPr>
                <w:rFonts w:ascii="Times New Roman" w:hAnsi="Times New Roman"/>
                <w:color w:val="auto"/>
                <w:sz w:val="21"/>
                <w:highlight w:val="none"/>
                <w:lang w:eastAsia="zh-CN"/>
              </w:rPr>
              <w:t>2</w:t>
            </w:r>
          </w:p>
        </w:tc>
        <w:tc>
          <w:tcPr>
            <w:tcW w:w="3766" w:type="dxa"/>
            <w:vAlign w:val="center"/>
          </w:tcPr>
          <w:p>
            <w:pPr>
              <w:pStyle w:val="137"/>
              <w:ind w:left="64" w:right="64"/>
              <w:jc w:val="center"/>
              <w:rPr>
                <w:rFonts w:ascii="Times New Roman" w:hAnsi="Times New Roman"/>
                <w:color w:val="auto"/>
                <w:sz w:val="21"/>
                <w:highlight w:val="none"/>
                <w:lang w:eastAsia="zh-CN"/>
              </w:rPr>
            </w:pPr>
            <w:r>
              <w:rPr>
                <w:rFonts w:hint="eastAsia"/>
                <w:color w:val="auto"/>
                <w:highlight w:val="none"/>
                <w:lang w:eastAsia="zh-CN"/>
              </w:rPr>
              <w:t>混料干燥、注塑成型</w:t>
            </w:r>
          </w:p>
        </w:tc>
        <w:tc>
          <w:tcPr>
            <w:tcW w:w="1569" w:type="dxa"/>
            <w:vAlign w:val="center"/>
          </w:tcPr>
          <w:p>
            <w:pPr>
              <w:pStyle w:val="137"/>
              <w:ind w:right="1"/>
              <w:jc w:val="center"/>
              <w:rPr>
                <w:rFonts w:ascii="Times New Roman" w:hAnsi="Times New Roman"/>
                <w:color w:val="auto"/>
                <w:sz w:val="21"/>
                <w:highlight w:val="none"/>
                <w:lang w:eastAsia="zh-CN"/>
              </w:rPr>
            </w:pPr>
            <w:r>
              <w:rPr>
                <w:rFonts w:ascii="Times New Roman" w:hAnsi="Times New Roman"/>
                <w:color w:val="auto"/>
                <w:sz w:val="21"/>
                <w:highlight w:val="none"/>
              </w:rPr>
              <w:t>N</w:t>
            </w:r>
          </w:p>
        </w:tc>
        <w:tc>
          <w:tcPr>
            <w:tcW w:w="2666" w:type="dxa"/>
            <w:vAlign w:val="center"/>
          </w:tcPr>
          <w:p>
            <w:pPr>
              <w:pStyle w:val="137"/>
              <w:ind w:left="135" w:right="135"/>
              <w:jc w:val="center"/>
              <w:rPr>
                <w:rFonts w:ascii="Times New Roman" w:hAnsi="Times New Roman"/>
                <w:color w:val="auto"/>
                <w:sz w:val="21"/>
                <w:highlight w:val="none"/>
                <w:lang w:eastAsia="zh-CN"/>
              </w:rPr>
            </w:pPr>
            <w:r>
              <w:rPr>
                <w:rFonts w:ascii="Times New Roman" w:hAnsi="Times New Roman"/>
                <w:color w:val="auto"/>
                <w:sz w:val="21"/>
                <w:highlight w:val="none"/>
              </w:rPr>
              <w:t>噪声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86" w:type="dxa"/>
            <w:vAlign w:val="center"/>
          </w:tcPr>
          <w:p>
            <w:pPr>
              <w:pStyle w:val="137"/>
              <w:ind w:left="21"/>
              <w:jc w:val="center"/>
              <w:rPr>
                <w:rFonts w:ascii="Times New Roman" w:hAnsi="Times New Roman"/>
                <w:color w:val="auto"/>
                <w:sz w:val="21"/>
                <w:highlight w:val="none"/>
                <w:lang w:eastAsia="zh-CN"/>
              </w:rPr>
            </w:pPr>
            <w:r>
              <w:rPr>
                <w:rFonts w:hint="eastAsia" w:ascii="Times New Roman" w:hAnsi="Times New Roman"/>
                <w:color w:val="auto"/>
                <w:sz w:val="21"/>
                <w:highlight w:val="none"/>
                <w:lang w:eastAsia="zh-CN"/>
              </w:rPr>
              <w:t>3</w:t>
            </w:r>
          </w:p>
        </w:tc>
        <w:tc>
          <w:tcPr>
            <w:tcW w:w="3766" w:type="dxa"/>
            <w:vAlign w:val="center"/>
          </w:tcPr>
          <w:p>
            <w:pPr>
              <w:jc w:val="center"/>
              <w:rPr>
                <w:color w:val="auto"/>
                <w:highlight w:val="none"/>
              </w:rPr>
            </w:pPr>
            <w:r>
              <w:rPr>
                <w:rFonts w:hint="eastAsia"/>
                <w:color w:val="auto"/>
                <w:highlight w:val="none"/>
              </w:rPr>
              <w:t>修饰检验</w:t>
            </w:r>
          </w:p>
        </w:tc>
        <w:tc>
          <w:tcPr>
            <w:tcW w:w="1569" w:type="dxa"/>
            <w:vAlign w:val="center"/>
          </w:tcPr>
          <w:p>
            <w:pPr>
              <w:pStyle w:val="137"/>
              <w:ind w:left="153" w:right="155"/>
              <w:jc w:val="center"/>
              <w:rPr>
                <w:rFonts w:ascii="Times New Roman" w:hAnsi="Times New Roman"/>
                <w:color w:val="auto"/>
                <w:sz w:val="21"/>
                <w:highlight w:val="none"/>
                <w:lang w:eastAsia="zh-CN"/>
              </w:rPr>
            </w:pPr>
            <w:r>
              <w:rPr>
                <w:rFonts w:ascii="Times New Roman" w:hAnsi="Times New Roman"/>
                <w:color w:val="auto"/>
                <w:sz w:val="21"/>
                <w:highlight w:val="none"/>
              </w:rPr>
              <w:t>S</w:t>
            </w:r>
            <w:r>
              <w:rPr>
                <w:rFonts w:hint="eastAsia" w:ascii="Times New Roman" w:hAnsi="Times New Roman" w:eastAsia="宋体"/>
                <w:color w:val="auto"/>
                <w:sz w:val="21"/>
                <w:highlight w:val="none"/>
                <w:vertAlign w:val="subscript"/>
                <w:lang w:eastAsia="zh-CN"/>
              </w:rPr>
              <w:t>5</w:t>
            </w:r>
            <w:r>
              <w:rPr>
                <w:rFonts w:ascii="Times New Roman" w:hAnsi="Times New Roman"/>
                <w:color w:val="auto"/>
                <w:sz w:val="21"/>
                <w:highlight w:val="none"/>
                <w:vertAlign w:val="subscript"/>
                <w:lang w:eastAsia="zh-CN"/>
              </w:rPr>
              <w:t>-1</w:t>
            </w:r>
          </w:p>
        </w:tc>
        <w:tc>
          <w:tcPr>
            <w:tcW w:w="2666" w:type="dxa"/>
            <w:vAlign w:val="center"/>
          </w:tcPr>
          <w:p>
            <w:pPr>
              <w:pStyle w:val="137"/>
              <w:ind w:left="135" w:right="135"/>
              <w:jc w:val="center"/>
              <w:rPr>
                <w:rFonts w:ascii="Times New Roman" w:hAnsi="Times New Roman" w:eastAsia="宋体"/>
                <w:color w:val="auto"/>
                <w:sz w:val="21"/>
                <w:highlight w:val="none"/>
                <w:lang w:eastAsia="zh-CN"/>
              </w:rPr>
            </w:pPr>
            <w:r>
              <w:rPr>
                <w:rFonts w:ascii="Times New Roman" w:hAnsi="Times New Roman"/>
                <w:color w:val="auto"/>
                <w:sz w:val="21"/>
                <w:highlight w:val="none"/>
              </w:rPr>
              <w:t>下脚料</w:t>
            </w:r>
            <w:r>
              <w:rPr>
                <w:rFonts w:hint="eastAsia" w:ascii="Times New Roman" w:hAnsi="Times New Roman" w:eastAsia="宋体"/>
                <w:color w:val="auto"/>
                <w:sz w:val="21"/>
                <w:highlight w:val="none"/>
                <w:lang w:eastAsia="zh-CN"/>
              </w:rPr>
              <w:t>及不合格产品</w:t>
            </w:r>
          </w:p>
        </w:tc>
      </w:tr>
    </w:tbl>
    <w:p>
      <w:pPr>
        <w:pStyle w:val="101"/>
        <w:spacing w:before="78"/>
        <w:rPr>
          <w:rFonts w:ascii="Times New Roman" w:hAnsi="Times New Roman"/>
          <w:color w:val="auto"/>
          <w:highlight w:val="none"/>
        </w:rPr>
      </w:pPr>
      <w:r>
        <w:rPr>
          <w:rFonts w:ascii="Times New Roman" w:hAnsi="Times New Roman"/>
          <w:color w:val="auto"/>
          <w:highlight w:val="none"/>
        </w:rPr>
        <w:t>2.2.</w:t>
      </w:r>
      <w:r>
        <w:rPr>
          <w:rFonts w:hint="eastAsia" w:ascii="Times New Roman" w:hAnsi="Times New Roman"/>
          <w:color w:val="auto"/>
          <w:highlight w:val="none"/>
        </w:rPr>
        <w:t>6下脚料及不合格产品破碎工序产污环节分析</w:t>
      </w:r>
    </w:p>
    <w:p>
      <w:pPr>
        <w:pStyle w:val="99"/>
        <w:ind w:firstLine="480"/>
        <w:rPr>
          <w:color w:val="auto"/>
          <w:szCs w:val="24"/>
          <w:highlight w:val="none"/>
        </w:rPr>
      </w:pPr>
      <w:r>
        <w:rPr>
          <w:rFonts w:hint="eastAsia"/>
          <w:color w:val="auto"/>
          <w:szCs w:val="24"/>
          <w:highlight w:val="none"/>
        </w:rPr>
        <w:t>项目给水管生产、中空壁缠绕管生产、双臂波纹管生产、污水注塑管件生产</w:t>
      </w:r>
      <w:r>
        <w:rPr>
          <w:color w:val="auto"/>
          <w:szCs w:val="24"/>
          <w:highlight w:val="none"/>
        </w:rPr>
        <w:t>切割下脚料及不合格产品，经破碎后回用于造粒工序</w:t>
      </w:r>
      <w:r>
        <w:rPr>
          <w:rFonts w:hint="eastAsia"/>
          <w:color w:val="auto"/>
          <w:szCs w:val="24"/>
          <w:highlight w:val="none"/>
        </w:rPr>
        <w:t>，该工序会产生含尘废气（G</w:t>
      </w:r>
      <w:r>
        <w:rPr>
          <w:rFonts w:hint="eastAsia"/>
          <w:color w:val="auto"/>
          <w:szCs w:val="24"/>
          <w:highlight w:val="none"/>
          <w:vertAlign w:val="subscript"/>
        </w:rPr>
        <w:t>6-1</w:t>
      </w:r>
      <w:r>
        <w:rPr>
          <w:rFonts w:hint="eastAsia"/>
          <w:color w:val="auto"/>
          <w:szCs w:val="24"/>
          <w:highlight w:val="none"/>
        </w:rPr>
        <w:t>）</w:t>
      </w:r>
      <w:r>
        <w:rPr>
          <w:rFonts w:hint="eastAsia"/>
          <w:color w:val="auto"/>
          <w:szCs w:val="24"/>
          <w:highlight w:val="none"/>
          <w:vertAlign w:val="subscript"/>
        </w:rPr>
        <w:t>、</w:t>
      </w:r>
      <w:r>
        <w:rPr>
          <w:rFonts w:hint="eastAsia"/>
          <w:color w:val="auto"/>
          <w:szCs w:val="24"/>
          <w:highlight w:val="none"/>
        </w:rPr>
        <w:t>噪声N。</w:t>
      </w:r>
    </w:p>
    <w:p>
      <w:pPr>
        <w:pStyle w:val="158"/>
        <w:spacing w:before="0" w:after="0" w:afterAutospacing="0"/>
        <w:rPr>
          <w:color w:val="auto"/>
          <w:highlight w:val="none"/>
        </w:rPr>
      </w:pPr>
      <w:r>
        <w:rPr>
          <w:color w:val="auto"/>
          <w:highlight w:val="none"/>
        </w:rPr>
        <w:t>表2.2-</w:t>
      </w:r>
      <w:r>
        <w:rPr>
          <w:rFonts w:hint="eastAsia"/>
          <w:color w:val="auto"/>
          <w:highlight w:val="none"/>
          <w:lang w:val="en-US" w:eastAsia="zh-CN"/>
        </w:rPr>
        <w:t>6</w:t>
      </w:r>
      <w:r>
        <w:rPr>
          <w:color w:val="auto"/>
          <w:highlight w:val="none"/>
        </w:rPr>
        <w:t xml:space="preserve">  </w:t>
      </w:r>
      <w:r>
        <w:rPr>
          <w:rFonts w:hint="eastAsia"/>
          <w:color w:val="auto"/>
          <w:highlight w:val="none"/>
        </w:rPr>
        <w:t>下脚料及不合格产品破碎工序产污</w:t>
      </w:r>
      <w:r>
        <w:rPr>
          <w:color w:val="auto"/>
          <w:highlight w:val="none"/>
        </w:rPr>
        <w:t>环节一览表</w:t>
      </w:r>
    </w:p>
    <w:tbl>
      <w:tblPr>
        <w:tblStyle w:val="59"/>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86"/>
        <w:gridCol w:w="3766"/>
        <w:gridCol w:w="1569"/>
        <w:gridCol w:w="266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86" w:type="dxa"/>
            <w:vAlign w:val="center"/>
          </w:tcPr>
          <w:p>
            <w:pPr>
              <w:pStyle w:val="137"/>
              <w:ind w:left="164" w:right="164"/>
              <w:jc w:val="center"/>
              <w:rPr>
                <w:rFonts w:ascii="Times New Roman" w:hAnsi="Times New Roman"/>
                <w:color w:val="auto"/>
                <w:sz w:val="21"/>
                <w:highlight w:val="none"/>
              </w:rPr>
            </w:pPr>
            <w:r>
              <w:rPr>
                <w:rFonts w:ascii="Times New Roman" w:hAnsi="Times New Roman"/>
                <w:color w:val="auto"/>
                <w:sz w:val="21"/>
                <w:highlight w:val="none"/>
              </w:rPr>
              <w:t>编号</w:t>
            </w:r>
          </w:p>
        </w:tc>
        <w:tc>
          <w:tcPr>
            <w:tcW w:w="3766" w:type="dxa"/>
            <w:vAlign w:val="center"/>
          </w:tcPr>
          <w:p>
            <w:pPr>
              <w:pStyle w:val="137"/>
              <w:ind w:left="62" w:right="64"/>
              <w:jc w:val="center"/>
              <w:rPr>
                <w:rFonts w:ascii="Times New Roman" w:hAnsi="Times New Roman"/>
                <w:color w:val="auto"/>
                <w:sz w:val="21"/>
                <w:highlight w:val="none"/>
              </w:rPr>
            </w:pPr>
            <w:r>
              <w:rPr>
                <w:rFonts w:ascii="Times New Roman" w:hAnsi="Times New Roman"/>
                <w:color w:val="auto"/>
                <w:sz w:val="21"/>
                <w:highlight w:val="none"/>
              </w:rPr>
              <w:t>工艺过程</w:t>
            </w:r>
          </w:p>
        </w:tc>
        <w:tc>
          <w:tcPr>
            <w:tcW w:w="1569" w:type="dxa"/>
            <w:vAlign w:val="center"/>
          </w:tcPr>
          <w:p>
            <w:pPr>
              <w:pStyle w:val="137"/>
              <w:ind w:left="153" w:right="156"/>
              <w:jc w:val="center"/>
              <w:rPr>
                <w:rFonts w:ascii="Times New Roman" w:hAnsi="Times New Roman"/>
                <w:color w:val="auto"/>
                <w:sz w:val="21"/>
                <w:highlight w:val="none"/>
              </w:rPr>
            </w:pPr>
            <w:r>
              <w:rPr>
                <w:rFonts w:ascii="Times New Roman" w:hAnsi="Times New Roman"/>
                <w:color w:val="auto"/>
                <w:sz w:val="21"/>
                <w:highlight w:val="none"/>
              </w:rPr>
              <w:t>污染物编号</w:t>
            </w:r>
          </w:p>
        </w:tc>
        <w:tc>
          <w:tcPr>
            <w:tcW w:w="2666" w:type="dxa"/>
            <w:vAlign w:val="center"/>
          </w:tcPr>
          <w:p>
            <w:pPr>
              <w:pStyle w:val="137"/>
              <w:ind w:left="136" w:right="135"/>
              <w:jc w:val="center"/>
              <w:rPr>
                <w:rFonts w:ascii="Times New Roman" w:hAnsi="Times New Roman"/>
                <w:color w:val="auto"/>
                <w:sz w:val="21"/>
                <w:highlight w:val="none"/>
              </w:rPr>
            </w:pPr>
            <w:r>
              <w:rPr>
                <w:rFonts w:ascii="Times New Roman" w:hAnsi="Times New Roman"/>
                <w:color w:val="auto"/>
                <w:sz w:val="21"/>
                <w:highlight w:val="none"/>
              </w:rPr>
              <w:t>污染物种类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86" w:type="dxa"/>
            <w:vAlign w:val="center"/>
          </w:tcPr>
          <w:p>
            <w:pPr>
              <w:jc w:val="center"/>
              <w:rPr>
                <w:color w:val="auto"/>
                <w:highlight w:val="none"/>
              </w:rPr>
            </w:pPr>
            <w:r>
              <w:rPr>
                <w:color w:val="auto"/>
                <w:highlight w:val="none"/>
              </w:rPr>
              <w:t>1</w:t>
            </w:r>
          </w:p>
        </w:tc>
        <w:tc>
          <w:tcPr>
            <w:tcW w:w="3766" w:type="dxa"/>
            <w:vAlign w:val="center"/>
          </w:tcPr>
          <w:p>
            <w:pPr>
              <w:jc w:val="center"/>
              <w:rPr>
                <w:color w:val="auto"/>
                <w:highlight w:val="none"/>
              </w:rPr>
            </w:pPr>
            <w:r>
              <w:rPr>
                <w:rFonts w:hint="eastAsia"/>
                <w:color w:val="auto"/>
                <w:highlight w:val="none"/>
              </w:rPr>
              <w:t>破碎</w:t>
            </w:r>
          </w:p>
        </w:tc>
        <w:tc>
          <w:tcPr>
            <w:tcW w:w="1569" w:type="dxa"/>
            <w:vAlign w:val="center"/>
          </w:tcPr>
          <w:p>
            <w:pPr>
              <w:pStyle w:val="137"/>
              <w:ind w:left="153" w:right="155"/>
              <w:jc w:val="center"/>
              <w:rPr>
                <w:rFonts w:ascii="Times New Roman" w:hAnsi="Times New Roman"/>
                <w:color w:val="auto"/>
                <w:sz w:val="21"/>
                <w:highlight w:val="none"/>
                <w:lang w:eastAsia="zh-CN"/>
              </w:rPr>
            </w:pPr>
            <w:r>
              <w:rPr>
                <w:rFonts w:ascii="Times New Roman" w:hAnsi="Times New Roman"/>
                <w:color w:val="auto"/>
                <w:highlight w:val="none"/>
                <w:lang w:eastAsia="zh-CN"/>
              </w:rPr>
              <w:t>G</w:t>
            </w:r>
            <w:r>
              <w:rPr>
                <w:rFonts w:hint="eastAsia"/>
                <w:color w:val="auto"/>
                <w:highlight w:val="none"/>
                <w:vertAlign w:val="subscript"/>
                <w:lang w:eastAsia="zh-CN"/>
              </w:rPr>
              <w:t>6</w:t>
            </w:r>
            <w:r>
              <w:rPr>
                <w:rFonts w:ascii="Times New Roman" w:hAnsi="Times New Roman"/>
                <w:color w:val="auto"/>
                <w:highlight w:val="none"/>
                <w:vertAlign w:val="subscript"/>
                <w:lang w:eastAsia="zh-CN"/>
              </w:rPr>
              <w:t>-1</w:t>
            </w:r>
          </w:p>
        </w:tc>
        <w:tc>
          <w:tcPr>
            <w:tcW w:w="2666" w:type="dxa"/>
            <w:vAlign w:val="center"/>
          </w:tcPr>
          <w:p>
            <w:pPr>
              <w:pStyle w:val="137"/>
              <w:ind w:left="135" w:right="135"/>
              <w:jc w:val="center"/>
              <w:rPr>
                <w:rFonts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颗粒物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86" w:type="dxa"/>
            <w:vAlign w:val="center"/>
          </w:tcPr>
          <w:p>
            <w:pPr>
              <w:pStyle w:val="137"/>
              <w:ind w:left="21"/>
              <w:jc w:val="center"/>
              <w:rPr>
                <w:rFonts w:ascii="Times New Roman" w:hAnsi="Times New Roman"/>
                <w:color w:val="auto"/>
                <w:highlight w:val="none"/>
              </w:rPr>
            </w:pPr>
            <w:r>
              <w:rPr>
                <w:rFonts w:ascii="Times New Roman" w:hAnsi="Times New Roman"/>
                <w:color w:val="auto"/>
                <w:sz w:val="21"/>
                <w:highlight w:val="none"/>
                <w:lang w:eastAsia="zh-CN"/>
              </w:rPr>
              <w:t>2</w:t>
            </w:r>
          </w:p>
        </w:tc>
        <w:tc>
          <w:tcPr>
            <w:tcW w:w="3766" w:type="dxa"/>
            <w:vAlign w:val="center"/>
          </w:tcPr>
          <w:p>
            <w:pPr>
              <w:pStyle w:val="137"/>
              <w:ind w:left="64" w:right="64"/>
              <w:jc w:val="center"/>
              <w:rPr>
                <w:rFonts w:ascii="Times New Roman" w:hAnsi="Times New Roman"/>
                <w:color w:val="auto"/>
                <w:sz w:val="21"/>
                <w:highlight w:val="none"/>
                <w:lang w:eastAsia="zh-CN"/>
              </w:rPr>
            </w:pPr>
            <w:r>
              <w:rPr>
                <w:rFonts w:hint="eastAsia"/>
                <w:color w:val="auto"/>
                <w:highlight w:val="none"/>
                <w:lang w:eastAsia="zh-CN"/>
              </w:rPr>
              <w:t>破碎</w:t>
            </w:r>
          </w:p>
        </w:tc>
        <w:tc>
          <w:tcPr>
            <w:tcW w:w="1569" w:type="dxa"/>
            <w:vAlign w:val="center"/>
          </w:tcPr>
          <w:p>
            <w:pPr>
              <w:pStyle w:val="137"/>
              <w:ind w:right="1"/>
              <w:jc w:val="center"/>
              <w:rPr>
                <w:rFonts w:ascii="Times New Roman" w:hAnsi="Times New Roman"/>
                <w:color w:val="auto"/>
                <w:sz w:val="21"/>
                <w:highlight w:val="none"/>
                <w:lang w:eastAsia="zh-CN"/>
              </w:rPr>
            </w:pPr>
            <w:r>
              <w:rPr>
                <w:rFonts w:ascii="Times New Roman" w:hAnsi="Times New Roman"/>
                <w:color w:val="auto"/>
                <w:sz w:val="21"/>
                <w:highlight w:val="none"/>
              </w:rPr>
              <w:t>N</w:t>
            </w:r>
          </w:p>
        </w:tc>
        <w:tc>
          <w:tcPr>
            <w:tcW w:w="2666" w:type="dxa"/>
            <w:vAlign w:val="center"/>
          </w:tcPr>
          <w:p>
            <w:pPr>
              <w:pStyle w:val="137"/>
              <w:ind w:left="135" w:right="135"/>
              <w:jc w:val="center"/>
              <w:rPr>
                <w:rFonts w:ascii="Times New Roman" w:hAnsi="Times New Roman"/>
                <w:color w:val="auto"/>
                <w:sz w:val="21"/>
                <w:highlight w:val="none"/>
                <w:lang w:eastAsia="zh-CN"/>
              </w:rPr>
            </w:pPr>
            <w:r>
              <w:rPr>
                <w:rFonts w:ascii="Times New Roman" w:hAnsi="Times New Roman"/>
                <w:color w:val="auto"/>
                <w:sz w:val="21"/>
                <w:highlight w:val="none"/>
              </w:rPr>
              <w:t>噪声</w:t>
            </w:r>
          </w:p>
        </w:tc>
      </w:tr>
    </w:tbl>
    <w:p>
      <w:pPr>
        <w:pStyle w:val="101"/>
        <w:spacing w:before="78"/>
        <w:rPr>
          <w:rFonts w:ascii="Times New Roman" w:hAnsi="Times New Roman"/>
          <w:color w:val="auto"/>
          <w:highlight w:val="none"/>
        </w:rPr>
      </w:pPr>
      <w:r>
        <w:rPr>
          <w:rFonts w:ascii="Times New Roman" w:hAnsi="Times New Roman"/>
          <w:color w:val="auto"/>
          <w:highlight w:val="none"/>
        </w:rPr>
        <w:t>2.2.</w:t>
      </w:r>
      <w:r>
        <w:rPr>
          <w:rFonts w:hint="eastAsia" w:ascii="Times New Roman" w:hAnsi="Times New Roman"/>
          <w:color w:val="auto"/>
          <w:highlight w:val="none"/>
        </w:rPr>
        <w:t>7项目产污环节分析</w:t>
      </w:r>
    </w:p>
    <w:p>
      <w:pPr>
        <w:spacing w:line="360" w:lineRule="auto"/>
        <w:ind w:firstLine="480" w:firstLineChars="200"/>
        <w:rPr>
          <w:color w:val="auto"/>
          <w:sz w:val="24"/>
          <w:highlight w:val="none"/>
        </w:rPr>
      </w:pPr>
      <w:r>
        <w:rPr>
          <w:rFonts w:hint="eastAsia"/>
          <w:color w:val="auto"/>
          <w:sz w:val="24"/>
          <w:highlight w:val="none"/>
        </w:rPr>
        <w:t>全厂产污环节见表2.2-7。</w:t>
      </w:r>
    </w:p>
    <w:p>
      <w:pPr>
        <w:pStyle w:val="103"/>
        <w:rPr>
          <w:rFonts w:ascii="Times New Roman" w:hAnsi="Times New Roman"/>
          <w:color w:val="auto"/>
          <w:highlight w:val="none"/>
        </w:rPr>
      </w:pPr>
      <w:r>
        <w:rPr>
          <w:rFonts w:ascii="Times New Roman" w:hAnsi="Times New Roman"/>
          <w:color w:val="auto"/>
          <w:highlight w:val="none"/>
        </w:rPr>
        <w:t>表2.2-</w:t>
      </w:r>
      <w:r>
        <w:rPr>
          <w:rFonts w:hint="eastAsia" w:ascii="Times New Roman" w:hAnsi="Times New Roman"/>
          <w:color w:val="auto"/>
          <w:highlight w:val="none"/>
        </w:rPr>
        <w:t>7</w:t>
      </w:r>
      <w:r>
        <w:rPr>
          <w:rFonts w:ascii="Times New Roman" w:hAnsi="Times New Roman"/>
          <w:color w:val="auto"/>
          <w:highlight w:val="none"/>
        </w:rPr>
        <w:t xml:space="preserve">  </w:t>
      </w:r>
      <w:r>
        <w:rPr>
          <w:rFonts w:hint="eastAsia" w:ascii="Times New Roman" w:hAnsi="Times New Roman"/>
          <w:color w:val="auto"/>
          <w:highlight w:val="none"/>
        </w:rPr>
        <w:t>项目产污环节及治理情况一览表</w:t>
      </w:r>
    </w:p>
    <w:tbl>
      <w:tblPr>
        <w:tblStyle w:val="59"/>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95"/>
        <w:gridCol w:w="1112"/>
        <w:gridCol w:w="748"/>
        <w:gridCol w:w="1151"/>
        <w:gridCol w:w="2097"/>
        <w:gridCol w:w="1724"/>
        <w:gridCol w:w="139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Align w:val="center"/>
          </w:tcPr>
          <w:p>
            <w:pPr>
              <w:pStyle w:val="105"/>
              <w:jc w:val="center"/>
              <w:rPr>
                <w:color w:val="auto"/>
                <w:szCs w:val="21"/>
                <w:highlight w:val="none"/>
              </w:rPr>
            </w:pPr>
            <w:r>
              <w:rPr>
                <w:color w:val="auto"/>
                <w:szCs w:val="21"/>
                <w:highlight w:val="none"/>
              </w:rPr>
              <w:t>类别</w:t>
            </w:r>
          </w:p>
        </w:tc>
        <w:tc>
          <w:tcPr>
            <w:tcW w:w="623" w:type="pct"/>
            <w:shd w:val="clear" w:color="auto" w:fill="auto"/>
            <w:tcMar>
              <w:left w:w="28" w:type="dxa"/>
              <w:right w:w="28" w:type="dxa"/>
            </w:tcMar>
            <w:vAlign w:val="center"/>
          </w:tcPr>
          <w:p>
            <w:pPr>
              <w:pStyle w:val="105"/>
              <w:jc w:val="center"/>
              <w:rPr>
                <w:color w:val="auto"/>
                <w:szCs w:val="21"/>
                <w:highlight w:val="none"/>
              </w:rPr>
            </w:pPr>
            <w:r>
              <w:rPr>
                <w:rFonts w:hint="eastAsia"/>
                <w:color w:val="auto"/>
                <w:szCs w:val="21"/>
                <w:highlight w:val="none"/>
              </w:rPr>
              <w:t>产品</w:t>
            </w:r>
          </w:p>
        </w:tc>
        <w:tc>
          <w:tcPr>
            <w:tcW w:w="418" w:type="pct"/>
            <w:shd w:val="clear" w:color="auto" w:fill="auto"/>
            <w:tcMar>
              <w:left w:w="28" w:type="dxa"/>
              <w:right w:w="28" w:type="dxa"/>
            </w:tcMar>
            <w:vAlign w:val="center"/>
          </w:tcPr>
          <w:p>
            <w:pPr>
              <w:pStyle w:val="105"/>
              <w:jc w:val="center"/>
              <w:rPr>
                <w:color w:val="auto"/>
                <w:szCs w:val="21"/>
                <w:highlight w:val="none"/>
              </w:rPr>
            </w:pPr>
            <w:r>
              <w:rPr>
                <w:color w:val="auto"/>
                <w:szCs w:val="21"/>
                <w:highlight w:val="none"/>
              </w:rPr>
              <w:t>编号</w:t>
            </w:r>
          </w:p>
        </w:tc>
        <w:tc>
          <w:tcPr>
            <w:tcW w:w="645" w:type="pct"/>
            <w:shd w:val="clear" w:color="auto" w:fill="auto"/>
            <w:tcMar>
              <w:left w:w="28" w:type="dxa"/>
              <w:right w:w="28" w:type="dxa"/>
            </w:tcMar>
            <w:vAlign w:val="center"/>
          </w:tcPr>
          <w:p>
            <w:pPr>
              <w:pStyle w:val="105"/>
              <w:jc w:val="center"/>
              <w:rPr>
                <w:color w:val="auto"/>
                <w:szCs w:val="21"/>
                <w:highlight w:val="none"/>
              </w:rPr>
            </w:pPr>
            <w:r>
              <w:rPr>
                <w:color w:val="auto"/>
                <w:szCs w:val="21"/>
                <w:highlight w:val="none"/>
              </w:rPr>
              <w:t>产污环节</w:t>
            </w:r>
          </w:p>
        </w:tc>
        <w:tc>
          <w:tcPr>
            <w:tcW w:w="1175" w:type="pct"/>
            <w:shd w:val="clear" w:color="auto" w:fill="auto"/>
            <w:tcMar>
              <w:left w:w="28" w:type="dxa"/>
              <w:right w:w="28" w:type="dxa"/>
            </w:tcMar>
            <w:vAlign w:val="center"/>
          </w:tcPr>
          <w:p>
            <w:pPr>
              <w:pStyle w:val="105"/>
              <w:jc w:val="center"/>
              <w:rPr>
                <w:color w:val="auto"/>
                <w:szCs w:val="21"/>
                <w:highlight w:val="none"/>
              </w:rPr>
            </w:pPr>
            <w:r>
              <w:rPr>
                <w:color w:val="auto"/>
                <w:szCs w:val="21"/>
                <w:highlight w:val="none"/>
              </w:rPr>
              <w:t>污染物组成</w:t>
            </w:r>
          </w:p>
        </w:tc>
        <w:tc>
          <w:tcPr>
            <w:tcW w:w="966" w:type="pct"/>
            <w:tcMar>
              <w:left w:w="28" w:type="dxa"/>
              <w:right w:w="28" w:type="dxa"/>
            </w:tcMar>
            <w:vAlign w:val="center"/>
          </w:tcPr>
          <w:p>
            <w:pPr>
              <w:pStyle w:val="105"/>
              <w:jc w:val="center"/>
              <w:rPr>
                <w:color w:val="auto"/>
                <w:szCs w:val="21"/>
                <w:highlight w:val="none"/>
              </w:rPr>
            </w:pPr>
            <w:r>
              <w:rPr>
                <w:color w:val="auto"/>
                <w:szCs w:val="21"/>
                <w:highlight w:val="none"/>
              </w:rPr>
              <w:t>治理措施</w:t>
            </w:r>
          </w:p>
        </w:tc>
        <w:tc>
          <w:tcPr>
            <w:tcW w:w="780" w:type="pct"/>
            <w:shd w:val="clear" w:color="auto" w:fill="auto"/>
            <w:tcMar>
              <w:left w:w="28" w:type="dxa"/>
              <w:right w:w="28" w:type="dxa"/>
            </w:tcMar>
            <w:vAlign w:val="center"/>
          </w:tcPr>
          <w:p>
            <w:pPr>
              <w:pStyle w:val="105"/>
              <w:jc w:val="center"/>
              <w:rPr>
                <w:color w:val="auto"/>
                <w:szCs w:val="21"/>
                <w:highlight w:val="none"/>
              </w:rPr>
            </w:pPr>
            <w:r>
              <w:rPr>
                <w:color w:val="auto"/>
                <w:szCs w:val="21"/>
                <w:highlight w:val="none"/>
              </w:rPr>
              <w:t>排放方式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restart"/>
            <w:vAlign w:val="center"/>
          </w:tcPr>
          <w:p>
            <w:pPr>
              <w:pStyle w:val="105"/>
              <w:jc w:val="center"/>
              <w:rPr>
                <w:color w:val="auto"/>
                <w:szCs w:val="21"/>
                <w:highlight w:val="none"/>
              </w:rPr>
            </w:pPr>
            <w:r>
              <w:rPr>
                <w:rFonts w:hint="eastAsia"/>
                <w:color w:val="auto"/>
                <w:szCs w:val="21"/>
                <w:highlight w:val="none"/>
              </w:rPr>
              <w:t>废气</w:t>
            </w:r>
          </w:p>
        </w:tc>
        <w:tc>
          <w:tcPr>
            <w:tcW w:w="623" w:type="pct"/>
            <w:shd w:val="clear" w:color="auto" w:fill="auto"/>
            <w:tcMar>
              <w:left w:w="28" w:type="dxa"/>
              <w:right w:w="28" w:type="dxa"/>
            </w:tcMar>
            <w:vAlign w:val="center"/>
          </w:tcPr>
          <w:p>
            <w:pPr>
              <w:pStyle w:val="105"/>
              <w:jc w:val="center"/>
              <w:rPr>
                <w:color w:val="auto"/>
                <w:szCs w:val="21"/>
                <w:highlight w:val="none"/>
              </w:rPr>
            </w:pPr>
            <w:r>
              <w:rPr>
                <w:rFonts w:hint="eastAsia"/>
                <w:color w:val="auto"/>
                <w:szCs w:val="21"/>
                <w:highlight w:val="none"/>
              </w:rPr>
              <w:t>给水管</w:t>
            </w:r>
          </w:p>
        </w:tc>
        <w:tc>
          <w:tcPr>
            <w:tcW w:w="418" w:type="pct"/>
            <w:shd w:val="clear" w:color="auto" w:fill="auto"/>
            <w:tcMar>
              <w:left w:w="28" w:type="dxa"/>
              <w:right w:w="28" w:type="dxa"/>
            </w:tcMar>
            <w:vAlign w:val="center"/>
          </w:tcPr>
          <w:p>
            <w:pPr>
              <w:pStyle w:val="105"/>
              <w:jc w:val="center"/>
              <w:rPr>
                <w:color w:val="auto"/>
                <w:szCs w:val="21"/>
                <w:highlight w:val="none"/>
              </w:rPr>
            </w:pPr>
            <w:r>
              <w:rPr>
                <w:rFonts w:hint="eastAsia"/>
                <w:color w:val="auto"/>
                <w:szCs w:val="21"/>
                <w:highlight w:val="none"/>
              </w:rPr>
              <w:t>G</w:t>
            </w:r>
            <w:r>
              <w:rPr>
                <w:rFonts w:hint="eastAsia"/>
                <w:color w:val="auto"/>
                <w:szCs w:val="21"/>
                <w:highlight w:val="none"/>
                <w:vertAlign w:val="subscript"/>
              </w:rPr>
              <w:t>1-1</w:t>
            </w:r>
          </w:p>
        </w:tc>
        <w:tc>
          <w:tcPr>
            <w:tcW w:w="645" w:type="pct"/>
            <w:shd w:val="clear" w:color="auto" w:fill="auto"/>
            <w:tcMar>
              <w:left w:w="28" w:type="dxa"/>
              <w:right w:w="28" w:type="dxa"/>
            </w:tcMar>
            <w:vAlign w:val="center"/>
          </w:tcPr>
          <w:p>
            <w:pPr>
              <w:pStyle w:val="105"/>
              <w:jc w:val="center"/>
              <w:rPr>
                <w:color w:val="auto"/>
                <w:szCs w:val="21"/>
                <w:highlight w:val="none"/>
              </w:rPr>
            </w:pPr>
            <w:r>
              <w:rPr>
                <w:color w:val="auto"/>
                <w:highlight w:val="none"/>
              </w:rPr>
              <w:t>挤出</w:t>
            </w:r>
          </w:p>
        </w:tc>
        <w:tc>
          <w:tcPr>
            <w:tcW w:w="1175" w:type="pct"/>
            <w:shd w:val="clear" w:color="auto" w:fill="auto"/>
            <w:tcMar>
              <w:left w:w="28" w:type="dxa"/>
              <w:right w:w="28" w:type="dxa"/>
            </w:tcMar>
            <w:vAlign w:val="center"/>
          </w:tcPr>
          <w:p>
            <w:pPr>
              <w:pStyle w:val="105"/>
              <w:jc w:val="center"/>
              <w:rPr>
                <w:color w:val="auto"/>
                <w:szCs w:val="21"/>
                <w:highlight w:val="none"/>
              </w:rPr>
            </w:pPr>
            <w:r>
              <w:rPr>
                <w:rFonts w:hint="eastAsia" w:ascii="Times New Roman" w:hAnsi="Times New Roman" w:eastAsia="宋体"/>
                <w:color w:val="auto"/>
                <w:sz w:val="21"/>
                <w:szCs w:val="21"/>
                <w:highlight w:val="none"/>
                <w:lang w:eastAsia="zh-CN"/>
              </w:rPr>
              <w:t>颗粒物、</w:t>
            </w:r>
            <w:r>
              <w:rPr>
                <w:rFonts w:hint="eastAsia"/>
                <w:color w:val="auto"/>
                <w:szCs w:val="21"/>
                <w:highlight w:val="none"/>
              </w:rPr>
              <w:t>VOCs</w:t>
            </w:r>
          </w:p>
        </w:tc>
        <w:tc>
          <w:tcPr>
            <w:tcW w:w="966" w:type="pct"/>
            <w:vMerge w:val="restart"/>
            <w:tcMar>
              <w:left w:w="28" w:type="dxa"/>
              <w:right w:w="28" w:type="dxa"/>
            </w:tcMar>
            <w:vAlign w:val="center"/>
          </w:tcPr>
          <w:p>
            <w:pPr>
              <w:pStyle w:val="105"/>
              <w:jc w:val="center"/>
              <w:rPr>
                <w:color w:val="auto"/>
                <w:szCs w:val="21"/>
                <w:highlight w:val="none"/>
              </w:rPr>
            </w:pPr>
            <w:r>
              <w:rPr>
                <w:rFonts w:hint="eastAsia"/>
                <w:color w:val="auto"/>
                <w:szCs w:val="21"/>
                <w:highlight w:val="none"/>
              </w:rPr>
              <w:t>布袋除尘器+吸附浓缩+催化燃烧</w:t>
            </w:r>
          </w:p>
        </w:tc>
        <w:tc>
          <w:tcPr>
            <w:tcW w:w="780" w:type="pct"/>
            <w:vMerge w:val="restart"/>
            <w:shd w:val="clear" w:color="auto" w:fill="auto"/>
            <w:tcMar>
              <w:left w:w="28" w:type="dxa"/>
              <w:right w:w="28" w:type="dxa"/>
            </w:tcMar>
            <w:vAlign w:val="center"/>
          </w:tcPr>
          <w:p>
            <w:pPr>
              <w:pStyle w:val="105"/>
              <w:jc w:val="center"/>
              <w:rPr>
                <w:rFonts w:hint="eastAsia"/>
                <w:color w:val="auto"/>
                <w:szCs w:val="21"/>
                <w:highlight w:val="none"/>
              </w:rPr>
            </w:pPr>
            <w:r>
              <w:rPr>
                <w:rFonts w:hint="eastAsia"/>
                <w:color w:val="auto"/>
                <w:szCs w:val="21"/>
                <w:highlight w:val="none"/>
                <w:lang w:eastAsia="zh-CN"/>
              </w:rPr>
              <w:t>20m</w:t>
            </w:r>
            <w:r>
              <w:rPr>
                <w:rFonts w:hint="eastAsia"/>
                <w:color w:val="auto"/>
                <w:szCs w:val="21"/>
                <w:highlight w:val="none"/>
              </w:rPr>
              <w:t>高排气筒外排（DA001）</w:t>
            </w:r>
          </w:p>
          <w:p>
            <w:pPr>
              <w:pStyle w:val="105"/>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continue"/>
            <w:vAlign w:val="center"/>
          </w:tcPr>
          <w:p>
            <w:pPr>
              <w:pStyle w:val="105"/>
              <w:jc w:val="center"/>
              <w:rPr>
                <w:color w:val="auto"/>
                <w:szCs w:val="21"/>
                <w:highlight w:val="none"/>
              </w:rPr>
            </w:pPr>
          </w:p>
        </w:tc>
        <w:tc>
          <w:tcPr>
            <w:tcW w:w="623" w:type="pct"/>
            <w:shd w:val="clear" w:color="auto" w:fill="auto"/>
            <w:tcMar>
              <w:left w:w="28" w:type="dxa"/>
              <w:right w:w="28" w:type="dxa"/>
            </w:tcMar>
            <w:vAlign w:val="center"/>
          </w:tcPr>
          <w:p>
            <w:pPr>
              <w:pStyle w:val="105"/>
              <w:jc w:val="center"/>
              <w:rPr>
                <w:color w:val="auto"/>
                <w:szCs w:val="21"/>
                <w:highlight w:val="none"/>
              </w:rPr>
            </w:pPr>
            <w:r>
              <w:rPr>
                <w:rFonts w:hint="eastAsia"/>
                <w:color w:val="auto"/>
                <w:highlight w:val="none"/>
              </w:rPr>
              <w:t>造粒</w:t>
            </w:r>
          </w:p>
        </w:tc>
        <w:tc>
          <w:tcPr>
            <w:tcW w:w="418" w:type="pct"/>
            <w:shd w:val="clear" w:color="auto" w:fill="auto"/>
            <w:tcMar>
              <w:left w:w="28" w:type="dxa"/>
              <w:right w:w="28" w:type="dxa"/>
            </w:tcMar>
            <w:vAlign w:val="center"/>
          </w:tcPr>
          <w:p>
            <w:pPr>
              <w:pStyle w:val="105"/>
              <w:jc w:val="center"/>
              <w:rPr>
                <w:color w:val="auto"/>
                <w:szCs w:val="21"/>
                <w:highlight w:val="none"/>
              </w:rPr>
            </w:pPr>
            <w:r>
              <w:rPr>
                <w:rFonts w:hint="eastAsia"/>
                <w:color w:val="auto"/>
                <w:szCs w:val="21"/>
                <w:highlight w:val="none"/>
              </w:rPr>
              <w:t>G</w:t>
            </w:r>
            <w:r>
              <w:rPr>
                <w:rFonts w:hint="eastAsia"/>
                <w:color w:val="auto"/>
                <w:szCs w:val="21"/>
                <w:highlight w:val="none"/>
                <w:vertAlign w:val="subscript"/>
              </w:rPr>
              <w:t>2-1</w:t>
            </w:r>
          </w:p>
        </w:tc>
        <w:tc>
          <w:tcPr>
            <w:tcW w:w="645" w:type="pct"/>
            <w:shd w:val="clear" w:color="auto" w:fill="auto"/>
            <w:tcMar>
              <w:left w:w="28" w:type="dxa"/>
              <w:right w:w="28" w:type="dxa"/>
            </w:tcMar>
            <w:vAlign w:val="center"/>
          </w:tcPr>
          <w:p>
            <w:pPr>
              <w:pStyle w:val="105"/>
              <w:jc w:val="center"/>
              <w:rPr>
                <w:color w:val="auto"/>
                <w:szCs w:val="21"/>
                <w:highlight w:val="none"/>
              </w:rPr>
            </w:pPr>
            <w:r>
              <w:rPr>
                <w:color w:val="auto"/>
                <w:szCs w:val="21"/>
                <w:highlight w:val="none"/>
              </w:rPr>
              <w:t>熔融挤出</w:t>
            </w:r>
          </w:p>
        </w:tc>
        <w:tc>
          <w:tcPr>
            <w:tcW w:w="1175" w:type="pct"/>
            <w:shd w:val="clear" w:color="auto" w:fill="auto"/>
            <w:tcMar>
              <w:left w:w="28" w:type="dxa"/>
              <w:right w:w="28" w:type="dxa"/>
            </w:tcMar>
            <w:vAlign w:val="center"/>
          </w:tcPr>
          <w:p>
            <w:pPr>
              <w:pStyle w:val="105"/>
              <w:jc w:val="center"/>
              <w:rPr>
                <w:color w:val="auto"/>
                <w:szCs w:val="21"/>
                <w:highlight w:val="none"/>
              </w:rPr>
            </w:pPr>
            <w:r>
              <w:rPr>
                <w:rFonts w:hint="eastAsia"/>
                <w:color w:val="auto"/>
                <w:szCs w:val="21"/>
                <w:highlight w:val="none"/>
              </w:rPr>
              <w:t>颗粒物、VOCs</w:t>
            </w:r>
          </w:p>
        </w:tc>
        <w:tc>
          <w:tcPr>
            <w:tcW w:w="966" w:type="pct"/>
            <w:vMerge w:val="continue"/>
            <w:tcMar>
              <w:left w:w="28" w:type="dxa"/>
              <w:right w:w="28" w:type="dxa"/>
            </w:tcMar>
            <w:vAlign w:val="center"/>
          </w:tcPr>
          <w:p>
            <w:pPr>
              <w:pStyle w:val="105"/>
              <w:jc w:val="center"/>
              <w:rPr>
                <w:color w:val="auto"/>
                <w:szCs w:val="21"/>
                <w:highlight w:val="none"/>
              </w:rPr>
            </w:pPr>
          </w:p>
        </w:tc>
        <w:tc>
          <w:tcPr>
            <w:tcW w:w="780" w:type="pct"/>
            <w:vMerge w:val="continue"/>
            <w:shd w:val="clear" w:color="auto" w:fill="auto"/>
            <w:tcMar>
              <w:left w:w="28" w:type="dxa"/>
              <w:right w:w="28" w:type="dxa"/>
            </w:tcMar>
            <w:vAlign w:val="center"/>
          </w:tcPr>
          <w:p>
            <w:pPr>
              <w:pStyle w:val="105"/>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continue"/>
            <w:vAlign w:val="center"/>
          </w:tcPr>
          <w:p>
            <w:pPr>
              <w:pStyle w:val="105"/>
              <w:jc w:val="center"/>
              <w:rPr>
                <w:color w:val="auto"/>
                <w:szCs w:val="21"/>
                <w:highlight w:val="none"/>
              </w:rPr>
            </w:pPr>
          </w:p>
        </w:tc>
        <w:tc>
          <w:tcPr>
            <w:tcW w:w="623" w:type="pct"/>
            <w:shd w:val="clear" w:color="auto" w:fill="auto"/>
            <w:tcMar>
              <w:left w:w="28" w:type="dxa"/>
              <w:right w:w="28" w:type="dxa"/>
            </w:tcMar>
            <w:vAlign w:val="center"/>
          </w:tcPr>
          <w:p>
            <w:pPr>
              <w:pStyle w:val="105"/>
              <w:jc w:val="center"/>
              <w:rPr>
                <w:color w:val="auto"/>
                <w:szCs w:val="21"/>
                <w:highlight w:val="none"/>
              </w:rPr>
            </w:pPr>
            <w:r>
              <w:rPr>
                <w:rFonts w:hint="eastAsia"/>
                <w:color w:val="auto"/>
                <w:szCs w:val="21"/>
                <w:highlight w:val="none"/>
              </w:rPr>
              <w:t>中空壁缠绕管</w:t>
            </w:r>
          </w:p>
        </w:tc>
        <w:tc>
          <w:tcPr>
            <w:tcW w:w="418" w:type="pct"/>
            <w:shd w:val="clear" w:color="auto" w:fill="auto"/>
            <w:tcMar>
              <w:left w:w="28" w:type="dxa"/>
              <w:right w:w="28" w:type="dxa"/>
            </w:tcMar>
            <w:vAlign w:val="center"/>
          </w:tcPr>
          <w:p>
            <w:pPr>
              <w:pStyle w:val="137"/>
              <w:ind w:left="153" w:right="155"/>
              <w:jc w:val="center"/>
              <w:rPr>
                <w:color w:val="auto"/>
                <w:szCs w:val="21"/>
                <w:highlight w:val="none"/>
              </w:rPr>
            </w:pPr>
            <w:r>
              <w:rPr>
                <w:rFonts w:ascii="Times New Roman" w:hAnsi="Times New Roman"/>
                <w:color w:val="auto"/>
                <w:highlight w:val="none"/>
                <w:lang w:eastAsia="zh-CN"/>
              </w:rPr>
              <w:t>G</w:t>
            </w:r>
            <w:r>
              <w:rPr>
                <w:rFonts w:hint="eastAsia"/>
                <w:color w:val="auto"/>
                <w:highlight w:val="none"/>
                <w:vertAlign w:val="subscript"/>
                <w:lang w:eastAsia="zh-CN"/>
              </w:rPr>
              <w:t>3</w:t>
            </w:r>
            <w:r>
              <w:rPr>
                <w:rFonts w:ascii="Times New Roman" w:hAnsi="Times New Roman"/>
                <w:color w:val="auto"/>
                <w:highlight w:val="none"/>
                <w:vertAlign w:val="subscript"/>
                <w:lang w:eastAsia="zh-CN"/>
              </w:rPr>
              <w:t>-1</w:t>
            </w:r>
          </w:p>
        </w:tc>
        <w:tc>
          <w:tcPr>
            <w:tcW w:w="645" w:type="pct"/>
            <w:shd w:val="clear" w:color="auto" w:fill="auto"/>
            <w:tcMar>
              <w:left w:w="28" w:type="dxa"/>
              <w:right w:w="28" w:type="dxa"/>
            </w:tcMar>
            <w:vAlign w:val="center"/>
          </w:tcPr>
          <w:p>
            <w:pPr>
              <w:jc w:val="center"/>
              <w:rPr>
                <w:color w:val="auto"/>
                <w:szCs w:val="21"/>
                <w:highlight w:val="none"/>
              </w:rPr>
            </w:pPr>
            <w:r>
              <w:rPr>
                <w:color w:val="auto"/>
                <w:highlight w:val="none"/>
              </w:rPr>
              <w:t>挤出</w:t>
            </w:r>
            <w:r>
              <w:rPr>
                <w:rFonts w:hint="eastAsia"/>
                <w:color w:val="auto"/>
                <w:highlight w:val="none"/>
              </w:rPr>
              <w:t>、缠绕</w:t>
            </w:r>
          </w:p>
        </w:tc>
        <w:tc>
          <w:tcPr>
            <w:tcW w:w="1175" w:type="pct"/>
            <w:shd w:val="clear" w:color="auto" w:fill="auto"/>
            <w:tcMar>
              <w:left w:w="28" w:type="dxa"/>
              <w:right w:w="28" w:type="dxa"/>
            </w:tcMar>
            <w:vAlign w:val="center"/>
          </w:tcPr>
          <w:p>
            <w:pPr>
              <w:pStyle w:val="137"/>
              <w:ind w:left="135" w:right="135"/>
              <w:jc w:val="center"/>
              <w:rPr>
                <w:color w:val="auto"/>
                <w:szCs w:val="21"/>
                <w:highlight w:val="none"/>
              </w:rPr>
            </w:pPr>
            <w:r>
              <w:rPr>
                <w:rFonts w:hint="eastAsia" w:ascii="Times New Roman" w:hAnsi="Times New Roman" w:eastAsia="宋体"/>
                <w:color w:val="auto"/>
                <w:sz w:val="21"/>
                <w:szCs w:val="21"/>
                <w:highlight w:val="none"/>
                <w:lang w:eastAsia="zh-CN"/>
              </w:rPr>
              <w:t>颗粒物、</w:t>
            </w:r>
            <w:r>
              <w:rPr>
                <w:rFonts w:hint="eastAsia" w:ascii="Times New Roman" w:hAnsi="Times New Roman" w:eastAsia="宋体"/>
                <w:color w:val="auto"/>
                <w:sz w:val="21"/>
                <w:highlight w:val="none"/>
                <w:lang w:eastAsia="zh-CN"/>
              </w:rPr>
              <w:t>VOCs</w:t>
            </w:r>
          </w:p>
        </w:tc>
        <w:tc>
          <w:tcPr>
            <w:tcW w:w="966" w:type="pct"/>
            <w:vMerge w:val="continue"/>
            <w:tcMar>
              <w:left w:w="28" w:type="dxa"/>
              <w:right w:w="28" w:type="dxa"/>
            </w:tcMar>
            <w:vAlign w:val="center"/>
          </w:tcPr>
          <w:p>
            <w:pPr>
              <w:pStyle w:val="105"/>
              <w:jc w:val="center"/>
              <w:rPr>
                <w:color w:val="auto"/>
                <w:szCs w:val="21"/>
                <w:highlight w:val="none"/>
              </w:rPr>
            </w:pPr>
          </w:p>
        </w:tc>
        <w:tc>
          <w:tcPr>
            <w:tcW w:w="780" w:type="pct"/>
            <w:vMerge w:val="continue"/>
            <w:shd w:val="clear" w:color="auto" w:fill="auto"/>
            <w:tcMar>
              <w:left w:w="28" w:type="dxa"/>
              <w:right w:w="28" w:type="dxa"/>
            </w:tcMar>
            <w:vAlign w:val="center"/>
          </w:tcPr>
          <w:p>
            <w:pPr>
              <w:pStyle w:val="105"/>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continue"/>
            <w:vAlign w:val="center"/>
          </w:tcPr>
          <w:p>
            <w:pPr>
              <w:pStyle w:val="105"/>
              <w:jc w:val="center"/>
              <w:rPr>
                <w:color w:val="auto"/>
                <w:szCs w:val="21"/>
                <w:highlight w:val="none"/>
              </w:rPr>
            </w:pPr>
          </w:p>
        </w:tc>
        <w:tc>
          <w:tcPr>
            <w:tcW w:w="623" w:type="pct"/>
            <w:shd w:val="clear" w:color="auto" w:fill="auto"/>
            <w:tcMar>
              <w:left w:w="28" w:type="dxa"/>
              <w:right w:w="28" w:type="dxa"/>
            </w:tcMar>
            <w:vAlign w:val="center"/>
          </w:tcPr>
          <w:p>
            <w:pPr>
              <w:pStyle w:val="105"/>
              <w:jc w:val="center"/>
              <w:rPr>
                <w:color w:val="auto"/>
                <w:szCs w:val="21"/>
                <w:highlight w:val="none"/>
              </w:rPr>
            </w:pPr>
            <w:r>
              <w:rPr>
                <w:rFonts w:hint="eastAsia"/>
                <w:color w:val="auto"/>
                <w:highlight w:val="none"/>
              </w:rPr>
              <w:t>双壁波纹管</w:t>
            </w:r>
          </w:p>
        </w:tc>
        <w:tc>
          <w:tcPr>
            <w:tcW w:w="418" w:type="pct"/>
            <w:shd w:val="clear" w:color="auto" w:fill="auto"/>
            <w:tcMar>
              <w:left w:w="28" w:type="dxa"/>
              <w:right w:w="28" w:type="dxa"/>
            </w:tcMar>
            <w:vAlign w:val="center"/>
          </w:tcPr>
          <w:p>
            <w:pPr>
              <w:pStyle w:val="105"/>
              <w:jc w:val="center"/>
              <w:rPr>
                <w:color w:val="auto"/>
                <w:szCs w:val="21"/>
                <w:highlight w:val="none"/>
              </w:rPr>
            </w:pPr>
            <w:r>
              <w:rPr>
                <w:color w:val="auto"/>
                <w:highlight w:val="none"/>
              </w:rPr>
              <w:t>G</w:t>
            </w:r>
            <w:r>
              <w:rPr>
                <w:rFonts w:hint="eastAsia"/>
                <w:color w:val="auto"/>
                <w:highlight w:val="none"/>
                <w:vertAlign w:val="subscript"/>
              </w:rPr>
              <w:t>4</w:t>
            </w:r>
            <w:r>
              <w:rPr>
                <w:color w:val="auto"/>
                <w:highlight w:val="none"/>
                <w:vertAlign w:val="subscript"/>
              </w:rPr>
              <w:t>-1</w:t>
            </w:r>
          </w:p>
        </w:tc>
        <w:tc>
          <w:tcPr>
            <w:tcW w:w="645" w:type="pct"/>
            <w:shd w:val="clear" w:color="auto" w:fill="auto"/>
            <w:tcMar>
              <w:left w:w="28" w:type="dxa"/>
              <w:right w:w="28" w:type="dxa"/>
            </w:tcMar>
            <w:vAlign w:val="center"/>
          </w:tcPr>
          <w:p>
            <w:pPr>
              <w:pStyle w:val="105"/>
              <w:jc w:val="center"/>
              <w:rPr>
                <w:color w:val="auto"/>
                <w:szCs w:val="21"/>
                <w:highlight w:val="none"/>
              </w:rPr>
            </w:pPr>
            <w:r>
              <w:rPr>
                <w:color w:val="auto"/>
                <w:highlight w:val="none"/>
              </w:rPr>
              <w:t>挤出</w:t>
            </w:r>
            <w:r>
              <w:rPr>
                <w:rFonts w:hint="eastAsia"/>
                <w:color w:val="auto"/>
                <w:highlight w:val="none"/>
              </w:rPr>
              <w:t>、成型</w:t>
            </w:r>
          </w:p>
        </w:tc>
        <w:tc>
          <w:tcPr>
            <w:tcW w:w="1175" w:type="pct"/>
            <w:shd w:val="clear" w:color="auto" w:fill="auto"/>
            <w:tcMar>
              <w:left w:w="28" w:type="dxa"/>
              <w:right w:w="28" w:type="dxa"/>
            </w:tcMar>
            <w:vAlign w:val="center"/>
          </w:tcPr>
          <w:p>
            <w:pPr>
              <w:pStyle w:val="105"/>
              <w:jc w:val="center"/>
              <w:rPr>
                <w:color w:val="auto"/>
                <w:szCs w:val="21"/>
                <w:highlight w:val="none"/>
              </w:rPr>
            </w:pPr>
            <w:r>
              <w:rPr>
                <w:rFonts w:hint="eastAsia" w:ascii="Times New Roman" w:hAnsi="Times New Roman" w:eastAsia="宋体"/>
                <w:color w:val="auto"/>
                <w:sz w:val="21"/>
                <w:szCs w:val="21"/>
                <w:highlight w:val="none"/>
                <w:lang w:eastAsia="zh-CN"/>
              </w:rPr>
              <w:t>颗粒物、</w:t>
            </w:r>
            <w:r>
              <w:rPr>
                <w:rFonts w:hint="eastAsia"/>
                <w:color w:val="auto"/>
                <w:highlight w:val="none"/>
              </w:rPr>
              <w:t>VOCs</w:t>
            </w:r>
          </w:p>
        </w:tc>
        <w:tc>
          <w:tcPr>
            <w:tcW w:w="966" w:type="pct"/>
            <w:vMerge w:val="continue"/>
            <w:tcMar>
              <w:left w:w="28" w:type="dxa"/>
              <w:right w:w="28" w:type="dxa"/>
            </w:tcMar>
            <w:vAlign w:val="center"/>
          </w:tcPr>
          <w:p>
            <w:pPr>
              <w:pStyle w:val="105"/>
              <w:jc w:val="center"/>
              <w:rPr>
                <w:color w:val="auto"/>
                <w:szCs w:val="21"/>
                <w:highlight w:val="none"/>
              </w:rPr>
            </w:pPr>
          </w:p>
        </w:tc>
        <w:tc>
          <w:tcPr>
            <w:tcW w:w="780" w:type="pct"/>
            <w:vMerge w:val="continue"/>
            <w:shd w:val="clear" w:color="auto" w:fill="auto"/>
            <w:tcMar>
              <w:left w:w="28" w:type="dxa"/>
              <w:right w:w="28" w:type="dxa"/>
            </w:tcMar>
            <w:vAlign w:val="center"/>
          </w:tcPr>
          <w:p>
            <w:pPr>
              <w:pStyle w:val="105"/>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continue"/>
            <w:vAlign w:val="center"/>
          </w:tcPr>
          <w:p>
            <w:pPr>
              <w:pStyle w:val="105"/>
              <w:jc w:val="center"/>
              <w:rPr>
                <w:color w:val="auto"/>
                <w:szCs w:val="21"/>
                <w:highlight w:val="none"/>
              </w:rPr>
            </w:pPr>
          </w:p>
        </w:tc>
        <w:tc>
          <w:tcPr>
            <w:tcW w:w="623" w:type="pct"/>
            <w:shd w:val="clear" w:color="auto" w:fill="auto"/>
            <w:tcMar>
              <w:left w:w="28" w:type="dxa"/>
              <w:right w:w="28" w:type="dxa"/>
            </w:tcMar>
            <w:vAlign w:val="center"/>
          </w:tcPr>
          <w:p>
            <w:pPr>
              <w:pStyle w:val="105"/>
              <w:jc w:val="center"/>
              <w:rPr>
                <w:color w:val="auto"/>
                <w:szCs w:val="21"/>
                <w:highlight w:val="none"/>
              </w:rPr>
            </w:pPr>
            <w:r>
              <w:rPr>
                <w:rFonts w:hint="eastAsia"/>
                <w:color w:val="auto"/>
                <w:highlight w:val="none"/>
              </w:rPr>
              <w:t>注塑污水管件</w:t>
            </w:r>
          </w:p>
        </w:tc>
        <w:tc>
          <w:tcPr>
            <w:tcW w:w="418" w:type="pct"/>
            <w:shd w:val="clear" w:color="auto" w:fill="auto"/>
            <w:tcMar>
              <w:left w:w="28" w:type="dxa"/>
              <w:right w:w="28" w:type="dxa"/>
            </w:tcMar>
            <w:vAlign w:val="center"/>
          </w:tcPr>
          <w:p>
            <w:pPr>
              <w:pStyle w:val="105"/>
              <w:jc w:val="center"/>
              <w:rPr>
                <w:color w:val="auto"/>
                <w:szCs w:val="21"/>
                <w:highlight w:val="none"/>
              </w:rPr>
            </w:pPr>
            <w:r>
              <w:rPr>
                <w:color w:val="auto"/>
                <w:highlight w:val="none"/>
              </w:rPr>
              <w:t>G</w:t>
            </w:r>
            <w:r>
              <w:rPr>
                <w:rFonts w:hint="eastAsia"/>
                <w:color w:val="auto"/>
                <w:highlight w:val="none"/>
                <w:vertAlign w:val="subscript"/>
              </w:rPr>
              <w:t>5</w:t>
            </w:r>
            <w:r>
              <w:rPr>
                <w:color w:val="auto"/>
                <w:highlight w:val="none"/>
                <w:vertAlign w:val="subscript"/>
              </w:rPr>
              <w:t>-1</w:t>
            </w:r>
          </w:p>
        </w:tc>
        <w:tc>
          <w:tcPr>
            <w:tcW w:w="645" w:type="pct"/>
            <w:shd w:val="clear" w:color="auto" w:fill="auto"/>
            <w:tcMar>
              <w:left w:w="28" w:type="dxa"/>
              <w:right w:w="28" w:type="dxa"/>
            </w:tcMar>
            <w:vAlign w:val="center"/>
          </w:tcPr>
          <w:p>
            <w:pPr>
              <w:pStyle w:val="105"/>
              <w:jc w:val="center"/>
              <w:rPr>
                <w:color w:val="auto"/>
                <w:szCs w:val="21"/>
                <w:highlight w:val="none"/>
              </w:rPr>
            </w:pPr>
            <w:r>
              <w:rPr>
                <w:rFonts w:hint="eastAsia"/>
                <w:color w:val="auto"/>
                <w:highlight w:val="none"/>
              </w:rPr>
              <w:t>注塑成型</w:t>
            </w:r>
          </w:p>
        </w:tc>
        <w:tc>
          <w:tcPr>
            <w:tcW w:w="1175" w:type="pct"/>
            <w:shd w:val="clear" w:color="auto" w:fill="auto"/>
            <w:tcMar>
              <w:left w:w="28" w:type="dxa"/>
              <w:right w:w="28" w:type="dxa"/>
            </w:tcMar>
            <w:vAlign w:val="center"/>
          </w:tcPr>
          <w:p>
            <w:pPr>
              <w:pStyle w:val="105"/>
              <w:jc w:val="center"/>
              <w:rPr>
                <w:color w:val="auto"/>
                <w:szCs w:val="21"/>
                <w:highlight w:val="none"/>
              </w:rPr>
            </w:pPr>
            <w:r>
              <w:rPr>
                <w:rFonts w:hint="eastAsia" w:ascii="Times New Roman" w:hAnsi="Times New Roman" w:eastAsia="宋体"/>
                <w:color w:val="auto"/>
                <w:sz w:val="21"/>
                <w:szCs w:val="21"/>
                <w:highlight w:val="none"/>
                <w:lang w:eastAsia="zh-CN"/>
              </w:rPr>
              <w:t>颗粒物、</w:t>
            </w:r>
            <w:r>
              <w:rPr>
                <w:rFonts w:hint="eastAsia"/>
                <w:color w:val="auto"/>
                <w:szCs w:val="21"/>
                <w:highlight w:val="none"/>
              </w:rPr>
              <w:t>VOCs</w:t>
            </w:r>
          </w:p>
        </w:tc>
        <w:tc>
          <w:tcPr>
            <w:tcW w:w="966" w:type="pct"/>
            <w:vMerge w:val="continue"/>
            <w:tcMar>
              <w:left w:w="28" w:type="dxa"/>
              <w:right w:w="28" w:type="dxa"/>
            </w:tcMar>
            <w:vAlign w:val="center"/>
          </w:tcPr>
          <w:p>
            <w:pPr>
              <w:pStyle w:val="105"/>
              <w:jc w:val="center"/>
              <w:rPr>
                <w:color w:val="auto"/>
                <w:szCs w:val="21"/>
                <w:highlight w:val="none"/>
              </w:rPr>
            </w:pPr>
          </w:p>
        </w:tc>
        <w:tc>
          <w:tcPr>
            <w:tcW w:w="780" w:type="pct"/>
            <w:vMerge w:val="continue"/>
            <w:shd w:val="clear" w:color="auto" w:fill="auto"/>
            <w:tcMar>
              <w:left w:w="28" w:type="dxa"/>
              <w:right w:w="28" w:type="dxa"/>
            </w:tcMar>
            <w:vAlign w:val="center"/>
          </w:tcPr>
          <w:p>
            <w:pPr>
              <w:pStyle w:val="105"/>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continue"/>
            <w:vAlign w:val="center"/>
          </w:tcPr>
          <w:p>
            <w:pPr>
              <w:pStyle w:val="105"/>
              <w:jc w:val="center"/>
              <w:rPr>
                <w:color w:val="auto"/>
                <w:szCs w:val="21"/>
                <w:highlight w:val="none"/>
              </w:rPr>
            </w:pPr>
          </w:p>
        </w:tc>
        <w:tc>
          <w:tcPr>
            <w:tcW w:w="623" w:type="pct"/>
            <w:shd w:val="clear" w:color="auto" w:fill="auto"/>
            <w:tcMar>
              <w:left w:w="28" w:type="dxa"/>
              <w:right w:w="28" w:type="dxa"/>
            </w:tcMar>
            <w:vAlign w:val="center"/>
          </w:tcPr>
          <w:p>
            <w:pPr>
              <w:pStyle w:val="105"/>
              <w:jc w:val="center"/>
              <w:rPr>
                <w:color w:val="auto"/>
                <w:highlight w:val="none"/>
              </w:rPr>
            </w:pPr>
            <w:r>
              <w:rPr>
                <w:rFonts w:hint="eastAsia"/>
                <w:color w:val="auto"/>
                <w:highlight w:val="none"/>
              </w:rPr>
              <w:t>废料破碎</w:t>
            </w:r>
          </w:p>
        </w:tc>
        <w:tc>
          <w:tcPr>
            <w:tcW w:w="418" w:type="pct"/>
            <w:shd w:val="clear" w:color="auto" w:fill="auto"/>
            <w:tcMar>
              <w:left w:w="28" w:type="dxa"/>
              <w:right w:w="28" w:type="dxa"/>
            </w:tcMar>
            <w:vAlign w:val="center"/>
          </w:tcPr>
          <w:p>
            <w:pPr>
              <w:pStyle w:val="105"/>
              <w:jc w:val="center"/>
              <w:rPr>
                <w:color w:val="auto"/>
                <w:highlight w:val="none"/>
              </w:rPr>
            </w:pPr>
            <w:r>
              <w:rPr>
                <w:color w:val="auto"/>
                <w:highlight w:val="none"/>
              </w:rPr>
              <w:t>G</w:t>
            </w:r>
            <w:r>
              <w:rPr>
                <w:rFonts w:hint="eastAsia"/>
                <w:color w:val="auto"/>
                <w:highlight w:val="none"/>
                <w:vertAlign w:val="subscript"/>
              </w:rPr>
              <w:t>6</w:t>
            </w:r>
            <w:r>
              <w:rPr>
                <w:color w:val="auto"/>
                <w:highlight w:val="none"/>
                <w:vertAlign w:val="subscript"/>
              </w:rPr>
              <w:t>-1</w:t>
            </w:r>
          </w:p>
        </w:tc>
        <w:tc>
          <w:tcPr>
            <w:tcW w:w="645" w:type="pct"/>
            <w:shd w:val="clear" w:color="auto" w:fill="auto"/>
            <w:tcMar>
              <w:left w:w="28" w:type="dxa"/>
              <w:right w:w="28" w:type="dxa"/>
            </w:tcMar>
            <w:vAlign w:val="center"/>
          </w:tcPr>
          <w:p>
            <w:pPr>
              <w:pStyle w:val="105"/>
              <w:jc w:val="center"/>
              <w:rPr>
                <w:color w:val="auto"/>
                <w:highlight w:val="none"/>
              </w:rPr>
            </w:pPr>
            <w:r>
              <w:rPr>
                <w:rFonts w:hint="eastAsia"/>
                <w:color w:val="auto"/>
                <w:highlight w:val="none"/>
              </w:rPr>
              <w:t>破碎</w:t>
            </w:r>
          </w:p>
        </w:tc>
        <w:tc>
          <w:tcPr>
            <w:tcW w:w="1175" w:type="pct"/>
            <w:shd w:val="clear" w:color="auto" w:fill="auto"/>
            <w:tcMar>
              <w:left w:w="28" w:type="dxa"/>
              <w:right w:w="28" w:type="dxa"/>
            </w:tcMar>
            <w:vAlign w:val="center"/>
          </w:tcPr>
          <w:p>
            <w:pPr>
              <w:pStyle w:val="105"/>
              <w:jc w:val="center"/>
              <w:rPr>
                <w:color w:val="auto"/>
                <w:szCs w:val="21"/>
                <w:highlight w:val="none"/>
              </w:rPr>
            </w:pPr>
            <w:r>
              <w:rPr>
                <w:rFonts w:hint="eastAsia"/>
                <w:color w:val="auto"/>
                <w:highlight w:val="none"/>
              </w:rPr>
              <w:t>颗粒物</w:t>
            </w:r>
          </w:p>
        </w:tc>
        <w:tc>
          <w:tcPr>
            <w:tcW w:w="966" w:type="pct"/>
            <w:vMerge w:val="continue"/>
            <w:tcMar>
              <w:left w:w="28" w:type="dxa"/>
              <w:right w:w="28" w:type="dxa"/>
            </w:tcMar>
            <w:vAlign w:val="center"/>
          </w:tcPr>
          <w:p>
            <w:pPr>
              <w:pStyle w:val="105"/>
              <w:jc w:val="center"/>
              <w:rPr>
                <w:color w:val="auto"/>
                <w:szCs w:val="21"/>
                <w:highlight w:val="none"/>
              </w:rPr>
            </w:pPr>
          </w:p>
        </w:tc>
        <w:tc>
          <w:tcPr>
            <w:tcW w:w="780" w:type="pct"/>
            <w:vMerge w:val="continue"/>
            <w:shd w:val="clear" w:color="auto" w:fill="auto"/>
            <w:tcMar>
              <w:left w:w="28" w:type="dxa"/>
              <w:right w:w="28" w:type="dxa"/>
            </w:tcMar>
            <w:vAlign w:val="center"/>
          </w:tcPr>
          <w:p>
            <w:pPr>
              <w:pStyle w:val="105"/>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0" w:hRule="atLeast"/>
        </w:trPr>
        <w:tc>
          <w:tcPr>
            <w:tcW w:w="390" w:type="pct"/>
            <w:vMerge w:val="restart"/>
            <w:vAlign w:val="center"/>
          </w:tcPr>
          <w:p>
            <w:pPr>
              <w:pStyle w:val="105"/>
              <w:jc w:val="center"/>
              <w:rPr>
                <w:color w:val="auto"/>
                <w:szCs w:val="21"/>
                <w:highlight w:val="none"/>
              </w:rPr>
            </w:pPr>
            <w:r>
              <w:rPr>
                <w:rFonts w:hint="eastAsia"/>
                <w:color w:val="auto"/>
                <w:szCs w:val="21"/>
                <w:highlight w:val="none"/>
              </w:rPr>
              <w:t>固废</w:t>
            </w:r>
          </w:p>
        </w:tc>
        <w:tc>
          <w:tcPr>
            <w:tcW w:w="623" w:type="pct"/>
            <w:vMerge w:val="restart"/>
            <w:shd w:val="clear" w:color="auto" w:fill="auto"/>
            <w:tcMar>
              <w:left w:w="28" w:type="dxa"/>
              <w:right w:w="28" w:type="dxa"/>
            </w:tcMar>
            <w:vAlign w:val="center"/>
          </w:tcPr>
          <w:p>
            <w:pPr>
              <w:pStyle w:val="105"/>
              <w:jc w:val="center"/>
              <w:rPr>
                <w:color w:val="auto"/>
                <w:szCs w:val="21"/>
                <w:highlight w:val="none"/>
              </w:rPr>
            </w:pPr>
            <w:r>
              <w:rPr>
                <w:rFonts w:hint="eastAsia"/>
                <w:color w:val="auto"/>
                <w:szCs w:val="21"/>
                <w:highlight w:val="none"/>
              </w:rPr>
              <w:t>给水管</w:t>
            </w:r>
          </w:p>
        </w:tc>
        <w:tc>
          <w:tcPr>
            <w:tcW w:w="418" w:type="pct"/>
            <w:shd w:val="clear" w:color="auto" w:fill="auto"/>
            <w:tcMar>
              <w:left w:w="28" w:type="dxa"/>
              <w:right w:w="28" w:type="dxa"/>
            </w:tcMar>
            <w:vAlign w:val="center"/>
          </w:tcPr>
          <w:p>
            <w:pPr>
              <w:pStyle w:val="105"/>
              <w:jc w:val="center"/>
              <w:rPr>
                <w:color w:val="auto"/>
                <w:szCs w:val="21"/>
                <w:highlight w:val="none"/>
              </w:rPr>
            </w:pPr>
            <w:r>
              <w:rPr>
                <w:rFonts w:hint="eastAsia"/>
                <w:color w:val="auto"/>
                <w:szCs w:val="21"/>
                <w:highlight w:val="none"/>
              </w:rPr>
              <w:t>S</w:t>
            </w:r>
            <w:r>
              <w:rPr>
                <w:rFonts w:hint="eastAsia"/>
                <w:color w:val="auto"/>
                <w:szCs w:val="21"/>
                <w:highlight w:val="none"/>
                <w:vertAlign w:val="subscript"/>
              </w:rPr>
              <w:t>1-1</w:t>
            </w:r>
          </w:p>
        </w:tc>
        <w:tc>
          <w:tcPr>
            <w:tcW w:w="645" w:type="pct"/>
            <w:shd w:val="clear" w:color="auto" w:fill="auto"/>
            <w:tcMar>
              <w:left w:w="28" w:type="dxa"/>
              <w:right w:w="28" w:type="dxa"/>
            </w:tcMar>
            <w:vAlign w:val="center"/>
          </w:tcPr>
          <w:p>
            <w:pPr>
              <w:jc w:val="center"/>
              <w:rPr>
                <w:color w:val="auto"/>
                <w:szCs w:val="21"/>
                <w:highlight w:val="none"/>
              </w:rPr>
            </w:pPr>
            <w:r>
              <w:rPr>
                <w:color w:val="auto"/>
                <w:highlight w:val="none"/>
              </w:rPr>
              <w:t>切割</w:t>
            </w:r>
          </w:p>
        </w:tc>
        <w:tc>
          <w:tcPr>
            <w:tcW w:w="1175" w:type="pct"/>
            <w:shd w:val="clear" w:color="auto" w:fill="auto"/>
            <w:tcMar>
              <w:left w:w="28" w:type="dxa"/>
              <w:right w:w="28" w:type="dxa"/>
            </w:tcMar>
            <w:vAlign w:val="center"/>
          </w:tcPr>
          <w:p>
            <w:pPr>
              <w:pStyle w:val="137"/>
              <w:ind w:left="135" w:right="135"/>
              <w:jc w:val="center"/>
              <w:rPr>
                <w:color w:val="auto"/>
                <w:szCs w:val="21"/>
                <w:highlight w:val="none"/>
              </w:rPr>
            </w:pPr>
            <w:r>
              <w:rPr>
                <w:rFonts w:ascii="Times New Roman" w:hAnsi="Times New Roman"/>
                <w:color w:val="auto"/>
                <w:sz w:val="21"/>
                <w:highlight w:val="none"/>
              </w:rPr>
              <w:t>下脚料</w:t>
            </w:r>
          </w:p>
        </w:tc>
        <w:tc>
          <w:tcPr>
            <w:tcW w:w="966" w:type="pct"/>
            <w:vMerge w:val="restart"/>
            <w:tcMar>
              <w:left w:w="28" w:type="dxa"/>
              <w:right w:w="28" w:type="dxa"/>
            </w:tcMar>
            <w:vAlign w:val="center"/>
          </w:tcPr>
          <w:p>
            <w:pPr>
              <w:pStyle w:val="105"/>
              <w:jc w:val="center"/>
              <w:rPr>
                <w:color w:val="auto"/>
                <w:szCs w:val="21"/>
                <w:highlight w:val="none"/>
              </w:rPr>
            </w:pPr>
            <w:r>
              <w:rPr>
                <w:rFonts w:hint="eastAsia"/>
                <w:color w:val="auto"/>
                <w:szCs w:val="21"/>
                <w:highlight w:val="none"/>
              </w:rPr>
              <w:t>破碎后回用于造粒</w:t>
            </w:r>
          </w:p>
        </w:tc>
        <w:tc>
          <w:tcPr>
            <w:tcW w:w="780" w:type="pct"/>
            <w:vMerge w:val="restart"/>
            <w:shd w:val="clear" w:color="auto" w:fill="auto"/>
            <w:tcMar>
              <w:left w:w="28" w:type="dxa"/>
              <w:right w:w="28" w:type="dxa"/>
            </w:tcMar>
            <w:vAlign w:val="center"/>
          </w:tcPr>
          <w:p>
            <w:pPr>
              <w:pStyle w:val="105"/>
              <w:jc w:val="center"/>
              <w:rPr>
                <w:color w:val="auto"/>
                <w:szCs w:val="21"/>
                <w:highlight w:val="none"/>
              </w:rPr>
            </w:pPr>
            <w:r>
              <w:rPr>
                <w:color w:val="auto"/>
                <w:szCs w:val="21"/>
                <w:highlight w:val="none"/>
              </w:rPr>
              <w:t>全部妥善处置</w:t>
            </w:r>
            <w:r>
              <w:rPr>
                <w:rFonts w:hint="eastAsia"/>
                <w:color w:val="auto"/>
                <w:szCs w:val="21"/>
                <w:highlight w:val="none"/>
              </w:rPr>
              <w:t>，</w:t>
            </w:r>
            <w:r>
              <w:rPr>
                <w:color w:val="auto"/>
                <w:szCs w:val="21"/>
                <w:highlight w:val="none"/>
              </w:rPr>
              <w:t>不外排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continue"/>
            <w:vAlign w:val="center"/>
          </w:tcPr>
          <w:p>
            <w:pPr>
              <w:pStyle w:val="105"/>
              <w:jc w:val="center"/>
              <w:rPr>
                <w:color w:val="auto"/>
                <w:szCs w:val="21"/>
                <w:highlight w:val="none"/>
              </w:rPr>
            </w:pPr>
          </w:p>
        </w:tc>
        <w:tc>
          <w:tcPr>
            <w:tcW w:w="623" w:type="pct"/>
            <w:vMerge w:val="continue"/>
            <w:shd w:val="clear" w:color="auto" w:fill="auto"/>
            <w:tcMar>
              <w:left w:w="28" w:type="dxa"/>
              <w:right w:w="28" w:type="dxa"/>
            </w:tcMar>
            <w:vAlign w:val="center"/>
          </w:tcPr>
          <w:p>
            <w:pPr>
              <w:pStyle w:val="105"/>
              <w:jc w:val="center"/>
              <w:rPr>
                <w:color w:val="auto"/>
                <w:szCs w:val="21"/>
                <w:highlight w:val="none"/>
              </w:rPr>
            </w:pPr>
          </w:p>
        </w:tc>
        <w:tc>
          <w:tcPr>
            <w:tcW w:w="418" w:type="pct"/>
            <w:shd w:val="clear" w:color="auto" w:fill="auto"/>
            <w:tcMar>
              <w:left w:w="28" w:type="dxa"/>
              <w:right w:w="28" w:type="dxa"/>
            </w:tcMar>
            <w:vAlign w:val="center"/>
          </w:tcPr>
          <w:p>
            <w:pPr>
              <w:pStyle w:val="105"/>
              <w:jc w:val="center"/>
              <w:rPr>
                <w:color w:val="auto"/>
                <w:szCs w:val="21"/>
                <w:highlight w:val="none"/>
              </w:rPr>
            </w:pPr>
            <w:r>
              <w:rPr>
                <w:rFonts w:hint="eastAsia"/>
                <w:color w:val="auto"/>
                <w:szCs w:val="21"/>
                <w:highlight w:val="none"/>
              </w:rPr>
              <w:t>S</w:t>
            </w:r>
            <w:r>
              <w:rPr>
                <w:rFonts w:hint="eastAsia"/>
                <w:color w:val="auto"/>
                <w:szCs w:val="21"/>
                <w:highlight w:val="none"/>
                <w:vertAlign w:val="subscript"/>
              </w:rPr>
              <w:t>1-2</w:t>
            </w:r>
          </w:p>
        </w:tc>
        <w:tc>
          <w:tcPr>
            <w:tcW w:w="645" w:type="pct"/>
            <w:shd w:val="clear" w:color="auto" w:fill="auto"/>
            <w:tcMar>
              <w:left w:w="28" w:type="dxa"/>
              <w:right w:w="28" w:type="dxa"/>
            </w:tcMar>
            <w:vAlign w:val="center"/>
          </w:tcPr>
          <w:p>
            <w:pPr>
              <w:pStyle w:val="137"/>
              <w:ind w:left="64" w:right="64"/>
              <w:jc w:val="center"/>
              <w:rPr>
                <w:color w:val="auto"/>
                <w:szCs w:val="21"/>
                <w:highlight w:val="none"/>
              </w:rPr>
            </w:pPr>
            <w:r>
              <w:rPr>
                <w:rFonts w:hint="eastAsia" w:ascii="Times New Roman" w:hAnsi="Times New Roman"/>
                <w:color w:val="auto"/>
                <w:sz w:val="21"/>
                <w:highlight w:val="none"/>
                <w:lang w:eastAsia="zh-CN"/>
              </w:rPr>
              <w:t>检验</w:t>
            </w:r>
          </w:p>
        </w:tc>
        <w:tc>
          <w:tcPr>
            <w:tcW w:w="1175" w:type="pct"/>
            <w:shd w:val="clear" w:color="auto" w:fill="auto"/>
            <w:tcMar>
              <w:left w:w="28" w:type="dxa"/>
              <w:right w:w="28" w:type="dxa"/>
            </w:tcMar>
            <w:vAlign w:val="center"/>
          </w:tcPr>
          <w:p>
            <w:pPr>
              <w:pStyle w:val="137"/>
              <w:ind w:left="135" w:right="135"/>
              <w:jc w:val="center"/>
              <w:rPr>
                <w:color w:val="auto"/>
                <w:szCs w:val="21"/>
                <w:highlight w:val="none"/>
              </w:rPr>
            </w:pPr>
            <w:r>
              <w:rPr>
                <w:rFonts w:hint="eastAsia" w:ascii="Times New Roman" w:hAnsi="Times New Roman" w:eastAsia="宋体"/>
                <w:color w:val="auto"/>
                <w:sz w:val="21"/>
                <w:highlight w:val="none"/>
                <w:lang w:eastAsia="zh-CN"/>
              </w:rPr>
              <w:t>不合格产品</w:t>
            </w:r>
          </w:p>
        </w:tc>
        <w:tc>
          <w:tcPr>
            <w:tcW w:w="966" w:type="pct"/>
            <w:vMerge w:val="continue"/>
            <w:tcMar>
              <w:left w:w="28" w:type="dxa"/>
              <w:right w:w="28" w:type="dxa"/>
            </w:tcMar>
            <w:vAlign w:val="center"/>
          </w:tcPr>
          <w:p>
            <w:pPr>
              <w:pStyle w:val="105"/>
              <w:jc w:val="center"/>
              <w:rPr>
                <w:color w:val="auto"/>
                <w:szCs w:val="21"/>
                <w:highlight w:val="none"/>
              </w:rPr>
            </w:pPr>
          </w:p>
        </w:tc>
        <w:tc>
          <w:tcPr>
            <w:tcW w:w="780" w:type="pct"/>
            <w:vMerge w:val="continue"/>
            <w:shd w:val="clear" w:color="auto" w:fill="auto"/>
            <w:tcMar>
              <w:left w:w="28" w:type="dxa"/>
              <w:right w:w="28" w:type="dxa"/>
            </w:tcMar>
            <w:vAlign w:val="center"/>
          </w:tcPr>
          <w:p>
            <w:pPr>
              <w:pStyle w:val="105"/>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continue"/>
            <w:vAlign w:val="center"/>
          </w:tcPr>
          <w:p>
            <w:pPr>
              <w:pStyle w:val="105"/>
              <w:jc w:val="center"/>
              <w:rPr>
                <w:color w:val="auto"/>
                <w:szCs w:val="21"/>
                <w:highlight w:val="none"/>
              </w:rPr>
            </w:pPr>
          </w:p>
        </w:tc>
        <w:tc>
          <w:tcPr>
            <w:tcW w:w="623" w:type="pct"/>
            <w:shd w:val="clear" w:color="auto" w:fill="auto"/>
            <w:tcMar>
              <w:left w:w="28" w:type="dxa"/>
              <w:right w:w="28" w:type="dxa"/>
            </w:tcMar>
            <w:vAlign w:val="center"/>
          </w:tcPr>
          <w:p>
            <w:pPr>
              <w:pStyle w:val="105"/>
              <w:jc w:val="center"/>
              <w:rPr>
                <w:color w:val="auto"/>
                <w:szCs w:val="21"/>
                <w:highlight w:val="none"/>
              </w:rPr>
            </w:pPr>
            <w:r>
              <w:rPr>
                <w:rFonts w:hint="eastAsia"/>
                <w:color w:val="auto"/>
                <w:highlight w:val="none"/>
              </w:rPr>
              <w:t>造粒</w:t>
            </w:r>
          </w:p>
        </w:tc>
        <w:tc>
          <w:tcPr>
            <w:tcW w:w="418" w:type="pct"/>
            <w:shd w:val="clear" w:color="auto" w:fill="auto"/>
            <w:tcMar>
              <w:left w:w="28" w:type="dxa"/>
              <w:right w:w="28" w:type="dxa"/>
            </w:tcMar>
            <w:vAlign w:val="center"/>
          </w:tcPr>
          <w:p>
            <w:pPr>
              <w:pStyle w:val="105"/>
              <w:jc w:val="center"/>
              <w:rPr>
                <w:color w:val="auto"/>
                <w:szCs w:val="21"/>
                <w:highlight w:val="none"/>
              </w:rPr>
            </w:pPr>
            <w:r>
              <w:rPr>
                <w:rFonts w:hint="eastAsia"/>
                <w:color w:val="auto"/>
                <w:szCs w:val="21"/>
                <w:highlight w:val="none"/>
              </w:rPr>
              <w:t>S</w:t>
            </w:r>
            <w:r>
              <w:rPr>
                <w:rFonts w:hint="eastAsia"/>
                <w:color w:val="auto"/>
                <w:szCs w:val="21"/>
                <w:highlight w:val="none"/>
                <w:vertAlign w:val="subscript"/>
              </w:rPr>
              <w:t>2-1</w:t>
            </w:r>
          </w:p>
        </w:tc>
        <w:tc>
          <w:tcPr>
            <w:tcW w:w="645" w:type="pct"/>
            <w:shd w:val="clear" w:color="auto" w:fill="auto"/>
            <w:tcMar>
              <w:left w:w="28" w:type="dxa"/>
              <w:right w:w="28" w:type="dxa"/>
            </w:tcMar>
            <w:vAlign w:val="center"/>
          </w:tcPr>
          <w:p>
            <w:pPr>
              <w:pStyle w:val="105"/>
              <w:jc w:val="center"/>
              <w:rPr>
                <w:color w:val="auto"/>
                <w:szCs w:val="21"/>
                <w:highlight w:val="none"/>
              </w:rPr>
            </w:pPr>
            <w:r>
              <w:rPr>
                <w:rFonts w:hint="eastAsia"/>
                <w:color w:val="auto"/>
                <w:szCs w:val="21"/>
                <w:highlight w:val="none"/>
              </w:rPr>
              <w:t>熔融挤出</w:t>
            </w:r>
          </w:p>
        </w:tc>
        <w:tc>
          <w:tcPr>
            <w:tcW w:w="1175" w:type="pct"/>
            <w:shd w:val="clear" w:color="auto" w:fill="auto"/>
            <w:tcMar>
              <w:left w:w="28" w:type="dxa"/>
              <w:right w:w="28" w:type="dxa"/>
            </w:tcMar>
            <w:vAlign w:val="center"/>
          </w:tcPr>
          <w:p>
            <w:pPr>
              <w:pStyle w:val="105"/>
              <w:jc w:val="center"/>
              <w:rPr>
                <w:color w:val="auto"/>
                <w:szCs w:val="21"/>
                <w:highlight w:val="none"/>
              </w:rPr>
            </w:pPr>
            <w:r>
              <w:rPr>
                <w:rFonts w:hint="eastAsia"/>
                <w:color w:val="auto"/>
                <w:szCs w:val="21"/>
                <w:highlight w:val="none"/>
              </w:rPr>
              <w:t>废料、废网</w:t>
            </w:r>
          </w:p>
        </w:tc>
        <w:tc>
          <w:tcPr>
            <w:tcW w:w="966" w:type="pct"/>
            <w:tcMar>
              <w:left w:w="28" w:type="dxa"/>
              <w:right w:w="28" w:type="dxa"/>
            </w:tcMar>
            <w:vAlign w:val="center"/>
          </w:tcPr>
          <w:p>
            <w:pPr>
              <w:pStyle w:val="105"/>
              <w:jc w:val="center"/>
              <w:rPr>
                <w:color w:val="auto"/>
                <w:szCs w:val="21"/>
                <w:highlight w:val="none"/>
              </w:rPr>
            </w:pPr>
            <w:r>
              <w:rPr>
                <w:color w:val="auto"/>
                <w:szCs w:val="21"/>
                <w:highlight w:val="none"/>
              </w:rPr>
              <w:t>外售</w:t>
            </w:r>
          </w:p>
        </w:tc>
        <w:tc>
          <w:tcPr>
            <w:tcW w:w="780" w:type="pct"/>
            <w:vMerge w:val="continue"/>
            <w:shd w:val="clear" w:color="auto" w:fill="auto"/>
            <w:tcMar>
              <w:left w:w="28" w:type="dxa"/>
              <w:right w:w="28" w:type="dxa"/>
            </w:tcMar>
            <w:vAlign w:val="center"/>
          </w:tcPr>
          <w:p>
            <w:pPr>
              <w:pStyle w:val="105"/>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continue"/>
            <w:vAlign w:val="center"/>
          </w:tcPr>
          <w:p>
            <w:pPr>
              <w:pStyle w:val="105"/>
              <w:jc w:val="center"/>
              <w:rPr>
                <w:color w:val="auto"/>
                <w:szCs w:val="21"/>
                <w:highlight w:val="none"/>
              </w:rPr>
            </w:pPr>
          </w:p>
        </w:tc>
        <w:tc>
          <w:tcPr>
            <w:tcW w:w="623" w:type="pct"/>
            <w:vMerge w:val="restart"/>
            <w:shd w:val="clear" w:color="auto" w:fill="auto"/>
            <w:tcMar>
              <w:left w:w="28" w:type="dxa"/>
              <w:right w:w="28" w:type="dxa"/>
            </w:tcMar>
            <w:vAlign w:val="center"/>
          </w:tcPr>
          <w:p>
            <w:pPr>
              <w:pStyle w:val="105"/>
              <w:jc w:val="center"/>
              <w:rPr>
                <w:color w:val="auto"/>
                <w:szCs w:val="21"/>
                <w:highlight w:val="none"/>
              </w:rPr>
            </w:pPr>
            <w:r>
              <w:rPr>
                <w:rFonts w:hint="eastAsia"/>
                <w:color w:val="auto"/>
                <w:highlight w:val="none"/>
              </w:rPr>
              <w:t>中空壁缠绕管</w:t>
            </w:r>
          </w:p>
        </w:tc>
        <w:tc>
          <w:tcPr>
            <w:tcW w:w="418" w:type="pct"/>
            <w:shd w:val="clear" w:color="auto" w:fill="auto"/>
            <w:tcMar>
              <w:left w:w="28" w:type="dxa"/>
              <w:right w:w="28" w:type="dxa"/>
            </w:tcMar>
            <w:vAlign w:val="center"/>
          </w:tcPr>
          <w:p>
            <w:pPr>
              <w:pStyle w:val="137"/>
              <w:ind w:left="153" w:right="155"/>
              <w:jc w:val="center"/>
              <w:rPr>
                <w:rFonts w:ascii="Times New Roman" w:hAnsi="Times New Roman"/>
                <w:color w:val="auto"/>
                <w:sz w:val="21"/>
                <w:highlight w:val="none"/>
                <w:lang w:eastAsia="zh-CN"/>
              </w:rPr>
            </w:pPr>
            <w:r>
              <w:rPr>
                <w:rFonts w:ascii="Times New Roman" w:hAnsi="Times New Roman"/>
                <w:color w:val="auto"/>
                <w:sz w:val="21"/>
                <w:highlight w:val="none"/>
              </w:rPr>
              <w:t>S</w:t>
            </w:r>
            <w:r>
              <w:rPr>
                <w:rFonts w:hint="eastAsia" w:ascii="Times New Roman" w:hAnsi="Times New Roman" w:eastAsia="宋体"/>
                <w:color w:val="auto"/>
                <w:sz w:val="21"/>
                <w:highlight w:val="none"/>
                <w:vertAlign w:val="subscript"/>
                <w:lang w:eastAsia="zh-CN"/>
              </w:rPr>
              <w:t>3</w:t>
            </w:r>
            <w:r>
              <w:rPr>
                <w:rFonts w:ascii="Times New Roman" w:hAnsi="Times New Roman"/>
                <w:color w:val="auto"/>
                <w:sz w:val="21"/>
                <w:highlight w:val="none"/>
                <w:vertAlign w:val="subscript"/>
                <w:lang w:eastAsia="zh-CN"/>
              </w:rPr>
              <w:t>-1</w:t>
            </w:r>
          </w:p>
        </w:tc>
        <w:tc>
          <w:tcPr>
            <w:tcW w:w="645" w:type="pct"/>
            <w:shd w:val="clear" w:color="auto" w:fill="auto"/>
            <w:tcMar>
              <w:left w:w="28" w:type="dxa"/>
              <w:right w:w="28" w:type="dxa"/>
            </w:tcMar>
            <w:vAlign w:val="center"/>
          </w:tcPr>
          <w:p>
            <w:pPr>
              <w:jc w:val="center"/>
              <w:rPr>
                <w:color w:val="auto"/>
                <w:szCs w:val="21"/>
                <w:highlight w:val="none"/>
              </w:rPr>
            </w:pPr>
            <w:r>
              <w:rPr>
                <w:color w:val="auto"/>
                <w:highlight w:val="none"/>
              </w:rPr>
              <w:t>切割</w:t>
            </w:r>
          </w:p>
        </w:tc>
        <w:tc>
          <w:tcPr>
            <w:tcW w:w="1175" w:type="pct"/>
            <w:shd w:val="clear" w:color="auto" w:fill="auto"/>
            <w:tcMar>
              <w:left w:w="28" w:type="dxa"/>
              <w:right w:w="28" w:type="dxa"/>
            </w:tcMar>
            <w:vAlign w:val="center"/>
          </w:tcPr>
          <w:p>
            <w:pPr>
              <w:pStyle w:val="137"/>
              <w:ind w:left="135" w:right="135"/>
              <w:jc w:val="center"/>
              <w:rPr>
                <w:color w:val="auto"/>
                <w:szCs w:val="21"/>
                <w:highlight w:val="none"/>
              </w:rPr>
            </w:pPr>
            <w:r>
              <w:rPr>
                <w:rFonts w:ascii="Times New Roman" w:hAnsi="Times New Roman"/>
                <w:color w:val="auto"/>
                <w:sz w:val="21"/>
                <w:highlight w:val="none"/>
              </w:rPr>
              <w:t>下脚料</w:t>
            </w:r>
          </w:p>
        </w:tc>
        <w:tc>
          <w:tcPr>
            <w:tcW w:w="966" w:type="pct"/>
            <w:vMerge w:val="restart"/>
            <w:tcMar>
              <w:left w:w="28" w:type="dxa"/>
              <w:right w:w="28" w:type="dxa"/>
            </w:tcMar>
            <w:vAlign w:val="center"/>
          </w:tcPr>
          <w:p>
            <w:pPr>
              <w:pStyle w:val="105"/>
              <w:jc w:val="center"/>
              <w:rPr>
                <w:color w:val="auto"/>
                <w:szCs w:val="21"/>
                <w:highlight w:val="none"/>
              </w:rPr>
            </w:pPr>
            <w:r>
              <w:rPr>
                <w:rFonts w:hint="eastAsia"/>
                <w:color w:val="auto"/>
                <w:szCs w:val="21"/>
                <w:highlight w:val="none"/>
              </w:rPr>
              <w:t>破碎后回用于造粒</w:t>
            </w:r>
          </w:p>
        </w:tc>
        <w:tc>
          <w:tcPr>
            <w:tcW w:w="780" w:type="pct"/>
            <w:vMerge w:val="continue"/>
            <w:shd w:val="clear" w:color="auto" w:fill="auto"/>
            <w:tcMar>
              <w:left w:w="28" w:type="dxa"/>
              <w:right w:w="28" w:type="dxa"/>
            </w:tcMar>
            <w:vAlign w:val="center"/>
          </w:tcPr>
          <w:p>
            <w:pPr>
              <w:pStyle w:val="105"/>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continue"/>
            <w:vAlign w:val="center"/>
          </w:tcPr>
          <w:p>
            <w:pPr>
              <w:pStyle w:val="105"/>
              <w:jc w:val="center"/>
              <w:rPr>
                <w:color w:val="auto"/>
                <w:szCs w:val="21"/>
                <w:highlight w:val="none"/>
              </w:rPr>
            </w:pPr>
          </w:p>
        </w:tc>
        <w:tc>
          <w:tcPr>
            <w:tcW w:w="623" w:type="pct"/>
            <w:vMerge w:val="continue"/>
            <w:shd w:val="clear" w:color="auto" w:fill="auto"/>
            <w:tcMar>
              <w:left w:w="28" w:type="dxa"/>
              <w:right w:w="28" w:type="dxa"/>
            </w:tcMar>
            <w:vAlign w:val="center"/>
          </w:tcPr>
          <w:p>
            <w:pPr>
              <w:pStyle w:val="105"/>
              <w:jc w:val="center"/>
              <w:rPr>
                <w:color w:val="auto"/>
                <w:szCs w:val="21"/>
                <w:highlight w:val="none"/>
              </w:rPr>
            </w:pPr>
          </w:p>
        </w:tc>
        <w:tc>
          <w:tcPr>
            <w:tcW w:w="418" w:type="pct"/>
            <w:shd w:val="clear" w:color="auto" w:fill="auto"/>
            <w:tcMar>
              <w:left w:w="28" w:type="dxa"/>
              <w:right w:w="28" w:type="dxa"/>
            </w:tcMar>
            <w:vAlign w:val="center"/>
          </w:tcPr>
          <w:p>
            <w:pPr>
              <w:pStyle w:val="137"/>
              <w:ind w:right="1"/>
              <w:jc w:val="center"/>
              <w:rPr>
                <w:rFonts w:ascii="Times New Roman" w:hAnsi="Times New Roman"/>
                <w:color w:val="auto"/>
                <w:sz w:val="21"/>
                <w:highlight w:val="none"/>
              </w:rPr>
            </w:pPr>
            <w:r>
              <w:rPr>
                <w:rFonts w:ascii="Times New Roman" w:hAnsi="Times New Roman"/>
                <w:color w:val="auto"/>
                <w:sz w:val="21"/>
                <w:highlight w:val="none"/>
              </w:rPr>
              <w:t>S</w:t>
            </w:r>
            <w:r>
              <w:rPr>
                <w:rFonts w:hint="eastAsia" w:ascii="Times New Roman" w:hAnsi="Times New Roman" w:eastAsia="宋体"/>
                <w:color w:val="auto"/>
                <w:sz w:val="21"/>
                <w:highlight w:val="none"/>
                <w:vertAlign w:val="subscript"/>
                <w:lang w:eastAsia="zh-CN"/>
              </w:rPr>
              <w:t>3</w:t>
            </w:r>
            <w:r>
              <w:rPr>
                <w:rFonts w:ascii="Times New Roman" w:hAnsi="Times New Roman"/>
                <w:color w:val="auto"/>
                <w:sz w:val="21"/>
                <w:highlight w:val="none"/>
                <w:vertAlign w:val="subscript"/>
                <w:lang w:eastAsia="zh-CN"/>
              </w:rPr>
              <w:t>-</w:t>
            </w:r>
            <w:r>
              <w:rPr>
                <w:rFonts w:hint="eastAsia" w:ascii="Times New Roman" w:hAnsi="Times New Roman"/>
                <w:color w:val="auto"/>
                <w:sz w:val="21"/>
                <w:highlight w:val="none"/>
                <w:vertAlign w:val="subscript"/>
                <w:lang w:eastAsia="zh-CN"/>
              </w:rPr>
              <w:t>2</w:t>
            </w:r>
          </w:p>
        </w:tc>
        <w:tc>
          <w:tcPr>
            <w:tcW w:w="645" w:type="pct"/>
            <w:shd w:val="clear" w:color="auto" w:fill="auto"/>
            <w:tcMar>
              <w:left w:w="28" w:type="dxa"/>
              <w:right w:w="28" w:type="dxa"/>
            </w:tcMar>
            <w:vAlign w:val="center"/>
          </w:tcPr>
          <w:p>
            <w:pPr>
              <w:pStyle w:val="137"/>
              <w:ind w:left="64" w:right="64"/>
              <w:jc w:val="center"/>
              <w:rPr>
                <w:color w:val="auto"/>
                <w:szCs w:val="21"/>
                <w:highlight w:val="none"/>
              </w:rPr>
            </w:pPr>
            <w:r>
              <w:rPr>
                <w:rFonts w:hint="eastAsia" w:ascii="Times New Roman" w:hAnsi="Times New Roman"/>
                <w:color w:val="auto"/>
                <w:sz w:val="21"/>
                <w:highlight w:val="none"/>
                <w:lang w:eastAsia="zh-CN"/>
              </w:rPr>
              <w:t>检验</w:t>
            </w:r>
          </w:p>
        </w:tc>
        <w:tc>
          <w:tcPr>
            <w:tcW w:w="1175" w:type="pct"/>
            <w:shd w:val="clear" w:color="auto" w:fill="auto"/>
            <w:tcMar>
              <w:left w:w="28" w:type="dxa"/>
              <w:right w:w="28" w:type="dxa"/>
            </w:tcMar>
            <w:vAlign w:val="center"/>
          </w:tcPr>
          <w:p>
            <w:pPr>
              <w:pStyle w:val="137"/>
              <w:ind w:left="135" w:right="135"/>
              <w:jc w:val="center"/>
              <w:rPr>
                <w:color w:val="auto"/>
                <w:szCs w:val="21"/>
                <w:highlight w:val="none"/>
              </w:rPr>
            </w:pPr>
            <w:r>
              <w:rPr>
                <w:rFonts w:hint="eastAsia" w:ascii="Times New Roman" w:hAnsi="Times New Roman" w:eastAsia="宋体"/>
                <w:color w:val="auto"/>
                <w:sz w:val="21"/>
                <w:highlight w:val="none"/>
                <w:lang w:eastAsia="zh-CN"/>
              </w:rPr>
              <w:t>不合格产品</w:t>
            </w:r>
          </w:p>
        </w:tc>
        <w:tc>
          <w:tcPr>
            <w:tcW w:w="966" w:type="pct"/>
            <w:vMerge w:val="continue"/>
            <w:tcMar>
              <w:left w:w="28" w:type="dxa"/>
              <w:right w:w="28" w:type="dxa"/>
            </w:tcMar>
            <w:vAlign w:val="center"/>
          </w:tcPr>
          <w:p>
            <w:pPr>
              <w:pStyle w:val="105"/>
              <w:jc w:val="center"/>
              <w:rPr>
                <w:color w:val="auto"/>
                <w:szCs w:val="21"/>
                <w:highlight w:val="none"/>
              </w:rPr>
            </w:pPr>
          </w:p>
        </w:tc>
        <w:tc>
          <w:tcPr>
            <w:tcW w:w="780" w:type="pct"/>
            <w:vMerge w:val="continue"/>
            <w:shd w:val="clear" w:color="auto" w:fill="auto"/>
            <w:tcMar>
              <w:left w:w="28" w:type="dxa"/>
              <w:right w:w="28" w:type="dxa"/>
            </w:tcMar>
            <w:vAlign w:val="center"/>
          </w:tcPr>
          <w:p>
            <w:pPr>
              <w:pStyle w:val="105"/>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continue"/>
            <w:vAlign w:val="center"/>
          </w:tcPr>
          <w:p>
            <w:pPr>
              <w:pStyle w:val="105"/>
              <w:jc w:val="center"/>
              <w:rPr>
                <w:color w:val="auto"/>
                <w:szCs w:val="21"/>
                <w:highlight w:val="none"/>
              </w:rPr>
            </w:pPr>
          </w:p>
        </w:tc>
        <w:tc>
          <w:tcPr>
            <w:tcW w:w="623" w:type="pct"/>
            <w:vMerge w:val="restart"/>
            <w:shd w:val="clear" w:color="auto" w:fill="auto"/>
            <w:tcMar>
              <w:left w:w="28" w:type="dxa"/>
              <w:right w:w="28" w:type="dxa"/>
            </w:tcMar>
            <w:vAlign w:val="center"/>
          </w:tcPr>
          <w:p>
            <w:pPr>
              <w:pStyle w:val="105"/>
              <w:jc w:val="center"/>
              <w:rPr>
                <w:color w:val="auto"/>
                <w:szCs w:val="21"/>
                <w:highlight w:val="none"/>
              </w:rPr>
            </w:pPr>
            <w:r>
              <w:rPr>
                <w:rFonts w:hint="eastAsia"/>
                <w:color w:val="auto"/>
                <w:szCs w:val="21"/>
                <w:highlight w:val="none"/>
              </w:rPr>
              <w:t>双壁波纹管</w:t>
            </w:r>
          </w:p>
        </w:tc>
        <w:tc>
          <w:tcPr>
            <w:tcW w:w="418" w:type="pct"/>
            <w:shd w:val="clear" w:color="auto" w:fill="auto"/>
            <w:tcMar>
              <w:left w:w="28" w:type="dxa"/>
              <w:right w:w="28" w:type="dxa"/>
            </w:tcMar>
            <w:vAlign w:val="center"/>
          </w:tcPr>
          <w:p>
            <w:pPr>
              <w:pStyle w:val="137"/>
              <w:ind w:left="153" w:right="155"/>
              <w:jc w:val="center"/>
              <w:rPr>
                <w:color w:val="auto"/>
                <w:szCs w:val="21"/>
                <w:highlight w:val="none"/>
              </w:rPr>
            </w:pPr>
            <w:r>
              <w:rPr>
                <w:rFonts w:ascii="Times New Roman" w:hAnsi="Times New Roman"/>
                <w:color w:val="auto"/>
                <w:sz w:val="21"/>
                <w:highlight w:val="none"/>
              </w:rPr>
              <w:t>S</w:t>
            </w:r>
            <w:r>
              <w:rPr>
                <w:rFonts w:hint="eastAsia" w:ascii="Times New Roman" w:hAnsi="Times New Roman" w:eastAsia="宋体"/>
                <w:color w:val="auto"/>
                <w:sz w:val="21"/>
                <w:highlight w:val="none"/>
                <w:vertAlign w:val="subscript"/>
                <w:lang w:eastAsia="zh-CN"/>
              </w:rPr>
              <w:t>4</w:t>
            </w:r>
            <w:r>
              <w:rPr>
                <w:rFonts w:ascii="Times New Roman" w:hAnsi="Times New Roman"/>
                <w:color w:val="auto"/>
                <w:sz w:val="21"/>
                <w:highlight w:val="none"/>
                <w:vertAlign w:val="subscript"/>
                <w:lang w:eastAsia="zh-CN"/>
              </w:rPr>
              <w:t>-1</w:t>
            </w:r>
          </w:p>
        </w:tc>
        <w:tc>
          <w:tcPr>
            <w:tcW w:w="645" w:type="pct"/>
            <w:shd w:val="clear" w:color="auto" w:fill="auto"/>
            <w:tcMar>
              <w:left w:w="28" w:type="dxa"/>
              <w:right w:w="28" w:type="dxa"/>
            </w:tcMar>
            <w:vAlign w:val="center"/>
          </w:tcPr>
          <w:p>
            <w:pPr>
              <w:jc w:val="center"/>
              <w:rPr>
                <w:color w:val="auto"/>
                <w:szCs w:val="21"/>
                <w:highlight w:val="none"/>
              </w:rPr>
            </w:pPr>
            <w:r>
              <w:rPr>
                <w:color w:val="auto"/>
                <w:highlight w:val="none"/>
              </w:rPr>
              <w:t>切割</w:t>
            </w:r>
          </w:p>
        </w:tc>
        <w:tc>
          <w:tcPr>
            <w:tcW w:w="1175" w:type="pct"/>
            <w:shd w:val="clear" w:color="auto" w:fill="auto"/>
            <w:tcMar>
              <w:left w:w="28" w:type="dxa"/>
              <w:right w:w="28" w:type="dxa"/>
            </w:tcMar>
            <w:vAlign w:val="center"/>
          </w:tcPr>
          <w:p>
            <w:pPr>
              <w:pStyle w:val="137"/>
              <w:ind w:left="135" w:right="135"/>
              <w:jc w:val="center"/>
              <w:rPr>
                <w:color w:val="auto"/>
                <w:szCs w:val="21"/>
                <w:highlight w:val="none"/>
              </w:rPr>
            </w:pPr>
            <w:r>
              <w:rPr>
                <w:rFonts w:ascii="Times New Roman" w:hAnsi="Times New Roman"/>
                <w:color w:val="auto"/>
                <w:sz w:val="21"/>
                <w:highlight w:val="none"/>
              </w:rPr>
              <w:t>下脚料</w:t>
            </w:r>
          </w:p>
        </w:tc>
        <w:tc>
          <w:tcPr>
            <w:tcW w:w="966" w:type="pct"/>
            <w:vMerge w:val="continue"/>
            <w:tcMar>
              <w:left w:w="28" w:type="dxa"/>
              <w:right w:w="28" w:type="dxa"/>
            </w:tcMar>
            <w:vAlign w:val="center"/>
          </w:tcPr>
          <w:p>
            <w:pPr>
              <w:pStyle w:val="105"/>
              <w:jc w:val="center"/>
              <w:rPr>
                <w:color w:val="auto"/>
                <w:szCs w:val="21"/>
                <w:highlight w:val="none"/>
              </w:rPr>
            </w:pPr>
          </w:p>
        </w:tc>
        <w:tc>
          <w:tcPr>
            <w:tcW w:w="780" w:type="pct"/>
            <w:vMerge w:val="continue"/>
            <w:shd w:val="clear" w:color="auto" w:fill="auto"/>
            <w:tcMar>
              <w:left w:w="28" w:type="dxa"/>
              <w:right w:w="28" w:type="dxa"/>
            </w:tcMar>
            <w:vAlign w:val="center"/>
          </w:tcPr>
          <w:p>
            <w:pPr>
              <w:pStyle w:val="105"/>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continue"/>
            <w:vAlign w:val="center"/>
          </w:tcPr>
          <w:p>
            <w:pPr>
              <w:pStyle w:val="105"/>
              <w:jc w:val="center"/>
              <w:rPr>
                <w:color w:val="auto"/>
                <w:szCs w:val="21"/>
                <w:highlight w:val="none"/>
              </w:rPr>
            </w:pPr>
          </w:p>
        </w:tc>
        <w:tc>
          <w:tcPr>
            <w:tcW w:w="623" w:type="pct"/>
            <w:vMerge w:val="continue"/>
            <w:shd w:val="clear" w:color="auto" w:fill="auto"/>
            <w:tcMar>
              <w:left w:w="28" w:type="dxa"/>
              <w:right w:w="28" w:type="dxa"/>
            </w:tcMar>
            <w:vAlign w:val="center"/>
          </w:tcPr>
          <w:p>
            <w:pPr>
              <w:pStyle w:val="105"/>
              <w:jc w:val="center"/>
              <w:rPr>
                <w:color w:val="auto"/>
                <w:szCs w:val="21"/>
                <w:highlight w:val="none"/>
              </w:rPr>
            </w:pPr>
          </w:p>
        </w:tc>
        <w:tc>
          <w:tcPr>
            <w:tcW w:w="418" w:type="pct"/>
            <w:shd w:val="clear" w:color="auto" w:fill="auto"/>
            <w:tcMar>
              <w:left w:w="28" w:type="dxa"/>
              <w:right w:w="28" w:type="dxa"/>
            </w:tcMar>
            <w:vAlign w:val="center"/>
          </w:tcPr>
          <w:p>
            <w:pPr>
              <w:pStyle w:val="137"/>
              <w:ind w:right="1"/>
              <w:jc w:val="center"/>
              <w:rPr>
                <w:color w:val="auto"/>
                <w:szCs w:val="21"/>
                <w:highlight w:val="none"/>
              </w:rPr>
            </w:pPr>
            <w:r>
              <w:rPr>
                <w:rFonts w:ascii="Times New Roman" w:hAnsi="Times New Roman"/>
                <w:color w:val="auto"/>
                <w:sz w:val="21"/>
                <w:highlight w:val="none"/>
              </w:rPr>
              <w:t>S</w:t>
            </w:r>
            <w:r>
              <w:rPr>
                <w:rFonts w:hint="eastAsia" w:ascii="Times New Roman" w:hAnsi="Times New Roman" w:eastAsia="宋体"/>
                <w:color w:val="auto"/>
                <w:sz w:val="21"/>
                <w:highlight w:val="none"/>
                <w:vertAlign w:val="subscript"/>
                <w:lang w:eastAsia="zh-CN"/>
              </w:rPr>
              <w:t>4</w:t>
            </w:r>
            <w:r>
              <w:rPr>
                <w:rFonts w:ascii="Times New Roman" w:hAnsi="Times New Roman"/>
                <w:color w:val="auto"/>
                <w:sz w:val="21"/>
                <w:highlight w:val="none"/>
                <w:vertAlign w:val="subscript"/>
                <w:lang w:eastAsia="zh-CN"/>
              </w:rPr>
              <w:t>-</w:t>
            </w:r>
            <w:r>
              <w:rPr>
                <w:rFonts w:hint="eastAsia" w:ascii="Times New Roman" w:hAnsi="Times New Roman"/>
                <w:color w:val="auto"/>
                <w:sz w:val="21"/>
                <w:highlight w:val="none"/>
                <w:vertAlign w:val="subscript"/>
                <w:lang w:eastAsia="zh-CN"/>
              </w:rPr>
              <w:t>2</w:t>
            </w:r>
          </w:p>
        </w:tc>
        <w:tc>
          <w:tcPr>
            <w:tcW w:w="645" w:type="pct"/>
            <w:shd w:val="clear" w:color="auto" w:fill="auto"/>
            <w:tcMar>
              <w:left w:w="28" w:type="dxa"/>
              <w:right w:w="28" w:type="dxa"/>
            </w:tcMar>
            <w:vAlign w:val="center"/>
          </w:tcPr>
          <w:p>
            <w:pPr>
              <w:pStyle w:val="137"/>
              <w:ind w:left="64" w:right="64"/>
              <w:jc w:val="center"/>
              <w:rPr>
                <w:color w:val="auto"/>
                <w:szCs w:val="21"/>
                <w:highlight w:val="none"/>
              </w:rPr>
            </w:pPr>
            <w:r>
              <w:rPr>
                <w:rFonts w:hint="eastAsia" w:ascii="Times New Roman" w:hAnsi="Times New Roman"/>
                <w:color w:val="auto"/>
                <w:sz w:val="21"/>
                <w:highlight w:val="none"/>
                <w:lang w:eastAsia="zh-CN"/>
              </w:rPr>
              <w:t>检验</w:t>
            </w:r>
          </w:p>
        </w:tc>
        <w:tc>
          <w:tcPr>
            <w:tcW w:w="1175" w:type="pct"/>
            <w:shd w:val="clear" w:color="auto" w:fill="auto"/>
            <w:tcMar>
              <w:left w:w="28" w:type="dxa"/>
              <w:right w:w="28" w:type="dxa"/>
            </w:tcMar>
            <w:vAlign w:val="center"/>
          </w:tcPr>
          <w:p>
            <w:pPr>
              <w:pStyle w:val="137"/>
              <w:ind w:left="135" w:right="135"/>
              <w:jc w:val="center"/>
              <w:rPr>
                <w:color w:val="auto"/>
                <w:szCs w:val="21"/>
                <w:highlight w:val="none"/>
              </w:rPr>
            </w:pPr>
            <w:r>
              <w:rPr>
                <w:rFonts w:hint="eastAsia" w:ascii="Times New Roman" w:hAnsi="Times New Roman" w:eastAsia="宋体"/>
                <w:color w:val="auto"/>
                <w:sz w:val="21"/>
                <w:highlight w:val="none"/>
                <w:lang w:eastAsia="zh-CN"/>
              </w:rPr>
              <w:t>不合格产品</w:t>
            </w:r>
          </w:p>
        </w:tc>
        <w:tc>
          <w:tcPr>
            <w:tcW w:w="966" w:type="pct"/>
            <w:vMerge w:val="continue"/>
            <w:tcMar>
              <w:left w:w="28" w:type="dxa"/>
              <w:right w:w="28" w:type="dxa"/>
            </w:tcMar>
            <w:vAlign w:val="center"/>
          </w:tcPr>
          <w:p>
            <w:pPr>
              <w:pStyle w:val="105"/>
              <w:jc w:val="center"/>
              <w:rPr>
                <w:color w:val="auto"/>
                <w:szCs w:val="21"/>
                <w:highlight w:val="none"/>
              </w:rPr>
            </w:pPr>
          </w:p>
        </w:tc>
        <w:tc>
          <w:tcPr>
            <w:tcW w:w="780" w:type="pct"/>
            <w:vMerge w:val="continue"/>
            <w:shd w:val="clear" w:color="auto" w:fill="auto"/>
            <w:tcMar>
              <w:left w:w="28" w:type="dxa"/>
              <w:right w:w="28" w:type="dxa"/>
            </w:tcMar>
            <w:vAlign w:val="center"/>
          </w:tcPr>
          <w:p>
            <w:pPr>
              <w:pStyle w:val="105"/>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continue"/>
            <w:vAlign w:val="center"/>
          </w:tcPr>
          <w:p>
            <w:pPr>
              <w:pStyle w:val="105"/>
              <w:jc w:val="center"/>
              <w:rPr>
                <w:color w:val="auto"/>
                <w:szCs w:val="21"/>
                <w:highlight w:val="none"/>
              </w:rPr>
            </w:pPr>
          </w:p>
        </w:tc>
        <w:tc>
          <w:tcPr>
            <w:tcW w:w="623" w:type="pct"/>
            <w:shd w:val="clear" w:color="auto" w:fill="auto"/>
            <w:tcMar>
              <w:left w:w="28" w:type="dxa"/>
              <w:right w:w="28" w:type="dxa"/>
            </w:tcMar>
            <w:vAlign w:val="center"/>
          </w:tcPr>
          <w:p>
            <w:pPr>
              <w:pStyle w:val="105"/>
              <w:jc w:val="center"/>
              <w:rPr>
                <w:color w:val="auto"/>
                <w:szCs w:val="21"/>
                <w:highlight w:val="none"/>
              </w:rPr>
            </w:pPr>
            <w:r>
              <w:rPr>
                <w:rFonts w:hint="eastAsia"/>
                <w:color w:val="auto"/>
                <w:highlight w:val="none"/>
              </w:rPr>
              <w:t>注塑管件</w:t>
            </w:r>
          </w:p>
        </w:tc>
        <w:tc>
          <w:tcPr>
            <w:tcW w:w="418" w:type="pct"/>
            <w:shd w:val="clear" w:color="auto" w:fill="auto"/>
            <w:tcMar>
              <w:left w:w="28" w:type="dxa"/>
              <w:right w:w="28" w:type="dxa"/>
            </w:tcMar>
            <w:vAlign w:val="center"/>
          </w:tcPr>
          <w:p>
            <w:pPr>
              <w:pStyle w:val="105"/>
              <w:jc w:val="center"/>
              <w:rPr>
                <w:color w:val="auto"/>
                <w:szCs w:val="21"/>
                <w:highlight w:val="none"/>
              </w:rPr>
            </w:pPr>
            <w:r>
              <w:rPr>
                <w:color w:val="auto"/>
                <w:highlight w:val="none"/>
              </w:rPr>
              <w:t>S</w:t>
            </w:r>
            <w:r>
              <w:rPr>
                <w:rFonts w:hint="eastAsia"/>
                <w:color w:val="auto"/>
                <w:highlight w:val="none"/>
                <w:vertAlign w:val="subscript"/>
              </w:rPr>
              <w:t>5</w:t>
            </w:r>
            <w:r>
              <w:rPr>
                <w:color w:val="auto"/>
                <w:highlight w:val="none"/>
                <w:vertAlign w:val="subscript"/>
              </w:rPr>
              <w:t>-1</w:t>
            </w:r>
          </w:p>
        </w:tc>
        <w:tc>
          <w:tcPr>
            <w:tcW w:w="645" w:type="pct"/>
            <w:shd w:val="clear" w:color="auto" w:fill="auto"/>
            <w:tcMar>
              <w:left w:w="28" w:type="dxa"/>
              <w:right w:w="28" w:type="dxa"/>
            </w:tcMar>
            <w:vAlign w:val="center"/>
          </w:tcPr>
          <w:p>
            <w:pPr>
              <w:pStyle w:val="105"/>
              <w:jc w:val="center"/>
              <w:rPr>
                <w:color w:val="auto"/>
                <w:szCs w:val="21"/>
                <w:highlight w:val="none"/>
              </w:rPr>
            </w:pPr>
            <w:r>
              <w:rPr>
                <w:rFonts w:hint="eastAsia"/>
                <w:color w:val="auto"/>
                <w:highlight w:val="none"/>
              </w:rPr>
              <w:t>修饰检验</w:t>
            </w:r>
          </w:p>
        </w:tc>
        <w:tc>
          <w:tcPr>
            <w:tcW w:w="1175" w:type="pct"/>
            <w:shd w:val="clear" w:color="auto" w:fill="auto"/>
            <w:tcMar>
              <w:left w:w="28" w:type="dxa"/>
              <w:right w:w="28" w:type="dxa"/>
            </w:tcMar>
            <w:vAlign w:val="center"/>
          </w:tcPr>
          <w:p>
            <w:pPr>
              <w:pStyle w:val="105"/>
              <w:jc w:val="center"/>
              <w:rPr>
                <w:color w:val="auto"/>
                <w:szCs w:val="21"/>
                <w:highlight w:val="none"/>
              </w:rPr>
            </w:pPr>
            <w:r>
              <w:rPr>
                <w:color w:val="auto"/>
                <w:highlight w:val="none"/>
              </w:rPr>
              <w:t>下脚料</w:t>
            </w:r>
            <w:r>
              <w:rPr>
                <w:rFonts w:hint="eastAsia"/>
                <w:color w:val="auto"/>
                <w:highlight w:val="none"/>
              </w:rPr>
              <w:t>及不合格产品</w:t>
            </w:r>
          </w:p>
        </w:tc>
        <w:tc>
          <w:tcPr>
            <w:tcW w:w="966" w:type="pct"/>
            <w:vMerge w:val="continue"/>
            <w:tcMar>
              <w:left w:w="28" w:type="dxa"/>
              <w:right w:w="28" w:type="dxa"/>
            </w:tcMar>
            <w:vAlign w:val="center"/>
          </w:tcPr>
          <w:p>
            <w:pPr>
              <w:pStyle w:val="105"/>
              <w:jc w:val="center"/>
              <w:rPr>
                <w:color w:val="auto"/>
                <w:szCs w:val="21"/>
                <w:highlight w:val="none"/>
              </w:rPr>
            </w:pPr>
          </w:p>
        </w:tc>
        <w:tc>
          <w:tcPr>
            <w:tcW w:w="780" w:type="pct"/>
            <w:vMerge w:val="continue"/>
            <w:shd w:val="clear" w:color="auto" w:fill="auto"/>
            <w:tcMar>
              <w:left w:w="28" w:type="dxa"/>
              <w:right w:w="28" w:type="dxa"/>
            </w:tcMar>
            <w:vAlign w:val="center"/>
          </w:tcPr>
          <w:p>
            <w:pPr>
              <w:pStyle w:val="105"/>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continue"/>
            <w:vAlign w:val="center"/>
          </w:tcPr>
          <w:p>
            <w:pPr>
              <w:pStyle w:val="105"/>
              <w:jc w:val="center"/>
              <w:rPr>
                <w:color w:val="auto"/>
                <w:szCs w:val="21"/>
                <w:highlight w:val="none"/>
              </w:rPr>
            </w:pPr>
          </w:p>
        </w:tc>
        <w:tc>
          <w:tcPr>
            <w:tcW w:w="1042" w:type="pct"/>
            <w:gridSpan w:val="2"/>
            <w:shd w:val="clear" w:color="auto" w:fill="auto"/>
            <w:tcMar>
              <w:left w:w="28" w:type="dxa"/>
              <w:right w:w="28" w:type="dxa"/>
            </w:tcMar>
            <w:vAlign w:val="center"/>
          </w:tcPr>
          <w:p>
            <w:pPr>
              <w:pStyle w:val="105"/>
              <w:jc w:val="center"/>
              <w:rPr>
                <w:color w:val="auto"/>
                <w:szCs w:val="21"/>
                <w:highlight w:val="none"/>
              </w:rPr>
            </w:pPr>
            <w:r>
              <w:rPr>
                <w:rFonts w:hint="eastAsia"/>
                <w:color w:val="auto"/>
                <w:szCs w:val="21"/>
                <w:highlight w:val="none"/>
              </w:rPr>
              <w:t>S</w:t>
            </w:r>
            <w:r>
              <w:rPr>
                <w:rFonts w:hint="eastAsia"/>
                <w:color w:val="auto"/>
                <w:szCs w:val="21"/>
                <w:highlight w:val="none"/>
                <w:vertAlign w:val="subscript"/>
              </w:rPr>
              <w:t>6</w:t>
            </w:r>
          </w:p>
        </w:tc>
        <w:tc>
          <w:tcPr>
            <w:tcW w:w="645" w:type="pct"/>
            <w:shd w:val="clear" w:color="auto" w:fill="auto"/>
            <w:tcMar>
              <w:left w:w="28" w:type="dxa"/>
              <w:right w:w="28" w:type="dxa"/>
            </w:tcMar>
            <w:vAlign w:val="center"/>
          </w:tcPr>
          <w:p>
            <w:pPr>
              <w:pStyle w:val="105"/>
              <w:jc w:val="center"/>
              <w:rPr>
                <w:color w:val="auto"/>
                <w:szCs w:val="21"/>
                <w:highlight w:val="none"/>
              </w:rPr>
            </w:pPr>
            <w:r>
              <w:rPr>
                <w:color w:val="auto"/>
                <w:szCs w:val="21"/>
                <w:highlight w:val="none"/>
              </w:rPr>
              <w:t>生活垃圾</w:t>
            </w:r>
          </w:p>
        </w:tc>
        <w:tc>
          <w:tcPr>
            <w:tcW w:w="1175" w:type="pct"/>
            <w:shd w:val="clear" w:color="auto" w:fill="auto"/>
            <w:tcMar>
              <w:left w:w="28" w:type="dxa"/>
              <w:right w:w="28" w:type="dxa"/>
            </w:tcMar>
            <w:vAlign w:val="center"/>
          </w:tcPr>
          <w:p>
            <w:pPr>
              <w:pStyle w:val="105"/>
              <w:jc w:val="center"/>
              <w:rPr>
                <w:color w:val="auto"/>
                <w:szCs w:val="21"/>
                <w:highlight w:val="none"/>
              </w:rPr>
            </w:pPr>
            <w:r>
              <w:rPr>
                <w:color w:val="auto"/>
                <w:szCs w:val="21"/>
                <w:highlight w:val="none"/>
              </w:rPr>
              <w:t>纸张</w:t>
            </w:r>
            <w:r>
              <w:rPr>
                <w:rFonts w:hint="eastAsia"/>
                <w:color w:val="auto"/>
                <w:szCs w:val="21"/>
                <w:highlight w:val="none"/>
              </w:rPr>
              <w:t>、</w:t>
            </w:r>
            <w:r>
              <w:rPr>
                <w:color w:val="auto"/>
                <w:szCs w:val="21"/>
                <w:highlight w:val="none"/>
              </w:rPr>
              <w:t>果皮</w:t>
            </w:r>
            <w:r>
              <w:rPr>
                <w:rFonts w:hint="eastAsia"/>
                <w:color w:val="auto"/>
                <w:szCs w:val="21"/>
                <w:highlight w:val="none"/>
              </w:rPr>
              <w:t>、</w:t>
            </w:r>
            <w:r>
              <w:rPr>
                <w:color w:val="auto"/>
                <w:szCs w:val="21"/>
                <w:highlight w:val="none"/>
              </w:rPr>
              <w:t>塑料等</w:t>
            </w:r>
          </w:p>
        </w:tc>
        <w:tc>
          <w:tcPr>
            <w:tcW w:w="966" w:type="pct"/>
            <w:tcMar>
              <w:left w:w="28" w:type="dxa"/>
              <w:right w:w="28" w:type="dxa"/>
            </w:tcMar>
            <w:vAlign w:val="center"/>
          </w:tcPr>
          <w:p>
            <w:pPr>
              <w:pStyle w:val="105"/>
              <w:jc w:val="center"/>
              <w:rPr>
                <w:color w:val="auto"/>
                <w:szCs w:val="21"/>
                <w:highlight w:val="none"/>
              </w:rPr>
            </w:pPr>
            <w:r>
              <w:rPr>
                <w:rFonts w:hint="eastAsia"/>
                <w:color w:val="auto"/>
                <w:szCs w:val="21"/>
                <w:highlight w:val="none"/>
              </w:rPr>
              <w:t>环卫部门清运</w:t>
            </w:r>
          </w:p>
        </w:tc>
        <w:tc>
          <w:tcPr>
            <w:tcW w:w="780" w:type="pct"/>
            <w:vMerge w:val="continue"/>
            <w:shd w:val="clear" w:color="auto" w:fill="auto"/>
            <w:tcMar>
              <w:left w:w="28" w:type="dxa"/>
              <w:right w:w="28" w:type="dxa"/>
            </w:tcMar>
            <w:vAlign w:val="center"/>
          </w:tcPr>
          <w:p>
            <w:pPr>
              <w:pStyle w:val="105"/>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continue"/>
            <w:vAlign w:val="center"/>
          </w:tcPr>
          <w:p>
            <w:pPr>
              <w:pStyle w:val="105"/>
              <w:jc w:val="center"/>
              <w:rPr>
                <w:color w:val="auto"/>
                <w:szCs w:val="21"/>
                <w:highlight w:val="none"/>
              </w:rPr>
            </w:pPr>
          </w:p>
        </w:tc>
        <w:tc>
          <w:tcPr>
            <w:tcW w:w="1042" w:type="pct"/>
            <w:gridSpan w:val="2"/>
            <w:shd w:val="clear" w:color="auto" w:fill="auto"/>
            <w:tcMar>
              <w:left w:w="28" w:type="dxa"/>
              <w:right w:w="28" w:type="dxa"/>
            </w:tcMar>
            <w:vAlign w:val="center"/>
          </w:tcPr>
          <w:p>
            <w:pPr>
              <w:pStyle w:val="105"/>
              <w:jc w:val="center"/>
              <w:rPr>
                <w:color w:val="auto"/>
                <w:szCs w:val="21"/>
                <w:highlight w:val="none"/>
              </w:rPr>
            </w:pPr>
            <w:r>
              <w:rPr>
                <w:rFonts w:hint="eastAsia"/>
                <w:color w:val="auto"/>
                <w:szCs w:val="21"/>
                <w:highlight w:val="none"/>
              </w:rPr>
              <w:t>S</w:t>
            </w:r>
            <w:r>
              <w:rPr>
                <w:rFonts w:hint="eastAsia"/>
                <w:color w:val="auto"/>
                <w:szCs w:val="21"/>
                <w:highlight w:val="none"/>
                <w:vertAlign w:val="subscript"/>
              </w:rPr>
              <w:t>7</w:t>
            </w:r>
          </w:p>
        </w:tc>
        <w:tc>
          <w:tcPr>
            <w:tcW w:w="645" w:type="pct"/>
            <w:shd w:val="clear" w:color="auto" w:fill="auto"/>
            <w:tcMar>
              <w:left w:w="28" w:type="dxa"/>
              <w:right w:w="28" w:type="dxa"/>
            </w:tcMar>
            <w:vAlign w:val="center"/>
          </w:tcPr>
          <w:p>
            <w:pPr>
              <w:pStyle w:val="105"/>
              <w:jc w:val="center"/>
              <w:rPr>
                <w:color w:val="auto"/>
                <w:szCs w:val="21"/>
                <w:highlight w:val="none"/>
              </w:rPr>
            </w:pPr>
            <w:r>
              <w:rPr>
                <w:rFonts w:hint="eastAsia"/>
                <w:color w:val="auto"/>
                <w:szCs w:val="21"/>
                <w:highlight w:val="none"/>
              </w:rPr>
              <w:t>设备维修</w:t>
            </w:r>
          </w:p>
        </w:tc>
        <w:tc>
          <w:tcPr>
            <w:tcW w:w="1175" w:type="pct"/>
            <w:shd w:val="clear" w:color="auto" w:fill="auto"/>
            <w:tcMar>
              <w:left w:w="28" w:type="dxa"/>
              <w:right w:w="28" w:type="dxa"/>
            </w:tcMar>
            <w:vAlign w:val="center"/>
          </w:tcPr>
          <w:p>
            <w:pPr>
              <w:pStyle w:val="105"/>
              <w:jc w:val="center"/>
              <w:rPr>
                <w:color w:val="auto"/>
                <w:szCs w:val="21"/>
                <w:highlight w:val="none"/>
              </w:rPr>
            </w:pPr>
            <w:r>
              <w:rPr>
                <w:color w:val="auto"/>
                <w:szCs w:val="21"/>
                <w:highlight w:val="none"/>
              </w:rPr>
              <w:t>废矿物油及其空桶</w:t>
            </w:r>
          </w:p>
        </w:tc>
        <w:tc>
          <w:tcPr>
            <w:tcW w:w="966" w:type="pct"/>
            <w:vMerge w:val="restart"/>
            <w:tcMar>
              <w:left w:w="28" w:type="dxa"/>
              <w:right w:w="28" w:type="dxa"/>
            </w:tcMar>
            <w:vAlign w:val="center"/>
          </w:tcPr>
          <w:p>
            <w:pPr>
              <w:pStyle w:val="105"/>
              <w:jc w:val="center"/>
              <w:rPr>
                <w:color w:val="auto"/>
                <w:szCs w:val="21"/>
                <w:highlight w:val="none"/>
              </w:rPr>
            </w:pPr>
            <w:r>
              <w:rPr>
                <w:rFonts w:hint="eastAsia"/>
                <w:color w:val="auto"/>
                <w:szCs w:val="21"/>
                <w:highlight w:val="none"/>
              </w:rPr>
              <w:t>委托有资质单位处置</w:t>
            </w:r>
          </w:p>
        </w:tc>
        <w:tc>
          <w:tcPr>
            <w:tcW w:w="780" w:type="pct"/>
            <w:vMerge w:val="continue"/>
            <w:shd w:val="clear" w:color="auto" w:fill="auto"/>
            <w:tcMar>
              <w:left w:w="28" w:type="dxa"/>
              <w:right w:w="28" w:type="dxa"/>
            </w:tcMar>
            <w:vAlign w:val="center"/>
          </w:tcPr>
          <w:p>
            <w:pPr>
              <w:pStyle w:val="105"/>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continue"/>
            <w:vAlign w:val="center"/>
          </w:tcPr>
          <w:p>
            <w:pPr>
              <w:pStyle w:val="105"/>
              <w:jc w:val="center"/>
              <w:rPr>
                <w:color w:val="auto"/>
                <w:szCs w:val="21"/>
                <w:highlight w:val="none"/>
              </w:rPr>
            </w:pPr>
          </w:p>
        </w:tc>
        <w:tc>
          <w:tcPr>
            <w:tcW w:w="1042" w:type="pct"/>
            <w:gridSpan w:val="2"/>
            <w:shd w:val="clear" w:color="auto" w:fill="auto"/>
            <w:tcMar>
              <w:left w:w="28" w:type="dxa"/>
              <w:right w:w="28" w:type="dxa"/>
            </w:tcMar>
            <w:vAlign w:val="center"/>
          </w:tcPr>
          <w:p>
            <w:pPr>
              <w:pStyle w:val="105"/>
              <w:jc w:val="center"/>
              <w:rPr>
                <w:color w:val="auto"/>
                <w:szCs w:val="21"/>
                <w:highlight w:val="none"/>
              </w:rPr>
            </w:pPr>
            <w:r>
              <w:rPr>
                <w:rFonts w:hint="eastAsia"/>
                <w:color w:val="auto"/>
                <w:szCs w:val="21"/>
                <w:highlight w:val="none"/>
              </w:rPr>
              <w:t>S</w:t>
            </w:r>
            <w:r>
              <w:rPr>
                <w:rFonts w:hint="eastAsia"/>
                <w:color w:val="auto"/>
                <w:szCs w:val="21"/>
                <w:highlight w:val="none"/>
                <w:vertAlign w:val="subscript"/>
              </w:rPr>
              <w:t>6</w:t>
            </w:r>
          </w:p>
        </w:tc>
        <w:tc>
          <w:tcPr>
            <w:tcW w:w="645" w:type="pct"/>
            <w:vMerge w:val="restart"/>
            <w:shd w:val="clear" w:color="auto" w:fill="auto"/>
            <w:tcMar>
              <w:left w:w="28" w:type="dxa"/>
              <w:right w:w="28" w:type="dxa"/>
            </w:tcMar>
            <w:vAlign w:val="center"/>
          </w:tcPr>
          <w:p>
            <w:pPr>
              <w:pStyle w:val="105"/>
              <w:jc w:val="center"/>
              <w:rPr>
                <w:color w:val="auto"/>
                <w:szCs w:val="21"/>
                <w:highlight w:val="none"/>
              </w:rPr>
            </w:pPr>
            <w:r>
              <w:rPr>
                <w:rFonts w:hint="eastAsia"/>
                <w:color w:val="auto"/>
                <w:szCs w:val="21"/>
                <w:highlight w:val="none"/>
              </w:rPr>
              <w:t>废气治理</w:t>
            </w:r>
          </w:p>
        </w:tc>
        <w:tc>
          <w:tcPr>
            <w:tcW w:w="1175" w:type="pct"/>
            <w:shd w:val="clear" w:color="auto" w:fill="auto"/>
            <w:tcMar>
              <w:left w:w="28" w:type="dxa"/>
              <w:right w:w="28" w:type="dxa"/>
            </w:tcMar>
            <w:vAlign w:val="center"/>
          </w:tcPr>
          <w:p>
            <w:pPr>
              <w:pStyle w:val="105"/>
              <w:jc w:val="center"/>
              <w:rPr>
                <w:color w:val="auto"/>
                <w:szCs w:val="21"/>
                <w:highlight w:val="none"/>
              </w:rPr>
            </w:pPr>
            <w:r>
              <w:rPr>
                <w:rFonts w:hint="eastAsia"/>
                <w:color w:val="auto"/>
                <w:szCs w:val="21"/>
                <w:highlight w:val="none"/>
              </w:rPr>
              <w:t>废活性炭</w:t>
            </w:r>
          </w:p>
        </w:tc>
        <w:tc>
          <w:tcPr>
            <w:tcW w:w="966" w:type="pct"/>
            <w:vMerge w:val="continue"/>
            <w:tcMar>
              <w:left w:w="28" w:type="dxa"/>
              <w:right w:w="28" w:type="dxa"/>
            </w:tcMar>
            <w:vAlign w:val="center"/>
          </w:tcPr>
          <w:p>
            <w:pPr>
              <w:pStyle w:val="105"/>
              <w:jc w:val="center"/>
              <w:rPr>
                <w:color w:val="auto"/>
                <w:szCs w:val="21"/>
                <w:highlight w:val="none"/>
              </w:rPr>
            </w:pPr>
          </w:p>
        </w:tc>
        <w:tc>
          <w:tcPr>
            <w:tcW w:w="780" w:type="pct"/>
            <w:vMerge w:val="continue"/>
            <w:shd w:val="clear" w:color="auto" w:fill="auto"/>
            <w:tcMar>
              <w:left w:w="28" w:type="dxa"/>
              <w:right w:w="28" w:type="dxa"/>
            </w:tcMar>
            <w:vAlign w:val="center"/>
          </w:tcPr>
          <w:p>
            <w:pPr>
              <w:pStyle w:val="105"/>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Merge w:val="continue"/>
            <w:vAlign w:val="center"/>
          </w:tcPr>
          <w:p>
            <w:pPr>
              <w:pStyle w:val="105"/>
              <w:jc w:val="center"/>
              <w:rPr>
                <w:color w:val="auto"/>
                <w:szCs w:val="21"/>
                <w:highlight w:val="none"/>
              </w:rPr>
            </w:pPr>
          </w:p>
        </w:tc>
        <w:tc>
          <w:tcPr>
            <w:tcW w:w="1042" w:type="pct"/>
            <w:gridSpan w:val="2"/>
            <w:shd w:val="clear" w:color="auto" w:fill="auto"/>
            <w:tcMar>
              <w:left w:w="28" w:type="dxa"/>
              <w:right w:w="28" w:type="dxa"/>
            </w:tcMar>
            <w:vAlign w:val="center"/>
          </w:tcPr>
          <w:p>
            <w:pPr>
              <w:pStyle w:val="105"/>
              <w:jc w:val="center"/>
              <w:rPr>
                <w:color w:val="auto"/>
                <w:szCs w:val="21"/>
                <w:highlight w:val="none"/>
              </w:rPr>
            </w:pPr>
            <w:r>
              <w:rPr>
                <w:rFonts w:hint="eastAsia"/>
                <w:color w:val="auto"/>
                <w:szCs w:val="21"/>
                <w:highlight w:val="none"/>
              </w:rPr>
              <w:t>S</w:t>
            </w:r>
            <w:r>
              <w:rPr>
                <w:rFonts w:hint="eastAsia"/>
                <w:color w:val="auto"/>
                <w:szCs w:val="21"/>
                <w:highlight w:val="none"/>
                <w:vertAlign w:val="subscript"/>
              </w:rPr>
              <w:t>6</w:t>
            </w:r>
          </w:p>
        </w:tc>
        <w:tc>
          <w:tcPr>
            <w:tcW w:w="645" w:type="pct"/>
            <w:vMerge w:val="continue"/>
            <w:shd w:val="clear" w:color="auto" w:fill="auto"/>
            <w:tcMar>
              <w:left w:w="28" w:type="dxa"/>
              <w:right w:w="28" w:type="dxa"/>
            </w:tcMar>
            <w:vAlign w:val="center"/>
          </w:tcPr>
          <w:p>
            <w:pPr>
              <w:pStyle w:val="105"/>
              <w:jc w:val="center"/>
              <w:rPr>
                <w:color w:val="auto"/>
                <w:szCs w:val="21"/>
                <w:highlight w:val="none"/>
              </w:rPr>
            </w:pPr>
          </w:p>
        </w:tc>
        <w:tc>
          <w:tcPr>
            <w:tcW w:w="1175" w:type="pct"/>
            <w:shd w:val="clear" w:color="auto" w:fill="auto"/>
            <w:tcMar>
              <w:left w:w="28" w:type="dxa"/>
              <w:right w:w="28" w:type="dxa"/>
            </w:tcMar>
            <w:vAlign w:val="center"/>
          </w:tcPr>
          <w:p>
            <w:pPr>
              <w:pStyle w:val="105"/>
              <w:jc w:val="center"/>
              <w:rPr>
                <w:color w:val="auto"/>
                <w:szCs w:val="21"/>
                <w:highlight w:val="none"/>
              </w:rPr>
            </w:pPr>
            <w:r>
              <w:rPr>
                <w:rFonts w:hint="eastAsia"/>
                <w:color w:val="auto"/>
                <w:szCs w:val="21"/>
                <w:highlight w:val="none"/>
              </w:rPr>
              <w:t>废催化剂</w:t>
            </w:r>
          </w:p>
        </w:tc>
        <w:tc>
          <w:tcPr>
            <w:tcW w:w="966" w:type="pct"/>
            <w:vMerge w:val="continue"/>
            <w:tcMar>
              <w:left w:w="28" w:type="dxa"/>
              <w:right w:w="28" w:type="dxa"/>
            </w:tcMar>
            <w:vAlign w:val="center"/>
          </w:tcPr>
          <w:p>
            <w:pPr>
              <w:pStyle w:val="105"/>
              <w:jc w:val="center"/>
              <w:rPr>
                <w:color w:val="auto"/>
                <w:szCs w:val="21"/>
                <w:highlight w:val="none"/>
              </w:rPr>
            </w:pPr>
          </w:p>
        </w:tc>
        <w:tc>
          <w:tcPr>
            <w:tcW w:w="780" w:type="pct"/>
            <w:vMerge w:val="continue"/>
            <w:shd w:val="clear" w:color="auto" w:fill="auto"/>
            <w:tcMar>
              <w:left w:w="28" w:type="dxa"/>
              <w:right w:w="28" w:type="dxa"/>
            </w:tcMar>
            <w:vAlign w:val="center"/>
          </w:tcPr>
          <w:p>
            <w:pPr>
              <w:pStyle w:val="105"/>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0" w:type="pct"/>
            <w:vAlign w:val="center"/>
          </w:tcPr>
          <w:p>
            <w:pPr>
              <w:pStyle w:val="105"/>
              <w:jc w:val="center"/>
              <w:rPr>
                <w:color w:val="auto"/>
                <w:szCs w:val="21"/>
                <w:highlight w:val="none"/>
              </w:rPr>
            </w:pPr>
            <w:r>
              <w:rPr>
                <w:color w:val="auto"/>
                <w:szCs w:val="21"/>
                <w:highlight w:val="none"/>
              </w:rPr>
              <w:t>噪声</w:t>
            </w:r>
          </w:p>
        </w:tc>
        <w:tc>
          <w:tcPr>
            <w:tcW w:w="1042" w:type="pct"/>
            <w:gridSpan w:val="2"/>
            <w:shd w:val="clear" w:color="auto" w:fill="auto"/>
            <w:tcMar>
              <w:left w:w="28" w:type="dxa"/>
              <w:right w:w="28" w:type="dxa"/>
            </w:tcMar>
            <w:vAlign w:val="center"/>
          </w:tcPr>
          <w:p>
            <w:pPr>
              <w:pStyle w:val="105"/>
              <w:jc w:val="center"/>
              <w:rPr>
                <w:color w:val="auto"/>
                <w:szCs w:val="21"/>
                <w:highlight w:val="none"/>
              </w:rPr>
            </w:pPr>
            <w:r>
              <w:rPr>
                <w:rFonts w:hint="eastAsia"/>
                <w:color w:val="auto"/>
                <w:szCs w:val="21"/>
                <w:highlight w:val="none"/>
              </w:rPr>
              <w:t>N</w:t>
            </w:r>
          </w:p>
        </w:tc>
        <w:tc>
          <w:tcPr>
            <w:tcW w:w="645" w:type="pct"/>
            <w:shd w:val="clear" w:color="auto" w:fill="auto"/>
            <w:tcMar>
              <w:left w:w="28" w:type="dxa"/>
              <w:right w:w="28" w:type="dxa"/>
            </w:tcMar>
            <w:vAlign w:val="center"/>
          </w:tcPr>
          <w:p>
            <w:pPr>
              <w:pStyle w:val="105"/>
              <w:jc w:val="center"/>
              <w:rPr>
                <w:color w:val="auto"/>
                <w:szCs w:val="21"/>
                <w:highlight w:val="none"/>
              </w:rPr>
            </w:pPr>
            <w:r>
              <w:rPr>
                <w:color w:val="auto"/>
                <w:szCs w:val="21"/>
                <w:highlight w:val="none"/>
              </w:rPr>
              <w:t>设备噪声</w:t>
            </w:r>
          </w:p>
        </w:tc>
        <w:tc>
          <w:tcPr>
            <w:tcW w:w="1175" w:type="pct"/>
            <w:shd w:val="clear" w:color="auto" w:fill="auto"/>
            <w:tcMar>
              <w:left w:w="28" w:type="dxa"/>
              <w:right w:w="28" w:type="dxa"/>
            </w:tcMar>
            <w:vAlign w:val="center"/>
          </w:tcPr>
          <w:p>
            <w:pPr>
              <w:pStyle w:val="105"/>
              <w:jc w:val="center"/>
              <w:rPr>
                <w:color w:val="auto"/>
                <w:szCs w:val="21"/>
                <w:highlight w:val="none"/>
              </w:rPr>
            </w:pPr>
            <w:r>
              <w:rPr>
                <w:rFonts w:hint="eastAsia"/>
                <w:color w:val="auto"/>
                <w:szCs w:val="21"/>
                <w:highlight w:val="none"/>
              </w:rPr>
              <w:t>-</w:t>
            </w:r>
          </w:p>
        </w:tc>
        <w:tc>
          <w:tcPr>
            <w:tcW w:w="966" w:type="pct"/>
            <w:tcMar>
              <w:left w:w="28" w:type="dxa"/>
              <w:right w:w="28" w:type="dxa"/>
            </w:tcMar>
            <w:vAlign w:val="center"/>
          </w:tcPr>
          <w:p>
            <w:pPr>
              <w:pStyle w:val="105"/>
              <w:jc w:val="center"/>
              <w:rPr>
                <w:color w:val="auto"/>
                <w:szCs w:val="21"/>
                <w:highlight w:val="none"/>
              </w:rPr>
            </w:pPr>
            <w:r>
              <w:rPr>
                <w:color w:val="auto"/>
                <w:szCs w:val="21"/>
                <w:highlight w:val="none"/>
              </w:rPr>
              <w:t>减震</w:t>
            </w:r>
            <w:r>
              <w:rPr>
                <w:rFonts w:hint="eastAsia"/>
                <w:color w:val="auto"/>
                <w:szCs w:val="21"/>
                <w:highlight w:val="none"/>
              </w:rPr>
              <w:t>、</w:t>
            </w:r>
            <w:r>
              <w:rPr>
                <w:color w:val="auto"/>
                <w:szCs w:val="21"/>
                <w:highlight w:val="none"/>
              </w:rPr>
              <w:t>建筑隔声等</w:t>
            </w:r>
          </w:p>
        </w:tc>
        <w:tc>
          <w:tcPr>
            <w:tcW w:w="780" w:type="pct"/>
            <w:shd w:val="clear" w:color="auto" w:fill="auto"/>
            <w:tcMar>
              <w:left w:w="28" w:type="dxa"/>
              <w:right w:w="28" w:type="dxa"/>
            </w:tcMar>
            <w:vAlign w:val="center"/>
          </w:tcPr>
          <w:p>
            <w:pPr>
              <w:pStyle w:val="105"/>
              <w:jc w:val="center"/>
              <w:rPr>
                <w:color w:val="auto"/>
                <w:szCs w:val="21"/>
                <w:highlight w:val="none"/>
              </w:rPr>
            </w:pPr>
            <w:r>
              <w:rPr>
                <w:color w:val="auto"/>
                <w:szCs w:val="21"/>
                <w:highlight w:val="none"/>
              </w:rPr>
              <w:t>间歇性排放</w:t>
            </w:r>
          </w:p>
        </w:tc>
      </w:tr>
    </w:tbl>
    <w:p>
      <w:pPr>
        <w:pStyle w:val="101"/>
        <w:spacing w:before="78"/>
        <w:rPr>
          <w:rFonts w:ascii="Times New Roman" w:hAnsi="Times New Roman"/>
          <w:color w:val="auto"/>
          <w:highlight w:val="none"/>
        </w:rPr>
      </w:pPr>
      <w:r>
        <w:rPr>
          <w:rFonts w:hint="eastAsia" w:ascii="Times New Roman" w:hAnsi="Times New Roman"/>
          <w:color w:val="auto"/>
          <w:highlight w:val="none"/>
        </w:rPr>
        <w:t>2</w:t>
      </w:r>
      <w:r>
        <w:rPr>
          <w:rFonts w:ascii="Times New Roman" w:hAnsi="Times New Roman"/>
          <w:color w:val="auto"/>
          <w:highlight w:val="none"/>
        </w:rPr>
        <w:t>.2.</w:t>
      </w:r>
      <w:r>
        <w:rPr>
          <w:rFonts w:hint="eastAsia" w:ascii="Times New Roman" w:hAnsi="Times New Roman"/>
          <w:color w:val="auto"/>
          <w:highlight w:val="none"/>
          <w:lang w:val="en-US" w:eastAsia="zh-CN"/>
        </w:rPr>
        <w:t>8</w:t>
      </w:r>
      <w:r>
        <w:rPr>
          <w:rFonts w:hint="eastAsia" w:ascii="Times New Roman" w:hAnsi="Times New Roman"/>
          <w:color w:val="auto"/>
          <w:highlight w:val="none"/>
        </w:rPr>
        <w:t>物料平衡分析</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本项目产品主要为给水管</w:t>
      </w:r>
      <w:r>
        <w:rPr>
          <w:rFonts w:hint="default" w:ascii="Times New Roman" w:hAnsi="Times New Roman" w:cs="Times New Roman"/>
          <w:color w:val="auto"/>
          <w:sz w:val="24"/>
          <w:szCs w:val="24"/>
          <w:highlight w:val="none"/>
          <w:lang w:val="en-US" w:eastAsia="zh-CN"/>
        </w:rPr>
        <w:t>6800</w:t>
      </w:r>
      <w:r>
        <w:rPr>
          <w:rFonts w:hint="default" w:ascii="Times New Roman" w:hAnsi="Times New Roman" w:cs="Times New Roman"/>
          <w:color w:val="auto"/>
          <w:sz w:val="24"/>
          <w:szCs w:val="24"/>
          <w:highlight w:val="none"/>
        </w:rPr>
        <w:t>t/a、中空壁缠绕管</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000t/a、双壁波纹管</w:t>
      </w:r>
      <w:r>
        <w:rPr>
          <w:rFonts w:hint="default" w:ascii="Times New Roman" w:hAnsi="Times New Roman" w:cs="Times New Roman"/>
          <w:color w:val="auto"/>
          <w:sz w:val="24"/>
          <w:szCs w:val="24"/>
          <w:highlight w:val="none"/>
          <w:lang w:val="en-US" w:eastAsia="zh-CN"/>
        </w:rPr>
        <w:t>32</w:t>
      </w:r>
      <w:r>
        <w:rPr>
          <w:rFonts w:hint="default" w:ascii="Times New Roman" w:hAnsi="Times New Roman" w:cs="Times New Roman"/>
          <w:color w:val="auto"/>
          <w:sz w:val="24"/>
          <w:szCs w:val="24"/>
          <w:highlight w:val="none"/>
        </w:rPr>
        <w:t>00t/a、注塑管件</w:t>
      </w:r>
      <w:r>
        <w:rPr>
          <w:rFonts w:hint="default"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000t/a</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其中中空壁缠绕管生产物料损耗约2％，其他产品物料损耗约1％，主要损耗为切割下脚料及不合格产品，经破碎后回用于造粒工序。</w:t>
      </w:r>
    </w:p>
    <w:p>
      <w:pPr>
        <w:spacing w:line="360" w:lineRule="auto"/>
        <w:ind w:firstLine="480" w:firstLineChars="200"/>
        <w:rPr>
          <w:color w:val="auto"/>
          <w:sz w:val="24"/>
          <w:szCs w:val="24"/>
          <w:highlight w:val="none"/>
        </w:rPr>
      </w:pPr>
      <w:r>
        <w:rPr>
          <w:rFonts w:hint="eastAsia"/>
          <w:color w:val="auto"/>
          <w:sz w:val="24"/>
          <w:szCs w:val="24"/>
          <w:highlight w:val="none"/>
        </w:rPr>
        <w:t>熔融造粒、挤出成型及其注塑工序挥发性有机物产污系数参考《排放源统计调查产排污核算方法和系数手册》（环境部公告2021年第24号）中</w:t>
      </w:r>
      <w:r>
        <w:rPr>
          <w:color w:val="auto"/>
          <w:sz w:val="24"/>
          <w:szCs w:val="24"/>
          <w:highlight w:val="none"/>
        </w:rPr>
        <w:t>42</w:t>
      </w:r>
      <w:r>
        <w:rPr>
          <w:rFonts w:hint="eastAsia"/>
          <w:color w:val="auto"/>
          <w:sz w:val="24"/>
          <w:szCs w:val="24"/>
          <w:highlight w:val="none"/>
        </w:rPr>
        <w:t>废弃资源综合利用行业系数手册及《空气污染物排放和控制手册 工业污染源调查与研究第二辑》（美国环境保护局编），挤出造粒工序挥发性有机物产生系数为350</w:t>
      </w:r>
      <w:r>
        <w:rPr>
          <w:color w:val="auto"/>
          <w:sz w:val="24"/>
          <w:szCs w:val="24"/>
          <w:highlight w:val="none"/>
        </w:rPr>
        <w:t>g/t-</w:t>
      </w:r>
      <w:r>
        <w:rPr>
          <w:rFonts w:hint="eastAsia"/>
          <w:color w:val="auto"/>
          <w:sz w:val="24"/>
          <w:szCs w:val="24"/>
          <w:highlight w:val="none"/>
        </w:rPr>
        <w:t>原料。</w:t>
      </w:r>
    </w:p>
    <w:p>
      <w:pPr>
        <w:spacing w:line="360" w:lineRule="auto"/>
        <w:ind w:firstLine="480" w:firstLineChars="200"/>
        <w:rPr>
          <w:color w:val="auto"/>
          <w:sz w:val="24"/>
          <w:szCs w:val="24"/>
          <w:highlight w:val="none"/>
        </w:rPr>
      </w:pPr>
      <w:r>
        <w:rPr>
          <w:rFonts w:hint="eastAsia"/>
          <w:color w:val="auto"/>
          <w:sz w:val="24"/>
          <w:szCs w:val="24"/>
          <w:highlight w:val="none"/>
        </w:rPr>
        <w:t>熔融造粒、挤出成型及其注塑工序工序颗粒物产生系数参考《空气污染物排放和控制手册 工业污染源调查与研究第二辑》（美国环境保护局编），颗粒物产污系数为0.15kg/吨</w:t>
      </w:r>
      <w:r>
        <w:rPr>
          <w:rFonts w:hint="eastAsia"/>
          <w:color w:val="auto"/>
          <w:sz w:val="24"/>
          <w:szCs w:val="24"/>
          <w:highlight w:val="none"/>
          <w:lang w:val="en-US" w:eastAsia="zh-CN"/>
        </w:rPr>
        <w:t>产品</w:t>
      </w:r>
      <w:r>
        <w:rPr>
          <w:rFonts w:hint="eastAsia"/>
          <w:color w:val="auto"/>
          <w:sz w:val="24"/>
          <w:szCs w:val="24"/>
          <w:highlight w:val="none"/>
        </w:rPr>
        <w:t>。</w:t>
      </w:r>
    </w:p>
    <w:p>
      <w:pPr>
        <w:spacing w:line="360" w:lineRule="auto"/>
        <w:ind w:firstLine="480" w:firstLineChars="200"/>
        <w:rPr>
          <w:color w:val="auto"/>
          <w:sz w:val="24"/>
          <w:szCs w:val="24"/>
          <w:highlight w:val="none"/>
        </w:rPr>
      </w:pPr>
      <w:r>
        <w:rPr>
          <w:rFonts w:hint="eastAsia"/>
          <w:color w:val="auto"/>
          <w:sz w:val="24"/>
          <w:szCs w:val="24"/>
          <w:highlight w:val="none"/>
        </w:rPr>
        <w:t>下脚料破碎工序颗粒物产生系数参考《排放源统计调查产排污核算方法和系数手册》（环境部公告2021年第24号），</w:t>
      </w:r>
      <w:r>
        <w:rPr>
          <w:color w:val="auto"/>
          <w:sz w:val="24"/>
          <w:szCs w:val="24"/>
          <w:highlight w:val="none"/>
        </w:rPr>
        <w:t>42</w:t>
      </w:r>
      <w:r>
        <w:rPr>
          <w:rFonts w:hint="eastAsia"/>
          <w:color w:val="auto"/>
          <w:sz w:val="24"/>
          <w:szCs w:val="24"/>
          <w:highlight w:val="none"/>
        </w:rPr>
        <w:t>废弃资源综合利用行业系数手册，废</w:t>
      </w:r>
      <w:r>
        <w:rPr>
          <w:color w:val="auto"/>
          <w:sz w:val="24"/>
          <w:szCs w:val="24"/>
          <w:highlight w:val="none"/>
        </w:rPr>
        <w:t>PE/PP</w:t>
      </w:r>
      <w:r>
        <w:rPr>
          <w:rFonts w:hint="eastAsia"/>
          <w:color w:val="auto"/>
          <w:sz w:val="24"/>
          <w:szCs w:val="24"/>
          <w:highlight w:val="none"/>
        </w:rPr>
        <w:t>干法破碎工艺的颗粒物产污系数为375</w:t>
      </w:r>
      <w:r>
        <w:rPr>
          <w:color w:val="auto"/>
          <w:sz w:val="24"/>
          <w:szCs w:val="24"/>
          <w:highlight w:val="none"/>
        </w:rPr>
        <w:t>g/t-</w:t>
      </w:r>
      <w:r>
        <w:rPr>
          <w:rFonts w:hint="eastAsia"/>
          <w:color w:val="auto"/>
          <w:sz w:val="24"/>
          <w:szCs w:val="24"/>
          <w:highlight w:val="none"/>
        </w:rPr>
        <w:t>原料。</w:t>
      </w:r>
    </w:p>
    <w:p>
      <w:pPr>
        <w:pStyle w:val="112"/>
        <w:rPr>
          <w:color w:val="auto"/>
          <w:highlight w:val="none"/>
        </w:rPr>
      </w:pPr>
      <w:r>
        <w:rPr>
          <w:color w:val="auto"/>
          <w:highlight w:val="none"/>
        </w:rPr>
        <w:t>2.</w:t>
      </w:r>
      <w:r>
        <w:rPr>
          <w:rFonts w:hint="eastAsia"/>
          <w:color w:val="auto"/>
          <w:highlight w:val="none"/>
        </w:rPr>
        <w:t>2</w:t>
      </w:r>
      <w:r>
        <w:rPr>
          <w:color w:val="auto"/>
          <w:highlight w:val="none"/>
        </w:rPr>
        <w:t>.</w:t>
      </w:r>
      <w:r>
        <w:rPr>
          <w:rFonts w:hint="eastAsia"/>
          <w:color w:val="auto"/>
          <w:highlight w:val="none"/>
        </w:rPr>
        <w:t>6</w:t>
      </w:r>
      <w:r>
        <w:rPr>
          <w:color w:val="auto"/>
          <w:highlight w:val="none"/>
        </w:rPr>
        <w:t>.1</w:t>
      </w:r>
      <w:r>
        <w:rPr>
          <w:rFonts w:hint="eastAsia"/>
          <w:color w:val="auto"/>
          <w:highlight w:val="none"/>
        </w:rPr>
        <w:t>给水管道生产</w:t>
      </w:r>
      <w:r>
        <w:rPr>
          <w:color w:val="auto"/>
          <w:highlight w:val="none"/>
        </w:rPr>
        <w:t>物料平衡</w:t>
      </w:r>
    </w:p>
    <w:p>
      <w:pPr>
        <w:spacing w:line="360" w:lineRule="auto"/>
        <w:ind w:firstLine="480" w:firstLineChars="200"/>
        <w:rPr>
          <w:color w:val="auto"/>
          <w:sz w:val="24"/>
          <w:highlight w:val="none"/>
        </w:rPr>
      </w:pPr>
      <w:r>
        <w:rPr>
          <w:rFonts w:hint="eastAsia"/>
          <w:color w:val="auto"/>
          <w:sz w:val="24"/>
          <w:highlight w:val="none"/>
        </w:rPr>
        <w:t>给水管道生产物料平衡见表2.2-</w:t>
      </w:r>
      <w:r>
        <w:rPr>
          <w:rFonts w:hint="eastAsia"/>
          <w:color w:val="auto"/>
          <w:sz w:val="24"/>
          <w:highlight w:val="none"/>
          <w:lang w:val="en-US" w:eastAsia="zh-CN"/>
        </w:rPr>
        <w:t>8</w:t>
      </w:r>
      <w:r>
        <w:rPr>
          <w:rFonts w:hint="eastAsia"/>
          <w:color w:val="auto"/>
          <w:sz w:val="24"/>
          <w:highlight w:val="none"/>
        </w:rPr>
        <w:t>，图2.2-</w:t>
      </w:r>
      <w:r>
        <w:rPr>
          <w:rFonts w:hint="eastAsia"/>
          <w:color w:val="auto"/>
          <w:sz w:val="24"/>
          <w:highlight w:val="none"/>
          <w:lang w:val="en-US" w:eastAsia="zh-CN"/>
        </w:rPr>
        <w:t>7</w:t>
      </w:r>
      <w:r>
        <w:rPr>
          <w:rFonts w:hint="eastAsia"/>
          <w:color w:val="auto"/>
          <w:sz w:val="24"/>
          <w:highlight w:val="none"/>
        </w:rPr>
        <w:t>。</w:t>
      </w:r>
    </w:p>
    <w:p>
      <w:pPr>
        <w:widowControl/>
        <w:spacing w:line="360" w:lineRule="auto"/>
        <w:ind w:firstLine="480" w:firstLineChars="200"/>
        <w:jc w:val="center"/>
        <w:rPr>
          <w:rFonts w:eastAsia="黑体"/>
          <w:color w:val="auto"/>
          <w:sz w:val="24"/>
          <w:highlight w:val="none"/>
        </w:rPr>
      </w:pPr>
      <w:r>
        <w:rPr>
          <w:rFonts w:eastAsia="黑体"/>
          <w:color w:val="auto"/>
          <w:sz w:val="24"/>
          <w:highlight w:val="none"/>
        </w:rPr>
        <w:t>表2.</w:t>
      </w:r>
      <w:r>
        <w:rPr>
          <w:rFonts w:hint="eastAsia" w:eastAsia="黑体"/>
          <w:color w:val="auto"/>
          <w:sz w:val="24"/>
          <w:highlight w:val="none"/>
        </w:rPr>
        <w:t>2</w:t>
      </w:r>
      <w:r>
        <w:rPr>
          <w:rFonts w:eastAsia="黑体"/>
          <w:color w:val="auto"/>
          <w:sz w:val="24"/>
          <w:highlight w:val="none"/>
        </w:rPr>
        <w:t>-</w:t>
      </w:r>
      <w:r>
        <w:rPr>
          <w:rFonts w:hint="eastAsia" w:eastAsia="黑体"/>
          <w:color w:val="auto"/>
          <w:sz w:val="24"/>
          <w:highlight w:val="none"/>
          <w:lang w:val="en-US" w:eastAsia="zh-CN"/>
        </w:rPr>
        <w:t>8</w:t>
      </w:r>
      <w:r>
        <w:rPr>
          <w:rFonts w:eastAsia="黑体"/>
          <w:color w:val="auto"/>
          <w:sz w:val="24"/>
          <w:highlight w:val="none"/>
        </w:rPr>
        <w:t xml:space="preserve">  </w:t>
      </w:r>
      <w:r>
        <w:rPr>
          <w:rFonts w:hint="eastAsia" w:eastAsia="黑体"/>
          <w:color w:val="auto"/>
          <w:sz w:val="24"/>
          <w:highlight w:val="none"/>
        </w:rPr>
        <w:t>给水管道生产物料投入产出平衡</w:t>
      </w:r>
      <w:r>
        <w:rPr>
          <w:rFonts w:eastAsia="黑体"/>
          <w:color w:val="auto"/>
          <w:sz w:val="24"/>
          <w:highlight w:val="none"/>
        </w:rPr>
        <w:t>一览表</w:t>
      </w:r>
    </w:p>
    <w:tbl>
      <w:tblPr>
        <w:tblStyle w:val="5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9"/>
        <w:gridCol w:w="1426"/>
        <w:gridCol w:w="2176"/>
        <w:gridCol w:w="1511"/>
        <w:gridCol w:w="20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91" w:type="pct"/>
            <w:gridSpan w:val="2"/>
            <w:vAlign w:val="center"/>
          </w:tcPr>
          <w:p>
            <w:pPr>
              <w:widowControl/>
              <w:spacing w:line="240" w:lineRule="exact"/>
              <w:jc w:val="center"/>
              <w:rPr>
                <w:color w:val="auto"/>
                <w:highlight w:val="none"/>
              </w:rPr>
            </w:pPr>
            <w:r>
              <w:rPr>
                <w:rFonts w:hint="eastAsia"/>
                <w:color w:val="auto"/>
                <w:highlight w:val="none"/>
              </w:rPr>
              <w:t>投入(t/a)</w:t>
            </w:r>
          </w:p>
        </w:tc>
        <w:tc>
          <w:tcPr>
            <w:tcW w:w="3208" w:type="pct"/>
            <w:gridSpan w:val="3"/>
            <w:vAlign w:val="center"/>
          </w:tcPr>
          <w:p>
            <w:pPr>
              <w:widowControl/>
              <w:spacing w:line="240" w:lineRule="exact"/>
              <w:jc w:val="center"/>
              <w:rPr>
                <w:color w:val="auto"/>
                <w:highlight w:val="none"/>
              </w:rPr>
            </w:pPr>
            <w:r>
              <w:rPr>
                <w:rFonts w:hint="eastAsia"/>
                <w:color w:val="auto"/>
                <w:highlight w:val="none"/>
              </w:rPr>
              <w:t>产出(t/a)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9" w:type="pct"/>
            <w:vAlign w:val="center"/>
          </w:tcPr>
          <w:p>
            <w:pPr>
              <w:widowControl/>
              <w:spacing w:line="240" w:lineRule="exact"/>
              <w:jc w:val="center"/>
              <w:rPr>
                <w:color w:val="auto"/>
                <w:highlight w:val="none"/>
              </w:rPr>
            </w:pPr>
            <w:r>
              <w:rPr>
                <w:color w:val="auto"/>
                <w:highlight w:val="none"/>
              </w:rPr>
              <w:t>名称</w:t>
            </w:r>
          </w:p>
        </w:tc>
        <w:tc>
          <w:tcPr>
            <w:tcW w:w="791" w:type="pct"/>
            <w:vAlign w:val="center"/>
          </w:tcPr>
          <w:p>
            <w:pPr>
              <w:adjustRightInd w:val="0"/>
              <w:snapToGrid w:val="0"/>
              <w:jc w:val="center"/>
              <w:rPr>
                <w:color w:val="auto"/>
                <w:highlight w:val="none"/>
              </w:rPr>
            </w:pPr>
            <w:r>
              <w:rPr>
                <w:color w:val="auto"/>
                <w:highlight w:val="none"/>
              </w:rPr>
              <w:t>用量</w:t>
            </w:r>
          </w:p>
        </w:tc>
        <w:tc>
          <w:tcPr>
            <w:tcW w:w="1208" w:type="pct"/>
            <w:vAlign w:val="center"/>
          </w:tcPr>
          <w:p>
            <w:pPr>
              <w:widowControl/>
              <w:spacing w:line="240" w:lineRule="exact"/>
              <w:jc w:val="center"/>
              <w:rPr>
                <w:color w:val="auto"/>
                <w:highlight w:val="none"/>
              </w:rPr>
            </w:pPr>
            <w:r>
              <w:rPr>
                <w:color w:val="auto"/>
                <w:highlight w:val="none"/>
              </w:rPr>
              <w:t>名称</w:t>
            </w:r>
          </w:p>
        </w:tc>
        <w:tc>
          <w:tcPr>
            <w:tcW w:w="839" w:type="pct"/>
            <w:vAlign w:val="center"/>
          </w:tcPr>
          <w:p>
            <w:pPr>
              <w:widowControl/>
              <w:spacing w:line="240" w:lineRule="exact"/>
              <w:jc w:val="center"/>
              <w:rPr>
                <w:color w:val="auto"/>
                <w:highlight w:val="none"/>
              </w:rPr>
            </w:pPr>
            <w:r>
              <w:rPr>
                <w:color w:val="auto"/>
                <w:highlight w:val="none"/>
              </w:rPr>
              <w:t>产出量</w:t>
            </w:r>
          </w:p>
        </w:tc>
        <w:tc>
          <w:tcPr>
            <w:tcW w:w="1161" w:type="pct"/>
            <w:vAlign w:val="center"/>
          </w:tcPr>
          <w:p>
            <w:pPr>
              <w:pStyle w:val="105"/>
              <w:jc w:val="center"/>
              <w:rPr>
                <w:color w:val="auto"/>
                <w:highlight w:val="none"/>
              </w:rPr>
            </w:pPr>
            <w:r>
              <w:rPr>
                <w:color w:val="auto"/>
                <w:highlight w:val="none"/>
              </w:rPr>
              <w:t>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9" w:type="pct"/>
            <w:vAlign w:val="center"/>
          </w:tcPr>
          <w:p>
            <w:pPr>
              <w:widowControl/>
              <w:spacing w:line="240" w:lineRule="exact"/>
              <w:jc w:val="center"/>
              <w:rPr>
                <w:rFonts w:ascii="Times New Roman" w:hAnsi="Times New Roman" w:eastAsia="宋体" w:cs="Times New Roman"/>
                <w:color w:val="auto"/>
                <w:kern w:val="2"/>
                <w:sz w:val="21"/>
                <w:szCs w:val="22"/>
                <w:highlight w:val="none"/>
                <w:lang w:val="en-US" w:eastAsia="zh-CN" w:bidi="ar-SA"/>
              </w:rPr>
            </w:pPr>
            <w:r>
              <w:rPr>
                <w:rFonts w:hint="eastAsia"/>
                <w:color w:val="auto"/>
                <w:highlight w:val="none"/>
              </w:rPr>
              <w:t>PE颗粒</w:t>
            </w:r>
          </w:p>
        </w:tc>
        <w:tc>
          <w:tcPr>
            <w:tcW w:w="791" w:type="pct"/>
            <w:vAlign w:val="center"/>
          </w:tcPr>
          <w:p>
            <w:pPr>
              <w:keepNext w:val="0"/>
              <w:keepLines w:val="0"/>
              <w:widowControl/>
              <w:suppressLineNumbers w:val="0"/>
              <w:jc w:val="center"/>
              <w:textAlignment w:val="bottom"/>
              <w:rPr>
                <w:rFonts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6803.42</w:t>
            </w:r>
          </w:p>
        </w:tc>
        <w:tc>
          <w:tcPr>
            <w:tcW w:w="1208" w:type="pct"/>
            <w:vAlign w:val="center"/>
          </w:tcPr>
          <w:p>
            <w:pPr>
              <w:widowControl/>
              <w:spacing w:line="240" w:lineRule="exact"/>
              <w:jc w:val="center"/>
              <w:rPr>
                <w:rFonts w:hint="default" w:eastAsia="宋体"/>
                <w:color w:val="auto"/>
                <w:highlight w:val="none"/>
                <w:lang w:val="en-US" w:eastAsia="zh-CN"/>
              </w:rPr>
            </w:pPr>
            <w:r>
              <w:rPr>
                <w:rFonts w:hint="eastAsia"/>
                <w:color w:val="auto"/>
                <w:highlight w:val="none"/>
                <w:lang w:val="en-US" w:eastAsia="zh-CN"/>
              </w:rPr>
              <w:t>颗粒物</w:t>
            </w:r>
          </w:p>
        </w:tc>
        <w:tc>
          <w:tcPr>
            <w:tcW w:w="839" w:type="pct"/>
            <w:vAlign w:val="center"/>
          </w:tcPr>
          <w:p>
            <w:pPr>
              <w:widowControl/>
              <w:spacing w:line="240" w:lineRule="exact"/>
              <w:jc w:val="center"/>
              <w:rPr>
                <w:rFonts w:hint="default" w:eastAsia="宋体"/>
                <w:color w:val="auto"/>
                <w:highlight w:val="none"/>
                <w:lang w:val="en-US" w:eastAsia="zh-CN"/>
              </w:rPr>
            </w:pPr>
            <w:r>
              <w:rPr>
                <w:rFonts w:hint="eastAsia"/>
                <w:color w:val="auto"/>
                <w:highlight w:val="none"/>
                <w:lang w:val="en-US" w:eastAsia="zh-CN"/>
              </w:rPr>
              <w:t>1.02</w:t>
            </w:r>
          </w:p>
        </w:tc>
        <w:tc>
          <w:tcPr>
            <w:tcW w:w="1161" w:type="pct"/>
            <w:vMerge w:val="restart"/>
            <w:vAlign w:val="center"/>
          </w:tcPr>
          <w:p>
            <w:pPr>
              <w:pStyle w:val="105"/>
              <w:jc w:val="center"/>
              <w:rPr>
                <w:color w:val="auto"/>
                <w:highlight w:val="none"/>
              </w:rPr>
            </w:pPr>
            <w:r>
              <w:rPr>
                <w:rFonts w:hint="eastAsia"/>
                <w:color w:val="auto"/>
                <w:highlight w:val="none"/>
              </w:rPr>
              <w:t>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9" w:type="pct"/>
            <w:vAlign w:val="center"/>
          </w:tcPr>
          <w:p>
            <w:pPr>
              <w:widowControl/>
              <w:spacing w:line="240" w:lineRule="exact"/>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highlight w:val="none"/>
              </w:rPr>
              <w:t>色母粒</w:t>
            </w:r>
          </w:p>
        </w:tc>
        <w:tc>
          <w:tcPr>
            <w:tcW w:w="791" w:type="pct"/>
            <w:vAlign w:val="center"/>
          </w:tcPr>
          <w:p>
            <w:pPr>
              <w:widowControl/>
              <w:spacing w:line="240" w:lineRule="exact"/>
              <w:jc w:val="center"/>
              <w:rPr>
                <w:rFonts w:hint="eastAsia" w:ascii="Times New Roman" w:hAnsi="Times New Roman" w:eastAsia="宋体" w:cs="Times New Roman"/>
                <w:color w:val="auto"/>
                <w:kern w:val="2"/>
                <w:sz w:val="21"/>
                <w:szCs w:val="22"/>
                <w:highlight w:val="none"/>
                <w:lang w:val="en-US" w:eastAsia="zh-CN" w:bidi="ar-SA"/>
              </w:rPr>
            </w:pPr>
            <w:r>
              <w:rPr>
                <w:rFonts w:hint="default"/>
                <w:color w:val="auto"/>
                <w:highlight w:val="none"/>
                <w:lang w:val="en-US" w:eastAsia="zh-CN"/>
              </w:rPr>
              <w:t>68</w:t>
            </w:r>
          </w:p>
        </w:tc>
        <w:tc>
          <w:tcPr>
            <w:tcW w:w="1208" w:type="pct"/>
            <w:vAlign w:val="center"/>
          </w:tcPr>
          <w:p>
            <w:pPr>
              <w:widowControl/>
              <w:spacing w:line="240" w:lineRule="exact"/>
              <w:jc w:val="center"/>
              <w:rPr>
                <w:color w:val="auto"/>
                <w:highlight w:val="none"/>
              </w:rPr>
            </w:pPr>
            <w:r>
              <w:rPr>
                <w:rFonts w:hint="eastAsia"/>
                <w:color w:val="auto"/>
                <w:highlight w:val="none"/>
              </w:rPr>
              <w:t>挥发性有机物</w:t>
            </w:r>
          </w:p>
        </w:tc>
        <w:tc>
          <w:tcPr>
            <w:tcW w:w="839" w:type="pct"/>
            <w:vAlign w:val="center"/>
          </w:tcPr>
          <w:p>
            <w:pPr>
              <w:keepNext w:val="0"/>
              <w:keepLines w:val="0"/>
              <w:widowControl/>
              <w:suppressLineNumbers w:val="0"/>
              <w:jc w:val="center"/>
              <w:textAlignment w:val="bottom"/>
              <w:rPr>
                <w:color w:val="auto"/>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2.404</w:t>
            </w:r>
          </w:p>
        </w:tc>
        <w:tc>
          <w:tcPr>
            <w:tcW w:w="1161" w:type="pct"/>
            <w:vMerge w:val="continue"/>
            <w:vAlign w:val="center"/>
          </w:tcPr>
          <w:p>
            <w:pPr>
              <w:pStyle w:val="105"/>
              <w:jc w:val="center"/>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999" w:type="pct"/>
            <w:vAlign w:val="center"/>
          </w:tcPr>
          <w:p>
            <w:pPr>
              <w:widowControl/>
              <w:spacing w:line="240" w:lineRule="exact"/>
              <w:jc w:val="center"/>
              <w:rPr>
                <w:rFonts w:hint="eastAsia"/>
                <w:color w:val="auto"/>
                <w:highlight w:val="none"/>
              </w:rPr>
            </w:pPr>
          </w:p>
        </w:tc>
        <w:tc>
          <w:tcPr>
            <w:tcW w:w="791" w:type="pct"/>
            <w:vAlign w:val="center"/>
          </w:tcPr>
          <w:p>
            <w:pPr>
              <w:widowControl/>
              <w:spacing w:line="240" w:lineRule="exact"/>
              <w:jc w:val="center"/>
              <w:rPr>
                <w:rFonts w:hint="eastAsia"/>
                <w:color w:val="auto"/>
                <w:highlight w:val="none"/>
              </w:rPr>
            </w:pPr>
          </w:p>
        </w:tc>
        <w:tc>
          <w:tcPr>
            <w:tcW w:w="1208" w:type="pct"/>
            <w:vAlign w:val="center"/>
          </w:tcPr>
          <w:p>
            <w:pPr>
              <w:widowControl/>
              <w:spacing w:line="240" w:lineRule="exact"/>
              <w:jc w:val="center"/>
              <w:rPr>
                <w:color w:val="auto"/>
                <w:highlight w:val="none"/>
              </w:rPr>
            </w:pPr>
            <w:r>
              <w:rPr>
                <w:rFonts w:hint="eastAsia"/>
                <w:color w:val="auto"/>
                <w:highlight w:val="none"/>
              </w:rPr>
              <w:t>下脚料及不合格产品</w:t>
            </w:r>
          </w:p>
        </w:tc>
        <w:tc>
          <w:tcPr>
            <w:tcW w:w="839" w:type="pct"/>
            <w:vAlign w:val="center"/>
          </w:tcPr>
          <w:p>
            <w:pPr>
              <w:keepNext w:val="0"/>
              <w:keepLines w:val="0"/>
              <w:widowControl/>
              <w:suppressLineNumbers w:val="0"/>
              <w:jc w:val="center"/>
              <w:textAlignment w:val="bottom"/>
              <w:rPr>
                <w:color w:val="auto"/>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67.996</w:t>
            </w:r>
          </w:p>
        </w:tc>
        <w:tc>
          <w:tcPr>
            <w:tcW w:w="1161" w:type="pct"/>
            <w:vAlign w:val="center"/>
          </w:tcPr>
          <w:p>
            <w:pPr>
              <w:pStyle w:val="105"/>
              <w:jc w:val="center"/>
              <w:rPr>
                <w:color w:val="auto"/>
                <w:highlight w:val="none"/>
              </w:rPr>
            </w:pPr>
            <w:r>
              <w:rPr>
                <w:rFonts w:hint="eastAsia"/>
                <w:color w:val="auto"/>
                <w:highlight w:val="none"/>
              </w:rPr>
              <w:t>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999" w:type="pct"/>
            <w:vAlign w:val="center"/>
          </w:tcPr>
          <w:p>
            <w:pPr>
              <w:widowControl/>
              <w:spacing w:line="240" w:lineRule="exact"/>
              <w:jc w:val="center"/>
              <w:rPr>
                <w:color w:val="auto"/>
                <w:highlight w:val="none"/>
              </w:rPr>
            </w:pPr>
          </w:p>
        </w:tc>
        <w:tc>
          <w:tcPr>
            <w:tcW w:w="791" w:type="pct"/>
            <w:vAlign w:val="center"/>
          </w:tcPr>
          <w:p>
            <w:pPr>
              <w:jc w:val="center"/>
              <w:rPr>
                <w:color w:val="auto"/>
                <w:highlight w:val="none"/>
              </w:rPr>
            </w:pPr>
          </w:p>
        </w:tc>
        <w:tc>
          <w:tcPr>
            <w:tcW w:w="1208" w:type="pct"/>
            <w:vAlign w:val="center"/>
          </w:tcPr>
          <w:p>
            <w:pPr>
              <w:widowControl/>
              <w:spacing w:line="240" w:lineRule="exact"/>
              <w:jc w:val="center"/>
              <w:rPr>
                <w:color w:val="auto"/>
                <w:highlight w:val="none"/>
              </w:rPr>
            </w:pPr>
            <w:r>
              <w:rPr>
                <w:rFonts w:hint="eastAsia"/>
                <w:color w:val="auto"/>
                <w:highlight w:val="none"/>
              </w:rPr>
              <w:t>给水管道</w:t>
            </w:r>
          </w:p>
        </w:tc>
        <w:tc>
          <w:tcPr>
            <w:tcW w:w="839" w:type="pct"/>
            <w:vAlign w:val="center"/>
          </w:tcPr>
          <w:p>
            <w:pPr>
              <w:keepNext w:val="0"/>
              <w:keepLines w:val="0"/>
              <w:widowControl/>
              <w:suppressLineNumbers w:val="0"/>
              <w:jc w:val="center"/>
              <w:textAlignment w:val="bottom"/>
              <w:rPr>
                <w:color w:val="auto"/>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6800</w:t>
            </w:r>
          </w:p>
        </w:tc>
        <w:tc>
          <w:tcPr>
            <w:tcW w:w="1161" w:type="pct"/>
            <w:vAlign w:val="center"/>
          </w:tcPr>
          <w:p>
            <w:pPr>
              <w:pStyle w:val="105"/>
              <w:jc w:val="center"/>
              <w:rPr>
                <w:color w:val="auto"/>
                <w:highlight w:val="none"/>
              </w:rPr>
            </w:pPr>
            <w:r>
              <w:rPr>
                <w:rFonts w:hint="eastAsia"/>
                <w:color w:val="auto"/>
                <w:highlight w:val="none"/>
              </w:rPr>
              <w:t>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9" w:type="pct"/>
            <w:vAlign w:val="center"/>
          </w:tcPr>
          <w:p>
            <w:pPr>
              <w:widowControl/>
              <w:spacing w:line="240" w:lineRule="exact"/>
              <w:jc w:val="center"/>
              <w:rPr>
                <w:color w:val="auto"/>
                <w:highlight w:val="none"/>
              </w:rPr>
            </w:pPr>
            <w:r>
              <w:rPr>
                <w:color w:val="auto"/>
                <w:highlight w:val="none"/>
              </w:rPr>
              <w:t>合计</w:t>
            </w:r>
          </w:p>
        </w:tc>
        <w:tc>
          <w:tcPr>
            <w:tcW w:w="791" w:type="pct"/>
            <w:vAlign w:val="center"/>
          </w:tcPr>
          <w:p>
            <w:pPr>
              <w:keepNext w:val="0"/>
              <w:keepLines w:val="0"/>
              <w:widowControl/>
              <w:suppressLineNumbers w:val="0"/>
              <w:jc w:val="center"/>
              <w:textAlignment w:val="bottom"/>
              <w:rPr>
                <w:color w:val="auto"/>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6871.42</w:t>
            </w:r>
          </w:p>
        </w:tc>
        <w:tc>
          <w:tcPr>
            <w:tcW w:w="1208" w:type="pct"/>
            <w:vAlign w:val="center"/>
          </w:tcPr>
          <w:p>
            <w:pPr>
              <w:widowControl/>
              <w:spacing w:line="240" w:lineRule="exact"/>
              <w:jc w:val="center"/>
              <w:rPr>
                <w:color w:val="auto"/>
                <w:highlight w:val="none"/>
              </w:rPr>
            </w:pPr>
            <w:r>
              <w:rPr>
                <w:color w:val="auto"/>
                <w:highlight w:val="none"/>
              </w:rPr>
              <w:t>合计</w:t>
            </w:r>
          </w:p>
        </w:tc>
        <w:tc>
          <w:tcPr>
            <w:tcW w:w="839" w:type="pct"/>
            <w:vAlign w:val="center"/>
          </w:tcPr>
          <w:p>
            <w:pPr>
              <w:keepNext w:val="0"/>
              <w:keepLines w:val="0"/>
              <w:widowControl/>
              <w:suppressLineNumbers w:val="0"/>
              <w:jc w:val="center"/>
              <w:textAlignment w:val="bottom"/>
              <w:rPr>
                <w:color w:val="auto"/>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6871.42</w:t>
            </w:r>
          </w:p>
        </w:tc>
        <w:tc>
          <w:tcPr>
            <w:tcW w:w="1161" w:type="pct"/>
            <w:vAlign w:val="center"/>
          </w:tcPr>
          <w:p>
            <w:pPr>
              <w:pStyle w:val="105"/>
              <w:jc w:val="center"/>
              <w:rPr>
                <w:color w:val="auto"/>
                <w:highlight w:val="none"/>
              </w:rPr>
            </w:pPr>
            <w:r>
              <w:rPr>
                <w:rFonts w:hint="eastAsia"/>
                <w:color w:val="auto"/>
                <w:highlight w:val="none"/>
              </w:rPr>
              <w:t>-</w:t>
            </w:r>
          </w:p>
        </w:tc>
      </w:tr>
    </w:tbl>
    <w:p>
      <w:pPr>
        <w:ind w:firstLine="480" w:firstLineChars="200"/>
        <w:jc w:val="center"/>
        <w:rPr>
          <w:color w:val="auto"/>
          <w:sz w:val="24"/>
          <w:highlight w:val="none"/>
        </w:rPr>
      </w:pPr>
      <w:r>
        <w:rPr>
          <w:color w:val="auto"/>
          <w:sz w:val="24"/>
          <w:highlight w:val="none"/>
        </w:rPr>
        <w:object>
          <v:shape id="_x0000_i1029" o:spt="75" type="#_x0000_t75" style="height:418.9pt;width:269pt;" o:ole="t" filled="f" o:preferrelative="t" stroked="f" coordsize="21600,21600">
            <v:path/>
            <v:fill on="f" focussize="0,0"/>
            <v:stroke on="f"/>
            <v:imagedata r:id="rId39" o:title=""/>
            <o:lock v:ext="edit" aspectratio="f"/>
            <w10:wrap type="none"/>
            <w10:anchorlock/>
          </v:shape>
          <o:OLEObject Type="Embed" ProgID="Visio.Drawing.11" ShapeID="_x0000_i1029" DrawAspect="Content" ObjectID="_1468075729" r:id="rId38">
            <o:LockedField>false</o:LockedField>
          </o:OLEObject>
        </w:object>
      </w:r>
    </w:p>
    <w:p>
      <w:pPr>
        <w:pStyle w:val="2"/>
        <w:ind w:firstLine="480"/>
        <w:jc w:val="center"/>
        <w:rPr>
          <w:rFonts w:ascii="黑体" w:hAnsi="黑体" w:eastAsia="黑体" w:cs="黑体"/>
          <w:color w:val="auto"/>
          <w:highlight w:val="none"/>
          <w:lang w:val="en-US"/>
        </w:rPr>
      </w:pPr>
      <w:r>
        <w:rPr>
          <w:rFonts w:hint="eastAsia" w:ascii="黑体" w:hAnsi="黑体" w:eastAsia="黑体" w:cs="黑体"/>
          <w:color w:val="auto"/>
          <w:highlight w:val="none"/>
          <w:lang w:val="en-US"/>
        </w:rPr>
        <w:t>图2.2.</w:t>
      </w:r>
      <w:r>
        <w:rPr>
          <w:rFonts w:hint="eastAsia" w:ascii="黑体" w:hAnsi="黑体" w:eastAsia="黑体" w:cs="黑体"/>
          <w:color w:val="auto"/>
          <w:highlight w:val="none"/>
          <w:lang w:val="en-US" w:eastAsia="zh-CN"/>
        </w:rPr>
        <w:t>7</w:t>
      </w:r>
      <w:r>
        <w:rPr>
          <w:rFonts w:hint="eastAsia" w:ascii="黑体" w:hAnsi="黑体" w:eastAsia="黑体" w:cs="黑体"/>
          <w:color w:val="auto"/>
          <w:highlight w:val="none"/>
          <w:lang w:val="en-US"/>
        </w:rPr>
        <w:t xml:space="preserve">  </w:t>
      </w:r>
      <w:r>
        <w:rPr>
          <w:rFonts w:hint="eastAsia" w:ascii="黑体" w:hAnsi="黑体" w:eastAsia="黑体" w:cs="黑体"/>
          <w:color w:val="auto"/>
          <w:highlight w:val="none"/>
        </w:rPr>
        <w:t>给水管道生产物料</w:t>
      </w:r>
      <w:r>
        <w:rPr>
          <w:rFonts w:hint="eastAsia" w:ascii="黑体" w:hAnsi="黑体" w:eastAsia="黑体" w:cs="黑体"/>
          <w:color w:val="auto"/>
          <w:highlight w:val="none"/>
          <w:lang w:val="en-US"/>
        </w:rPr>
        <w:t>平衡图（单位：t/a）</w:t>
      </w:r>
    </w:p>
    <w:p>
      <w:pPr>
        <w:pStyle w:val="112"/>
        <w:rPr>
          <w:color w:val="auto"/>
          <w:highlight w:val="none"/>
        </w:rPr>
      </w:pPr>
      <w:r>
        <w:rPr>
          <w:color w:val="auto"/>
          <w:highlight w:val="none"/>
        </w:rPr>
        <w:t>2.</w:t>
      </w:r>
      <w:r>
        <w:rPr>
          <w:rFonts w:hint="eastAsia"/>
          <w:color w:val="auto"/>
          <w:highlight w:val="none"/>
        </w:rPr>
        <w:t>2</w:t>
      </w:r>
      <w:r>
        <w:rPr>
          <w:color w:val="auto"/>
          <w:highlight w:val="none"/>
        </w:rPr>
        <w:t>.</w:t>
      </w:r>
      <w:r>
        <w:rPr>
          <w:rFonts w:hint="eastAsia"/>
          <w:color w:val="auto"/>
          <w:highlight w:val="none"/>
        </w:rPr>
        <w:t>6</w:t>
      </w:r>
      <w:r>
        <w:rPr>
          <w:color w:val="auto"/>
          <w:highlight w:val="none"/>
        </w:rPr>
        <w:t>.</w:t>
      </w:r>
      <w:r>
        <w:rPr>
          <w:rFonts w:hint="eastAsia"/>
          <w:color w:val="auto"/>
          <w:highlight w:val="none"/>
        </w:rPr>
        <w:t>2造粒工序</w:t>
      </w:r>
      <w:r>
        <w:rPr>
          <w:color w:val="auto"/>
          <w:highlight w:val="none"/>
        </w:rPr>
        <w:t>物料平衡</w:t>
      </w:r>
    </w:p>
    <w:p>
      <w:pPr>
        <w:pStyle w:val="99"/>
        <w:ind w:firstLine="480"/>
        <w:rPr>
          <w:rFonts w:hint="eastAsia"/>
          <w:color w:val="auto"/>
          <w:highlight w:val="none"/>
          <w:lang w:val="en-US" w:eastAsia="zh-CN"/>
        </w:rPr>
      </w:pPr>
      <w:r>
        <w:rPr>
          <w:rFonts w:hint="eastAsia"/>
          <w:color w:val="auto"/>
          <w:highlight w:val="none"/>
          <w:lang w:val="en-US" w:eastAsia="zh-CN"/>
        </w:rPr>
        <w:t>本项目</w:t>
      </w:r>
      <w:r>
        <w:rPr>
          <w:rFonts w:hint="eastAsia"/>
          <w:color w:val="auto"/>
          <w:highlight w:val="none"/>
        </w:rPr>
        <w:t>中空壁缠绕管</w:t>
      </w:r>
      <w:r>
        <w:rPr>
          <w:rFonts w:hint="eastAsia"/>
          <w:color w:val="auto"/>
          <w:highlight w:val="none"/>
          <w:lang w:eastAsia="zh-CN"/>
        </w:rPr>
        <w:t>、</w:t>
      </w:r>
      <w:r>
        <w:rPr>
          <w:rFonts w:hint="eastAsia"/>
          <w:color w:val="auto"/>
          <w:highlight w:val="none"/>
        </w:rPr>
        <w:t>双壁波纹管</w:t>
      </w:r>
      <w:r>
        <w:rPr>
          <w:rFonts w:hint="eastAsia"/>
          <w:color w:val="auto"/>
          <w:highlight w:val="none"/>
          <w:lang w:val="en-US" w:eastAsia="zh-CN"/>
        </w:rPr>
        <w:t>及注塑污水配件所用塑料颗粒部分采用外购清洗破碎后的</w:t>
      </w:r>
      <w:r>
        <w:rPr>
          <w:rFonts w:hint="eastAsia"/>
          <w:color w:val="auto"/>
          <w:highlight w:val="none"/>
        </w:rPr>
        <w:t>废聚乙烯、废聚丙烯</w:t>
      </w:r>
      <w:r>
        <w:rPr>
          <w:rFonts w:hint="eastAsia"/>
          <w:color w:val="auto"/>
          <w:highlight w:val="none"/>
          <w:lang w:val="en-US" w:eastAsia="zh-CN"/>
        </w:rPr>
        <w:t>塑料及管道下脚料在厂内造粒得到，部分直接外购废塑料颗粒。</w:t>
      </w:r>
    </w:p>
    <w:p>
      <w:pPr>
        <w:pStyle w:val="99"/>
        <w:ind w:firstLine="480"/>
        <w:rPr>
          <w:rFonts w:hint="eastAsia"/>
          <w:color w:val="auto"/>
          <w:sz w:val="24"/>
          <w:highlight w:val="none"/>
        </w:rPr>
      </w:pPr>
      <w:r>
        <w:rPr>
          <w:rFonts w:hint="eastAsia"/>
          <w:color w:val="auto"/>
          <w:highlight w:val="none"/>
          <w:lang w:val="en-US" w:eastAsia="zh-CN"/>
        </w:rPr>
        <w:t>根据物料衡算，项目</w:t>
      </w:r>
      <w:r>
        <w:rPr>
          <w:rFonts w:hint="eastAsia"/>
          <w:color w:val="auto"/>
          <w:highlight w:val="none"/>
        </w:rPr>
        <w:t>空壁缠绕管</w:t>
      </w:r>
      <w:r>
        <w:rPr>
          <w:rFonts w:hint="eastAsia"/>
          <w:color w:val="auto"/>
          <w:highlight w:val="none"/>
          <w:lang w:eastAsia="zh-CN"/>
        </w:rPr>
        <w:t>、</w:t>
      </w:r>
      <w:r>
        <w:rPr>
          <w:rFonts w:hint="eastAsia"/>
          <w:color w:val="auto"/>
          <w:highlight w:val="none"/>
        </w:rPr>
        <w:t>双壁波纹管</w:t>
      </w:r>
      <w:r>
        <w:rPr>
          <w:rFonts w:hint="eastAsia"/>
          <w:color w:val="auto"/>
          <w:highlight w:val="none"/>
          <w:lang w:val="en-US" w:eastAsia="zh-CN"/>
        </w:rPr>
        <w:t>生产所需要聚乙烯颗粒5221.2t/a，注塑污水管件生产所需聚丙烯颗粒8002.8t/a。拟在厂内造粒产能为聚乙烯颗粒2000t/a、聚丙烯颗粒3000t/a，其余塑料颗粒均外购。</w:t>
      </w:r>
    </w:p>
    <w:p>
      <w:pPr>
        <w:spacing w:line="360" w:lineRule="auto"/>
        <w:ind w:firstLine="480" w:firstLineChars="200"/>
        <w:rPr>
          <w:color w:val="auto"/>
          <w:sz w:val="24"/>
          <w:highlight w:val="none"/>
        </w:rPr>
      </w:pPr>
      <w:r>
        <w:rPr>
          <w:rFonts w:hint="eastAsia"/>
          <w:color w:val="auto"/>
          <w:sz w:val="24"/>
          <w:highlight w:val="none"/>
        </w:rPr>
        <w:t>造粒工序物料平衡见表2.2-</w:t>
      </w:r>
      <w:r>
        <w:rPr>
          <w:rFonts w:hint="eastAsia"/>
          <w:color w:val="auto"/>
          <w:sz w:val="24"/>
          <w:highlight w:val="none"/>
          <w:lang w:val="en-US" w:eastAsia="zh-CN"/>
        </w:rPr>
        <w:t>9</w:t>
      </w:r>
      <w:r>
        <w:rPr>
          <w:rFonts w:hint="eastAsia"/>
          <w:color w:val="auto"/>
          <w:sz w:val="24"/>
          <w:highlight w:val="none"/>
        </w:rPr>
        <w:t>，图2.2-</w:t>
      </w:r>
      <w:r>
        <w:rPr>
          <w:rFonts w:hint="eastAsia"/>
          <w:color w:val="auto"/>
          <w:sz w:val="24"/>
          <w:highlight w:val="none"/>
          <w:lang w:val="en-US" w:eastAsia="zh-CN"/>
        </w:rPr>
        <w:t>8</w:t>
      </w:r>
      <w:r>
        <w:rPr>
          <w:rFonts w:hint="eastAsia"/>
          <w:color w:val="auto"/>
          <w:sz w:val="24"/>
          <w:highlight w:val="none"/>
        </w:rPr>
        <w:t>。</w:t>
      </w:r>
    </w:p>
    <w:p>
      <w:pPr>
        <w:widowControl/>
        <w:spacing w:line="360" w:lineRule="auto"/>
        <w:ind w:firstLine="480" w:firstLineChars="200"/>
        <w:jc w:val="center"/>
        <w:rPr>
          <w:rFonts w:eastAsia="黑体"/>
          <w:color w:val="auto"/>
          <w:sz w:val="24"/>
          <w:highlight w:val="none"/>
        </w:rPr>
      </w:pPr>
      <w:r>
        <w:rPr>
          <w:rFonts w:eastAsia="黑体"/>
          <w:color w:val="auto"/>
          <w:sz w:val="24"/>
          <w:highlight w:val="none"/>
        </w:rPr>
        <w:t>表2.</w:t>
      </w:r>
      <w:r>
        <w:rPr>
          <w:rFonts w:hint="eastAsia" w:eastAsia="黑体"/>
          <w:color w:val="auto"/>
          <w:sz w:val="24"/>
          <w:highlight w:val="none"/>
        </w:rPr>
        <w:t>2</w:t>
      </w:r>
      <w:r>
        <w:rPr>
          <w:rFonts w:eastAsia="黑体"/>
          <w:color w:val="auto"/>
          <w:sz w:val="24"/>
          <w:highlight w:val="none"/>
        </w:rPr>
        <w:t>-</w:t>
      </w:r>
      <w:r>
        <w:rPr>
          <w:rFonts w:hint="eastAsia" w:eastAsia="黑体"/>
          <w:color w:val="auto"/>
          <w:sz w:val="24"/>
          <w:highlight w:val="none"/>
          <w:lang w:val="en-US" w:eastAsia="zh-CN"/>
        </w:rPr>
        <w:t>9</w:t>
      </w:r>
      <w:r>
        <w:rPr>
          <w:rFonts w:eastAsia="黑体"/>
          <w:color w:val="auto"/>
          <w:sz w:val="24"/>
          <w:highlight w:val="none"/>
        </w:rPr>
        <w:t xml:space="preserve"> </w:t>
      </w:r>
      <w:r>
        <w:rPr>
          <w:rFonts w:hint="eastAsia" w:eastAsia="黑体"/>
          <w:color w:val="auto"/>
          <w:sz w:val="24"/>
          <w:highlight w:val="none"/>
        </w:rPr>
        <w:t>造粒工序生产物料投入产出平衡</w:t>
      </w:r>
      <w:r>
        <w:rPr>
          <w:rFonts w:eastAsia="黑体"/>
          <w:color w:val="auto"/>
          <w:sz w:val="24"/>
          <w:highlight w:val="none"/>
        </w:rPr>
        <w:t>一览表</w:t>
      </w:r>
    </w:p>
    <w:tbl>
      <w:tblPr>
        <w:tblStyle w:val="5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6"/>
        <w:gridCol w:w="982"/>
        <w:gridCol w:w="2428"/>
        <w:gridCol w:w="1511"/>
        <w:gridCol w:w="20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48" w:type="pct"/>
            <w:gridSpan w:val="2"/>
            <w:vAlign w:val="center"/>
          </w:tcPr>
          <w:p>
            <w:pPr>
              <w:widowControl/>
              <w:spacing w:line="240" w:lineRule="exact"/>
              <w:jc w:val="center"/>
              <w:rPr>
                <w:color w:val="auto"/>
                <w:highlight w:val="none"/>
              </w:rPr>
            </w:pPr>
            <w:r>
              <w:rPr>
                <w:rFonts w:hint="eastAsia"/>
                <w:color w:val="auto"/>
                <w:highlight w:val="none"/>
              </w:rPr>
              <w:t>投入(t/a)</w:t>
            </w:r>
          </w:p>
        </w:tc>
        <w:tc>
          <w:tcPr>
            <w:tcW w:w="3351" w:type="pct"/>
            <w:gridSpan w:val="3"/>
            <w:vAlign w:val="center"/>
          </w:tcPr>
          <w:p>
            <w:pPr>
              <w:widowControl/>
              <w:spacing w:line="240" w:lineRule="exact"/>
              <w:jc w:val="center"/>
              <w:rPr>
                <w:color w:val="auto"/>
                <w:highlight w:val="none"/>
              </w:rPr>
            </w:pPr>
            <w:r>
              <w:rPr>
                <w:rFonts w:hint="eastAsia"/>
                <w:color w:val="auto"/>
                <w:highlight w:val="none"/>
              </w:rPr>
              <w:t>产出(t/a)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3" w:type="pct"/>
            <w:vAlign w:val="center"/>
          </w:tcPr>
          <w:p>
            <w:pPr>
              <w:widowControl/>
              <w:spacing w:line="240" w:lineRule="exact"/>
              <w:jc w:val="center"/>
              <w:rPr>
                <w:color w:val="auto"/>
                <w:highlight w:val="none"/>
              </w:rPr>
            </w:pPr>
            <w:r>
              <w:rPr>
                <w:color w:val="auto"/>
                <w:highlight w:val="none"/>
              </w:rPr>
              <w:t>名称</w:t>
            </w:r>
          </w:p>
        </w:tc>
        <w:tc>
          <w:tcPr>
            <w:tcW w:w="545" w:type="pct"/>
            <w:vAlign w:val="center"/>
          </w:tcPr>
          <w:p>
            <w:pPr>
              <w:adjustRightInd w:val="0"/>
              <w:snapToGrid w:val="0"/>
              <w:jc w:val="center"/>
              <w:rPr>
                <w:color w:val="auto"/>
                <w:highlight w:val="none"/>
              </w:rPr>
            </w:pPr>
            <w:r>
              <w:rPr>
                <w:color w:val="auto"/>
                <w:highlight w:val="none"/>
              </w:rPr>
              <w:t>用量</w:t>
            </w:r>
          </w:p>
        </w:tc>
        <w:tc>
          <w:tcPr>
            <w:tcW w:w="1348" w:type="pct"/>
            <w:vAlign w:val="center"/>
          </w:tcPr>
          <w:p>
            <w:pPr>
              <w:widowControl/>
              <w:spacing w:line="240" w:lineRule="exact"/>
              <w:jc w:val="center"/>
              <w:rPr>
                <w:color w:val="auto"/>
                <w:highlight w:val="none"/>
              </w:rPr>
            </w:pPr>
            <w:r>
              <w:rPr>
                <w:color w:val="auto"/>
                <w:highlight w:val="none"/>
              </w:rPr>
              <w:t>名称</w:t>
            </w:r>
          </w:p>
        </w:tc>
        <w:tc>
          <w:tcPr>
            <w:tcW w:w="839" w:type="pct"/>
            <w:vAlign w:val="center"/>
          </w:tcPr>
          <w:p>
            <w:pPr>
              <w:widowControl/>
              <w:spacing w:line="240" w:lineRule="exact"/>
              <w:jc w:val="center"/>
              <w:rPr>
                <w:color w:val="auto"/>
                <w:highlight w:val="none"/>
              </w:rPr>
            </w:pPr>
            <w:r>
              <w:rPr>
                <w:color w:val="auto"/>
                <w:highlight w:val="none"/>
              </w:rPr>
              <w:t>产出量</w:t>
            </w:r>
          </w:p>
        </w:tc>
        <w:tc>
          <w:tcPr>
            <w:tcW w:w="1163" w:type="pct"/>
            <w:vAlign w:val="center"/>
          </w:tcPr>
          <w:p>
            <w:pPr>
              <w:pStyle w:val="105"/>
              <w:rPr>
                <w:color w:val="auto"/>
                <w:highlight w:val="none"/>
              </w:rPr>
            </w:pPr>
            <w:r>
              <w:rPr>
                <w:color w:val="auto"/>
                <w:highlight w:val="none"/>
              </w:rPr>
              <w:t>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03" w:type="pct"/>
            <w:vAlign w:val="center"/>
          </w:tcPr>
          <w:p>
            <w:pPr>
              <w:widowControl/>
              <w:spacing w:line="240" w:lineRule="exact"/>
              <w:jc w:val="center"/>
              <w:rPr>
                <w:color w:val="auto"/>
                <w:highlight w:val="none"/>
              </w:rPr>
            </w:pPr>
            <w:r>
              <w:rPr>
                <w:rFonts w:hint="eastAsia"/>
                <w:color w:val="auto"/>
                <w:highlight w:val="none"/>
              </w:rPr>
              <w:t>聚丙烯碎片及碎料</w:t>
            </w:r>
          </w:p>
        </w:tc>
        <w:tc>
          <w:tcPr>
            <w:tcW w:w="982" w:type="dxa"/>
            <w:vAlign w:val="bottom"/>
          </w:tcPr>
          <w:p>
            <w:pPr>
              <w:keepNext w:val="0"/>
              <w:keepLines w:val="0"/>
              <w:widowControl/>
              <w:suppressLineNumbers w:val="0"/>
              <w:jc w:val="center"/>
              <w:textAlignment w:val="bottom"/>
              <w:rPr>
                <w:rFonts w:hint="eastAsia"/>
                <w:color w:val="auto"/>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3001.5</w:t>
            </w:r>
          </w:p>
        </w:tc>
        <w:tc>
          <w:tcPr>
            <w:tcW w:w="1348" w:type="pct"/>
            <w:vAlign w:val="center"/>
          </w:tcPr>
          <w:p>
            <w:pPr>
              <w:widowControl/>
              <w:spacing w:line="240" w:lineRule="exact"/>
              <w:jc w:val="center"/>
              <w:rPr>
                <w:color w:val="auto"/>
                <w:highlight w:val="none"/>
              </w:rPr>
            </w:pPr>
            <w:r>
              <w:rPr>
                <w:rFonts w:hint="eastAsia"/>
                <w:color w:val="auto"/>
                <w:highlight w:val="none"/>
              </w:rPr>
              <w:t>熔融挤出挥发性有机物</w:t>
            </w:r>
          </w:p>
        </w:tc>
        <w:tc>
          <w:tcPr>
            <w:tcW w:w="1511" w:type="dxa"/>
            <w:vAlign w:val="bottom"/>
          </w:tcPr>
          <w:p>
            <w:pPr>
              <w:keepNext w:val="0"/>
              <w:keepLines w:val="0"/>
              <w:widowControl/>
              <w:suppressLineNumbers w:val="0"/>
              <w:jc w:val="center"/>
              <w:textAlignment w:val="bottom"/>
              <w:rPr>
                <w:rFonts w:hint="eastAsia"/>
                <w:color w:val="auto"/>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1.768</w:t>
            </w:r>
          </w:p>
        </w:tc>
        <w:tc>
          <w:tcPr>
            <w:tcW w:w="1163" w:type="pct"/>
            <w:vAlign w:val="center"/>
          </w:tcPr>
          <w:p>
            <w:pPr>
              <w:pStyle w:val="105"/>
              <w:rPr>
                <w:color w:val="auto"/>
                <w:highlight w:val="none"/>
              </w:rPr>
            </w:pPr>
            <w:r>
              <w:rPr>
                <w:rFonts w:hint="eastAsia"/>
                <w:color w:val="auto"/>
                <w:highlight w:val="none"/>
              </w:rPr>
              <w:t>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03" w:type="pct"/>
            <w:vAlign w:val="center"/>
          </w:tcPr>
          <w:p>
            <w:pPr>
              <w:widowControl/>
              <w:spacing w:line="240" w:lineRule="exact"/>
              <w:jc w:val="center"/>
              <w:rPr>
                <w:color w:val="auto"/>
                <w:highlight w:val="none"/>
              </w:rPr>
            </w:pPr>
            <w:r>
              <w:rPr>
                <w:rFonts w:hint="eastAsia"/>
                <w:color w:val="auto"/>
                <w:highlight w:val="none"/>
              </w:rPr>
              <w:t>聚乙烯碎片及碎料</w:t>
            </w:r>
          </w:p>
        </w:tc>
        <w:tc>
          <w:tcPr>
            <w:tcW w:w="982" w:type="dxa"/>
            <w:vAlign w:val="bottom"/>
          </w:tcPr>
          <w:p>
            <w:pPr>
              <w:keepNext w:val="0"/>
              <w:keepLines w:val="0"/>
              <w:widowControl/>
              <w:suppressLineNumbers w:val="0"/>
              <w:jc w:val="center"/>
              <w:textAlignment w:val="bottom"/>
              <w:rPr>
                <w:rFonts w:hint="eastAsia"/>
                <w:color w:val="auto"/>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2000.92</w:t>
            </w:r>
          </w:p>
        </w:tc>
        <w:tc>
          <w:tcPr>
            <w:tcW w:w="1348" w:type="pct"/>
            <w:vAlign w:val="center"/>
          </w:tcPr>
          <w:p>
            <w:pPr>
              <w:widowControl/>
              <w:spacing w:line="240" w:lineRule="exact"/>
              <w:jc w:val="center"/>
              <w:rPr>
                <w:color w:val="auto"/>
                <w:highlight w:val="none"/>
              </w:rPr>
            </w:pPr>
            <w:r>
              <w:rPr>
                <w:rFonts w:hint="eastAsia"/>
                <w:color w:val="auto"/>
                <w:highlight w:val="none"/>
              </w:rPr>
              <w:t>熔融挤出颗粒物</w:t>
            </w:r>
          </w:p>
        </w:tc>
        <w:tc>
          <w:tcPr>
            <w:tcW w:w="1511" w:type="dxa"/>
            <w:vAlign w:val="bottom"/>
          </w:tcPr>
          <w:p>
            <w:pPr>
              <w:keepNext w:val="0"/>
              <w:keepLines w:val="0"/>
              <w:widowControl/>
              <w:suppressLineNumbers w:val="0"/>
              <w:jc w:val="center"/>
              <w:textAlignment w:val="bottom"/>
              <w:rPr>
                <w:rFonts w:hint="eastAsia"/>
                <w:color w:val="auto"/>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0.758</w:t>
            </w:r>
          </w:p>
        </w:tc>
        <w:tc>
          <w:tcPr>
            <w:tcW w:w="1163" w:type="pct"/>
            <w:vAlign w:val="center"/>
          </w:tcPr>
          <w:p>
            <w:pPr>
              <w:pStyle w:val="105"/>
              <w:rPr>
                <w:color w:val="auto"/>
                <w:highlight w:val="none"/>
              </w:rPr>
            </w:pPr>
            <w:r>
              <w:rPr>
                <w:rFonts w:hint="eastAsia"/>
                <w:color w:val="auto"/>
                <w:highlight w:val="none"/>
              </w:rPr>
              <w:t>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103" w:type="pct"/>
            <w:vAlign w:val="center"/>
          </w:tcPr>
          <w:p>
            <w:pPr>
              <w:widowControl/>
              <w:spacing w:line="240" w:lineRule="exact"/>
              <w:jc w:val="center"/>
              <w:rPr>
                <w:color w:val="auto"/>
                <w:highlight w:val="none"/>
              </w:rPr>
            </w:pPr>
            <w:r>
              <w:rPr>
                <w:rFonts w:hint="eastAsia"/>
                <w:color w:val="auto"/>
                <w:highlight w:val="none"/>
              </w:rPr>
              <w:t>色母粒</w:t>
            </w:r>
          </w:p>
        </w:tc>
        <w:tc>
          <w:tcPr>
            <w:tcW w:w="982" w:type="dxa"/>
            <w:vAlign w:val="bottom"/>
          </w:tcPr>
          <w:p>
            <w:pPr>
              <w:keepNext w:val="0"/>
              <w:keepLines w:val="0"/>
              <w:widowControl/>
              <w:suppressLineNumbers w:val="0"/>
              <w:jc w:val="center"/>
              <w:textAlignment w:val="bottom"/>
              <w:rPr>
                <w:rFonts w:hint="eastAsia"/>
                <w:color w:val="auto"/>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50</w:t>
            </w:r>
          </w:p>
        </w:tc>
        <w:tc>
          <w:tcPr>
            <w:tcW w:w="1348" w:type="pct"/>
            <w:vAlign w:val="center"/>
          </w:tcPr>
          <w:p>
            <w:pPr>
              <w:widowControl/>
              <w:spacing w:line="240" w:lineRule="exact"/>
              <w:jc w:val="center"/>
              <w:rPr>
                <w:color w:val="auto"/>
                <w:highlight w:val="none"/>
              </w:rPr>
            </w:pPr>
            <w:r>
              <w:rPr>
                <w:rFonts w:hint="eastAsia"/>
                <w:color w:val="auto"/>
                <w:highlight w:val="none"/>
              </w:rPr>
              <w:t>挤出废料</w:t>
            </w:r>
          </w:p>
        </w:tc>
        <w:tc>
          <w:tcPr>
            <w:tcW w:w="1511" w:type="dxa"/>
            <w:vAlign w:val="bottom"/>
          </w:tcPr>
          <w:p>
            <w:pPr>
              <w:keepNext w:val="0"/>
              <w:keepLines w:val="0"/>
              <w:widowControl/>
              <w:suppressLineNumbers w:val="0"/>
              <w:jc w:val="center"/>
              <w:textAlignment w:val="bottom"/>
              <w:rPr>
                <w:rFonts w:hint="eastAsia"/>
                <w:color w:val="auto"/>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49.894</w:t>
            </w:r>
          </w:p>
        </w:tc>
        <w:tc>
          <w:tcPr>
            <w:tcW w:w="1163" w:type="pct"/>
            <w:vAlign w:val="center"/>
          </w:tcPr>
          <w:p>
            <w:pPr>
              <w:pStyle w:val="105"/>
              <w:rPr>
                <w:color w:val="auto"/>
                <w:highlight w:val="none"/>
              </w:rPr>
            </w:pPr>
            <w:r>
              <w:rPr>
                <w:rFonts w:hint="eastAsia"/>
                <w:color w:val="auto"/>
                <w:highlight w:val="none"/>
              </w:rPr>
              <w:t>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103" w:type="pct"/>
            <w:vAlign w:val="center"/>
          </w:tcPr>
          <w:p>
            <w:pPr>
              <w:widowControl/>
              <w:spacing w:line="240" w:lineRule="exact"/>
              <w:jc w:val="center"/>
              <w:rPr>
                <w:color w:val="auto"/>
                <w:highlight w:val="none"/>
              </w:rPr>
            </w:pPr>
          </w:p>
        </w:tc>
        <w:tc>
          <w:tcPr>
            <w:tcW w:w="982" w:type="dxa"/>
            <w:vAlign w:val="bottom"/>
          </w:tcPr>
          <w:p>
            <w:pPr>
              <w:jc w:val="center"/>
              <w:rPr>
                <w:rFonts w:hint="eastAsia"/>
                <w:color w:val="auto"/>
                <w:highlight w:val="none"/>
              </w:rPr>
            </w:pPr>
          </w:p>
        </w:tc>
        <w:tc>
          <w:tcPr>
            <w:tcW w:w="1348" w:type="pct"/>
            <w:vAlign w:val="center"/>
          </w:tcPr>
          <w:p>
            <w:pPr>
              <w:widowControl/>
              <w:spacing w:line="240" w:lineRule="exact"/>
              <w:jc w:val="center"/>
              <w:rPr>
                <w:color w:val="auto"/>
                <w:highlight w:val="none"/>
              </w:rPr>
            </w:pPr>
            <w:r>
              <w:rPr>
                <w:rFonts w:hint="eastAsia"/>
                <w:color w:val="auto"/>
                <w:highlight w:val="none"/>
              </w:rPr>
              <w:t>聚丙烯颗粒</w:t>
            </w:r>
          </w:p>
        </w:tc>
        <w:tc>
          <w:tcPr>
            <w:tcW w:w="1511" w:type="dxa"/>
            <w:vAlign w:val="bottom"/>
          </w:tcPr>
          <w:p>
            <w:pPr>
              <w:keepNext w:val="0"/>
              <w:keepLines w:val="0"/>
              <w:widowControl/>
              <w:suppressLineNumbers w:val="0"/>
              <w:jc w:val="center"/>
              <w:textAlignment w:val="bottom"/>
              <w:rPr>
                <w:rFonts w:hint="eastAsia"/>
                <w:color w:val="auto"/>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3000</w:t>
            </w:r>
          </w:p>
        </w:tc>
        <w:tc>
          <w:tcPr>
            <w:tcW w:w="1163" w:type="pct"/>
            <w:vAlign w:val="center"/>
          </w:tcPr>
          <w:p>
            <w:pPr>
              <w:pStyle w:val="105"/>
              <w:rPr>
                <w:color w:val="auto"/>
                <w:highlight w:val="none"/>
              </w:rPr>
            </w:pPr>
            <w:r>
              <w:rPr>
                <w:rFonts w:hint="eastAsia"/>
                <w:color w:val="auto"/>
                <w:highlight w:val="none"/>
              </w:rPr>
              <w:t>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103" w:type="pct"/>
            <w:vAlign w:val="center"/>
          </w:tcPr>
          <w:p>
            <w:pPr>
              <w:widowControl/>
              <w:spacing w:line="240" w:lineRule="exact"/>
              <w:jc w:val="center"/>
              <w:rPr>
                <w:color w:val="auto"/>
                <w:highlight w:val="none"/>
              </w:rPr>
            </w:pPr>
          </w:p>
        </w:tc>
        <w:tc>
          <w:tcPr>
            <w:tcW w:w="982" w:type="dxa"/>
            <w:vAlign w:val="bottom"/>
          </w:tcPr>
          <w:p>
            <w:pPr>
              <w:jc w:val="center"/>
              <w:rPr>
                <w:rFonts w:hint="eastAsia"/>
                <w:color w:val="auto"/>
                <w:highlight w:val="none"/>
              </w:rPr>
            </w:pPr>
          </w:p>
        </w:tc>
        <w:tc>
          <w:tcPr>
            <w:tcW w:w="1348" w:type="pct"/>
            <w:vAlign w:val="center"/>
          </w:tcPr>
          <w:p>
            <w:pPr>
              <w:widowControl/>
              <w:spacing w:line="240" w:lineRule="exact"/>
              <w:jc w:val="center"/>
              <w:rPr>
                <w:color w:val="auto"/>
                <w:highlight w:val="none"/>
              </w:rPr>
            </w:pPr>
            <w:r>
              <w:rPr>
                <w:rFonts w:hint="eastAsia"/>
                <w:color w:val="auto"/>
                <w:highlight w:val="none"/>
              </w:rPr>
              <w:t>聚乙烯颗粒</w:t>
            </w:r>
          </w:p>
        </w:tc>
        <w:tc>
          <w:tcPr>
            <w:tcW w:w="1511" w:type="dxa"/>
            <w:vAlign w:val="bottom"/>
          </w:tcPr>
          <w:p>
            <w:pPr>
              <w:keepNext w:val="0"/>
              <w:keepLines w:val="0"/>
              <w:widowControl/>
              <w:suppressLineNumbers w:val="0"/>
              <w:jc w:val="center"/>
              <w:textAlignment w:val="bottom"/>
              <w:rPr>
                <w:rFonts w:hint="eastAsia"/>
                <w:color w:val="auto"/>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2000</w:t>
            </w:r>
          </w:p>
        </w:tc>
        <w:tc>
          <w:tcPr>
            <w:tcW w:w="1163" w:type="pct"/>
            <w:vAlign w:val="center"/>
          </w:tcPr>
          <w:p>
            <w:pPr>
              <w:pStyle w:val="105"/>
              <w:rPr>
                <w:color w:val="auto"/>
                <w:highlight w:val="none"/>
              </w:rPr>
            </w:pPr>
            <w:r>
              <w:rPr>
                <w:rFonts w:hint="eastAsia"/>
                <w:color w:val="auto"/>
                <w:highlight w:val="none"/>
              </w:rPr>
              <w:t>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1103" w:type="pct"/>
            <w:vAlign w:val="center"/>
          </w:tcPr>
          <w:p>
            <w:pPr>
              <w:widowControl/>
              <w:spacing w:line="240" w:lineRule="exact"/>
              <w:jc w:val="center"/>
              <w:rPr>
                <w:color w:val="auto"/>
                <w:highlight w:val="none"/>
              </w:rPr>
            </w:pPr>
            <w:r>
              <w:rPr>
                <w:color w:val="auto"/>
                <w:highlight w:val="none"/>
              </w:rPr>
              <w:t>合计</w:t>
            </w:r>
          </w:p>
        </w:tc>
        <w:tc>
          <w:tcPr>
            <w:tcW w:w="982" w:type="dxa"/>
            <w:vAlign w:val="bottom"/>
          </w:tcPr>
          <w:p>
            <w:pPr>
              <w:keepNext w:val="0"/>
              <w:keepLines w:val="0"/>
              <w:widowControl/>
              <w:suppressLineNumbers w:val="0"/>
              <w:jc w:val="center"/>
              <w:textAlignment w:val="bottom"/>
              <w:rPr>
                <w:rFonts w:hint="eastAsia"/>
                <w:color w:val="auto"/>
                <w:highlight w:val="none"/>
              </w:rPr>
            </w:pPr>
            <w:r>
              <w:rPr>
                <w:rFonts w:hint="default" w:ascii="Times New Roman" w:hAnsi="Times New Roman" w:eastAsia="等线" w:cs="Times New Roman"/>
                <w:i w:val="0"/>
                <w:iCs w:val="0"/>
                <w:color w:val="auto"/>
                <w:kern w:val="0"/>
                <w:sz w:val="21"/>
                <w:szCs w:val="21"/>
                <w:highlight w:val="none"/>
                <w:u w:val="none"/>
                <w:lang w:val="en-US" w:eastAsia="zh-CN" w:bidi="ar"/>
              </w:rPr>
              <w:t>5052.42</w:t>
            </w:r>
          </w:p>
        </w:tc>
        <w:tc>
          <w:tcPr>
            <w:tcW w:w="1348" w:type="pct"/>
            <w:vAlign w:val="center"/>
          </w:tcPr>
          <w:p>
            <w:pPr>
              <w:widowControl/>
              <w:spacing w:line="240" w:lineRule="exact"/>
              <w:jc w:val="center"/>
              <w:rPr>
                <w:color w:val="auto"/>
                <w:highlight w:val="none"/>
              </w:rPr>
            </w:pPr>
            <w:r>
              <w:rPr>
                <w:color w:val="auto"/>
                <w:highlight w:val="none"/>
              </w:rPr>
              <w:t>合计</w:t>
            </w:r>
          </w:p>
        </w:tc>
        <w:tc>
          <w:tcPr>
            <w:tcW w:w="1511" w:type="dxa"/>
            <w:vAlign w:val="bottom"/>
          </w:tcPr>
          <w:p>
            <w:pPr>
              <w:keepNext w:val="0"/>
              <w:keepLines w:val="0"/>
              <w:widowControl/>
              <w:suppressLineNumbers w:val="0"/>
              <w:jc w:val="center"/>
              <w:textAlignment w:val="bottom"/>
              <w:rPr>
                <w:rFonts w:hint="eastAsia"/>
                <w:color w:val="auto"/>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5052.42</w:t>
            </w:r>
          </w:p>
        </w:tc>
        <w:tc>
          <w:tcPr>
            <w:tcW w:w="1163" w:type="pct"/>
            <w:vAlign w:val="center"/>
          </w:tcPr>
          <w:p>
            <w:pPr>
              <w:pStyle w:val="105"/>
              <w:rPr>
                <w:color w:val="auto"/>
                <w:highlight w:val="none"/>
              </w:rPr>
            </w:pPr>
            <w:r>
              <w:rPr>
                <w:rFonts w:hint="eastAsia"/>
                <w:color w:val="auto"/>
                <w:highlight w:val="none"/>
              </w:rPr>
              <w:t>-</w:t>
            </w:r>
          </w:p>
        </w:tc>
      </w:tr>
    </w:tbl>
    <w:p>
      <w:pPr>
        <w:rPr>
          <w:color w:val="auto"/>
          <w:highlight w:val="none"/>
        </w:rPr>
      </w:pPr>
    </w:p>
    <w:p>
      <w:pPr>
        <w:pStyle w:val="28"/>
        <w:rPr>
          <w:color w:val="auto"/>
          <w:highlight w:val="none"/>
        </w:rPr>
      </w:pPr>
      <w:r>
        <w:rPr>
          <w:color w:val="auto"/>
          <w:sz w:val="21"/>
          <w:highlight w:val="none"/>
        </w:rPr>
        <mc:AlternateContent>
          <mc:Choice Requires="wpg">
            <w:drawing>
              <wp:anchor distT="0" distB="0" distL="114300" distR="114300" simplePos="0" relativeHeight="251661312" behindDoc="0" locked="0" layoutInCell="1" allowOverlap="1">
                <wp:simplePos x="0" y="0"/>
                <wp:positionH relativeFrom="column">
                  <wp:posOffset>-125730</wp:posOffset>
                </wp:positionH>
                <wp:positionV relativeFrom="paragraph">
                  <wp:posOffset>-86360</wp:posOffset>
                </wp:positionV>
                <wp:extent cx="5848985" cy="1842770"/>
                <wp:effectExtent l="4445" t="0" r="13970" b="0"/>
                <wp:wrapNone/>
                <wp:docPr id="49" name="组合 49"/>
                <wp:cNvGraphicFramePr/>
                <a:graphic xmlns:a="http://schemas.openxmlformats.org/drawingml/2006/main">
                  <a:graphicData uri="http://schemas.microsoft.com/office/word/2010/wordprocessingGroup">
                    <wpg:wgp>
                      <wpg:cNvGrpSpPr/>
                      <wpg:grpSpPr>
                        <a:xfrm>
                          <a:off x="0" y="0"/>
                          <a:ext cx="5848985" cy="1842770"/>
                          <a:chOff x="3336" y="772389"/>
                          <a:chExt cx="9211" cy="2902"/>
                        </a:xfrm>
                      </wpg:grpSpPr>
                      <wps:wsp>
                        <wps:cNvPr id="4" name="文本框 527"/>
                        <wps:cNvSpPr txBox="1"/>
                        <wps:spPr>
                          <a:xfrm>
                            <a:off x="3336" y="773066"/>
                            <a:ext cx="2642" cy="1127"/>
                          </a:xfrm>
                          <a:prstGeom prst="rect">
                            <a:avLst/>
                          </a:prstGeom>
                          <a:noFill/>
                          <a:ln w="9525" cap="flat" cmpd="sng">
                            <a:solidFill>
                              <a:schemeClr val="bg1"/>
                            </a:solidFill>
                            <a:prstDash val="solid"/>
                            <a:miter/>
                            <a:headEnd type="none" w="med" len="med"/>
                            <a:tailEnd type="none" w="med" len="med"/>
                          </a:ln>
                        </wps:spPr>
                        <wps:txbx>
                          <w:txbxContent>
                            <w:p>
                              <w:pPr>
                                <w:jc w:val="center"/>
                                <w:rPr>
                                  <w:rFonts w:hint="default" w:eastAsia="宋体"/>
                                  <w:szCs w:val="21"/>
                                  <w:lang w:val="en-US" w:eastAsia="zh-CN"/>
                                </w:rPr>
                              </w:pPr>
                              <w:r>
                                <w:rPr>
                                  <w:rFonts w:hint="eastAsia"/>
                                  <w:szCs w:val="21"/>
                                </w:rPr>
                                <w:t>废聚乙烯(PE)破碎料2000.92、废聚丙烯（PP）破碎料3001.5、色母粒</w:t>
                              </w:r>
                              <w:r>
                                <w:rPr>
                                  <w:rFonts w:hint="eastAsia"/>
                                  <w:szCs w:val="21"/>
                                  <w:lang w:val="en-US" w:eastAsia="zh-CN"/>
                                </w:rPr>
                                <w:t>50</w:t>
                              </w:r>
                            </w:p>
                          </w:txbxContent>
                        </wps:txbx>
                        <wps:bodyPr upright="1"/>
                      </wps:wsp>
                      <wps:wsp>
                        <wps:cNvPr id="37" name="直接连接符 533"/>
                        <wps:cNvCnPr/>
                        <wps:spPr>
                          <a:xfrm flipV="1">
                            <a:off x="5904" y="773555"/>
                            <a:ext cx="940" cy="1"/>
                          </a:xfrm>
                          <a:prstGeom prst="line">
                            <a:avLst/>
                          </a:prstGeom>
                          <a:ln w="9525" cap="flat" cmpd="sng">
                            <a:solidFill>
                              <a:srgbClr val="000000"/>
                            </a:solidFill>
                            <a:prstDash val="solid"/>
                            <a:headEnd type="none" w="med" len="med"/>
                            <a:tailEnd type="triangle" w="med" len="med"/>
                          </a:ln>
                        </wps:spPr>
                        <wps:bodyPr/>
                      </wps:wsp>
                      <wps:wsp>
                        <wps:cNvPr id="38" name="直接连接符 532"/>
                        <wps:cNvCnPr/>
                        <wps:spPr>
                          <a:xfrm>
                            <a:off x="8147" y="773564"/>
                            <a:ext cx="520" cy="1"/>
                          </a:xfrm>
                          <a:prstGeom prst="line">
                            <a:avLst/>
                          </a:prstGeom>
                          <a:ln w="9525" cap="flat" cmpd="sng">
                            <a:solidFill>
                              <a:srgbClr val="000000"/>
                            </a:solidFill>
                            <a:prstDash val="solid"/>
                            <a:headEnd type="none" w="med" len="med"/>
                            <a:tailEnd type="triangle" w="med" len="med"/>
                          </a:ln>
                        </wps:spPr>
                        <wps:bodyPr/>
                      </wps:wsp>
                      <wps:wsp>
                        <wps:cNvPr id="39" name="直接连接符 531"/>
                        <wps:cNvCnPr/>
                        <wps:spPr>
                          <a:xfrm>
                            <a:off x="9993" y="773561"/>
                            <a:ext cx="520" cy="1"/>
                          </a:xfrm>
                          <a:prstGeom prst="line">
                            <a:avLst/>
                          </a:prstGeom>
                          <a:ln w="9525" cap="flat" cmpd="sng">
                            <a:solidFill>
                              <a:srgbClr val="000000"/>
                            </a:solidFill>
                            <a:prstDash val="solid"/>
                            <a:headEnd type="none" w="med" len="med"/>
                            <a:tailEnd type="triangle" w="med" len="med"/>
                          </a:ln>
                        </wps:spPr>
                        <wps:bodyPr/>
                      </wps:wsp>
                      <wps:wsp>
                        <wps:cNvPr id="40" name="文本框 535"/>
                        <wps:cNvSpPr txBox="1"/>
                        <wps:spPr>
                          <a:xfrm>
                            <a:off x="6325" y="774195"/>
                            <a:ext cx="2265" cy="1097"/>
                          </a:xfrm>
                          <a:prstGeom prst="rect">
                            <a:avLst/>
                          </a:prstGeom>
                          <a:noFill/>
                          <a:ln>
                            <a:noFill/>
                          </a:ln>
                        </wps:spPr>
                        <wps:txbx>
                          <w:txbxContent>
                            <w:p>
                              <w:pPr>
                                <w:jc w:val="center"/>
                                <w:rPr>
                                  <w:rFonts w:hint="default" w:eastAsia="宋体"/>
                                  <w:color w:val="auto"/>
                                  <w:szCs w:val="21"/>
                                  <w:lang w:val="en-US" w:eastAsia="zh-CN"/>
                                </w:rPr>
                              </w:pPr>
                              <w:r>
                                <w:rPr>
                                  <w:szCs w:val="21"/>
                                </w:rPr>
                                <w:t>G</w:t>
                              </w:r>
                              <w:r>
                                <w:rPr>
                                  <w:szCs w:val="21"/>
                                  <w:vertAlign w:val="subscript"/>
                                </w:rPr>
                                <w:t>2</w:t>
                              </w:r>
                              <w:r>
                                <w:rPr>
                                  <w:szCs w:val="21"/>
                                </w:rPr>
                                <w:t>-</w:t>
                              </w:r>
                              <w:r>
                                <w:rPr>
                                  <w:szCs w:val="21"/>
                                  <w:vertAlign w:val="subscript"/>
                                </w:rPr>
                                <w:t>1</w:t>
                              </w:r>
                              <w:r>
                                <w:rPr>
                                  <w:szCs w:val="21"/>
                                </w:rPr>
                                <w:t>：颗粒物</w:t>
                              </w:r>
                              <w:r>
                                <w:rPr>
                                  <w:rFonts w:hint="default" w:ascii="Times New Roman" w:hAnsi="Times New Roman" w:eastAsia="等线" w:cs="Times New Roman"/>
                                  <w:i w:val="0"/>
                                  <w:iCs w:val="0"/>
                                  <w:color w:val="auto"/>
                                  <w:kern w:val="0"/>
                                  <w:sz w:val="21"/>
                                  <w:szCs w:val="21"/>
                                  <w:u w:val="none"/>
                                  <w:lang w:val="en-US" w:eastAsia="zh-CN" w:bidi="ar"/>
                                </w:rPr>
                                <w:t>0.758</w:t>
                              </w:r>
                            </w:p>
                            <w:p>
                              <w:pPr>
                                <w:ind w:firstLine="630" w:firstLineChars="300"/>
                                <w:rPr>
                                  <w:rFonts w:hint="eastAsia" w:ascii="Times New Roman"/>
                                  <w:color w:val="auto"/>
                                  <w:sz w:val="21"/>
                                  <w:szCs w:val="21"/>
                                  <w:lang w:val="en-US"/>
                                </w:rPr>
                              </w:pPr>
                              <w:r>
                                <w:rPr>
                                  <w:rFonts w:ascii="Times New Roman"/>
                                  <w:color w:val="auto"/>
                                  <w:sz w:val="21"/>
                                  <w:szCs w:val="21"/>
                                  <w:lang w:val="en-US"/>
                                </w:rPr>
                                <w:t>VOCs</w:t>
                              </w:r>
                              <w:r>
                                <w:rPr>
                                  <w:rFonts w:hint="eastAsia"/>
                                  <w:color w:val="auto"/>
                                  <w:sz w:val="21"/>
                                  <w:szCs w:val="21"/>
                                  <w:lang w:val="en-US" w:eastAsia="zh-CN"/>
                                </w:rPr>
                                <w:t xml:space="preserve"> </w:t>
                              </w:r>
                              <w:r>
                                <w:rPr>
                                  <w:rFonts w:hint="default" w:ascii="Times New Roman" w:hAnsi="Times New Roman" w:eastAsia="等线" w:cs="Times New Roman"/>
                                  <w:i w:val="0"/>
                                  <w:iCs w:val="0"/>
                                  <w:color w:val="auto"/>
                                  <w:kern w:val="0"/>
                                  <w:sz w:val="21"/>
                                  <w:szCs w:val="21"/>
                                  <w:u w:val="none"/>
                                  <w:lang w:val="en-US" w:eastAsia="zh-CN" w:bidi="ar"/>
                                </w:rPr>
                                <w:t>1.768</w:t>
                              </w:r>
                            </w:p>
                            <w:p>
                              <w:pPr>
                                <w:ind w:firstLine="210" w:firstLineChars="100"/>
                                <w:rPr>
                                  <w:color w:val="auto"/>
                                </w:rPr>
                              </w:pPr>
                              <w:r>
                                <w:rPr>
                                  <w:rFonts w:hint="eastAsia"/>
                                  <w:color w:val="auto"/>
                                  <w:szCs w:val="21"/>
                                </w:rPr>
                                <w:t>S</w:t>
                              </w:r>
                              <w:r>
                                <w:rPr>
                                  <w:rFonts w:hint="eastAsia"/>
                                  <w:color w:val="auto"/>
                                  <w:szCs w:val="21"/>
                                  <w:vertAlign w:val="subscript"/>
                                </w:rPr>
                                <w:t>2-1</w:t>
                              </w:r>
                              <w:r>
                                <w:rPr>
                                  <w:rFonts w:hint="eastAsia"/>
                                  <w:color w:val="auto"/>
                                  <w:szCs w:val="21"/>
                                </w:rPr>
                                <w:t>：废料</w:t>
                              </w:r>
                              <w:r>
                                <w:rPr>
                                  <w:rFonts w:hint="default" w:ascii="Times New Roman" w:hAnsi="Times New Roman" w:eastAsia="等线" w:cs="Times New Roman"/>
                                  <w:i w:val="0"/>
                                  <w:iCs w:val="0"/>
                                  <w:color w:val="auto"/>
                                  <w:kern w:val="0"/>
                                  <w:sz w:val="21"/>
                                  <w:szCs w:val="21"/>
                                  <w:u w:val="none"/>
                                  <w:lang w:val="en-US" w:eastAsia="zh-CN" w:bidi="ar"/>
                                </w:rPr>
                                <w:t>49.894</w:t>
                              </w:r>
                            </w:p>
                          </w:txbxContent>
                        </wps:txbx>
                        <wps:bodyPr upright="1"/>
                      </wps:wsp>
                      <wps:wsp>
                        <wps:cNvPr id="41" name="直接连接符 534"/>
                        <wps:cNvCnPr/>
                        <wps:spPr>
                          <a:xfrm>
                            <a:off x="7450" y="773777"/>
                            <a:ext cx="1" cy="429"/>
                          </a:xfrm>
                          <a:prstGeom prst="line">
                            <a:avLst/>
                          </a:prstGeom>
                          <a:ln w="9525" cap="flat" cmpd="sng">
                            <a:solidFill>
                              <a:srgbClr val="000000"/>
                            </a:solidFill>
                            <a:prstDash val="dash"/>
                            <a:headEnd type="none" w="med" len="med"/>
                            <a:tailEnd type="triangle" w="med" len="med"/>
                          </a:ln>
                        </wps:spPr>
                        <wps:bodyPr/>
                      </wps:wsp>
                      <wps:wsp>
                        <wps:cNvPr id="42" name="文本框 530"/>
                        <wps:cNvSpPr txBox="1"/>
                        <wps:spPr>
                          <a:xfrm>
                            <a:off x="6844" y="773316"/>
                            <a:ext cx="1303"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熔融、挤出</w:t>
                              </w:r>
                            </w:p>
                          </w:txbxContent>
                        </wps:txbx>
                        <wps:bodyPr upright="1"/>
                      </wps:wsp>
                      <wps:wsp>
                        <wps:cNvPr id="43" name="文本框 529"/>
                        <wps:cNvSpPr txBox="1"/>
                        <wps:spPr>
                          <a:xfrm>
                            <a:off x="8667" y="773315"/>
                            <a:ext cx="1303"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冷却、切粒</w:t>
                              </w:r>
                            </w:p>
                          </w:txbxContent>
                        </wps:txbx>
                        <wps:bodyPr upright="1"/>
                      </wps:wsp>
                      <wps:wsp>
                        <wps:cNvPr id="44" name="文本框 528"/>
                        <wps:cNvSpPr txBox="1"/>
                        <wps:spPr>
                          <a:xfrm>
                            <a:off x="10513" y="773180"/>
                            <a:ext cx="2034" cy="755"/>
                          </a:xfrm>
                          <a:prstGeom prst="rect">
                            <a:avLst/>
                          </a:prstGeom>
                          <a:solidFill>
                            <a:srgbClr val="FFFFFF"/>
                          </a:solidFill>
                          <a:ln>
                            <a:noFill/>
                          </a:ln>
                        </wps:spPr>
                        <wps:txbx>
                          <w:txbxContent>
                            <w:p>
                              <w:pPr>
                                <w:jc w:val="center"/>
                                <w:rPr>
                                  <w:rFonts w:hint="default" w:eastAsia="宋体"/>
                                  <w:szCs w:val="21"/>
                                  <w:lang w:val="en-US" w:eastAsia="zh-CN"/>
                                </w:rPr>
                              </w:pPr>
                              <w:r>
                                <w:rPr>
                                  <w:rFonts w:hint="eastAsia"/>
                                  <w:szCs w:val="21"/>
                                </w:rPr>
                                <w:t>聚乙烯颗粒：</w:t>
                              </w:r>
                              <w:r>
                                <w:rPr>
                                  <w:rFonts w:hint="eastAsia"/>
                                  <w:szCs w:val="21"/>
                                  <w:lang w:val="en-US" w:eastAsia="zh-CN"/>
                                </w:rPr>
                                <w:t>2000</w:t>
                              </w:r>
                            </w:p>
                            <w:p>
                              <w:pPr>
                                <w:pStyle w:val="2"/>
                                <w:ind w:left="0" w:leftChars="0" w:firstLine="0" w:firstLineChars="0"/>
                                <w:rPr>
                                  <w:rFonts w:hint="default" w:ascii="Times New Roman" w:eastAsia="宋体"/>
                                  <w:color w:val="auto"/>
                                  <w:kern w:val="2"/>
                                  <w:sz w:val="21"/>
                                  <w:szCs w:val="21"/>
                                  <w:lang w:val="en-US" w:eastAsia="zh-CN"/>
                                </w:rPr>
                              </w:pPr>
                              <w:r>
                                <w:rPr>
                                  <w:rFonts w:hint="eastAsia" w:ascii="Times New Roman"/>
                                  <w:color w:val="auto"/>
                                  <w:kern w:val="2"/>
                                  <w:sz w:val="21"/>
                                  <w:szCs w:val="21"/>
                                  <w:lang w:val="en-US"/>
                                </w:rPr>
                                <w:t>聚丙烯颗粒：</w:t>
                              </w:r>
                              <w:r>
                                <w:rPr>
                                  <w:rFonts w:hint="eastAsia" w:ascii="Times New Roman"/>
                                  <w:color w:val="auto"/>
                                  <w:kern w:val="2"/>
                                  <w:sz w:val="21"/>
                                  <w:szCs w:val="21"/>
                                  <w:lang w:val="en-US" w:eastAsia="zh-CN"/>
                                </w:rPr>
                                <w:t>3000</w:t>
                              </w:r>
                            </w:p>
                          </w:txbxContent>
                        </wps:txbx>
                        <wps:bodyPr upright="1"/>
                      </wps:wsp>
                      <wps:wsp>
                        <wps:cNvPr id="45" name="直接连接符 524"/>
                        <wps:cNvCnPr/>
                        <wps:spPr>
                          <a:xfrm flipV="1">
                            <a:off x="9713" y="772816"/>
                            <a:ext cx="1" cy="474"/>
                          </a:xfrm>
                          <a:prstGeom prst="line">
                            <a:avLst/>
                          </a:prstGeom>
                          <a:ln w="9525" cap="flat" cmpd="sng">
                            <a:solidFill>
                              <a:srgbClr val="000000"/>
                            </a:solidFill>
                            <a:prstDash val="dash"/>
                            <a:headEnd type="none" w="med" len="med"/>
                            <a:tailEnd type="triangle" w="med" len="med"/>
                          </a:ln>
                        </wps:spPr>
                        <wps:bodyPr/>
                      </wps:wsp>
                      <wps:wsp>
                        <wps:cNvPr id="46" name="文本框 523"/>
                        <wps:cNvSpPr txBox="1"/>
                        <wps:spPr>
                          <a:xfrm>
                            <a:off x="9423" y="772389"/>
                            <a:ext cx="771" cy="468"/>
                          </a:xfrm>
                          <a:prstGeom prst="rect">
                            <a:avLst/>
                          </a:prstGeom>
                          <a:noFill/>
                          <a:ln>
                            <a:noFill/>
                          </a:ln>
                        </wps:spPr>
                        <wps:txbx>
                          <w:txbxContent>
                            <w:p>
                              <w:pPr>
                                <w:jc w:val="center"/>
                                <w:rPr>
                                  <w:szCs w:val="21"/>
                                </w:rPr>
                              </w:pPr>
                              <w:r>
                                <w:rPr>
                                  <w:rFonts w:hint="eastAsia"/>
                                  <w:szCs w:val="21"/>
                                </w:rPr>
                                <w:t>N</w:t>
                              </w:r>
                              <w:r>
                                <w:rPr>
                                  <w:rFonts w:hint="eastAsia"/>
                                  <w:szCs w:val="21"/>
                                  <w:vertAlign w:val="subscript"/>
                                </w:rPr>
                                <w:t>2-2</w:t>
                              </w:r>
                            </w:p>
                          </w:txbxContent>
                        </wps:txbx>
                        <wps:bodyPr upright="1"/>
                      </wps:wsp>
                      <wps:wsp>
                        <wps:cNvPr id="47" name="直接连接符 526"/>
                        <wps:cNvCnPr/>
                        <wps:spPr>
                          <a:xfrm flipV="1">
                            <a:off x="8954" y="772785"/>
                            <a:ext cx="10" cy="503"/>
                          </a:xfrm>
                          <a:prstGeom prst="line">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48" name="文本框 525"/>
                        <wps:cNvSpPr txBox="1"/>
                        <wps:spPr>
                          <a:xfrm>
                            <a:off x="8389" y="772389"/>
                            <a:ext cx="981" cy="468"/>
                          </a:xfrm>
                          <a:prstGeom prst="rect">
                            <a:avLst/>
                          </a:prstGeom>
                          <a:noFill/>
                          <a:ln>
                            <a:noFill/>
                          </a:ln>
                        </wps:spPr>
                        <wps:txbx>
                          <w:txbxContent>
                            <w:p>
                              <w:pPr>
                                <w:jc w:val="center"/>
                                <w:rPr>
                                  <w:szCs w:val="21"/>
                                </w:rPr>
                              </w:pPr>
                              <w:r>
                                <w:rPr>
                                  <w:rFonts w:hint="eastAsia"/>
                                  <w:szCs w:val="21"/>
                                </w:rPr>
                                <w:t>循环水</w:t>
                              </w:r>
                            </w:p>
                          </w:txbxContent>
                        </wps:txbx>
                        <wps:bodyPr upright="1"/>
                      </wps:wsp>
                    </wpg:wgp>
                  </a:graphicData>
                </a:graphic>
              </wp:anchor>
            </w:drawing>
          </mc:Choice>
          <mc:Fallback>
            <w:pict>
              <v:group id="_x0000_s1026" o:spid="_x0000_s1026" o:spt="203" style="position:absolute;left:0pt;margin-left:-9.9pt;margin-top:-6.8pt;height:145.1pt;width:460.55pt;z-index:251661312;mso-width-relative:page;mso-height-relative:page;" coordorigin="3336,772389" coordsize="9211,2902" o:gfxdata="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">
                <o:lock v:ext="edit" aspectratio="f"/>
                <v:shape id="文本框 527" o:spid="_x0000_s1026" o:spt="202" type="#_x0000_t202" style="position:absolute;left:3336;top:773066;height:1127;width:2642;" filled="f" stroked="t" coordsize="21600,21600" o:gfxdata="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9W7FbsAAADa&#10;AAAADwAAAAAAAAABACAAAAAiAAAAZHJzL2Rvd25yZXYueG1sUEsBAhQAFAAAAAgAh07iQDMvBZ47&#10;AAAAOQAAABAAAAAAAAAAAQAgAAAACgEAAGRycy9zaGFwZXhtbC54bWxQSwUGAAAAAAYABgBbAQAA&#10;tAMAAAAA&#10;">
                  <v:fill on="f" focussize="0,0"/>
                  <v:stroke color="#FFFFFF [3212]" joinstyle="miter"/>
                  <v:imagedata o:title=""/>
                  <o:lock v:ext="edit" aspectratio="f"/>
                  <v:textbox>
                    <w:txbxContent>
                      <w:p>
                        <w:pPr>
                          <w:jc w:val="center"/>
                          <w:rPr>
                            <w:rFonts w:hint="default" w:eastAsia="宋体"/>
                            <w:szCs w:val="21"/>
                            <w:lang w:val="en-US" w:eastAsia="zh-CN"/>
                          </w:rPr>
                        </w:pPr>
                        <w:r>
                          <w:rPr>
                            <w:rFonts w:hint="eastAsia"/>
                            <w:szCs w:val="21"/>
                          </w:rPr>
                          <w:t>废聚乙烯(PE)破碎料2000.92、废聚丙烯（PP）破碎料3001.5、色母粒</w:t>
                        </w:r>
                        <w:r>
                          <w:rPr>
                            <w:rFonts w:hint="eastAsia"/>
                            <w:szCs w:val="21"/>
                            <w:lang w:val="en-US" w:eastAsia="zh-CN"/>
                          </w:rPr>
                          <w:t>50</w:t>
                        </w:r>
                      </w:p>
                    </w:txbxContent>
                  </v:textbox>
                </v:shape>
                <v:line id="直接连接符 533" o:spid="_x0000_s1026" o:spt="20" style="position:absolute;left:5904;top:773555;flip:y;height:1;width:940;" filled="f" stroked="t" coordsize="21600,21600" o:gfxdata="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uHm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32" o:spid="_x0000_s1026" o:spt="20" style="position:absolute;left:8147;top:773564;height:1;width:520;" filled="f" stroked="t" coordsize="21600,21600" o:gfxdata="UEsDBAoAAAAAAIdO4kAAAAAAAAAAAAAAAAAEAAAAZHJzL1BLAwQUAAAACACHTuJA3GqszbsAAADb&#10;AAAADwAAAGRycy9kb3ducmV2LnhtbEVPy4rCMBTdC/MP4Q6407QK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Gqsz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接连接符 531" o:spid="_x0000_s1026" o:spt="20" style="position:absolute;left:9993;top:773561;height:1;width:520;" filled="f" stroked="t" coordsize="21600,21600" o:gfxdata="UEsDBAoAAAAAAIdO4kAAAAAAAAAAAAAAAAAEAAAAZHJzL1BLAwQUAAAACACHTuJAsyYJVr8AAADb&#10;AAAADwAAAGRycy9kb3ducmV2LnhtbEWPT2vCQBTE7wW/w/KE3uomFkq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mCV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535" o:spid="_x0000_s1026" o:spt="202" type="#_x0000_t202" style="position:absolute;left:6325;top:774195;height:1097;width:2265;" filled="f" stroked="f" coordsize="21600,21600" o:gfxdata="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ACp67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jc w:val="center"/>
                          <w:rPr>
                            <w:rFonts w:hint="default" w:eastAsia="宋体"/>
                            <w:color w:val="auto"/>
                            <w:szCs w:val="21"/>
                            <w:lang w:val="en-US" w:eastAsia="zh-CN"/>
                          </w:rPr>
                        </w:pPr>
                        <w:r>
                          <w:rPr>
                            <w:szCs w:val="21"/>
                          </w:rPr>
                          <w:t>G</w:t>
                        </w:r>
                        <w:r>
                          <w:rPr>
                            <w:szCs w:val="21"/>
                            <w:vertAlign w:val="subscript"/>
                          </w:rPr>
                          <w:t>2</w:t>
                        </w:r>
                        <w:r>
                          <w:rPr>
                            <w:szCs w:val="21"/>
                          </w:rPr>
                          <w:t>-</w:t>
                        </w:r>
                        <w:r>
                          <w:rPr>
                            <w:szCs w:val="21"/>
                            <w:vertAlign w:val="subscript"/>
                          </w:rPr>
                          <w:t>1</w:t>
                        </w:r>
                        <w:r>
                          <w:rPr>
                            <w:szCs w:val="21"/>
                          </w:rPr>
                          <w:t>：颗粒物</w:t>
                        </w:r>
                        <w:r>
                          <w:rPr>
                            <w:rFonts w:hint="default" w:ascii="Times New Roman" w:hAnsi="Times New Roman" w:eastAsia="等线" w:cs="Times New Roman"/>
                            <w:i w:val="0"/>
                            <w:iCs w:val="0"/>
                            <w:color w:val="auto"/>
                            <w:kern w:val="0"/>
                            <w:sz w:val="21"/>
                            <w:szCs w:val="21"/>
                            <w:u w:val="none"/>
                            <w:lang w:val="en-US" w:eastAsia="zh-CN" w:bidi="ar"/>
                          </w:rPr>
                          <w:t>0.758</w:t>
                        </w:r>
                      </w:p>
                      <w:p>
                        <w:pPr>
                          <w:ind w:firstLine="630" w:firstLineChars="300"/>
                          <w:rPr>
                            <w:rFonts w:hint="eastAsia" w:ascii="Times New Roman"/>
                            <w:color w:val="auto"/>
                            <w:sz w:val="21"/>
                            <w:szCs w:val="21"/>
                            <w:lang w:val="en-US"/>
                          </w:rPr>
                        </w:pPr>
                        <w:r>
                          <w:rPr>
                            <w:rFonts w:ascii="Times New Roman"/>
                            <w:color w:val="auto"/>
                            <w:sz w:val="21"/>
                            <w:szCs w:val="21"/>
                            <w:lang w:val="en-US"/>
                          </w:rPr>
                          <w:t>VOCs</w:t>
                        </w:r>
                        <w:r>
                          <w:rPr>
                            <w:rFonts w:hint="eastAsia"/>
                            <w:color w:val="auto"/>
                            <w:sz w:val="21"/>
                            <w:szCs w:val="21"/>
                            <w:lang w:val="en-US" w:eastAsia="zh-CN"/>
                          </w:rPr>
                          <w:t xml:space="preserve"> </w:t>
                        </w:r>
                        <w:r>
                          <w:rPr>
                            <w:rFonts w:hint="default" w:ascii="Times New Roman" w:hAnsi="Times New Roman" w:eastAsia="等线" w:cs="Times New Roman"/>
                            <w:i w:val="0"/>
                            <w:iCs w:val="0"/>
                            <w:color w:val="auto"/>
                            <w:kern w:val="0"/>
                            <w:sz w:val="21"/>
                            <w:szCs w:val="21"/>
                            <w:u w:val="none"/>
                            <w:lang w:val="en-US" w:eastAsia="zh-CN" w:bidi="ar"/>
                          </w:rPr>
                          <w:t>1.768</w:t>
                        </w:r>
                      </w:p>
                      <w:p>
                        <w:pPr>
                          <w:ind w:firstLine="210" w:firstLineChars="100"/>
                          <w:rPr>
                            <w:color w:val="auto"/>
                          </w:rPr>
                        </w:pPr>
                        <w:r>
                          <w:rPr>
                            <w:rFonts w:hint="eastAsia"/>
                            <w:color w:val="auto"/>
                            <w:szCs w:val="21"/>
                          </w:rPr>
                          <w:t>S</w:t>
                        </w:r>
                        <w:r>
                          <w:rPr>
                            <w:rFonts w:hint="eastAsia"/>
                            <w:color w:val="auto"/>
                            <w:szCs w:val="21"/>
                            <w:vertAlign w:val="subscript"/>
                          </w:rPr>
                          <w:t>2-1</w:t>
                        </w:r>
                        <w:r>
                          <w:rPr>
                            <w:rFonts w:hint="eastAsia"/>
                            <w:color w:val="auto"/>
                            <w:szCs w:val="21"/>
                          </w:rPr>
                          <w:t>：废料</w:t>
                        </w:r>
                        <w:r>
                          <w:rPr>
                            <w:rFonts w:hint="default" w:ascii="Times New Roman" w:hAnsi="Times New Roman" w:eastAsia="等线" w:cs="Times New Roman"/>
                            <w:i w:val="0"/>
                            <w:iCs w:val="0"/>
                            <w:color w:val="auto"/>
                            <w:kern w:val="0"/>
                            <w:sz w:val="21"/>
                            <w:szCs w:val="21"/>
                            <w:u w:val="none"/>
                            <w:lang w:val="en-US" w:eastAsia="zh-CN" w:bidi="ar"/>
                          </w:rPr>
                          <w:t>49.894</w:t>
                        </w:r>
                      </w:p>
                    </w:txbxContent>
                  </v:textbox>
                </v:shape>
                <v:line id="直接连接符 534" o:spid="_x0000_s1026" o:spt="20" style="position:absolute;left:7450;top:773777;height:429;width:1;" filled="f" stroked="t" coordsize="21600,21600" o:gfxdata="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SAn3&#10;wAAAANs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shape id="文本框 530" o:spid="_x0000_s1026" o:spt="202" type="#_x0000_t202" style="position:absolute;left:6844;top:773316;height:468;width:1303;" fillcolor="#FFFFFF" filled="t" stroked="t" coordsize="21600,21600" o:gfxdata="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pyyi/&#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Cs w:val="21"/>
                          </w:rPr>
                        </w:pPr>
                        <w:r>
                          <w:rPr>
                            <w:rFonts w:hint="eastAsia"/>
                            <w:szCs w:val="21"/>
                          </w:rPr>
                          <w:t>熔融、挤出</w:t>
                        </w:r>
                      </w:p>
                    </w:txbxContent>
                  </v:textbox>
                </v:shape>
                <v:shape id="文本框 529" o:spid="_x0000_s1026" o:spt="202" type="#_x0000_t202" style="position:absolute;left:8667;top:773315;height:468;width:1303;" fillcolor="#FFFFFF" filled="t" stroked="t" coordsize="21600,21600" o:gfxdata="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JW6z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Cs w:val="21"/>
                          </w:rPr>
                        </w:pPr>
                        <w:r>
                          <w:rPr>
                            <w:rFonts w:hint="eastAsia"/>
                            <w:szCs w:val="21"/>
                          </w:rPr>
                          <w:t>冷却、切粒</w:t>
                        </w:r>
                      </w:p>
                    </w:txbxContent>
                  </v:textbox>
                </v:shape>
                <v:shape id="文本框 528" o:spid="_x0000_s1026" o:spt="202" type="#_x0000_t202" style="position:absolute;left:10513;top:773180;height:755;width:2034;" fillcolor="#FFFFFF" filled="t" stroked="f" coordsize="21600,21600" o:gfxdata="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7agWy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rPr>
                            <w:rFonts w:hint="default" w:eastAsia="宋体"/>
                            <w:szCs w:val="21"/>
                            <w:lang w:val="en-US" w:eastAsia="zh-CN"/>
                          </w:rPr>
                        </w:pPr>
                        <w:r>
                          <w:rPr>
                            <w:rFonts w:hint="eastAsia"/>
                            <w:szCs w:val="21"/>
                          </w:rPr>
                          <w:t>聚乙烯颗粒：</w:t>
                        </w:r>
                        <w:r>
                          <w:rPr>
                            <w:rFonts w:hint="eastAsia"/>
                            <w:szCs w:val="21"/>
                            <w:lang w:val="en-US" w:eastAsia="zh-CN"/>
                          </w:rPr>
                          <w:t>2000</w:t>
                        </w:r>
                      </w:p>
                      <w:p>
                        <w:pPr>
                          <w:pStyle w:val="2"/>
                          <w:ind w:left="0" w:leftChars="0" w:firstLine="0" w:firstLineChars="0"/>
                          <w:rPr>
                            <w:rFonts w:hint="default" w:ascii="Times New Roman" w:eastAsia="宋体"/>
                            <w:color w:val="auto"/>
                            <w:kern w:val="2"/>
                            <w:sz w:val="21"/>
                            <w:szCs w:val="21"/>
                            <w:lang w:val="en-US" w:eastAsia="zh-CN"/>
                          </w:rPr>
                        </w:pPr>
                        <w:r>
                          <w:rPr>
                            <w:rFonts w:hint="eastAsia" w:ascii="Times New Roman"/>
                            <w:color w:val="auto"/>
                            <w:kern w:val="2"/>
                            <w:sz w:val="21"/>
                            <w:szCs w:val="21"/>
                            <w:lang w:val="en-US"/>
                          </w:rPr>
                          <w:t>聚丙烯颗粒：</w:t>
                        </w:r>
                        <w:r>
                          <w:rPr>
                            <w:rFonts w:hint="eastAsia" w:ascii="Times New Roman"/>
                            <w:color w:val="auto"/>
                            <w:kern w:val="2"/>
                            <w:sz w:val="21"/>
                            <w:szCs w:val="21"/>
                            <w:lang w:val="en-US" w:eastAsia="zh-CN"/>
                          </w:rPr>
                          <w:t>3000</w:t>
                        </w:r>
                      </w:p>
                    </w:txbxContent>
                  </v:textbox>
                </v:shape>
                <v:line id="直接连接符 524" o:spid="_x0000_s1026" o:spt="20" style="position:absolute;left:9713;top:772816;flip:y;height:474;width:1;" filled="f" stroked="t" coordsize="21600,21600" o:gfxdata="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EmvugAAANs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shape id="文本框 523" o:spid="_x0000_s1026" o:spt="202" type="#_x0000_t202" style="position:absolute;left:9423;top:772389;height:468;width:771;" filled="f" stroked="f" coordsize="21600,21600" o:gfxdata="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pZQE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szCs w:val="21"/>
                          </w:rPr>
                        </w:pPr>
                        <w:r>
                          <w:rPr>
                            <w:rFonts w:hint="eastAsia"/>
                            <w:szCs w:val="21"/>
                          </w:rPr>
                          <w:t>N</w:t>
                        </w:r>
                        <w:r>
                          <w:rPr>
                            <w:rFonts w:hint="eastAsia"/>
                            <w:szCs w:val="21"/>
                            <w:vertAlign w:val="subscript"/>
                          </w:rPr>
                          <w:t>2-2</w:t>
                        </w:r>
                      </w:p>
                    </w:txbxContent>
                  </v:textbox>
                </v:shape>
                <v:line id="直接连接符 526" o:spid="_x0000_s1026" o:spt="20" style="position:absolute;left:8954;top:772785;flip:y;height:503;width:10;" filled="f" stroked="t" coordsize="21600,21600" o:gfxdata="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Cp7C8AAAA&#10;2wAAAA8AAAAAAAAAAQAgAAAAIgAAAGRycy9kb3ducmV2LnhtbFBLAQIUABQAAAAIAIdO4kAzLwWe&#10;OwAAADkAAAAQAAAAAAAAAAEAIAAAAAsBAABkcnMvc2hhcGV4bWwueG1sUEsFBgAAAAAGAAYAWwEA&#10;ALUDAAAAAA==&#10;">
                  <v:fill on="f" focussize="0,0"/>
                  <v:stroke weight="0.5pt" color="#000000 [3200]" miterlimit="8" joinstyle="miter" startarrow="block"/>
                  <v:imagedata o:title=""/>
                  <o:lock v:ext="edit" aspectratio="f"/>
                </v:line>
                <v:shape id="文本框 525" o:spid="_x0000_s1026" o:spt="202" type="#_x0000_t202" style="position:absolute;left:8389;top:772389;height:468;width:981;" filled="f" stroked="f" coordsize="21600,21600" o:gfxdata="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nal7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jc w:val="center"/>
                          <w:rPr>
                            <w:szCs w:val="21"/>
                          </w:rPr>
                        </w:pPr>
                        <w:r>
                          <w:rPr>
                            <w:rFonts w:hint="eastAsia"/>
                            <w:szCs w:val="21"/>
                          </w:rPr>
                          <w:t>循环水</w:t>
                        </w:r>
                      </w:p>
                    </w:txbxContent>
                  </v:textbox>
                </v:shape>
              </v:group>
            </w:pict>
          </mc:Fallback>
        </mc:AlternateContent>
      </w:r>
    </w:p>
    <w:p>
      <w:pPr>
        <w:pStyle w:val="28"/>
        <w:rPr>
          <w:color w:val="auto"/>
          <w:highlight w:val="none"/>
        </w:rPr>
      </w:pPr>
    </w:p>
    <w:p>
      <w:pPr>
        <w:pStyle w:val="28"/>
        <w:rPr>
          <w:color w:val="auto"/>
          <w:highlight w:val="none"/>
        </w:rPr>
      </w:pPr>
    </w:p>
    <w:p>
      <w:pPr>
        <w:pStyle w:val="2"/>
        <w:rPr>
          <w:color w:val="auto"/>
          <w:highlight w:val="none"/>
        </w:rPr>
      </w:pPr>
    </w:p>
    <w:p>
      <w:pPr>
        <w:pStyle w:val="2"/>
        <w:ind w:firstLine="480"/>
        <w:rPr>
          <w:color w:val="auto"/>
          <w:highlight w:val="none"/>
        </w:rPr>
      </w:pPr>
    </w:p>
    <w:p>
      <w:pPr>
        <w:rPr>
          <w:color w:val="auto"/>
          <w:highlight w:val="none"/>
        </w:rPr>
      </w:pPr>
    </w:p>
    <w:p>
      <w:pPr>
        <w:rPr>
          <w:color w:val="auto"/>
          <w:highlight w:val="none"/>
        </w:rPr>
      </w:pPr>
    </w:p>
    <w:p>
      <w:pPr>
        <w:jc w:val="center"/>
        <w:rPr>
          <w:rFonts w:ascii="黑体" w:hAnsi="黑体" w:eastAsia="黑体" w:cs="黑体"/>
          <w:color w:val="auto"/>
          <w:sz w:val="24"/>
          <w:szCs w:val="24"/>
          <w:highlight w:val="none"/>
        </w:rPr>
      </w:pPr>
      <w:r>
        <w:rPr>
          <w:rFonts w:hint="eastAsia" w:ascii="黑体" w:hAnsi="黑体" w:eastAsia="黑体" w:cs="黑体"/>
          <w:color w:val="auto"/>
          <w:sz w:val="24"/>
          <w:szCs w:val="24"/>
          <w:highlight w:val="none"/>
        </w:rPr>
        <w:t>图2.2-</w:t>
      </w:r>
      <w:r>
        <w:rPr>
          <w:rFonts w:hint="eastAsia" w:ascii="黑体" w:hAnsi="黑体" w:eastAsia="黑体" w:cs="黑体"/>
          <w:color w:val="auto"/>
          <w:sz w:val="24"/>
          <w:szCs w:val="24"/>
          <w:highlight w:val="none"/>
          <w:lang w:val="en-US" w:eastAsia="zh-CN"/>
        </w:rPr>
        <w:t>8</w:t>
      </w:r>
      <w:r>
        <w:rPr>
          <w:rFonts w:hint="eastAsia" w:ascii="黑体" w:hAnsi="黑体" w:eastAsia="黑体" w:cs="黑体"/>
          <w:color w:val="auto"/>
          <w:sz w:val="24"/>
          <w:szCs w:val="24"/>
          <w:highlight w:val="none"/>
        </w:rPr>
        <w:t xml:space="preserve">  造粒工序物料平衡图</w:t>
      </w:r>
    </w:p>
    <w:p>
      <w:pPr>
        <w:pStyle w:val="112"/>
        <w:rPr>
          <w:color w:val="auto"/>
          <w:highlight w:val="none"/>
        </w:rPr>
      </w:pPr>
      <w:r>
        <w:rPr>
          <w:color w:val="auto"/>
          <w:highlight w:val="none"/>
        </w:rPr>
        <w:t>2.</w:t>
      </w:r>
      <w:r>
        <w:rPr>
          <w:rFonts w:hint="eastAsia"/>
          <w:color w:val="auto"/>
          <w:highlight w:val="none"/>
        </w:rPr>
        <w:t>2</w:t>
      </w:r>
      <w:r>
        <w:rPr>
          <w:color w:val="auto"/>
          <w:highlight w:val="none"/>
        </w:rPr>
        <w:t>.</w:t>
      </w:r>
      <w:r>
        <w:rPr>
          <w:rFonts w:hint="eastAsia"/>
          <w:color w:val="auto"/>
          <w:highlight w:val="none"/>
        </w:rPr>
        <w:t>6</w:t>
      </w:r>
      <w:r>
        <w:rPr>
          <w:color w:val="auto"/>
          <w:highlight w:val="none"/>
        </w:rPr>
        <w:t>.</w:t>
      </w:r>
      <w:r>
        <w:rPr>
          <w:rFonts w:hint="eastAsia"/>
          <w:color w:val="auto"/>
          <w:highlight w:val="none"/>
        </w:rPr>
        <w:t>3中空壁缠绕管生产</w:t>
      </w:r>
      <w:r>
        <w:rPr>
          <w:color w:val="auto"/>
          <w:highlight w:val="none"/>
        </w:rPr>
        <w:t>物料平衡</w:t>
      </w:r>
    </w:p>
    <w:p>
      <w:pPr>
        <w:spacing w:line="360" w:lineRule="auto"/>
        <w:ind w:firstLine="480" w:firstLineChars="200"/>
        <w:rPr>
          <w:color w:val="auto"/>
          <w:sz w:val="24"/>
          <w:highlight w:val="none"/>
        </w:rPr>
      </w:pPr>
      <w:r>
        <w:rPr>
          <w:rFonts w:hint="eastAsia"/>
          <w:color w:val="auto"/>
          <w:sz w:val="24"/>
          <w:highlight w:val="none"/>
        </w:rPr>
        <w:t>中空壁缠绕管生产物料平衡见表2.2-</w:t>
      </w:r>
      <w:r>
        <w:rPr>
          <w:rFonts w:hint="eastAsia"/>
          <w:color w:val="auto"/>
          <w:sz w:val="24"/>
          <w:highlight w:val="none"/>
          <w:lang w:val="en-US" w:eastAsia="zh-CN"/>
        </w:rPr>
        <w:t>10</w:t>
      </w:r>
      <w:r>
        <w:rPr>
          <w:rFonts w:hint="eastAsia"/>
          <w:color w:val="auto"/>
          <w:sz w:val="24"/>
          <w:highlight w:val="none"/>
        </w:rPr>
        <w:t>，图2.2-</w:t>
      </w:r>
      <w:r>
        <w:rPr>
          <w:rFonts w:hint="eastAsia"/>
          <w:color w:val="auto"/>
          <w:sz w:val="24"/>
          <w:highlight w:val="none"/>
          <w:lang w:val="en-US" w:eastAsia="zh-CN"/>
        </w:rPr>
        <w:t>9</w:t>
      </w:r>
      <w:r>
        <w:rPr>
          <w:rFonts w:hint="eastAsia"/>
          <w:color w:val="auto"/>
          <w:sz w:val="24"/>
          <w:highlight w:val="none"/>
        </w:rPr>
        <w:t>。</w:t>
      </w:r>
    </w:p>
    <w:p>
      <w:pPr>
        <w:widowControl/>
        <w:spacing w:line="360" w:lineRule="auto"/>
        <w:ind w:firstLine="480" w:firstLineChars="200"/>
        <w:jc w:val="center"/>
        <w:rPr>
          <w:rFonts w:eastAsia="黑体"/>
          <w:color w:val="auto"/>
          <w:sz w:val="24"/>
          <w:highlight w:val="none"/>
        </w:rPr>
      </w:pPr>
      <w:r>
        <w:rPr>
          <w:rFonts w:eastAsia="黑体"/>
          <w:color w:val="auto"/>
          <w:sz w:val="24"/>
          <w:highlight w:val="none"/>
        </w:rPr>
        <w:t>表2.</w:t>
      </w:r>
      <w:r>
        <w:rPr>
          <w:rFonts w:hint="eastAsia" w:eastAsia="黑体"/>
          <w:color w:val="auto"/>
          <w:sz w:val="24"/>
          <w:highlight w:val="none"/>
        </w:rPr>
        <w:t>2</w:t>
      </w:r>
      <w:r>
        <w:rPr>
          <w:rFonts w:eastAsia="黑体"/>
          <w:color w:val="auto"/>
          <w:sz w:val="24"/>
          <w:highlight w:val="none"/>
        </w:rPr>
        <w:t>-</w:t>
      </w:r>
      <w:r>
        <w:rPr>
          <w:rFonts w:hint="eastAsia" w:eastAsia="黑体"/>
          <w:color w:val="auto"/>
          <w:sz w:val="24"/>
          <w:highlight w:val="none"/>
          <w:lang w:val="en-US" w:eastAsia="zh-CN"/>
        </w:rPr>
        <w:t>10</w:t>
      </w:r>
      <w:r>
        <w:rPr>
          <w:rFonts w:eastAsia="黑体"/>
          <w:color w:val="auto"/>
          <w:sz w:val="24"/>
          <w:highlight w:val="none"/>
        </w:rPr>
        <w:t xml:space="preserve">  </w:t>
      </w:r>
      <w:r>
        <w:rPr>
          <w:rFonts w:hint="eastAsia" w:eastAsia="黑体"/>
          <w:color w:val="auto"/>
          <w:sz w:val="24"/>
          <w:highlight w:val="none"/>
        </w:rPr>
        <w:t>中空壁缠绕管生产物料投入产出平衡</w:t>
      </w:r>
      <w:r>
        <w:rPr>
          <w:rFonts w:eastAsia="黑体"/>
          <w:color w:val="auto"/>
          <w:sz w:val="24"/>
          <w:highlight w:val="none"/>
        </w:rPr>
        <w:t>一览表</w:t>
      </w:r>
    </w:p>
    <w:tbl>
      <w:tblPr>
        <w:tblStyle w:val="5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9"/>
        <w:gridCol w:w="1381"/>
        <w:gridCol w:w="2221"/>
        <w:gridCol w:w="1511"/>
        <w:gridCol w:w="20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66" w:type="pct"/>
            <w:gridSpan w:val="2"/>
            <w:vAlign w:val="center"/>
          </w:tcPr>
          <w:p>
            <w:pPr>
              <w:widowControl/>
              <w:spacing w:line="240" w:lineRule="exact"/>
              <w:jc w:val="center"/>
              <w:rPr>
                <w:color w:val="auto"/>
                <w:highlight w:val="none"/>
              </w:rPr>
            </w:pPr>
            <w:r>
              <w:rPr>
                <w:rFonts w:hint="eastAsia"/>
                <w:color w:val="auto"/>
                <w:highlight w:val="none"/>
              </w:rPr>
              <w:t>投入(t/a)</w:t>
            </w:r>
          </w:p>
        </w:tc>
        <w:tc>
          <w:tcPr>
            <w:tcW w:w="3233" w:type="pct"/>
            <w:gridSpan w:val="3"/>
            <w:vAlign w:val="center"/>
          </w:tcPr>
          <w:p>
            <w:pPr>
              <w:widowControl/>
              <w:spacing w:line="240" w:lineRule="exact"/>
              <w:jc w:val="center"/>
              <w:rPr>
                <w:color w:val="auto"/>
                <w:highlight w:val="none"/>
              </w:rPr>
            </w:pPr>
            <w:r>
              <w:rPr>
                <w:rFonts w:hint="eastAsia"/>
                <w:color w:val="auto"/>
                <w:highlight w:val="none"/>
              </w:rPr>
              <w:t>产出(t/a)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9" w:type="pct"/>
            <w:vAlign w:val="center"/>
          </w:tcPr>
          <w:p>
            <w:pPr>
              <w:widowControl/>
              <w:spacing w:line="240" w:lineRule="exact"/>
              <w:jc w:val="center"/>
              <w:rPr>
                <w:color w:val="auto"/>
                <w:highlight w:val="none"/>
              </w:rPr>
            </w:pPr>
            <w:r>
              <w:rPr>
                <w:color w:val="auto"/>
                <w:highlight w:val="none"/>
              </w:rPr>
              <w:t>名称</w:t>
            </w:r>
          </w:p>
        </w:tc>
        <w:tc>
          <w:tcPr>
            <w:tcW w:w="766" w:type="pct"/>
            <w:vAlign w:val="center"/>
          </w:tcPr>
          <w:p>
            <w:pPr>
              <w:adjustRightInd w:val="0"/>
              <w:snapToGrid w:val="0"/>
              <w:jc w:val="center"/>
              <w:rPr>
                <w:color w:val="auto"/>
                <w:highlight w:val="none"/>
              </w:rPr>
            </w:pPr>
            <w:r>
              <w:rPr>
                <w:color w:val="auto"/>
                <w:highlight w:val="none"/>
              </w:rPr>
              <w:t>用量</w:t>
            </w:r>
          </w:p>
        </w:tc>
        <w:tc>
          <w:tcPr>
            <w:tcW w:w="1233" w:type="pct"/>
            <w:vAlign w:val="center"/>
          </w:tcPr>
          <w:p>
            <w:pPr>
              <w:widowControl/>
              <w:spacing w:line="240" w:lineRule="exact"/>
              <w:jc w:val="center"/>
              <w:rPr>
                <w:color w:val="auto"/>
                <w:highlight w:val="none"/>
              </w:rPr>
            </w:pPr>
            <w:r>
              <w:rPr>
                <w:color w:val="auto"/>
                <w:highlight w:val="none"/>
              </w:rPr>
              <w:t>名称</w:t>
            </w:r>
          </w:p>
        </w:tc>
        <w:tc>
          <w:tcPr>
            <w:tcW w:w="839" w:type="pct"/>
            <w:vAlign w:val="center"/>
          </w:tcPr>
          <w:p>
            <w:pPr>
              <w:widowControl/>
              <w:spacing w:line="240" w:lineRule="exact"/>
              <w:jc w:val="center"/>
              <w:rPr>
                <w:color w:val="auto"/>
                <w:highlight w:val="none"/>
              </w:rPr>
            </w:pPr>
            <w:r>
              <w:rPr>
                <w:color w:val="auto"/>
                <w:highlight w:val="none"/>
              </w:rPr>
              <w:t>产出量</w:t>
            </w:r>
          </w:p>
        </w:tc>
        <w:tc>
          <w:tcPr>
            <w:tcW w:w="1161" w:type="pct"/>
            <w:vAlign w:val="center"/>
          </w:tcPr>
          <w:p>
            <w:pPr>
              <w:pStyle w:val="105"/>
              <w:jc w:val="center"/>
              <w:rPr>
                <w:color w:val="auto"/>
                <w:highlight w:val="none"/>
              </w:rPr>
            </w:pPr>
            <w:r>
              <w:rPr>
                <w:color w:val="auto"/>
                <w:highlight w:val="none"/>
              </w:rPr>
              <w:t>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9" w:type="pct"/>
            <w:vAlign w:val="center"/>
          </w:tcPr>
          <w:p>
            <w:pPr>
              <w:widowControl/>
              <w:spacing w:line="240" w:lineRule="exact"/>
              <w:jc w:val="center"/>
              <w:rPr>
                <w:rFonts w:ascii="Times New Roman" w:hAnsi="Times New Roman" w:eastAsia="宋体" w:cs="Times New Roman"/>
                <w:color w:val="auto"/>
                <w:kern w:val="2"/>
                <w:sz w:val="21"/>
                <w:szCs w:val="22"/>
                <w:highlight w:val="none"/>
                <w:lang w:val="en-US" w:eastAsia="zh-CN" w:bidi="ar-SA"/>
              </w:rPr>
            </w:pPr>
            <w:r>
              <w:rPr>
                <w:rFonts w:hint="eastAsia"/>
                <w:color w:val="auto"/>
                <w:highlight w:val="none"/>
              </w:rPr>
              <w:t>聚乙烯颗粒</w:t>
            </w:r>
          </w:p>
        </w:tc>
        <w:tc>
          <w:tcPr>
            <w:tcW w:w="766" w:type="pct"/>
            <w:vAlign w:val="center"/>
          </w:tcPr>
          <w:p>
            <w:pPr>
              <w:spacing w:line="240" w:lineRule="exact"/>
              <w:jc w:val="center"/>
              <w:rPr>
                <w:rFonts w:hint="default" w:ascii="Times New Roman" w:hAnsi="Times New Roman" w:eastAsia="宋体" w:cs="Times New Roman"/>
                <w:color w:val="auto"/>
                <w:kern w:val="2"/>
                <w:sz w:val="21"/>
                <w:szCs w:val="22"/>
                <w:highlight w:val="none"/>
                <w:lang w:val="en-US" w:eastAsia="zh-CN" w:bidi="ar-SA"/>
              </w:rPr>
            </w:pPr>
            <w:r>
              <w:rPr>
                <w:rFonts w:hint="eastAsia"/>
                <w:color w:val="auto"/>
                <w:highlight w:val="none"/>
                <w:lang w:val="en-US" w:eastAsia="zh-CN"/>
              </w:rPr>
              <w:t>2020</w:t>
            </w:r>
          </w:p>
        </w:tc>
        <w:tc>
          <w:tcPr>
            <w:tcW w:w="1233" w:type="pct"/>
            <w:vAlign w:val="center"/>
          </w:tcPr>
          <w:p>
            <w:pPr>
              <w:widowControl/>
              <w:spacing w:line="240" w:lineRule="exact"/>
              <w:jc w:val="center"/>
              <w:rPr>
                <w:rFonts w:hint="eastAsia" w:eastAsia="宋体"/>
                <w:color w:val="auto"/>
                <w:highlight w:val="none"/>
                <w:lang w:val="en-US" w:eastAsia="zh-CN"/>
              </w:rPr>
            </w:pPr>
            <w:r>
              <w:rPr>
                <w:rFonts w:hint="eastAsia"/>
                <w:color w:val="auto"/>
                <w:highlight w:val="none"/>
                <w:lang w:val="en-US" w:eastAsia="zh-CN"/>
              </w:rPr>
              <w:t>颗粒物</w:t>
            </w:r>
          </w:p>
        </w:tc>
        <w:tc>
          <w:tcPr>
            <w:tcW w:w="839" w:type="pct"/>
            <w:vAlign w:val="center"/>
          </w:tcPr>
          <w:p>
            <w:pPr>
              <w:widowControl/>
              <w:spacing w:line="240" w:lineRule="exact"/>
              <w:jc w:val="center"/>
              <w:rPr>
                <w:rFonts w:hint="default" w:eastAsia="宋体"/>
                <w:color w:val="auto"/>
                <w:highlight w:val="none"/>
                <w:lang w:val="en-US" w:eastAsia="zh-CN"/>
              </w:rPr>
            </w:pPr>
            <w:r>
              <w:rPr>
                <w:rFonts w:hint="eastAsia"/>
                <w:color w:val="auto"/>
                <w:highlight w:val="none"/>
                <w:lang w:val="en-US" w:eastAsia="zh-CN"/>
              </w:rPr>
              <w:t>0.3</w:t>
            </w:r>
          </w:p>
        </w:tc>
        <w:tc>
          <w:tcPr>
            <w:tcW w:w="1161" w:type="pct"/>
            <w:vMerge w:val="restart"/>
            <w:vAlign w:val="center"/>
          </w:tcPr>
          <w:p>
            <w:pPr>
              <w:pStyle w:val="105"/>
              <w:jc w:val="center"/>
              <w:rPr>
                <w:color w:val="auto"/>
                <w:highlight w:val="none"/>
              </w:rPr>
            </w:pPr>
            <w:r>
              <w:rPr>
                <w:rFonts w:hint="eastAsia"/>
                <w:color w:val="auto"/>
                <w:highlight w:val="none"/>
              </w:rPr>
              <w:t>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9" w:type="pct"/>
            <w:vAlign w:val="center"/>
          </w:tcPr>
          <w:p>
            <w:pPr>
              <w:widowControl/>
              <w:spacing w:line="240" w:lineRule="exact"/>
              <w:jc w:val="center"/>
              <w:rPr>
                <w:rFonts w:ascii="Times New Roman" w:hAnsi="Times New Roman" w:eastAsia="宋体" w:cs="Times New Roman"/>
                <w:color w:val="auto"/>
                <w:kern w:val="2"/>
                <w:sz w:val="21"/>
                <w:szCs w:val="22"/>
                <w:highlight w:val="none"/>
                <w:lang w:val="en-US" w:eastAsia="zh-CN" w:bidi="ar-SA"/>
              </w:rPr>
            </w:pPr>
            <w:r>
              <w:rPr>
                <w:rFonts w:hint="eastAsia"/>
                <w:color w:val="auto"/>
                <w:highlight w:val="none"/>
              </w:rPr>
              <w:t>色母粒</w:t>
            </w:r>
          </w:p>
        </w:tc>
        <w:tc>
          <w:tcPr>
            <w:tcW w:w="766" w:type="pct"/>
            <w:vAlign w:val="center"/>
          </w:tcPr>
          <w:p>
            <w:pPr>
              <w:spacing w:line="240" w:lineRule="exact"/>
              <w:jc w:val="center"/>
              <w:rPr>
                <w:rFonts w:hint="default" w:ascii="Times New Roman" w:hAnsi="Times New Roman" w:eastAsia="宋体" w:cs="Times New Roman"/>
                <w:color w:val="auto"/>
                <w:kern w:val="2"/>
                <w:sz w:val="21"/>
                <w:szCs w:val="22"/>
                <w:highlight w:val="none"/>
                <w:lang w:val="en-US" w:eastAsia="zh-CN" w:bidi="ar-SA"/>
              </w:rPr>
            </w:pPr>
            <w:r>
              <w:rPr>
                <w:rFonts w:hint="eastAsia"/>
                <w:color w:val="auto"/>
                <w:highlight w:val="none"/>
                <w:lang w:val="en-US" w:eastAsia="zh-CN"/>
              </w:rPr>
              <w:t>20.3</w:t>
            </w:r>
          </w:p>
        </w:tc>
        <w:tc>
          <w:tcPr>
            <w:tcW w:w="1233" w:type="pct"/>
            <w:vAlign w:val="center"/>
          </w:tcPr>
          <w:p>
            <w:pPr>
              <w:widowControl/>
              <w:spacing w:line="240" w:lineRule="exact"/>
              <w:jc w:val="center"/>
              <w:rPr>
                <w:color w:val="auto"/>
                <w:highlight w:val="none"/>
              </w:rPr>
            </w:pPr>
            <w:r>
              <w:rPr>
                <w:rFonts w:hint="eastAsia"/>
                <w:color w:val="auto"/>
                <w:highlight w:val="none"/>
              </w:rPr>
              <w:t>挥发性有机物</w:t>
            </w:r>
          </w:p>
        </w:tc>
        <w:tc>
          <w:tcPr>
            <w:tcW w:w="839" w:type="pct"/>
            <w:vAlign w:val="center"/>
          </w:tcPr>
          <w:p>
            <w:pPr>
              <w:spacing w:line="240" w:lineRule="exact"/>
              <w:jc w:val="center"/>
              <w:rPr>
                <w:rFonts w:hint="eastAsia"/>
                <w:color w:val="auto"/>
                <w:highlight w:val="none"/>
                <w:lang w:val="en-US" w:eastAsia="zh-CN"/>
              </w:rPr>
            </w:pPr>
            <w:r>
              <w:rPr>
                <w:rFonts w:hint="eastAsia"/>
                <w:color w:val="auto"/>
                <w:highlight w:val="none"/>
                <w:lang w:val="en-US" w:eastAsia="zh-CN"/>
              </w:rPr>
              <w:t>0.714</w:t>
            </w:r>
          </w:p>
        </w:tc>
        <w:tc>
          <w:tcPr>
            <w:tcW w:w="1161" w:type="pct"/>
            <w:vMerge w:val="continue"/>
            <w:vAlign w:val="center"/>
          </w:tcPr>
          <w:p>
            <w:pPr>
              <w:pStyle w:val="105"/>
              <w:jc w:val="center"/>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99" w:type="pct"/>
            <w:vAlign w:val="center"/>
          </w:tcPr>
          <w:p>
            <w:pPr>
              <w:widowControl/>
              <w:spacing w:line="240" w:lineRule="exact"/>
              <w:jc w:val="center"/>
              <w:rPr>
                <w:color w:val="auto"/>
                <w:highlight w:val="none"/>
              </w:rPr>
            </w:pPr>
          </w:p>
        </w:tc>
        <w:tc>
          <w:tcPr>
            <w:tcW w:w="766" w:type="pct"/>
            <w:vAlign w:val="center"/>
          </w:tcPr>
          <w:p>
            <w:pPr>
              <w:spacing w:line="240" w:lineRule="exact"/>
              <w:jc w:val="center"/>
              <w:rPr>
                <w:rFonts w:hint="eastAsia"/>
                <w:color w:val="auto"/>
                <w:highlight w:val="none"/>
              </w:rPr>
            </w:pPr>
          </w:p>
        </w:tc>
        <w:tc>
          <w:tcPr>
            <w:tcW w:w="1233" w:type="pct"/>
            <w:vAlign w:val="center"/>
          </w:tcPr>
          <w:p>
            <w:pPr>
              <w:widowControl/>
              <w:spacing w:line="240" w:lineRule="exact"/>
              <w:jc w:val="center"/>
              <w:rPr>
                <w:color w:val="auto"/>
                <w:highlight w:val="none"/>
              </w:rPr>
            </w:pPr>
            <w:r>
              <w:rPr>
                <w:rFonts w:hint="eastAsia"/>
                <w:color w:val="auto"/>
                <w:highlight w:val="none"/>
              </w:rPr>
              <w:t>下脚料及不合格产品</w:t>
            </w:r>
          </w:p>
        </w:tc>
        <w:tc>
          <w:tcPr>
            <w:tcW w:w="839" w:type="pct"/>
            <w:vAlign w:val="center"/>
          </w:tcPr>
          <w:p>
            <w:pPr>
              <w:spacing w:line="240" w:lineRule="exact"/>
              <w:jc w:val="center"/>
              <w:rPr>
                <w:rFonts w:hint="eastAsia"/>
                <w:color w:val="auto"/>
                <w:highlight w:val="none"/>
                <w:lang w:val="en-US" w:eastAsia="zh-CN"/>
              </w:rPr>
            </w:pPr>
            <w:r>
              <w:rPr>
                <w:rFonts w:hint="eastAsia"/>
                <w:color w:val="auto"/>
                <w:highlight w:val="none"/>
                <w:lang w:val="en-US" w:eastAsia="zh-CN"/>
              </w:rPr>
              <w:t>39.286</w:t>
            </w:r>
          </w:p>
        </w:tc>
        <w:tc>
          <w:tcPr>
            <w:tcW w:w="1161" w:type="pct"/>
            <w:vAlign w:val="center"/>
          </w:tcPr>
          <w:p>
            <w:pPr>
              <w:pStyle w:val="105"/>
              <w:jc w:val="center"/>
              <w:rPr>
                <w:color w:val="auto"/>
                <w:highlight w:val="none"/>
              </w:rPr>
            </w:pPr>
            <w:r>
              <w:rPr>
                <w:rFonts w:hint="eastAsia"/>
                <w:color w:val="auto"/>
                <w:highlight w:val="none"/>
              </w:rPr>
              <w:t>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999" w:type="pct"/>
            <w:vAlign w:val="center"/>
          </w:tcPr>
          <w:p>
            <w:pPr>
              <w:widowControl/>
              <w:spacing w:line="240" w:lineRule="exact"/>
              <w:jc w:val="center"/>
              <w:rPr>
                <w:color w:val="auto"/>
                <w:highlight w:val="none"/>
              </w:rPr>
            </w:pPr>
          </w:p>
        </w:tc>
        <w:tc>
          <w:tcPr>
            <w:tcW w:w="766" w:type="pct"/>
            <w:vAlign w:val="center"/>
          </w:tcPr>
          <w:p>
            <w:pPr>
              <w:spacing w:line="240" w:lineRule="exact"/>
              <w:jc w:val="center"/>
              <w:rPr>
                <w:rFonts w:hint="eastAsia"/>
                <w:color w:val="auto"/>
                <w:highlight w:val="none"/>
              </w:rPr>
            </w:pPr>
          </w:p>
        </w:tc>
        <w:tc>
          <w:tcPr>
            <w:tcW w:w="1233" w:type="pct"/>
            <w:vAlign w:val="center"/>
          </w:tcPr>
          <w:p>
            <w:pPr>
              <w:widowControl/>
              <w:spacing w:line="240" w:lineRule="exact"/>
              <w:jc w:val="center"/>
              <w:rPr>
                <w:color w:val="auto"/>
                <w:highlight w:val="none"/>
              </w:rPr>
            </w:pPr>
            <w:r>
              <w:rPr>
                <w:color w:val="auto"/>
                <w:highlight w:val="none"/>
              </w:rPr>
              <w:t>中空壁缠绕管</w:t>
            </w:r>
          </w:p>
        </w:tc>
        <w:tc>
          <w:tcPr>
            <w:tcW w:w="839" w:type="pct"/>
            <w:vAlign w:val="center"/>
          </w:tcPr>
          <w:p>
            <w:pPr>
              <w:spacing w:line="240" w:lineRule="exact"/>
              <w:jc w:val="center"/>
              <w:rPr>
                <w:rFonts w:hint="eastAsia"/>
                <w:color w:val="auto"/>
                <w:highlight w:val="none"/>
                <w:lang w:val="en-US" w:eastAsia="zh-CN"/>
              </w:rPr>
            </w:pPr>
            <w:r>
              <w:rPr>
                <w:rFonts w:hint="eastAsia"/>
                <w:color w:val="auto"/>
                <w:highlight w:val="none"/>
                <w:lang w:val="en-US" w:eastAsia="zh-CN"/>
              </w:rPr>
              <w:t>2000</w:t>
            </w:r>
          </w:p>
        </w:tc>
        <w:tc>
          <w:tcPr>
            <w:tcW w:w="1161" w:type="pct"/>
            <w:vAlign w:val="center"/>
          </w:tcPr>
          <w:p>
            <w:pPr>
              <w:pStyle w:val="105"/>
              <w:jc w:val="center"/>
              <w:rPr>
                <w:color w:val="auto"/>
                <w:highlight w:val="none"/>
              </w:rPr>
            </w:pPr>
            <w:r>
              <w:rPr>
                <w:rFonts w:hint="eastAsia"/>
                <w:color w:val="auto"/>
                <w:highlight w:val="none"/>
              </w:rPr>
              <w:t>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9" w:type="pct"/>
            <w:vAlign w:val="center"/>
          </w:tcPr>
          <w:p>
            <w:pPr>
              <w:widowControl/>
              <w:spacing w:line="240" w:lineRule="exact"/>
              <w:jc w:val="center"/>
              <w:rPr>
                <w:color w:val="auto"/>
                <w:highlight w:val="none"/>
              </w:rPr>
            </w:pPr>
            <w:r>
              <w:rPr>
                <w:color w:val="auto"/>
                <w:highlight w:val="none"/>
              </w:rPr>
              <w:t>合计</w:t>
            </w:r>
          </w:p>
        </w:tc>
        <w:tc>
          <w:tcPr>
            <w:tcW w:w="766" w:type="pct"/>
            <w:vAlign w:val="center"/>
          </w:tcPr>
          <w:p>
            <w:pPr>
              <w:spacing w:line="240" w:lineRule="exact"/>
              <w:jc w:val="center"/>
              <w:rPr>
                <w:rFonts w:hint="default"/>
                <w:color w:val="auto"/>
                <w:highlight w:val="none"/>
                <w:lang w:val="en-US"/>
              </w:rPr>
            </w:pPr>
            <w:r>
              <w:rPr>
                <w:rFonts w:hint="eastAsia"/>
                <w:color w:val="auto"/>
                <w:highlight w:val="none"/>
                <w:lang w:val="en-US" w:eastAsia="zh-CN"/>
              </w:rPr>
              <w:t>2040.3</w:t>
            </w:r>
          </w:p>
        </w:tc>
        <w:tc>
          <w:tcPr>
            <w:tcW w:w="1233" w:type="pct"/>
            <w:vAlign w:val="center"/>
          </w:tcPr>
          <w:p>
            <w:pPr>
              <w:widowControl/>
              <w:spacing w:line="240" w:lineRule="exact"/>
              <w:jc w:val="center"/>
              <w:rPr>
                <w:color w:val="auto"/>
                <w:highlight w:val="none"/>
              </w:rPr>
            </w:pPr>
            <w:r>
              <w:rPr>
                <w:color w:val="auto"/>
                <w:highlight w:val="none"/>
              </w:rPr>
              <w:t>合计</w:t>
            </w:r>
          </w:p>
        </w:tc>
        <w:tc>
          <w:tcPr>
            <w:tcW w:w="839" w:type="pct"/>
            <w:vAlign w:val="center"/>
          </w:tcPr>
          <w:p>
            <w:pPr>
              <w:spacing w:line="240" w:lineRule="exact"/>
              <w:jc w:val="center"/>
              <w:rPr>
                <w:rFonts w:hint="default"/>
                <w:color w:val="auto"/>
                <w:highlight w:val="none"/>
                <w:lang w:val="en-US" w:eastAsia="zh-CN"/>
              </w:rPr>
            </w:pPr>
            <w:r>
              <w:rPr>
                <w:rFonts w:hint="eastAsia"/>
                <w:color w:val="auto"/>
                <w:highlight w:val="none"/>
                <w:lang w:val="en-US" w:eastAsia="zh-CN"/>
              </w:rPr>
              <w:t>2040.3</w:t>
            </w:r>
          </w:p>
        </w:tc>
        <w:tc>
          <w:tcPr>
            <w:tcW w:w="1161" w:type="pct"/>
            <w:vAlign w:val="center"/>
          </w:tcPr>
          <w:p>
            <w:pPr>
              <w:pStyle w:val="105"/>
              <w:jc w:val="center"/>
              <w:rPr>
                <w:color w:val="auto"/>
                <w:highlight w:val="none"/>
              </w:rPr>
            </w:pPr>
            <w:r>
              <w:rPr>
                <w:rFonts w:hint="eastAsia"/>
                <w:color w:val="auto"/>
                <w:highlight w:val="none"/>
              </w:rPr>
              <w:t>-</w:t>
            </w:r>
          </w:p>
        </w:tc>
      </w:tr>
    </w:tbl>
    <w:p>
      <w:pPr>
        <w:pStyle w:val="99"/>
        <w:spacing w:line="240" w:lineRule="auto"/>
        <w:ind w:firstLine="480"/>
        <w:jc w:val="center"/>
        <w:rPr>
          <w:color w:val="auto"/>
          <w:highlight w:val="none"/>
        </w:rPr>
      </w:pPr>
      <w:r>
        <w:rPr>
          <w:color w:val="auto"/>
          <w:highlight w:val="none"/>
        </w:rPr>
        <w:object>
          <v:shape id="_x0000_i1030" o:spt="75" type="#_x0000_t75" style="height:353.5pt;width:235.5pt;" o:ole="t" filled="f" o:preferrelative="t" stroked="f" coordsize="21600,21600">
            <v:path/>
            <v:fill on="f" focussize="0,0"/>
            <v:stroke on="f"/>
            <v:imagedata r:id="rId41" o:title=""/>
            <o:lock v:ext="edit" aspectratio="f"/>
            <w10:wrap type="none"/>
            <w10:anchorlock/>
          </v:shape>
          <o:OLEObject Type="Embed" ProgID="Visio.Drawing.11" ShapeID="_x0000_i1030" DrawAspect="Content" ObjectID="_1468075730" r:id="rId40">
            <o:LockedField>false</o:LockedField>
          </o:OLEObject>
        </w:object>
      </w:r>
    </w:p>
    <w:p>
      <w:pPr>
        <w:pStyle w:val="2"/>
        <w:ind w:firstLine="480"/>
        <w:jc w:val="center"/>
        <w:rPr>
          <w:rFonts w:ascii="黑体" w:hAnsi="黑体" w:eastAsia="黑体" w:cs="黑体"/>
          <w:color w:val="auto"/>
          <w:highlight w:val="none"/>
          <w:lang w:val="en-US"/>
        </w:rPr>
      </w:pPr>
      <w:r>
        <w:rPr>
          <w:rFonts w:hint="eastAsia" w:ascii="黑体" w:hAnsi="黑体" w:eastAsia="黑体" w:cs="黑体"/>
          <w:color w:val="auto"/>
          <w:highlight w:val="none"/>
          <w:lang w:val="en-US"/>
        </w:rPr>
        <w:t>图2.2.</w:t>
      </w:r>
      <w:r>
        <w:rPr>
          <w:rFonts w:hint="eastAsia" w:ascii="黑体" w:hAnsi="黑体" w:eastAsia="黑体" w:cs="黑体"/>
          <w:color w:val="auto"/>
          <w:highlight w:val="none"/>
          <w:lang w:val="en-US" w:eastAsia="zh-CN"/>
        </w:rPr>
        <w:t>9</w:t>
      </w:r>
      <w:r>
        <w:rPr>
          <w:rFonts w:hint="eastAsia" w:ascii="黑体" w:hAnsi="黑体" w:eastAsia="黑体" w:cs="黑体"/>
          <w:color w:val="auto"/>
          <w:highlight w:val="none"/>
          <w:lang w:val="en-US"/>
        </w:rPr>
        <w:t xml:space="preserve">  中空壁缠绕管</w:t>
      </w:r>
      <w:r>
        <w:rPr>
          <w:rFonts w:hint="eastAsia" w:ascii="黑体" w:hAnsi="黑体" w:eastAsia="黑体" w:cs="黑体"/>
          <w:color w:val="auto"/>
          <w:highlight w:val="none"/>
        </w:rPr>
        <w:t>生产物料</w:t>
      </w:r>
      <w:r>
        <w:rPr>
          <w:rFonts w:hint="eastAsia" w:ascii="黑体" w:hAnsi="黑体" w:eastAsia="黑体" w:cs="黑体"/>
          <w:color w:val="auto"/>
          <w:highlight w:val="none"/>
          <w:lang w:val="en-US"/>
        </w:rPr>
        <w:t>平衡图（单位：t/a）</w:t>
      </w:r>
    </w:p>
    <w:p>
      <w:pPr>
        <w:pStyle w:val="112"/>
        <w:rPr>
          <w:color w:val="auto"/>
          <w:highlight w:val="none"/>
        </w:rPr>
      </w:pPr>
      <w:r>
        <w:rPr>
          <w:color w:val="auto"/>
          <w:highlight w:val="none"/>
        </w:rPr>
        <w:t>2.</w:t>
      </w:r>
      <w:r>
        <w:rPr>
          <w:rFonts w:hint="eastAsia"/>
          <w:color w:val="auto"/>
          <w:highlight w:val="none"/>
        </w:rPr>
        <w:t>2</w:t>
      </w:r>
      <w:r>
        <w:rPr>
          <w:color w:val="auto"/>
          <w:highlight w:val="none"/>
        </w:rPr>
        <w:t>.</w:t>
      </w:r>
      <w:r>
        <w:rPr>
          <w:rFonts w:hint="eastAsia"/>
          <w:color w:val="auto"/>
          <w:highlight w:val="none"/>
        </w:rPr>
        <w:t>6</w:t>
      </w:r>
      <w:r>
        <w:rPr>
          <w:color w:val="auto"/>
          <w:highlight w:val="none"/>
        </w:rPr>
        <w:t>.</w:t>
      </w:r>
      <w:r>
        <w:rPr>
          <w:rFonts w:hint="eastAsia"/>
          <w:color w:val="auto"/>
          <w:highlight w:val="none"/>
        </w:rPr>
        <w:t>4双壁波纹管生产</w:t>
      </w:r>
      <w:r>
        <w:rPr>
          <w:color w:val="auto"/>
          <w:highlight w:val="none"/>
        </w:rPr>
        <w:t>物料平衡</w:t>
      </w:r>
    </w:p>
    <w:p>
      <w:pPr>
        <w:spacing w:line="360" w:lineRule="auto"/>
        <w:ind w:firstLine="480" w:firstLineChars="200"/>
        <w:rPr>
          <w:color w:val="auto"/>
          <w:sz w:val="24"/>
          <w:highlight w:val="none"/>
        </w:rPr>
      </w:pPr>
      <w:r>
        <w:rPr>
          <w:rFonts w:hint="eastAsia"/>
          <w:color w:val="auto"/>
          <w:sz w:val="24"/>
          <w:highlight w:val="none"/>
        </w:rPr>
        <w:t>双壁波纹管生产物料平衡见表2.2-1</w:t>
      </w:r>
      <w:r>
        <w:rPr>
          <w:rFonts w:hint="eastAsia"/>
          <w:color w:val="auto"/>
          <w:sz w:val="24"/>
          <w:highlight w:val="none"/>
          <w:lang w:val="en-US" w:eastAsia="zh-CN"/>
        </w:rPr>
        <w:t>1</w:t>
      </w:r>
      <w:r>
        <w:rPr>
          <w:rFonts w:hint="eastAsia"/>
          <w:color w:val="auto"/>
          <w:sz w:val="24"/>
          <w:highlight w:val="none"/>
        </w:rPr>
        <w:t>，图2.2-</w:t>
      </w:r>
      <w:r>
        <w:rPr>
          <w:rFonts w:hint="eastAsia"/>
          <w:color w:val="auto"/>
          <w:sz w:val="24"/>
          <w:highlight w:val="none"/>
          <w:lang w:val="en-US" w:eastAsia="zh-CN"/>
        </w:rPr>
        <w:t>10</w:t>
      </w:r>
      <w:r>
        <w:rPr>
          <w:rFonts w:hint="eastAsia"/>
          <w:color w:val="auto"/>
          <w:sz w:val="24"/>
          <w:highlight w:val="none"/>
        </w:rPr>
        <w:t>。</w:t>
      </w:r>
    </w:p>
    <w:p>
      <w:pPr>
        <w:widowControl/>
        <w:spacing w:line="360" w:lineRule="auto"/>
        <w:ind w:firstLine="480" w:firstLineChars="200"/>
        <w:jc w:val="center"/>
        <w:rPr>
          <w:rFonts w:eastAsia="黑体"/>
          <w:color w:val="auto"/>
          <w:sz w:val="24"/>
          <w:highlight w:val="none"/>
        </w:rPr>
      </w:pPr>
      <w:r>
        <w:rPr>
          <w:rFonts w:eastAsia="黑体"/>
          <w:color w:val="auto"/>
          <w:sz w:val="24"/>
          <w:highlight w:val="none"/>
        </w:rPr>
        <w:t>表2.</w:t>
      </w:r>
      <w:r>
        <w:rPr>
          <w:rFonts w:hint="eastAsia" w:eastAsia="黑体"/>
          <w:color w:val="auto"/>
          <w:sz w:val="24"/>
          <w:highlight w:val="none"/>
        </w:rPr>
        <w:t>2</w:t>
      </w:r>
      <w:r>
        <w:rPr>
          <w:rFonts w:eastAsia="黑体"/>
          <w:color w:val="auto"/>
          <w:sz w:val="24"/>
          <w:highlight w:val="none"/>
        </w:rPr>
        <w:t>-</w:t>
      </w:r>
      <w:r>
        <w:rPr>
          <w:rFonts w:hint="eastAsia" w:eastAsia="黑体"/>
          <w:color w:val="auto"/>
          <w:sz w:val="24"/>
          <w:highlight w:val="none"/>
        </w:rPr>
        <w:t>1</w:t>
      </w:r>
      <w:r>
        <w:rPr>
          <w:rFonts w:hint="eastAsia" w:eastAsia="黑体"/>
          <w:color w:val="auto"/>
          <w:sz w:val="24"/>
          <w:highlight w:val="none"/>
          <w:lang w:val="en-US" w:eastAsia="zh-CN"/>
        </w:rPr>
        <w:t>1</w:t>
      </w:r>
      <w:r>
        <w:rPr>
          <w:rFonts w:eastAsia="黑体"/>
          <w:color w:val="auto"/>
          <w:sz w:val="24"/>
          <w:highlight w:val="none"/>
        </w:rPr>
        <w:t xml:space="preserve">  </w:t>
      </w:r>
      <w:r>
        <w:rPr>
          <w:rFonts w:hint="eastAsia" w:eastAsia="黑体"/>
          <w:color w:val="auto"/>
          <w:sz w:val="24"/>
          <w:highlight w:val="none"/>
        </w:rPr>
        <w:t>双壁波纹管生产物料投入产出平衡</w:t>
      </w:r>
      <w:r>
        <w:rPr>
          <w:rFonts w:eastAsia="黑体"/>
          <w:color w:val="auto"/>
          <w:sz w:val="24"/>
          <w:highlight w:val="none"/>
        </w:rPr>
        <w:t>一览表</w:t>
      </w:r>
    </w:p>
    <w:tbl>
      <w:tblPr>
        <w:tblStyle w:val="5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9"/>
        <w:gridCol w:w="1801"/>
        <w:gridCol w:w="1801"/>
        <w:gridCol w:w="1511"/>
        <w:gridCol w:w="20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999" w:type="pct"/>
            <w:gridSpan w:val="2"/>
            <w:vAlign w:val="center"/>
          </w:tcPr>
          <w:p>
            <w:pPr>
              <w:widowControl/>
              <w:spacing w:line="240" w:lineRule="exact"/>
              <w:jc w:val="center"/>
              <w:rPr>
                <w:color w:val="auto"/>
                <w:highlight w:val="none"/>
              </w:rPr>
            </w:pPr>
            <w:r>
              <w:rPr>
                <w:rFonts w:hint="eastAsia"/>
                <w:color w:val="auto"/>
                <w:highlight w:val="none"/>
              </w:rPr>
              <w:t>投入(t/a)</w:t>
            </w:r>
          </w:p>
        </w:tc>
        <w:tc>
          <w:tcPr>
            <w:tcW w:w="3000" w:type="pct"/>
            <w:gridSpan w:val="3"/>
            <w:vAlign w:val="center"/>
          </w:tcPr>
          <w:p>
            <w:pPr>
              <w:widowControl/>
              <w:spacing w:line="240" w:lineRule="exact"/>
              <w:jc w:val="center"/>
              <w:rPr>
                <w:color w:val="auto"/>
                <w:highlight w:val="none"/>
              </w:rPr>
            </w:pPr>
            <w:r>
              <w:rPr>
                <w:rFonts w:hint="eastAsia"/>
                <w:color w:val="auto"/>
                <w:highlight w:val="none"/>
              </w:rPr>
              <w:t>产出(t/a)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9" w:type="pct"/>
            <w:vAlign w:val="center"/>
          </w:tcPr>
          <w:p>
            <w:pPr>
              <w:widowControl/>
              <w:spacing w:line="240" w:lineRule="exact"/>
              <w:jc w:val="center"/>
              <w:rPr>
                <w:color w:val="auto"/>
                <w:highlight w:val="none"/>
              </w:rPr>
            </w:pPr>
            <w:r>
              <w:rPr>
                <w:color w:val="auto"/>
                <w:highlight w:val="none"/>
              </w:rPr>
              <w:t>名称</w:t>
            </w:r>
          </w:p>
        </w:tc>
        <w:tc>
          <w:tcPr>
            <w:tcW w:w="1000" w:type="pct"/>
            <w:vAlign w:val="center"/>
          </w:tcPr>
          <w:p>
            <w:pPr>
              <w:adjustRightInd w:val="0"/>
              <w:snapToGrid w:val="0"/>
              <w:jc w:val="center"/>
              <w:rPr>
                <w:color w:val="auto"/>
                <w:highlight w:val="none"/>
              </w:rPr>
            </w:pPr>
            <w:r>
              <w:rPr>
                <w:color w:val="auto"/>
                <w:highlight w:val="none"/>
              </w:rPr>
              <w:t>用量</w:t>
            </w:r>
          </w:p>
        </w:tc>
        <w:tc>
          <w:tcPr>
            <w:tcW w:w="1000" w:type="pct"/>
            <w:vAlign w:val="center"/>
          </w:tcPr>
          <w:p>
            <w:pPr>
              <w:widowControl/>
              <w:spacing w:line="240" w:lineRule="exact"/>
              <w:jc w:val="center"/>
              <w:rPr>
                <w:color w:val="auto"/>
                <w:highlight w:val="none"/>
              </w:rPr>
            </w:pPr>
            <w:r>
              <w:rPr>
                <w:color w:val="auto"/>
                <w:highlight w:val="none"/>
              </w:rPr>
              <w:t>名称</w:t>
            </w:r>
          </w:p>
        </w:tc>
        <w:tc>
          <w:tcPr>
            <w:tcW w:w="839" w:type="pct"/>
            <w:vAlign w:val="center"/>
          </w:tcPr>
          <w:p>
            <w:pPr>
              <w:widowControl/>
              <w:spacing w:line="240" w:lineRule="exact"/>
              <w:jc w:val="center"/>
              <w:rPr>
                <w:color w:val="auto"/>
                <w:highlight w:val="none"/>
              </w:rPr>
            </w:pPr>
            <w:r>
              <w:rPr>
                <w:color w:val="auto"/>
                <w:highlight w:val="none"/>
              </w:rPr>
              <w:t>产出量</w:t>
            </w:r>
          </w:p>
        </w:tc>
        <w:tc>
          <w:tcPr>
            <w:tcW w:w="1161" w:type="pct"/>
            <w:vAlign w:val="center"/>
          </w:tcPr>
          <w:p>
            <w:pPr>
              <w:pStyle w:val="105"/>
              <w:jc w:val="center"/>
              <w:rPr>
                <w:color w:val="auto"/>
                <w:highlight w:val="none"/>
              </w:rPr>
            </w:pPr>
            <w:r>
              <w:rPr>
                <w:color w:val="auto"/>
                <w:highlight w:val="none"/>
              </w:rPr>
              <w:t>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9" w:type="pct"/>
            <w:vAlign w:val="center"/>
          </w:tcPr>
          <w:p>
            <w:pPr>
              <w:widowControl/>
              <w:spacing w:line="240" w:lineRule="exact"/>
              <w:jc w:val="center"/>
              <w:rPr>
                <w:rFonts w:ascii="Times New Roman" w:hAnsi="Times New Roman" w:eastAsia="宋体" w:cs="Times New Roman"/>
                <w:color w:val="auto"/>
                <w:kern w:val="2"/>
                <w:sz w:val="21"/>
                <w:szCs w:val="22"/>
                <w:highlight w:val="none"/>
                <w:lang w:val="en-US" w:eastAsia="zh-CN" w:bidi="ar-SA"/>
              </w:rPr>
            </w:pPr>
            <w:r>
              <w:rPr>
                <w:rFonts w:hint="eastAsia"/>
                <w:color w:val="auto"/>
                <w:highlight w:val="none"/>
              </w:rPr>
              <w:t>聚乙烯颗粒</w:t>
            </w:r>
          </w:p>
        </w:tc>
        <w:tc>
          <w:tcPr>
            <w:tcW w:w="1000" w:type="pct"/>
            <w:vAlign w:val="center"/>
          </w:tcPr>
          <w:p>
            <w:pPr>
              <w:spacing w:line="240" w:lineRule="exact"/>
              <w:jc w:val="center"/>
              <w:rPr>
                <w:rFonts w:hint="default" w:ascii="Times New Roman" w:hAnsi="Times New Roman" w:eastAsia="宋体" w:cs="Times New Roman"/>
                <w:color w:val="auto"/>
                <w:kern w:val="2"/>
                <w:sz w:val="21"/>
                <w:szCs w:val="22"/>
                <w:highlight w:val="none"/>
                <w:lang w:val="en-US" w:eastAsia="zh-CN" w:bidi="ar-SA"/>
              </w:rPr>
            </w:pPr>
            <w:r>
              <w:rPr>
                <w:rFonts w:hint="eastAsia"/>
                <w:color w:val="auto"/>
                <w:highlight w:val="none"/>
                <w:lang w:val="en-US" w:eastAsia="zh-CN"/>
              </w:rPr>
              <w:t>3201.2</w:t>
            </w:r>
          </w:p>
        </w:tc>
        <w:tc>
          <w:tcPr>
            <w:tcW w:w="1000" w:type="pct"/>
            <w:vAlign w:val="center"/>
          </w:tcPr>
          <w:p>
            <w:pPr>
              <w:widowControl/>
              <w:spacing w:line="240" w:lineRule="exact"/>
              <w:jc w:val="center"/>
              <w:rPr>
                <w:rFonts w:hint="eastAsia" w:eastAsia="宋体"/>
                <w:color w:val="auto"/>
                <w:highlight w:val="none"/>
                <w:lang w:val="en-US" w:eastAsia="zh-CN"/>
              </w:rPr>
            </w:pPr>
            <w:r>
              <w:rPr>
                <w:rFonts w:hint="eastAsia"/>
                <w:color w:val="auto"/>
                <w:highlight w:val="none"/>
                <w:lang w:val="en-US" w:eastAsia="zh-CN"/>
              </w:rPr>
              <w:t>颗粒物</w:t>
            </w:r>
          </w:p>
        </w:tc>
        <w:tc>
          <w:tcPr>
            <w:tcW w:w="839" w:type="pct"/>
            <w:vAlign w:val="center"/>
          </w:tcPr>
          <w:p>
            <w:pPr>
              <w:widowControl/>
              <w:spacing w:line="240" w:lineRule="exact"/>
              <w:jc w:val="center"/>
              <w:rPr>
                <w:rFonts w:hint="default" w:eastAsia="宋体"/>
                <w:color w:val="auto"/>
                <w:highlight w:val="none"/>
                <w:lang w:val="en-US" w:eastAsia="zh-CN"/>
              </w:rPr>
            </w:pPr>
            <w:r>
              <w:rPr>
                <w:rFonts w:hint="eastAsia"/>
                <w:color w:val="auto"/>
                <w:highlight w:val="none"/>
                <w:lang w:val="en-US" w:eastAsia="zh-CN"/>
              </w:rPr>
              <w:t>0.48</w:t>
            </w:r>
          </w:p>
        </w:tc>
        <w:tc>
          <w:tcPr>
            <w:tcW w:w="1161" w:type="pct"/>
            <w:vMerge w:val="restart"/>
            <w:vAlign w:val="center"/>
          </w:tcPr>
          <w:p>
            <w:pPr>
              <w:pStyle w:val="105"/>
              <w:jc w:val="center"/>
              <w:rPr>
                <w:color w:val="auto"/>
                <w:highlight w:val="none"/>
              </w:rPr>
            </w:pPr>
            <w:r>
              <w:rPr>
                <w:rFonts w:hint="eastAsia"/>
                <w:color w:val="auto"/>
                <w:highlight w:val="none"/>
              </w:rPr>
              <w:t>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9" w:type="pct"/>
            <w:vAlign w:val="center"/>
          </w:tcPr>
          <w:p>
            <w:pPr>
              <w:widowControl/>
              <w:spacing w:line="240" w:lineRule="exact"/>
              <w:jc w:val="center"/>
              <w:rPr>
                <w:rFonts w:ascii="Times New Roman" w:hAnsi="Times New Roman" w:eastAsia="宋体" w:cs="Times New Roman"/>
                <w:color w:val="auto"/>
                <w:kern w:val="2"/>
                <w:sz w:val="21"/>
                <w:szCs w:val="22"/>
                <w:highlight w:val="none"/>
                <w:lang w:val="en-US" w:eastAsia="zh-CN" w:bidi="ar-SA"/>
              </w:rPr>
            </w:pPr>
            <w:r>
              <w:rPr>
                <w:rFonts w:hint="eastAsia"/>
                <w:color w:val="auto"/>
                <w:highlight w:val="none"/>
              </w:rPr>
              <w:t>色母粒</w:t>
            </w:r>
          </w:p>
        </w:tc>
        <w:tc>
          <w:tcPr>
            <w:tcW w:w="1000" w:type="pct"/>
            <w:vAlign w:val="center"/>
          </w:tcPr>
          <w:p>
            <w:pPr>
              <w:spacing w:line="240" w:lineRule="exact"/>
              <w:jc w:val="center"/>
              <w:rPr>
                <w:rFonts w:hint="default" w:ascii="Times New Roman" w:hAnsi="Times New Roman" w:eastAsia="宋体" w:cs="Times New Roman"/>
                <w:color w:val="auto"/>
                <w:kern w:val="2"/>
                <w:sz w:val="21"/>
                <w:szCs w:val="22"/>
                <w:highlight w:val="none"/>
                <w:lang w:val="en-US" w:eastAsia="zh-CN" w:bidi="ar-SA"/>
              </w:rPr>
            </w:pPr>
            <w:r>
              <w:rPr>
                <w:rFonts w:hint="eastAsia"/>
                <w:color w:val="auto"/>
                <w:highlight w:val="none"/>
                <w:lang w:val="en-US" w:eastAsia="zh-CN"/>
              </w:rPr>
              <w:t>32.48</w:t>
            </w:r>
          </w:p>
        </w:tc>
        <w:tc>
          <w:tcPr>
            <w:tcW w:w="1000" w:type="pct"/>
            <w:vAlign w:val="center"/>
          </w:tcPr>
          <w:p>
            <w:pPr>
              <w:widowControl/>
              <w:spacing w:line="240" w:lineRule="exact"/>
              <w:jc w:val="center"/>
              <w:rPr>
                <w:color w:val="auto"/>
                <w:highlight w:val="none"/>
              </w:rPr>
            </w:pPr>
            <w:r>
              <w:rPr>
                <w:rFonts w:hint="eastAsia"/>
                <w:color w:val="auto"/>
                <w:highlight w:val="none"/>
              </w:rPr>
              <w:t>挥发性有机物</w:t>
            </w:r>
          </w:p>
        </w:tc>
        <w:tc>
          <w:tcPr>
            <w:tcW w:w="839" w:type="pct"/>
            <w:vAlign w:val="center"/>
          </w:tcPr>
          <w:p>
            <w:pPr>
              <w:spacing w:line="240" w:lineRule="exact"/>
              <w:jc w:val="center"/>
              <w:rPr>
                <w:rFonts w:hint="eastAsia"/>
                <w:color w:val="auto"/>
                <w:highlight w:val="none"/>
                <w:lang w:val="en-US" w:eastAsia="zh-CN"/>
              </w:rPr>
            </w:pPr>
            <w:r>
              <w:rPr>
                <w:rFonts w:hint="eastAsia"/>
                <w:color w:val="auto"/>
                <w:highlight w:val="none"/>
                <w:lang w:val="en-US" w:eastAsia="zh-CN"/>
              </w:rPr>
              <w:t>1.132</w:t>
            </w:r>
          </w:p>
        </w:tc>
        <w:tc>
          <w:tcPr>
            <w:tcW w:w="1161" w:type="pct"/>
            <w:vMerge w:val="continue"/>
            <w:vAlign w:val="center"/>
          </w:tcPr>
          <w:p>
            <w:pPr>
              <w:pStyle w:val="105"/>
              <w:jc w:val="center"/>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999" w:type="pct"/>
            <w:vAlign w:val="center"/>
          </w:tcPr>
          <w:p>
            <w:pPr>
              <w:widowControl/>
              <w:spacing w:line="240" w:lineRule="exact"/>
              <w:jc w:val="center"/>
              <w:rPr>
                <w:color w:val="auto"/>
                <w:highlight w:val="none"/>
              </w:rPr>
            </w:pPr>
          </w:p>
        </w:tc>
        <w:tc>
          <w:tcPr>
            <w:tcW w:w="1000" w:type="pct"/>
            <w:vAlign w:val="center"/>
          </w:tcPr>
          <w:p>
            <w:pPr>
              <w:spacing w:line="240" w:lineRule="exact"/>
              <w:jc w:val="center"/>
              <w:rPr>
                <w:rFonts w:hint="eastAsia"/>
                <w:color w:val="auto"/>
                <w:highlight w:val="none"/>
              </w:rPr>
            </w:pPr>
          </w:p>
        </w:tc>
        <w:tc>
          <w:tcPr>
            <w:tcW w:w="1000" w:type="pct"/>
            <w:vAlign w:val="center"/>
          </w:tcPr>
          <w:p>
            <w:pPr>
              <w:widowControl/>
              <w:spacing w:line="240" w:lineRule="exact"/>
              <w:jc w:val="center"/>
              <w:rPr>
                <w:color w:val="auto"/>
                <w:highlight w:val="none"/>
              </w:rPr>
            </w:pPr>
            <w:r>
              <w:rPr>
                <w:rFonts w:hint="eastAsia"/>
                <w:color w:val="auto"/>
                <w:highlight w:val="none"/>
              </w:rPr>
              <w:t>下脚料及不合格产品</w:t>
            </w:r>
          </w:p>
        </w:tc>
        <w:tc>
          <w:tcPr>
            <w:tcW w:w="839" w:type="pct"/>
            <w:vAlign w:val="center"/>
          </w:tcPr>
          <w:p>
            <w:pPr>
              <w:spacing w:line="240" w:lineRule="exact"/>
              <w:jc w:val="center"/>
              <w:rPr>
                <w:rFonts w:hint="eastAsia"/>
                <w:color w:val="auto"/>
                <w:highlight w:val="none"/>
                <w:lang w:val="en-US" w:eastAsia="zh-CN"/>
              </w:rPr>
            </w:pPr>
            <w:r>
              <w:rPr>
                <w:rFonts w:hint="eastAsia"/>
                <w:color w:val="auto"/>
                <w:highlight w:val="none"/>
                <w:lang w:val="en-US" w:eastAsia="zh-CN"/>
              </w:rPr>
              <w:t>32.068</w:t>
            </w:r>
          </w:p>
        </w:tc>
        <w:tc>
          <w:tcPr>
            <w:tcW w:w="1161" w:type="pct"/>
            <w:vAlign w:val="center"/>
          </w:tcPr>
          <w:p>
            <w:pPr>
              <w:pStyle w:val="105"/>
              <w:jc w:val="center"/>
              <w:rPr>
                <w:color w:val="auto"/>
                <w:highlight w:val="none"/>
              </w:rPr>
            </w:pPr>
            <w:r>
              <w:rPr>
                <w:rFonts w:hint="eastAsia"/>
                <w:color w:val="auto"/>
                <w:highlight w:val="none"/>
              </w:rPr>
              <w:t>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999" w:type="pct"/>
            <w:vAlign w:val="center"/>
          </w:tcPr>
          <w:p>
            <w:pPr>
              <w:widowControl/>
              <w:spacing w:line="240" w:lineRule="exact"/>
              <w:jc w:val="center"/>
              <w:rPr>
                <w:color w:val="auto"/>
                <w:highlight w:val="none"/>
              </w:rPr>
            </w:pPr>
          </w:p>
        </w:tc>
        <w:tc>
          <w:tcPr>
            <w:tcW w:w="1000" w:type="pct"/>
            <w:vAlign w:val="center"/>
          </w:tcPr>
          <w:p>
            <w:pPr>
              <w:spacing w:line="240" w:lineRule="exact"/>
              <w:jc w:val="center"/>
              <w:rPr>
                <w:rFonts w:hint="eastAsia"/>
                <w:color w:val="auto"/>
                <w:highlight w:val="none"/>
              </w:rPr>
            </w:pPr>
          </w:p>
        </w:tc>
        <w:tc>
          <w:tcPr>
            <w:tcW w:w="1000" w:type="pct"/>
            <w:vAlign w:val="center"/>
          </w:tcPr>
          <w:p>
            <w:pPr>
              <w:widowControl/>
              <w:spacing w:line="240" w:lineRule="exact"/>
              <w:jc w:val="center"/>
              <w:rPr>
                <w:color w:val="auto"/>
                <w:highlight w:val="none"/>
              </w:rPr>
            </w:pPr>
            <w:r>
              <w:rPr>
                <w:rFonts w:hint="eastAsia"/>
                <w:color w:val="auto"/>
                <w:highlight w:val="none"/>
              </w:rPr>
              <w:t>双壁波纹管</w:t>
            </w:r>
          </w:p>
        </w:tc>
        <w:tc>
          <w:tcPr>
            <w:tcW w:w="839" w:type="pct"/>
            <w:vAlign w:val="center"/>
          </w:tcPr>
          <w:p>
            <w:pPr>
              <w:spacing w:line="240" w:lineRule="exact"/>
              <w:jc w:val="center"/>
              <w:rPr>
                <w:rFonts w:hint="eastAsia"/>
                <w:color w:val="auto"/>
                <w:highlight w:val="none"/>
                <w:lang w:val="en-US" w:eastAsia="zh-CN"/>
              </w:rPr>
            </w:pPr>
            <w:r>
              <w:rPr>
                <w:rFonts w:hint="eastAsia"/>
                <w:color w:val="auto"/>
                <w:highlight w:val="none"/>
                <w:lang w:val="en-US" w:eastAsia="zh-CN"/>
              </w:rPr>
              <w:t>3200</w:t>
            </w:r>
          </w:p>
        </w:tc>
        <w:tc>
          <w:tcPr>
            <w:tcW w:w="1161" w:type="pct"/>
            <w:vAlign w:val="center"/>
          </w:tcPr>
          <w:p>
            <w:pPr>
              <w:pStyle w:val="105"/>
              <w:jc w:val="center"/>
              <w:rPr>
                <w:color w:val="auto"/>
                <w:highlight w:val="none"/>
              </w:rPr>
            </w:pPr>
            <w:r>
              <w:rPr>
                <w:rFonts w:hint="eastAsia"/>
                <w:color w:val="auto"/>
                <w:highlight w:val="none"/>
              </w:rPr>
              <w:t>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9" w:type="pct"/>
            <w:vAlign w:val="center"/>
          </w:tcPr>
          <w:p>
            <w:pPr>
              <w:widowControl/>
              <w:spacing w:line="240" w:lineRule="exact"/>
              <w:jc w:val="center"/>
              <w:rPr>
                <w:color w:val="auto"/>
                <w:highlight w:val="none"/>
              </w:rPr>
            </w:pPr>
            <w:r>
              <w:rPr>
                <w:color w:val="auto"/>
                <w:highlight w:val="none"/>
              </w:rPr>
              <w:t>合计</w:t>
            </w:r>
          </w:p>
        </w:tc>
        <w:tc>
          <w:tcPr>
            <w:tcW w:w="1000" w:type="pct"/>
            <w:vAlign w:val="center"/>
          </w:tcPr>
          <w:p>
            <w:pPr>
              <w:spacing w:line="240" w:lineRule="exact"/>
              <w:jc w:val="center"/>
              <w:rPr>
                <w:rFonts w:hint="default"/>
                <w:color w:val="auto"/>
                <w:highlight w:val="none"/>
                <w:lang w:val="en-US"/>
              </w:rPr>
            </w:pPr>
            <w:r>
              <w:rPr>
                <w:rFonts w:hint="eastAsia"/>
                <w:color w:val="auto"/>
                <w:highlight w:val="none"/>
                <w:lang w:val="en-US" w:eastAsia="zh-CN"/>
              </w:rPr>
              <w:t>3233.68</w:t>
            </w:r>
          </w:p>
        </w:tc>
        <w:tc>
          <w:tcPr>
            <w:tcW w:w="1000" w:type="pct"/>
            <w:vAlign w:val="center"/>
          </w:tcPr>
          <w:p>
            <w:pPr>
              <w:widowControl/>
              <w:spacing w:line="240" w:lineRule="exact"/>
              <w:jc w:val="center"/>
              <w:rPr>
                <w:color w:val="auto"/>
                <w:highlight w:val="none"/>
              </w:rPr>
            </w:pPr>
            <w:r>
              <w:rPr>
                <w:color w:val="auto"/>
                <w:highlight w:val="none"/>
              </w:rPr>
              <w:t>合计</w:t>
            </w:r>
          </w:p>
        </w:tc>
        <w:tc>
          <w:tcPr>
            <w:tcW w:w="839" w:type="pct"/>
            <w:vAlign w:val="center"/>
          </w:tcPr>
          <w:p>
            <w:pPr>
              <w:spacing w:line="240" w:lineRule="exact"/>
              <w:jc w:val="center"/>
              <w:rPr>
                <w:rFonts w:hint="default"/>
                <w:color w:val="auto"/>
                <w:highlight w:val="none"/>
                <w:lang w:val="en-US" w:eastAsia="zh-CN"/>
              </w:rPr>
            </w:pPr>
            <w:r>
              <w:rPr>
                <w:rFonts w:hint="eastAsia"/>
                <w:color w:val="auto"/>
                <w:highlight w:val="none"/>
                <w:lang w:val="en-US" w:eastAsia="zh-CN"/>
              </w:rPr>
              <w:t>3233.68</w:t>
            </w:r>
          </w:p>
        </w:tc>
        <w:tc>
          <w:tcPr>
            <w:tcW w:w="1161" w:type="pct"/>
            <w:vAlign w:val="center"/>
          </w:tcPr>
          <w:p>
            <w:pPr>
              <w:pStyle w:val="105"/>
              <w:jc w:val="center"/>
              <w:rPr>
                <w:color w:val="auto"/>
                <w:highlight w:val="none"/>
              </w:rPr>
            </w:pPr>
            <w:r>
              <w:rPr>
                <w:rFonts w:hint="eastAsia"/>
                <w:color w:val="auto"/>
                <w:highlight w:val="none"/>
              </w:rPr>
              <w:t>-</w:t>
            </w:r>
          </w:p>
        </w:tc>
      </w:tr>
    </w:tbl>
    <w:p>
      <w:pPr>
        <w:pStyle w:val="99"/>
        <w:spacing w:line="240" w:lineRule="auto"/>
        <w:ind w:firstLine="480"/>
        <w:rPr>
          <w:color w:val="auto"/>
          <w:highlight w:val="none"/>
        </w:rPr>
      </w:pPr>
    </w:p>
    <w:p>
      <w:pPr>
        <w:pStyle w:val="99"/>
        <w:spacing w:line="240" w:lineRule="auto"/>
        <w:ind w:firstLine="480"/>
        <w:jc w:val="center"/>
        <w:rPr>
          <w:color w:val="auto"/>
          <w:highlight w:val="none"/>
        </w:rPr>
      </w:pPr>
      <w:r>
        <w:rPr>
          <w:color w:val="auto"/>
          <w:highlight w:val="none"/>
        </w:rPr>
        <w:object>
          <v:shape id="_x0000_i1031" o:spt="75" type="#_x0000_t75" style="height:263.5pt;width:235.5pt;" o:ole="t" filled="f" o:preferrelative="t" stroked="f" coordsize="21600,21600">
            <v:path/>
            <v:fill on="f" focussize="0,0"/>
            <v:stroke on="f"/>
            <v:imagedata r:id="rId43" o:title=""/>
            <o:lock v:ext="edit" aspectratio="f"/>
            <w10:wrap type="none"/>
            <w10:anchorlock/>
          </v:shape>
          <o:OLEObject Type="Embed" ProgID="Visio.Drawing.11" ShapeID="_x0000_i1031" DrawAspect="Content" ObjectID="_1468075731" r:id="rId42">
            <o:LockedField>false</o:LockedField>
          </o:OLEObject>
        </w:object>
      </w:r>
    </w:p>
    <w:p>
      <w:pPr>
        <w:pStyle w:val="99"/>
        <w:spacing w:line="240" w:lineRule="auto"/>
        <w:ind w:firstLine="480"/>
        <w:jc w:val="center"/>
        <w:rPr>
          <w:color w:val="auto"/>
          <w:highlight w:val="none"/>
        </w:rPr>
      </w:pPr>
      <w:r>
        <w:rPr>
          <w:rFonts w:hint="eastAsia" w:ascii="黑体" w:hAnsi="黑体" w:eastAsia="黑体" w:cs="黑体"/>
          <w:color w:val="auto"/>
          <w:highlight w:val="none"/>
        </w:rPr>
        <w:t>图2.2.</w:t>
      </w:r>
      <w:r>
        <w:rPr>
          <w:rFonts w:hint="eastAsia" w:ascii="黑体" w:hAnsi="黑体" w:eastAsia="黑体" w:cs="黑体"/>
          <w:color w:val="auto"/>
          <w:highlight w:val="none"/>
          <w:lang w:val="en-US" w:eastAsia="zh-CN"/>
        </w:rPr>
        <w:t>10</w:t>
      </w:r>
      <w:r>
        <w:rPr>
          <w:rFonts w:hint="eastAsia" w:ascii="黑体" w:hAnsi="黑体" w:eastAsia="黑体" w:cs="黑体"/>
          <w:color w:val="auto"/>
          <w:highlight w:val="none"/>
        </w:rPr>
        <w:t xml:space="preserve">  双壁波纹管生产物料平衡图（单位：t/a）</w:t>
      </w:r>
    </w:p>
    <w:p>
      <w:pPr>
        <w:pStyle w:val="112"/>
        <w:rPr>
          <w:color w:val="auto"/>
          <w:highlight w:val="none"/>
        </w:rPr>
      </w:pPr>
      <w:r>
        <w:rPr>
          <w:color w:val="auto"/>
          <w:highlight w:val="none"/>
        </w:rPr>
        <w:t>2.</w:t>
      </w:r>
      <w:r>
        <w:rPr>
          <w:rFonts w:hint="eastAsia"/>
          <w:color w:val="auto"/>
          <w:highlight w:val="none"/>
        </w:rPr>
        <w:t>2</w:t>
      </w:r>
      <w:r>
        <w:rPr>
          <w:color w:val="auto"/>
          <w:highlight w:val="none"/>
        </w:rPr>
        <w:t>.</w:t>
      </w:r>
      <w:r>
        <w:rPr>
          <w:rFonts w:hint="eastAsia"/>
          <w:color w:val="auto"/>
          <w:highlight w:val="none"/>
        </w:rPr>
        <w:t>6</w:t>
      </w:r>
      <w:r>
        <w:rPr>
          <w:color w:val="auto"/>
          <w:highlight w:val="none"/>
        </w:rPr>
        <w:t>.</w:t>
      </w:r>
      <w:r>
        <w:rPr>
          <w:rFonts w:hint="eastAsia"/>
          <w:color w:val="auto"/>
          <w:highlight w:val="none"/>
        </w:rPr>
        <w:t>5注塑污水管件生产</w:t>
      </w:r>
      <w:r>
        <w:rPr>
          <w:color w:val="auto"/>
          <w:highlight w:val="none"/>
        </w:rPr>
        <w:t>物料平衡</w:t>
      </w:r>
    </w:p>
    <w:p>
      <w:pPr>
        <w:spacing w:line="360" w:lineRule="auto"/>
        <w:ind w:firstLine="480" w:firstLineChars="200"/>
        <w:rPr>
          <w:color w:val="auto"/>
          <w:sz w:val="24"/>
          <w:highlight w:val="none"/>
        </w:rPr>
      </w:pPr>
      <w:r>
        <w:rPr>
          <w:rFonts w:hint="eastAsia"/>
          <w:color w:val="auto"/>
          <w:sz w:val="24"/>
          <w:highlight w:val="none"/>
        </w:rPr>
        <w:t>注塑污水管件生产物料平衡见表2.2-1</w:t>
      </w:r>
      <w:r>
        <w:rPr>
          <w:rFonts w:hint="eastAsia"/>
          <w:color w:val="auto"/>
          <w:sz w:val="24"/>
          <w:highlight w:val="none"/>
          <w:lang w:val="en-US" w:eastAsia="zh-CN"/>
        </w:rPr>
        <w:t>2</w:t>
      </w:r>
      <w:r>
        <w:rPr>
          <w:rFonts w:hint="eastAsia"/>
          <w:color w:val="auto"/>
          <w:sz w:val="24"/>
          <w:highlight w:val="none"/>
        </w:rPr>
        <w:t>，图2.2-1</w:t>
      </w:r>
      <w:r>
        <w:rPr>
          <w:rFonts w:hint="eastAsia"/>
          <w:color w:val="auto"/>
          <w:sz w:val="24"/>
          <w:highlight w:val="none"/>
          <w:lang w:val="en-US" w:eastAsia="zh-CN"/>
        </w:rPr>
        <w:t>1</w:t>
      </w:r>
      <w:r>
        <w:rPr>
          <w:rFonts w:hint="eastAsia"/>
          <w:color w:val="auto"/>
          <w:sz w:val="24"/>
          <w:highlight w:val="none"/>
        </w:rPr>
        <w:t>。</w:t>
      </w:r>
    </w:p>
    <w:p>
      <w:pPr>
        <w:widowControl/>
        <w:spacing w:line="360" w:lineRule="auto"/>
        <w:ind w:firstLine="480" w:firstLineChars="200"/>
        <w:jc w:val="center"/>
        <w:rPr>
          <w:rFonts w:eastAsia="黑体"/>
          <w:color w:val="auto"/>
          <w:sz w:val="24"/>
          <w:highlight w:val="none"/>
        </w:rPr>
      </w:pPr>
      <w:r>
        <w:rPr>
          <w:rFonts w:eastAsia="黑体"/>
          <w:color w:val="auto"/>
          <w:sz w:val="24"/>
          <w:highlight w:val="none"/>
        </w:rPr>
        <w:t>表2.</w:t>
      </w:r>
      <w:r>
        <w:rPr>
          <w:rFonts w:hint="eastAsia" w:eastAsia="黑体"/>
          <w:color w:val="auto"/>
          <w:sz w:val="24"/>
          <w:highlight w:val="none"/>
        </w:rPr>
        <w:t>2</w:t>
      </w:r>
      <w:r>
        <w:rPr>
          <w:rFonts w:eastAsia="黑体"/>
          <w:color w:val="auto"/>
          <w:sz w:val="24"/>
          <w:highlight w:val="none"/>
        </w:rPr>
        <w:t>-</w:t>
      </w:r>
      <w:r>
        <w:rPr>
          <w:rFonts w:hint="eastAsia" w:eastAsia="黑体"/>
          <w:color w:val="auto"/>
          <w:sz w:val="24"/>
          <w:highlight w:val="none"/>
        </w:rPr>
        <w:t>1</w:t>
      </w:r>
      <w:r>
        <w:rPr>
          <w:rFonts w:hint="eastAsia" w:eastAsia="黑体"/>
          <w:color w:val="auto"/>
          <w:sz w:val="24"/>
          <w:highlight w:val="none"/>
          <w:lang w:val="en-US" w:eastAsia="zh-CN"/>
        </w:rPr>
        <w:t>2</w:t>
      </w:r>
      <w:r>
        <w:rPr>
          <w:rFonts w:eastAsia="黑体"/>
          <w:color w:val="auto"/>
          <w:sz w:val="24"/>
          <w:highlight w:val="none"/>
        </w:rPr>
        <w:t xml:space="preserve">  </w:t>
      </w:r>
      <w:r>
        <w:rPr>
          <w:rFonts w:hint="eastAsia" w:eastAsia="黑体"/>
          <w:color w:val="auto"/>
          <w:sz w:val="24"/>
          <w:highlight w:val="none"/>
        </w:rPr>
        <w:t>注塑污水管件物料投入产出平衡</w:t>
      </w:r>
      <w:r>
        <w:rPr>
          <w:rFonts w:eastAsia="黑体"/>
          <w:color w:val="auto"/>
          <w:sz w:val="24"/>
          <w:highlight w:val="none"/>
        </w:rPr>
        <w:t>一览表</w:t>
      </w:r>
    </w:p>
    <w:tbl>
      <w:tblPr>
        <w:tblStyle w:val="5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9"/>
        <w:gridCol w:w="1801"/>
        <w:gridCol w:w="1801"/>
        <w:gridCol w:w="1511"/>
        <w:gridCol w:w="20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999" w:type="pct"/>
            <w:gridSpan w:val="2"/>
            <w:vAlign w:val="center"/>
          </w:tcPr>
          <w:p>
            <w:pPr>
              <w:widowControl/>
              <w:spacing w:line="240" w:lineRule="exact"/>
              <w:jc w:val="center"/>
              <w:rPr>
                <w:color w:val="auto"/>
                <w:highlight w:val="none"/>
              </w:rPr>
            </w:pPr>
            <w:r>
              <w:rPr>
                <w:rFonts w:hint="eastAsia"/>
                <w:color w:val="auto"/>
                <w:highlight w:val="none"/>
              </w:rPr>
              <w:t>投入(t/a)</w:t>
            </w:r>
          </w:p>
        </w:tc>
        <w:tc>
          <w:tcPr>
            <w:tcW w:w="3000" w:type="pct"/>
            <w:gridSpan w:val="3"/>
            <w:vAlign w:val="center"/>
          </w:tcPr>
          <w:p>
            <w:pPr>
              <w:widowControl/>
              <w:spacing w:line="240" w:lineRule="exact"/>
              <w:jc w:val="center"/>
              <w:rPr>
                <w:color w:val="auto"/>
                <w:highlight w:val="none"/>
              </w:rPr>
            </w:pPr>
            <w:r>
              <w:rPr>
                <w:rFonts w:hint="eastAsia"/>
                <w:color w:val="auto"/>
                <w:highlight w:val="none"/>
              </w:rPr>
              <w:t>产出(t/a)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9" w:type="pct"/>
            <w:vAlign w:val="center"/>
          </w:tcPr>
          <w:p>
            <w:pPr>
              <w:widowControl/>
              <w:spacing w:line="240" w:lineRule="exact"/>
              <w:jc w:val="center"/>
              <w:rPr>
                <w:color w:val="auto"/>
                <w:highlight w:val="none"/>
              </w:rPr>
            </w:pPr>
            <w:r>
              <w:rPr>
                <w:color w:val="auto"/>
                <w:highlight w:val="none"/>
              </w:rPr>
              <w:t>名称</w:t>
            </w:r>
          </w:p>
        </w:tc>
        <w:tc>
          <w:tcPr>
            <w:tcW w:w="1000" w:type="pct"/>
            <w:vAlign w:val="center"/>
          </w:tcPr>
          <w:p>
            <w:pPr>
              <w:adjustRightInd w:val="0"/>
              <w:snapToGrid w:val="0"/>
              <w:jc w:val="center"/>
              <w:rPr>
                <w:color w:val="auto"/>
                <w:highlight w:val="none"/>
              </w:rPr>
            </w:pPr>
            <w:r>
              <w:rPr>
                <w:color w:val="auto"/>
                <w:highlight w:val="none"/>
              </w:rPr>
              <w:t>用量</w:t>
            </w:r>
          </w:p>
        </w:tc>
        <w:tc>
          <w:tcPr>
            <w:tcW w:w="1000" w:type="pct"/>
            <w:vAlign w:val="center"/>
          </w:tcPr>
          <w:p>
            <w:pPr>
              <w:widowControl/>
              <w:spacing w:line="240" w:lineRule="exact"/>
              <w:jc w:val="center"/>
              <w:rPr>
                <w:color w:val="auto"/>
                <w:highlight w:val="none"/>
              </w:rPr>
            </w:pPr>
            <w:r>
              <w:rPr>
                <w:color w:val="auto"/>
                <w:highlight w:val="none"/>
              </w:rPr>
              <w:t>名称</w:t>
            </w:r>
          </w:p>
        </w:tc>
        <w:tc>
          <w:tcPr>
            <w:tcW w:w="839" w:type="pct"/>
            <w:vAlign w:val="center"/>
          </w:tcPr>
          <w:p>
            <w:pPr>
              <w:widowControl/>
              <w:spacing w:line="240" w:lineRule="exact"/>
              <w:jc w:val="center"/>
              <w:rPr>
                <w:color w:val="auto"/>
                <w:highlight w:val="none"/>
              </w:rPr>
            </w:pPr>
            <w:r>
              <w:rPr>
                <w:color w:val="auto"/>
                <w:highlight w:val="none"/>
              </w:rPr>
              <w:t>产出量</w:t>
            </w:r>
          </w:p>
        </w:tc>
        <w:tc>
          <w:tcPr>
            <w:tcW w:w="1161" w:type="pct"/>
            <w:vAlign w:val="center"/>
          </w:tcPr>
          <w:p>
            <w:pPr>
              <w:pStyle w:val="105"/>
              <w:jc w:val="center"/>
              <w:rPr>
                <w:color w:val="auto"/>
                <w:highlight w:val="none"/>
              </w:rPr>
            </w:pPr>
            <w:r>
              <w:rPr>
                <w:color w:val="auto"/>
                <w:highlight w:val="none"/>
              </w:rPr>
              <w:t>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999" w:type="pct"/>
            <w:vAlign w:val="center"/>
          </w:tcPr>
          <w:p>
            <w:pPr>
              <w:widowControl/>
              <w:spacing w:line="240" w:lineRule="exact"/>
              <w:jc w:val="center"/>
              <w:rPr>
                <w:color w:val="auto"/>
                <w:highlight w:val="none"/>
              </w:rPr>
            </w:pPr>
            <w:r>
              <w:rPr>
                <w:rFonts w:hint="eastAsia"/>
                <w:color w:val="auto"/>
                <w:highlight w:val="none"/>
              </w:rPr>
              <w:t>聚丙烯颗粒</w:t>
            </w:r>
          </w:p>
        </w:tc>
        <w:tc>
          <w:tcPr>
            <w:tcW w:w="1000" w:type="pct"/>
            <w:vAlign w:val="center"/>
          </w:tcPr>
          <w:p>
            <w:pPr>
              <w:spacing w:line="240" w:lineRule="exact"/>
              <w:jc w:val="center"/>
              <w:rPr>
                <w:rFonts w:hint="default"/>
                <w:color w:val="auto"/>
                <w:highlight w:val="none"/>
                <w:lang w:val="en-US"/>
              </w:rPr>
            </w:pPr>
            <w:r>
              <w:rPr>
                <w:rFonts w:hint="eastAsia"/>
                <w:color w:val="auto"/>
                <w:highlight w:val="none"/>
                <w:lang w:val="en-US" w:eastAsia="zh-CN"/>
              </w:rPr>
              <w:t>8002.8</w:t>
            </w:r>
          </w:p>
        </w:tc>
        <w:tc>
          <w:tcPr>
            <w:tcW w:w="1000" w:type="pct"/>
            <w:vAlign w:val="center"/>
          </w:tcPr>
          <w:p>
            <w:pPr>
              <w:widowControl/>
              <w:spacing w:line="240" w:lineRule="exact"/>
              <w:jc w:val="center"/>
              <w:rPr>
                <w:rFonts w:hint="eastAsia" w:eastAsia="宋体"/>
                <w:color w:val="auto"/>
                <w:highlight w:val="none"/>
                <w:lang w:val="en-US" w:eastAsia="zh-CN"/>
              </w:rPr>
            </w:pPr>
            <w:r>
              <w:rPr>
                <w:rFonts w:hint="eastAsia"/>
                <w:color w:val="auto"/>
                <w:highlight w:val="none"/>
                <w:lang w:val="en-US" w:eastAsia="zh-CN"/>
              </w:rPr>
              <w:t>颗粒物</w:t>
            </w:r>
          </w:p>
        </w:tc>
        <w:tc>
          <w:tcPr>
            <w:tcW w:w="839" w:type="pct"/>
            <w:vAlign w:val="center"/>
          </w:tcPr>
          <w:p>
            <w:pPr>
              <w:spacing w:line="240" w:lineRule="exact"/>
              <w:jc w:val="center"/>
              <w:rPr>
                <w:rFonts w:hint="default"/>
                <w:color w:val="auto"/>
                <w:highlight w:val="none"/>
                <w:lang w:val="en-US" w:eastAsia="zh-CN"/>
              </w:rPr>
            </w:pPr>
            <w:r>
              <w:rPr>
                <w:rFonts w:hint="eastAsia"/>
                <w:color w:val="auto"/>
                <w:highlight w:val="none"/>
                <w:lang w:val="en-US" w:eastAsia="zh-CN"/>
              </w:rPr>
              <w:t>1.2</w:t>
            </w:r>
          </w:p>
        </w:tc>
        <w:tc>
          <w:tcPr>
            <w:tcW w:w="1161" w:type="pct"/>
            <w:vMerge w:val="restart"/>
            <w:vAlign w:val="center"/>
          </w:tcPr>
          <w:p>
            <w:pPr>
              <w:pStyle w:val="105"/>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highlight w:val="none"/>
              </w:rPr>
              <w:t>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999" w:type="pct"/>
            <w:vAlign w:val="center"/>
          </w:tcPr>
          <w:p>
            <w:pPr>
              <w:widowControl/>
              <w:spacing w:line="240" w:lineRule="exact"/>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highlight w:val="none"/>
              </w:rPr>
              <w:t>色母粒</w:t>
            </w:r>
          </w:p>
        </w:tc>
        <w:tc>
          <w:tcPr>
            <w:tcW w:w="1000" w:type="pct"/>
            <w:vAlign w:val="center"/>
          </w:tcPr>
          <w:p>
            <w:pPr>
              <w:spacing w:line="240" w:lineRule="exact"/>
              <w:jc w:val="center"/>
              <w:rPr>
                <w:rFonts w:hint="default" w:ascii="Times New Roman" w:hAnsi="Times New Roman" w:eastAsia="宋体" w:cs="Times New Roman"/>
                <w:color w:val="auto"/>
                <w:kern w:val="2"/>
                <w:sz w:val="21"/>
                <w:szCs w:val="22"/>
                <w:highlight w:val="none"/>
                <w:lang w:val="en-US" w:eastAsia="zh-CN" w:bidi="ar-SA"/>
              </w:rPr>
            </w:pPr>
            <w:r>
              <w:rPr>
                <w:rFonts w:hint="eastAsia"/>
                <w:color w:val="auto"/>
                <w:highlight w:val="none"/>
                <w:lang w:val="en-US" w:eastAsia="zh-CN"/>
              </w:rPr>
              <w:t>81.2</w:t>
            </w:r>
          </w:p>
        </w:tc>
        <w:tc>
          <w:tcPr>
            <w:tcW w:w="1000" w:type="pct"/>
            <w:vAlign w:val="center"/>
          </w:tcPr>
          <w:p>
            <w:pPr>
              <w:widowControl/>
              <w:spacing w:line="240" w:lineRule="exact"/>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highlight w:val="none"/>
              </w:rPr>
              <w:t>挥发性有机物</w:t>
            </w:r>
          </w:p>
        </w:tc>
        <w:tc>
          <w:tcPr>
            <w:tcW w:w="839" w:type="pct"/>
            <w:vAlign w:val="center"/>
          </w:tcPr>
          <w:p>
            <w:pPr>
              <w:spacing w:line="240" w:lineRule="exact"/>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highlight w:val="none"/>
                <w:lang w:val="en-US" w:eastAsia="zh-CN"/>
              </w:rPr>
              <w:t>2.828</w:t>
            </w:r>
          </w:p>
        </w:tc>
        <w:tc>
          <w:tcPr>
            <w:tcW w:w="1161" w:type="pct"/>
            <w:vMerge w:val="continue"/>
            <w:vAlign w:val="center"/>
          </w:tcPr>
          <w:p>
            <w:pPr>
              <w:pStyle w:val="105"/>
              <w:jc w:val="center"/>
              <w:rPr>
                <w:rFonts w:hint="eastAsia" w:ascii="Times New Roman" w:hAnsi="Times New Roman" w:eastAsia="宋体" w:cs="Times New Roman"/>
                <w:color w:val="auto"/>
                <w:kern w:val="2"/>
                <w:sz w:val="21"/>
                <w:szCs w:val="22"/>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99" w:type="pct"/>
            <w:vAlign w:val="center"/>
          </w:tcPr>
          <w:p>
            <w:pPr>
              <w:widowControl/>
              <w:spacing w:line="240" w:lineRule="exact"/>
              <w:jc w:val="center"/>
              <w:rPr>
                <w:color w:val="auto"/>
                <w:highlight w:val="none"/>
              </w:rPr>
            </w:pPr>
          </w:p>
        </w:tc>
        <w:tc>
          <w:tcPr>
            <w:tcW w:w="1000" w:type="pct"/>
            <w:vAlign w:val="center"/>
          </w:tcPr>
          <w:p>
            <w:pPr>
              <w:spacing w:line="240" w:lineRule="exact"/>
              <w:jc w:val="center"/>
              <w:rPr>
                <w:rFonts w:hint="eastAsia"/>
                <w:color w:val="auto"/>
                <w:highlight w:val="none"/>
              </w:rPr>
            </w:pPr>
          </w:p>
        </w:tc>
        <w:tc>
          <w:tcPr>
            <w:tcW w:w="1000" w:type="pct"/>
            <w:vAlign w:val="center"/>
          </w:tcPr>
          <w:p>
            <w:pPr>
              <w:widowControl/>
              <w:spacing w:line="240" w:lineRule="exact"/>
              <w:jc w:val="center"/>
              <w:rPr>
                <w:color w:val="auto"/>
                <w:highlight w:val="none"/>
              </w:rPr>
            </w:pPr>
            <w:r>
              <w:rPr>
                <w:rFonts w:hint="eastAsia"/>
                <w:color w:val="auto"/>
                <w:highlight w:val="none"/>
              </w:rPr>
              <w:t>下脚料及不合格产品</w:t>
            </w:r>
          </w:p>
        </w:tc>
        <w:tc>
          <w:tcPr>
            <w:tcW w:w="839" w:type="pct"/>
            <w:vAlign w:val="center"/>
          </w:tcPr>
          <w:p>
            <w:pPr>
              <w:spacing w:line="240" w:lineRule="exact"/>
              <w:jc w:val="center"/>
              <w:rPr>
                <w:rFonts w:hint="eastAsia"/>
                <w:color w:val="auto"/>
                <w:highlight w:val="none"/>
                <w:lang w:val="en-US" w:eastAsia="zh-CN"/>
              </w:rPr>
            </w:pPr>
            <w:r>
              <w:rPr>
                <w:rFonts w:hint="eastAsia"/>
                <w:color w:val="auto"/>
                <w:highlight w:val="none"/>
                <w:lang w:val="en-US" w:eastAsia="zh-CN"/>
              </w:rPr>
              <w:t>79.972</w:t>
            </w:r>
          </w:p>
        </w:tc>
        <w:tc>
          <w:tcPr>
            <w:tcW w:w="1161" w:type="pct"/>
            <w:vAlign w:val="center"/>
          </w:tcPr>
          <w:p>
            <w:pPr>
              <w:pStyle w:val="105"/>
              <w:jc w:val="center"/>
              <w:rPr>
                <w:color w:val="auto"/>
                <w:highlight w:val="none"/>
              </w:rPr>
            </w:pPr>
            <w:r>
              <w:rPr>
                <w:rFonts w:hint="eastAsia"/>
                <w:color w:val="auto"/>
                <w:highlight w:val="none"/>
              </w:rPr>
              <w:t>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999" w:type="pct"/>
            <w:vAlign w:val="center"/>
          </w:tcPr>
          <w:p>
            <w:pPr>
              <w:widowControl/>
              <w:spacing w:line="240" w:lineRule="exact"/>
              <w:jc w:val="center"/>
              <w:rPr>
                <w:color w:val="auto"/>
                <w:highlight w:val="none"/>
              </w:rPr>
            </w:pPr>
          </w:p>
        </w:tc>
        <w:tc>
          <w:tcPr>
            <w:tcW w:w="1000" w:type="pct"/>
            <w:vAlign w:val="center"/>
          </w:tcPr>
          <w:p>
            <w:pPr>
              <w:spacing w:line="240" w:lineRule="exact"/>
              <w:jc w:val="center"/>
              <w:rPr>
                <w:rFonts w:hint="eastAsia"/>
                <w:color w:val="auto"/>
                <w:highlight w:val="none"/>
              </w:rPr>
            </w:pPr>
          </w:p>
        </w:tc>
        <w:tc>
          <w:tcPr>
            <w:tcW w:w="1000" w:type="pct"/>
            <w:vAlign w:val="center"/>
          </w:tcPr>
          <w:p>
            <w:pPr>
              <w:widowControl/>
              <w:spacing w:line="240" w:lineRule="exact"/>
              <w:jc w:val="center"/>
              <w:rPr>
                <w:color w:val="auto"/>
                <w:highlight w:val="none"/>
              </w:rPr>
            </w:pPr>
            <w:r>
              <w:rPr>
                <w:rFonts w:hint="eastAsia"/>
                <w:color w:val="auto"/>
                <w:highlight w:val="none"/>
              </w:rPr>
              <w:t>注塑污水管件</w:t>
            </w:r>
          </w:p>
        </w:tc>
        <w:tc>
          <w:tcPr>
            <w:tcW w:w="839" w:type="pct"/>
            <w:vAlign w:val="center"/>
          </w:tcPr>
          <w:p>
            <w:pPr>
              <w:spacing w:line="240" w:lineRule="exact"/>
              <w:jc w:val="center"/>
              <w:rPr>
                <w:rFonts w:hint="eastAsia"/>
                <w:color w:val="auto"/>
                <w:highlight w:val="none"/>
                <w:lang w:val="en-US" w:eastAsia="zh-CN"/>
              </w:rPr>
            </w:pPr>
            <w:r>
              <w:rPr>
                <w:rFonts w:hint="eastAsia"/>
                <w:color w:val="auto"/>
                <w:highlight w:val="none"/>
                <w:lang w:val="en-US" w:eastAsia="zh-CN"/>
              </w:rPr>
              <w:t>8000</w:t>
            </w:r>
          </w:p>
        </w:tc>
        <w:tc>
          <w:tcPr>
            <w:tcW w:w="1161" w:type="pct"/>
            <w:vAlign w:val="center"/>
          </w:tcPr>
          <w:p>
            <w:pPr>
              <w:pStyle w:val="105"/>
              <w:jc w:val="center"/>
              <w:rPr>
                <w:color w:val="auto"/>
                <w:highlight w:val="none"/>
              </w:rPr>
            </w:pPr>
            <w:r>
              <w:rPr>
                <w:rFonts w:hint="eastAsia"/>
                <w:color w:val="auto"/>
                <w:highlight w:val="none"/>
              </w:rPr>
              <w:t>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999" w:type="pct"/>
            <w:vAlign w:val="center"/>
          </w:tcPr>
          <w:p>
            <w:pPr>
              <w:widowControl/>
              <w:spacing w:line="240" w:lineRule="exact"/>
              <w:jc w:val="center"/>
              <w:rPr>
                <w:color w:val="auto"/>
                <w:highlight w:val="none"/>
              </w:rPr>
            </w:pPr>
            <w:r>
              <w:rPr>
                <w:color w:val="auto"/>
                <w:highlight w:val="none"/>
              </w:rPr>
              <w:t>合计</w:t>
            </w:r>
          </w:p>
        </w:tc>
        <w:tc>
          <w:tcPr>
            <w:tcW w:w="1000" w:type="pct"/>
            <w:vAlign w:val="center"/>
          </w:tcPr>
          <w:p>
            <w:pPr>
              <w:spacing w:line="240" w:lineRule="exact"/>
              <w:jc w:val="center"/>
              <w:rPr>
                <w:rFonts w:hint="eastAsia"/>
                <w:color w:val="auto"/>
                <w:highlight w:val="none"/>
              </w:rPr>
            </w:pPr>
            <w:r>
              <w:rPr>
                <w:rFonts w:hint="eastAsia"/>
                <w:color w:val="auto"/>
                <w:highlight w:val="none"/>
                <w:lang w:val="en-US" w:eastAsia="zh-CN"/>
              </w:rPr>
              <w:t>8084</w:t>
            </w:r>
          </w:p>
        </w:tc>
        <w:tc>
          <w:tcPr>
            <w:tcW w:w="1000" w:type="pct"/>
            <w:vAlign w:val="center"/>
          </w:tcPr>
          <w:p>
            <w:pPr>
              <w:widowControl/>
              <w:spacing w:line="240" w:lineRule="exact"/>
              <w:jc w:val="center"/>
              <w:rPr>
                <w:color w:val="auto"/>
                <w:highlight w:val="none"/>
              </w:rPr>
            </w:pPr>
            <w:r>
              <w:rPr>
                <w:color w:val="auto"/>
                <w:highlight w:val="none"/>
              </w:rPr>
              <w:t>合计</w:t>
            </w:r>
          </w:p>
        </w:tc>
        <w:tc>
          <w:tcPr>
            <w:tcW w:w="839" w:type="pct"/>
            <w:vAlign w:val="center"/>
          </w:tcPr>
          <w:p>
            <w:pPr>
              <w:spacing w:line="240" w:lineRule="exact"/>
              <w:jc w:val="center"/>
              <w:rPr>
                <w:rFonts w:hint="default"/>
                <w:color w:val="auto"/>
                <w:highlight w:val="none"/>
                <w:lang w:val="en-US" w:eastAsia="zh-CN"/>
              </w:rPr>
            </w:pPr>
            <w:r>
              <w:rPr>
                <w:rFonts w:hint="eastAsia"/>
                <w:color w:val="auto"/>
                <w:highlight w:val="none"/>
                <w:lang w:val="en-US" w:eastAsia="zh-CN"/>
              </w:rPr>
              <w:t>8084</w:t>
            </w:r>
          </w:p>
        </w:tc>
        <w:tc>
          <w:tcPr>
            <w:tcW w:w="1161" w:type="pct"/>
            <w:vAlign w:val="center"/>
          </w:tcPr>
          <w:p>
            <w:pPr>
              <w:pStyle w:val="105"/>
              <w:jc w:val="center"/>
              <w:rPr>
                <w:color w:val="auto"/>
                <w:highlight w:val="none"/>
              </w:rPr>
            </w:pPr>
            <w:r>
              <w:rPr>
                <w:rFonts w:hint="eastAsia"/>
                <w:color w:val="auto"/>
                <w:highlight w:val="none"/>
              </w:rPr>
              <w:t>-</w:t>
            </w:r>
          </w:p>
        </w:tc>
      </w:tr>
    </w:tbl>
    <w:p>
      <w:pPr>
        <w:pStyle w:val="99"/>
        <w:spacing w:line="240" w:lineRule="auto"/>
        <w:ind w:firstLine="480"/>
        <w:rPr>
          <w:color w:val="auto"/>
          <w:highlight w:val="none"/>
        </w:rPr>
      </w:pPr>
    </w:p>
    <w:p>
      <w:pPr>
        <w:pStyle w:val="99"/>
        <w:spacing w:line="240" w:lineRule="auto"/>
        <w:ind w:firstLine="480"/>
        <w:rPr>
          <w:color w:val="auto"/>
          <w:highlight w:val="none"/>
        </w:rPr>
      </w:pPr>
    </w:p>
    <w:p>
      <w:pPr>
        <w:pStyle w:val="99"/>
        <w:spacing w:line="240" w:lineRule="auto"/>
        <w:ind w:firstLine="480"/>
        <w:jc w:val="center"/>
        <w:rPr>
          <w:color w:val="auto"/>
          <w:highlight w:val="none"/>
        </w:rPr>
      </w:pPr>
      <w:r>
        <w:rPr>
          <w:color w:val="auto"/>
          <w:highlight w:val="none"/>
        </w:rPr>
        <w:object>
          <v:shape id="_x0000_i1032" o:spt="75" type="#_x0000_t75" style="height:260pt;width:250pt;" o:ole="t" filled="f" o:preferrelative="t" stroked="f" coordsize="21600,21600">
            <v:path/>
            <v:fill on="f" focussize="0,0"/>
            <v:stroke on="f"/>
            <v:imagedata r:id="rId45" o:title=""/>
            <o:lock v:ext="edit" aspectratio="f"/>
            <w10:wrap type="none"/>
            <w10:anchorlock/>
          </v:shape>
          <o:OLEObject Type="Embed" ProgID="Visio.Drawing.11" ShapeID="_x0000_i1032" DrawAspect="Content" ObjectID="_1468075732" r:id="rId44">
            <o:LockedField>false</o:LockedField>
          </o:OLEObject>
        </w:object>
      </w:r>
    </w:p>
    <w:p>
      <w:pPr>
        <w:pStyle w:val="99"/>
        <w:spacing w:line="240" w:lineRule="auto"/>
        <w:ind w:firstLine="480"/>
        <w:jc w:val="center"/>
        <w:rPr>
          <w:rFonts w:ascii="黑体" w:hAnsi="黑体" w:eastAsia="黑体" w:cs="黑体"/>
          <w:color w:val="auto"/>
          <w:highlight w:val="none"/>
        </w:rPr>
      </w:pPr>
      <w:r>
        <w:rPr>
          <w:rFonts w:hint="eastAsia" w:ascii="黑体" w:hAnsi="黑体" w:eastAsia="黑体" w:cs="黑体"/>
          <w:color w:val="auto"/>
          <w:highlight w:val="none"/>
        </w:rPr>
        <w:t>图2.2.1</w:t>
      </w:r>
      <w:r>
        <w:rPr>
          <w:rFonts w:hint="eastAsia" w:ascii="黑体" w:hAnsi="黑体" w:eastAsia="黑体" w:cs="黑体"/>
          <w:color w:val="auto"/>
          <w:highlight w:val="none"/>
          <w:lang w:val="en-US" w:eastAsia="zh-CN"/>
        </w:rPr>
        <w:t>1</w:t>
      </w:r>
      <w:r>
        <w:rPr>
          <w:rFonts w:hint="eastAsia" w:ascii="黑体" w:hAnsi="黑体" w:eastAsia="黑体" w:cs="黑体"/>
          <w:color w:val="auto"/>
          <w:highlight w:val="none"/>
        </w:rPr>
        <w:t xml:space="preserve">  </w:t>
      </w:r>
      <w:r>
        <w:rPr>
          <w:rFonts w:hint="eastAsia" w:eastAsia="黑体"/>
          <w:color w:val="auto"/>
          <w:highlight w:val="none"/>
        </w:rPr>
        <w:t>注塑污水管件</w:t>
      </w:r>
      <w:r>
        <w:rPr>
          <w:rFonts w:hint="eastAsia" w:ascii="黑体" w:hAnsi="黑体" w:eastAsia="黑体" w:cs="黑体"/>
          <w:color w:val="auto"/>
          <w:highlight w:val="none"/>
        </w:rPr>
        <w:t>生产物料平衡图（单位：t/a）</w:t>
      </w:r>
    </w:p>
    <w:p>
      <w:pPr>
        <w:pStyle w:val="112"/>
        <w:rPr>
          <w:color w:val="auto"/>
          <w:highlight w:val="none"/>
        </w:rPr>
      </w:pPr>
      <w:r>
        <w:rPr>
          <w:color w:val="auto"/>
          <w:highlight w:val="none"/>
        </w:rPr>
        <w:t>2.</w:t>
      </w:r>
      <w:r>
        <w:rPr>
          <w:rFonts w:hint="eastAsia"/>
          <w:color w:val="auto"/>
          <w:highlight w:val="none"/>
        </w:rPr>
        <w:t>2</w:t>
      </w:r>
      <w:r>
        <w:rPr>
          <w:color w:val="auto"/>
          <w:highlight w:val="none"/>
        </w:rPr>
        <w:t>.</w:t>
      </w:r>
      <w:r>
        <w:rPr>
          <w:rFonts w:hint="eastAsia"/>
          <w:color w:val="auto"/>
          <w:highlight w:val="none"/>
        </w:rPr>
        <w:t>6</w:t>
      </w:r>
      <w:r>
        <w:rPr>
          <w:color w:val="auto"/>
          <w:highlight w:val="none"/>
        </w:rPr>
        <w:t>.</w:t>
      </w:r>
      <w:r>
        <w:rPr>
          <w:rFonts w:hint="eastAsia"/>
          <w:color w:val="auto"/>
          <w:highlight w:val="none"/>
        </w:rPr>
        <w:t>6下脚料及不合格产品破碎工序</w:t>
      </w:r>
      <w:r>
        <w:rPr>
          <w:color w:val="auto"/>
          <w:highlight w:val="none"/>
        </w:rPr>
        <w:t>物料平衡</w:t>
      </w:r>
    </w:p>
    <w:p>
      <w:pPr>
        <w:spacing w:line="360" w:lineRule="auto"/>
        <w:ind w:firstLine="480" w:firstLineChars="200"/>
        <w:rPr>
          <w:color w:val="auto"/>
          <w:sz w:val="24"/>
          <w:highlight w:val="none"/>
        </w:rPr>
      </w:pPr>
      <w:r>
        <w:rPr>
          <w:rFonts w:hint="eastAsia"/>
          <w:color w:val="auto"/>
          <w:sz w:val="24"/>
          <w:highlight w:val="none"/>
        </w:rPr>
        <w:t>下脚料及不合格产品破碎工序物料平衡见表2.2-1</w:t>
      </w:r>
      <w:r>
        <w:rPr>
          <w:rFonts w:hint="eastAsia"/>
          <w:color w:val="auto"/>
          <w:sz w:val="24"/>
          <w:highlight w:val="none"/>
          <w:lang w:val="en-US" w:eastAsia="zh-CN"/>
        </w:rPr>
        <w:t>3</w:t>
      </w:r>
      <w:r>
        <w:rPr>
          <w:rFonts w:hint="eastAsia"/>
          <w:color w:val="auto"/>
          <w:sz w:val="24"/>
          <w:highlight w:val="none"/>
        </w:rPr>
        <w:t>，图2.2-1</w:t>
      </w:r>
      <w:r>
        <w:rPr>
          <w:rFonts w:hint="eastAsia"/>
          <w:color w:val="auto"/>
          <w:sz w:val="24"/>
          <w:highlight w:val="none"/>
          <w:lang w:val="en-US" w:eastAsia="zh-CN"/>
        </w:rPr>
        <w:t>2</w:t>
      </w:r>
      <w:r>
        <w:rPr>
          <w:rFonts w:hint="eastAsia"/>
          <w:color w:val="auto"/>
          <w:sz w:val="24"/>
          <w:highlight w:val="none"/>
        </w:rPr>
        <w:t>。</w:t>
      </w:r>
    </w:p>
    <w:p>
      <w:pPr>
        <w:widowControl/>
        <w:spacing w:line="360" w:lineRule="auto"/>
        <w:ind w:firstLine="480" w:firstLineChars="200"/>
        <w:jc w:val="center"/>
        <w:rPr>
          <w:rFonts w:eastAsia="黑体"/>
          <w:color w:val="auto"/>
          <w:sz w:val="24"/>
          <w:highlight w:val="none"/>
        </w:rPr>
      </w:pPr>
      <w:r>
        <w:rPr>
          <w:rFonts w:eastAsia="黑体"/>
          <w:color w:val="auto"/>
          <w:sz w:val="24"/>
          <w:highlight w:val="none"/>
        </w:rPr>
        <w:t>表2.</w:t>
      </w:r>
      <w:r>
        <w:rPr>
          <w:rFonts w:hint="eastAsia" w:eastAsia="黑体"/>
          <w:color w:val="auto"/>
          <w:sz w:val="24"/>
          <w:highlight w:val="none"/>
        </w:rPr>
        <w:t>2</w:t>
      </w:r>
      <w:r>
        <w:rPr>
          <w:rFonts w:eastAsia="黑体"/>
          <w:color w:val="auto"/>
          <w:sz w:val="24"/>
          <w:highlight w:val="none"/>
        </w:rPr>
        <w:t>-</w:t>
      </w:r>
      <w:r>
        <w:rPr>
          <w:rFonts w:hint="eastAsia" w:eastAsia="黑体"/>
          <w:color w:val="auto"/>
          <w:sz w:val="24"/>
          <w:highlight w:val="none"/>
        </w:rPr>
        <w:t>1</w:t>
      </w:r>
      <w:r>
        <w:rPr>
          <w:rFonts w:hint="eastAsia" w:eastAsia="黑体"/>
          <w:color w:val="auto"/>
          <w:sz w:val="24"/>
          <w:highlight w:val="none"/>
          <w:lang w:val="en-US" w:eastAsia="zh-CN"/>
        </w:rPr>
        <w:t>3</w:t>
      </w:r>
      <w:r>
        <w:rPr>
          <w:rFonts w:eastAsia="黑体"/>
          <w:color w:val="auto"/>
          <w:sz w:val="24"/>
          <w:highlight w:val="none"/>
        </w:rPr>
        <w:t xml:space="preserve">  </w:t>
      </w:r>
      <w:r>
        <w:rPr>
          <w:rFonts w:hint="eastAsia" w:eastAsia="黑体"/>
          <w:color w:val="auto"/>
          <w:sz w:val="24"/>
          <w:highlight w:val="none"/>
        </w:rPr>
        <w:t>下脚料及不合格产品破碎工序物料投入产出平衡</w:t>
      </w:r>
      <w:r>
        <w:rPr>
          <w:rFonts w:eastAsia="黑体"/>
          <w:color w:val="auto"/>
          <w:sz w:val="24"/>
          <w:highlight w:val="none"/>
        </w:rPr>
        <w:t>一览表</w:t>
      </w:r>
    </w:p>
    <w:tbl>
      <w:tblPr>
        <w:tblStyle w:val="5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80"/>
        <w:gridCol w:w="1770"/>
        <w:gridCol w:w="1349"/>
        <w:gridCol w:w="1511"/>
        <w:gridCol w:w="20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49" w:type="pct"/>
            <w:gridSpan w:val="2"/>
            <w:vAlign w:val="center"/>
          </w:tcPr>
          <w:p>
            <w:pPr>
              <w:widowControl/>
              <w:spacing w:line="240" w:lineRule="exact"/>
              <w:jc w:val="center"/>
              <w:rPr>
                <w:color w:val="auto"/>
                <w:highlight w:val="none"/>
              </w:rPr>
            </w:pPr>
            <w:r>
              <w:rPr>
                <w:rFonts w:hint="eastAsia"/>
                <w:color w:val="auto"/>
                <w:highlight w:val="none"/>
              </w:rPr>
              <w:t>投入(t/a)</w:t>
            </w:r>
          </w:p>
        </w:tc>
        <w:tc>
          <w:tcPr>
            <w:tcW w:w="2750" w:type="pct"/>
            <w:gridSpan w:val="3"/>
            <w:vAlign w:val="center"/>
          </w:tcPr>
          <w:p>
            <w:pPr>
              <w:widowControl/>
              <w:spacing w:line="240" w:lineRule="exact"/>
              <w:jc w:val="center"/>
              <w:rPr>
                <w:color w:val="auto"/>
                <w:highlight w:val="none"/>
              </w:rPr>
            </w:pPr>
            <w:r>
              <w:rPr>
                <w:rFonts w:hint="eastAsia"/>
                <w:color w:val="auto"/>
                <w:highlight w:val="none"/>
              </w:rPr>
              <w:t>产出(t/a)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66" w:type="pct"/>
            <w:vAlign w:val="center"/>
          </w:tcPr>
          <w:p>
            <w:pPr>
              <w:widowControl/>
              <w:spacing w:line="240" w:lineRule="exact"/>
              <w:jc w:val="center"/>
              <w:rPr>
                <w:color w:val="auto"/>
                <w:highlight w:val="none"/>
              </w:rPr>
            </w:pPr>
            <w:r>
              <w:rPr>
                <w:color w:val="auto"/>
                <w:highlight w:val="none"/>
              </w:rPr>
              <w:t>名称</w:t>
            </w:r>
          </w:p>
        </w:tc>
        <w:tc>
          <w:tcPr>
            <w:tcW w:w="982" w:type="pct"/>
            <w:vAlign w:val="center"/>
          </w:tcPr>
          <w:p>
            <w:pPr>
              <w:adjustRightInd w:val="0"/>
              <w:snapToGrid w:val="0"/>
              <w:jc w:val="center"/>
              <w:rPr>
                <w:color w:val="auto"/>
                <w:highlight w:val="none"/>
              </w:rPr>
            </w:pPr>
            <w:r>
              <w:rPr>
                <w:color w:val="auto"/>
                <w:highlight w:val="none"/>
              </w:rPr>
              <w:t>用量</w:t>
            </w:r>
          </w:p>
        </w:tc>
        <w:tc>
          <w:tcPr>
            <w:tcW w:w="749" w:type="pct"/>
            <w:vAlign w:val="center"/>
          </w:tcPr>
          <w:p>
            <w:pPr>
              <w:widowControl/>
              <w:spacing w:line="240" w:lineRule="exact"/>
              <w:jc w:val="center"/>
              <w:rPr>
                <w:color w:val="auto"/>
                <w:highlight w:val="none"/>
              </w:rPr>
            </w:pPr>
            <w:r>
              <w:rPr>
                <w:color w:val="auto"/>
                <w:highlight w:val="none"/>
              </w:rPr>
              <w:t>名称</w:t>
            </w:r>
          </w:p>
        </w:tc>
        <w:tc>
          <w:tcPr>
            <w:tcW w:w="839" w:type="pct"/>
            <w:vAlign w:val="center"/>
          </w:tcPr>
          <w:p>
            <w:pPr>
              <w:widowControl/>
              <w:spacing w:line="240" w:lineRule="exact"/>
              <w:jc w:val="center"/>
              <w:rPr>
                <w:color w:val="auto"/>
                <w:highlight w:val="none"/>
              </w:rPr>
            </w:pPr>
            <w:r>
              <w:rPr>
                <w:color w:val="auto"/>
                <w:highlight w:val="none"/>
              </w:rPr>
              <w:t>产出量</w:t>
            </w:r>
          </w:p>
        </w:tc>
        <w:tc>
          <w:tcPr>
            <w:tcW w:w="1162" w:type="pct"/>
            <w:vAlign w:val="center"/>
          </w:tcPr>
          <w:p>
            <w:pPr>
              <w:pStyle w:val="105"/>
              <w:rPr>
                <w:color w:val="auto"/>
                <w:highlight w:val="none"/>
              </w:rPr>
            </w:pPr>
            <w:r>
              <w:rPr>
                <w:color w:val="auto"/>
                <w:highlight w:val="none"/>
              </w:rPr>
              <w:t>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266" w:type="pct"/>
            <w:vAlign w:val="center"/>
          </w:tcPr>
          <w:p>
            <w:pPr>
              <w:widowControl/>
              <w:spacing w:line="240" w:lineRule="exact"/>
              <w:jc w:val="center"/>
              <w:rPr>
                <w:color w:val="auto"/>
                <w:highlight w:val="none"/>
              </w:rPr>
            </w:pPr>
            <w:r>
              <w:rPr>
                <w:rFonts w:hint="eastAsia"/>
                <w:color w:val="auto"/>
                <w:highlight w:val="none"/>
              </w:rPr>
              <w:t>下脚料及不合格产品</w:t>
            </w:r>
          </w:p>
        </w:tc>
        <w:tc>
          <w:tcPr>
            <w:tcW w:w="1770" w:type="dxa"/>
            <w:vAlign w:val="bottom"/>
          </w:tcPr>
          <w:p>
            <w:pPr>
              <w:widowControl/>
              <w:spacing w:line="240" w:lineRule="exact"/>
              <w:jc w:val="center"/>
              <w:rPr>
                <w:rFonts w:hint="eastAsia"/>
                <w:color w:val="auto"/>
                <w:highlight w:val="none"/>
              </w:rPr>
            </w:pPr>
            <w:r>
              <w:rPr>
                <w:rFonts w:hint="eastAsia"/>
                <w:color w:val="auto"/>
                <w:highlight w:val="none"/>
                <w:lang w:val="en-US" w:eastAsia="zh-CN"/>
              </w:rPr>
              <w:t>219.32</w:t>
            </w:r>
          </w:p>
        </w:tc>
        <w:tc>
          <w:tcPr>
            <w:tcW w:w="749" w:type="pct"/>
            <w:vAlign w:val="center"/>
          </w:tcPr>
          <w:p>
            <w:pPr>
              <w:widowControl/>
              <w:spacing w:line="240" w:lineRule="exact"/>
              <w:jc w:val="center"/>
              <w:rPr>
                <w:color w:val="auto"/>
                <w:highlight w:val="none"/>
              </w:rPr>
            </w:pPr>
            <w:r>
              <w:rPr>
                <w:rFonts w:hint="eastAsia"/>
                <w:color w:val="auto"/>
                <w:highlight w:val="none"/>
              </w:rPr>
              <w:t>颗粒物</w:t>
            </w:r>
          </w:p>
        </w:tc>
        <w:tc>
          <w:tcPr>
            <w:tcW w:w="1511" w:type="dxa"/>
            <w:vAlign w:val="center"/>
          </w:tcPr>
          <w:p>
            <w:pPr>
              <w:widowControl/>
              <w:spacing w:line="240" w:lineRule="exact"/>
              <w:jc w:val="center"/>
              <w:rPr>
                <w:rFonts w:hint="eastAsia"/>
                <w:color w:val="auto"/>
                <w:highlight w:val="none"/>
                <w:lang w:val="en-US" w:eastAsia="zh-CN"/>
              </w:rPr>
            </w:pPr>
            <w:r>
              <w:rPr>
                <w:rFonts w:hint="eastAsia"/>
                <w:color w:val="auto"/>
                <w:highlight w:val="none"/>
                <w:lang w:val="en-US" w:eastAsia="zh-CN"/>
              </w:rPr>
              <w:t>0.082</w:t>
            </w:r>
          </w:p>
        </w:tc>
        <w:tc>
          <w:tcPr>
            <w:tcW w:w="1162" w:type="pct"/>
            <w:vAlign w:val="center"/>
          </w:tcPr>
          <w:p>
            <w:pPr>
              <w:pStyle w:val="105"/>
              <w:rPr>
                <w:color w:val="auto"/>
                <w:highlight w:val="none"/>
              </w:rPr>
            </w:pPr>
            <w:r>
              <w:rPr>
                <w:rFonts w:hint="eastAsia"/>
                <w:color w:val="auto"/>
                <w:highlight w:val="none"/>
              </w:rPr>
              <w:t>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66" w:type="pct"/>
            <w:vAlign w:val="center"/>
          </w:tcPr>
          <w:p>
            <w:pPr>
              <w:widowControl/>
              <w:spacing w:line="240" w:lineRule="exact"/>
              <w:jc w:val="center"/>
              <w:rPr>
                <w:color w:val="auto"/>
                <w:highlight w:val="none"/>
              </w:rPr>
            </w:pPr>
          </w:p>
        </w:tc>
        <w:tc>
          <w:tcPr>
            <w:tcW w:w="1770" w:type="dxa"/>
            <w:vAlign w:val="bottom"/>
          </w:tcPr>
          <w:p>
            <w:pPr>
              <w:widowControl/>
              <w:spacing w:line="240" w:lineRule="exact"/>
              <w:jc w:val="center"/>
              <w:rPr>
                <w:rFonts w:hint="eastAsia"/>
                <w:color w:val="auto"/>
                <w:highlight w:val="none"/>
              </w:rPr>
            </w:pPr>
          </w:p>
        </w:tc>
        <w:tc>
          <w:tcPr>
            <w:tcW w:w="749" w:type="pct"/>
            <w:vAlign w:val="center"/>
          </w:tcPr>
          <w:p>
            <w:pPr>
              <w:widowControl/>
              <w:spacing w:line="240" w:lineRule="exact"/>
              <w:jc w:val="center"/>
              <w:rPr>
                <w:color w:val="auto"/>
                <w:highlight w:val="none"/>
              </w:rPr>
            </w:pPr>
            <w:r>
              <w:rPr>
                <w:rFonts w:hint="eastAsia"/>
                <w:color w:val="auto"/>
                <w:highlight w:val="none"/>
              </w:rPr>
              <w:t>碎料</w:t>
            </w:r>
          </w:p>
        </w:tc>
        <w:tc>
          <w:tcPr>
            <w:tcW w:w="1511" w:type="dxa"/>
            <w:vAlign w:val="center"/>
          </w:tcPr>
          <w:p>
            <w:pPr>
              <w:widowControl/>
              <w:spacing w:line="240" w:lineRule="exact"/>
              <w:jc w:val="center"/>
              <w:rPr>
                <w:rFonts w:hint="eastAsia"/>
                <w:color w:val="auto"/>
                <w:highlight w:val="none"/>
                <w:lang w:val="en-US" w:eastAsia="zh-CN"/>
              </w:rPr>
            </w:pPr>
            <w:r>
              <w:rPr>
                <w:rFonts w:hint="eastAsia"/>
                <w:color w:val="auto"/>
                <w:highlight w:val="none"/>
                <w:lang w:val="en-US" w:eastAsia="zh-CN"/>
              </w:rPr>
              <w:t>219.256</w:t>
            </w:r>
          </w:p>
        </w:tc>
        <w:tc>
          <w:tcPr>
            <w:tcW w:w="1162" w:type="pct"/>
            <w:vAlign w:val="center"/>
          </w:tcPr>
          <w:p>
            <w:pPr>
              <w:pStyle w:val="105"/>
              <w:rPr>
                <w:color w:val="auto"/>
                <w:highlight w:val="none"/>
              </w:rPr>
            </w:pPr>
            <w:r>
              <w:rPr>
                <w:rFonts w:hint="eastAsia"/>
                <w:color w:val="auto"/>
                <w:highlight w:val="none"/>
              </w:rPr>
              <w:t>回用于造粒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66" w:type="pct"/>
            <w:vAlign w:val="center"/>
          </w:tcPr>
          <w:p>
            <w:pPr>
              <w:widowControl/>
              <w:spacing w:line="240" w:lineRule="exact"/>
              <w:jc w:val="center"/>
              <w:rPr>
                <w:color w:val="auto"/>
                <w:highlight w:val="none"/>
              </w:rPr>
            </w:pPr>
            <w:r>
              <w:rPr>
                <w:color w:val="auto"/>
                <w:highlight w:val="none"/>
              </w:rPr>
              <w:t>合计</w:t>
            </w:r>
          </w:p>
        </w:tc>
        <w:tc>
          <w:tcPr>
            <w:tcW w:w="1770" w:type="dxa"/>
            <w:vAlign w:val="bottom"/>
          </w:tcPr>
          <w:p>
            <w:pPr>
              <w:widowControl/>
              <w:spacing w:line="240" w:lineRule="exact"/>
              <w:jc w:val="center"/>
              <w:rPr>
                <w:rFonts w:hint="eastAsia"/>
                <w:color w:val="auto"/>
                <w:highlight w:val="none"/>
              </w:rPr>
            </w:pPr>
            <w:r>
              <w:rPr>
                <w:rFonts w:hint="eastAsia"/>
                <w:color w:val="auto"/>
                <w:highlight w:val="none"/>
                <w:lang w:val="en-US" w:eastAsia="zh-CN"/>
              </w:rPr>
              <w:t>219.32</w:t>
            </w:r>
          </w:p>
        </w:tc>
        <w:tc>
          <w:tcPr>
            <w:tcW w:w="749" w:type="pct"/>
            <w:vAlign w:val="center"/>
          </w:tcPr>
          <w:p>
            <w:pPr>
              <w:widowControl/>
              <w:spacing w:line="240" w:lineRule="exact"/>
              <w:jc w:val="center"/>
              <w:rPr>
                <w:color w:val="auto"/>
                <w:highlight w:val="none"/>
              </w:rPr>
            </w:pPr>
            <w:r>
              <w:rPr>
                <w:color w:val="auto"/>
                <w:highlight w:val="none"/>
              </w:rPr>
              <w:t>合计</w:t>
            </w:r>
          </w:p>
        </w:tc>
        <w:tc>
          <w:tcPr>
            <w:tcW w:w="839" w:type="pct"/>
            <w:vAlign w:val="center"/>
          </w:tcPr>
          <w:p>
            <w:pPr>
              <w:spacing w:line="240" w:lineRule="exact"/>
              <w:jc w:val="center"/>
              <w:rPr>
                <w:rFonts w:hint="default" w:eastAsia="宋体"/>
                <w:color w:val="auto"/>
                <w:highlight w:val="none"/>
                <w:lang w:val="en-US" w:eastAsia="zh-CN"/>
              </w:rPr>
            </w:pPr>
            <w:r>
              <w:rPr>
                <w:rFonts w:hint="eastAsia"/>
                <w:color w:val="auto"/>
                <w:highlight w:val="none"/>
                <w:lang w:val="en-US" w:eastAsia="zh-CN"/>
              </w:rPr>
              <w:t>219.32</w:t>
            </w:r>
          </w:p>
        </w:tc>
        <w:tc>
          <w:tcPr>
            <w:tcW w:w="1162" w:type="pct"/>
            <w:vAlign w:val="center"/>
          </w:tcPr>
          <w:p>
            <w:pPr>
              <w:pStyle w:val="105"/>
              <w:rPr>
                <w:color w:val="auto"/>
                <w:highlight w:val="none"/>
              </w:rPr>
            </w:pPr>
            <w:r>
              <w:rPr>
                <w:rFonts w:hint="eastAsia"/>
                <w:color w:val="auto"/>
                <w:highlight w:val="none"/>
              </w:rPr>
              <w:t>-</w:t>
            </w:r>
          </w:p>
        </w:tc>
      </w:tr>
    </w:tbl>
    <w:p>
      <w:pPr>
        <w:rPr>
          <w:color w:val="auto"/>
          <w:highlight w:val="none"/>
        </w:rPr>
      </w:pPr>
      <w:bookmarkStart w:id="113" w:name="_Toc66281275"/>
    </w:p>
    <w:p>
      <w:pPr>
        <w:pStyle w:val="2"/>
        <w:spacing w:after="0"/>
        <w:ind w:firstLine="480"/>
        <w:rPr>
          <w:color w:val="auto"/>
          <w:highlight w:val="none"/>
        </w:rPr>
      </w:pPr>
      <w:r>
        <w:rPr>
          <w:color w:val="auto"/>
          <w:highlight w:val="none"/>
        </w:rPr>
        <mc:AlternateContent>
          <mc:Choice Requires="wpg">
            <w:drawing>
              <wp:anchor distT="0" distB="0" distL="114300" distR="114300" simplePos="0" relativeHeight="251667456" behindDoc="0" locked="0" layoutInCell="1" allowOverlap="1">
                <wp:simplePos x="0" y="0"/>
                <wp:positionH relativeFrom="column">
                  <wp:posOffset>751205</wp:posOffset>
                </wp:positionH>
                <wp:positionV relativeFrom="paragraph">
                  <wp:posOffset>50165</wp:posOffset>
                </wp:positionV>
                <wp:extent cx="4077970" cy="975360"/>
                <wp:effectExtent l="5080" t="4445" r="12700" b="0"/>
                <wp:wrapNone/>
                <wp:docPr id="58" name="组合 58"/>
                <wp:cNvGraphicFramePr/>
                <a:graphic xmlns:a="http://schemas.openxmlformats.org/drawingml/2006/main">
                  <a:graphicData uri="http://schemas.microsoft.com/office/word/2010/wordprocessingGroup">
                    <wpg:wgp>
                      <wpg:cNvGrpSpPr/>
                      <wpg:grpSpPr>
                        <a:xfrm>
                          <a:off x="0" y="0"/>
                          <a:ext cx="4077970" cy="975360"/>
                          <a:chOff x="3751" y="764945"/>
                          <a:chExt cx="6422" cy="1536"/>
                        </a:xfrm>
                      </wpg:grpSpPr>
                      <wps:wsp>
                        <wps:cNvPr id="26" name="文本框 527"/>
                        <wps:cNvSpPr txBox="1"/>
                        <wps:spPr>
                          <a:xfrm>
                            <a:off x="3751" y="764945"/>
                            <a:ext cx="2236" cy="769"/>
                          </a:xfrm>
                          <a:prstGeom prst="rect">
                            <a:avLst/>
                          </a:prstGeom>
                          <a:noFill/>
                          <a:ln w="9525" cap="flat" cmpd="sng">
                            <a:solidFill>
                              <a:schemeClr val="bg1"/>
                            </a:solidFill>
                            <a:prstDash val="solid"/>
                            <a:miter/>
                            <a:headEnd type="none" w="med" len="med"/>
                            <a:tailEnd type="none" w="med" len="med"/>
                          </a:ln>
                        </wps:spPr>
                        <wps:txbx>
                          <w:txbxContent>
                            <w:p>
                              <w:pPr>
                                <w:ind w:left="630" w:hanging="630" w:hangingChars="300"/>
                                <w:rPr>
                                  <w:lang w:val="en-US"/>
                                </w:rPr>
                              </w:pPr>
                              <w:r>
                                <w:t>下脚料及不合格产品</w:t>
                              </w:r>
                              <w:r>
                                <w:rPr>
                                  <w:rFonts w:hint="eastAsia"/>
                                </w:rPr>
                                <w:t>219.32</w:t>
                              </w:r>
                            </w:p>
                          </w:txbxContent>
                        </wps:txbx>
                        <wps:bodyPr upright="1"/>
                      </wps:wsp>
                      <wps:wsp>
                        <wps:cNvPr id="27" name="直接连接符 533"/>
                        <wps:cNvCnPr/>
                        <wps:spPr>
                          <a:xfrm flipV="1">
                            <a:off x="5898" y="765284"/>
                            <a:ext cx="940" cy="1"/>
                          </a:xfrm>
                          <a:prstGeom prst="line">
                            <a:avLst/>
                          </a:prstGeom>
                          <a:ln w="9525" cap="flat" cmpd="sng">
                            <a:solidFill>
                              <a:srgbClr val="000000"/>
                            </a:solidFill>
                            <a:prstDash val="solid"/>
                            <a:headEnd type="none" w="med" len="med"/>
                            <a:tailEnd type="triangle" w="med" len="med"/>
                          </a:ln>
                        </wps:spPr>
                        <wps:bodyPr/>
                      </wps:wsp>
                      <wps:wsp>
                        <wps:cNvPr id="31" name="直接连接符 532"/>
                        <wps:cNvCnPr/>
                        <wps:spPr>
                          <a:xfrm>
                            <a:off x="8141" y="765293"/>
                            <a:ext cx="520" cy="1"/>
                          </a:xfrm>
                          <a:prstGeom prst="line">
                            <a:avLst/>
                          </a:prstGeom>
                          <a:ln w="9525" cap="flat" cmpd="sng">
                            <a:solidFill>
                              <a:srgbClr val="000000"/>
                            </a:solidFill>
                            <a:prstDash val="solid"/>
                            <a:headEnd type="none" w="med" len="med"/>
                            <a:tailEnd type="triangle" w="med" len="med"/>
                          </a:ln>
                        </wps:spPr>
                        <wps:bodyPr/>
                      </wps:wsp>
                      <wps:wsp>
                        <wps:cNvPr id="36" name="文本框 535"/>
                        <wps:cNvSpPr txBox="1"/>
                        <wps:spPr>
                          <a:xfrm>
                            <a:off x="6545" y="765939"/>
                            <a:ext cx="2070" cy="542"/>
                          </a:xfrm>
                          <a:prstGeom prst="rect">
                            <a:avLst/>
                          </a:prstGeom>
                          <a:noFill/>
                          <a:ln>
                            <a:noFill/>
                          </a:ln>
                        </wps:spPr>
                        <wps:txbx>
                          <w:txbxContent>
                            <w:p>
                              <w:pPr>
                                <w:jc w:val="center"/>
                                <w:rPr>
                                  <w:rFonts w:hint="default" w:eastAsia="宋体"/>
                                  <w:szCs w:val="21"/>
                                  <w:lang w:val="en-US" w:eastAsia="zh-CN"/>
                                </w:rPr>
                              </w:pPr>
                              <w:r>
                                <w:rPr>
                                  <w:rFonts w:hint="eastAsia"/>
                                  <w:szCs w:val="21"/>
                                </w:rPr>
                                <w:t>G</w:t>
                              </w:r>
                              <w:r>
                                <w:rPr>
                                  <w:rFonts w:hint="eastAsia"/>
                                  <w:szCs w:val="21"/>
                                  <w:vertAlign w:val="subscript"/>
                                </w:rPr>
                                <w:t>2</w:t>
                              </w:r>
                              <w:r>
                                <w:rPr>
                                  <w:rFonts w:hint="eastAsia"/>
                                  <w:szCs w:val="21"/>
                                </w:rPr>
                                <w:t>-</w:t>
                              </w:r>
                              <w:r>
                                <w:rPr>
                                  <w:rFonts w:hint="eastAsia"/>
                                  <w:szCs w:val="21"/>
                                  <w:vertAlign w:val="subscript"/>
                                </w:rPr>
                                <w:t>1</w:t>
                              </w:r>
                              <w:r>
                                <w:rPr>
                                  <w:rFonts w:hint="eastAsia"/>
                                  <w:szCs w:val="21"/>
                                </w:rPr>
                                <w:t>：颗粒物0.</w:t>
                              </w:r>
                              <w:r>
                                <w:rPr>
                                  <w:rFonts w:hint="eastAsia"/>
                                  <w:szCs w:val="21"/>
                                  <w:lang w:val="en-US" w:eastAsia="zh-CN"/>
                                </w:rPr>
                                <w:t>082</w:t>
                              </w:r>
                            </w:p>
                          </w:txbxContent>
                        </wps:txbx>
                        <wps:bodyPr upright="1"/>
                      </wps:wsp>
                      <wps:wsp>
                        <wps:cNvPr id="50" name="直接连接符 534"/>
                        <wps:cNvCnPr/>
                        <wps:spPr>
                          <a:xfrm>
                            <a:off x="7444" y="765506"/>
                            <a:ext cx="1" cy="429"/>
                          </a:xfrm>
                          <a:prstGeom prst="line">
                            <a:avLst/>
                          </a:prstGeom>
                          <a:ln w="9525" cap="flat" cmpd="sng">
                            <a:solidFill>
                              <a:srgbClr val="000000"/>
                            </a:solidFill>
                            <a:prstDash val="dash"/>
                            <a:headEnd type="none" w="med" len="med"/>
                            <a:tailEnd type="triangle" w="med" len="med"/>
                          </a:ln>
                        </wps:spPr>
                        <wps:bodyPr/>
                      </wps:wsp>
                      <wps:wsp>
                        <wps:cNvPr id="51" name="文本框 530"/>
                        <wps:cNvSpPr txBox="1"/>
                        <wps:spPr>
                          <a:xfrm>
                            <a:off x="6838" y="765045"/>
                            <a:ext cx="1303"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破碎</w:t>
                              </w:r>
                            </w:p>
                          </w:txbxContent>
                        </wps:txbx>
                        <wps:bodyPr upright="1"/>
                      </wps:wsp>
                      <wps:wsp>
                        <wps:cNvPr id="52" name="文本框 529"/>
                        <wps:cNvSpPr txBox="1"/>
                        <wps:spPr>
                          <a:xfrm>
                            <a:off x="8661" y="765044"/>
                            <a:ext cx="1512" cy="468"/>
                          </a:xfrm>
                          <a:prstGeom prst="rect">
                            <a:avLst/>
                          </a:prstGeom>
                          <a:solidFill>
                            <a:srgbClr val="FFFFFF"/>
                          </a:solidFill>
                          <a:ln w="9525" cap="flat" cmpd="sng">
                            <a:solidFill>
                              <a:schemeClr val="bg1"/>
                            </a:solidFill>
                            <a:prstDash val="solid"/>
                            <a:miter/>
                            <a:headEnd type="none" w="med" len="med"/>
                            <a:tailEnd type="none" w="med" len="med"/>
                          </a:ln>
                        </wps:spPr>
                        <wps:txbx>
                          <w:txbxContent>
                            <w:p>
                              <w:pPr>
                                <w:jc w:val="center"/>
                                <w:rPr>
                                  <w:szCs w:val="21"/>
                                </w:rPr>
                              </w:pPr>
                              <w:r>
                                <w:rPr>
                                  <w:rFonts w:hint="eastAsia"/>
                                  <w:szCs w:val="21"/>
                                </w:rPr>
                                <w:t>碎料：219.2</w:t>
                              </w:r>
                              <w:r>
                                <w:rPr>
                                  <w:rFonts w:hint="eastAsia"/>
                                  <w:szCs w:val="21"/>
                                  <w:lang w:val="en-US" w:eastAsia="zh-CN"/>
                                </w:rPr>
                                <w:t>5</w:t>
                              </w:r>
                              <w:r>
                                <w:rPr>
                                  <w:rFonts w:hint="eastAsia"/>
                                  <w:szCs w:val="21"/>
                                </w:rPr>
                                <w:t>6</w:t>
                              </w:r>
                            </w:p>
                          </w:txbxContent>
                        </wps:txbx>
                        <wps:bodyPr upright="1"/>
                      </wps:wsp>
                    </wpg:wgp>
                  </a:graphicData>
                </a:graphic>
              </wp:anchor>
            </w:drawing>
          </mc:Choice>
          <mc:Fallback>
            <w:pict>
              <v:group id="_x0000_s1026" o:spid="_x0000_s1026" o:spt="203" style="position:absolute;left:0pt;margin-left:59.15pt;margin-top:3.95pt;height:76.8pt;width:321.1pt;z-index:251667456;mso-width-relative:page;mso-height-relative:page;" coordorigin="3751,764945" coordsize="6422,1536" o:gfxdata="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">
                <o:lock v:ext="edit" aspectratio="f"/>
                <v:shape id="文本框 527" o:spid="_x0000_s1026" o:spt="202" type="#_x0000_t202" style="position:absolute;left:3751;top:764945;height:769;width:2236;" filled="f" stroked="t" coordsize="21600,21600" o:gfxdata="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REldvQAA&#10;ANsAAAAPAAAAAAAAAAEAIAAAACIAAABkcnMvZG93bnJldi54bWxQSwECFAAUAAAACACHTuJAMy8F&#10;njsAAAA5AAAAEAAAAAAAAAABACAAAAAMAQAAZHJzL3NoYXBleG1sLnhtbFBLBQYAAAAABgAGAFsB&#10;AAC2AwAAAAA=&#10;">
                  <v:fill on="f" focussize="0,0"/>
                  <v:stroke color="#FFFFFF [3212]" joinstyle="miter"/>
                  <v:imagedata o:title=""/>
                  <o:lock v:ext="edit" aspectratio="f"/>
                  <v:textbox>
                    <w:txbxContent>
                      <w:p>
                        <w:pPr>
                          <w:ind w:left="630" w:hanging="630" w:hangingChars="300"/>
                          <w:rPr>
                            <w:lang w:val="en-US"/>
                          </w:rPr>
                        </w:pPr>
                        <w:r>
                          <w:t>下脚料及不合格产品</w:t>
                        </w:r>
                        <w:r>
                          <w:rPr>
                            <w:rFonts w:hint="eastAsia"/>
                          </w:rPr>
                          <w:t>219.32</w:t>
                        </w:r>
                      </w:p>
                    </w:txbxContent>
                  </v:textbox>
                </v:shape>
                <v:line id="直接连接符 533" o:spid="_x0000_s1026" o:spt="20" style="position:absolute;left:5898;top:765284;flip:y;height:1;width:940;" filled="f" stroked="t" coordsize="21600,21600" o:gfxdata="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3iL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32" o:spid="_x0000_s1026" o:spt="20" style="position:absolute;left:8141;top:765293;height:1;width:520;" filled="f" stroked="t" coordsize="21600,21600" o:gfxdata="UEsDBAoAAAAAAIdO4kAAAAAAAAAAAAAAAAAEAAAAZHJzL1BLAwQUAAAACACHTuJATVAFUL4AAADb&#10;AAAADwAAAGRycy9kb3ducmV2LnhtbEWPQWvCQBSE7wX/w/IEb3UTh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AFU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535" o:spid="_x0000_s1026" o:spt="202" type="#_x0000_t202" style="position:absolute;left:6545;top:765939;height:542;width:2070;" filled="f" stroked="f" coordsize="21600,21600" o:gfxdata="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j53m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hint="default" w:eastAsia="宋体"/>
                            <w:szCs w:val="21"/>
                            <w:lang w:val="en-US" w:eastAsia="zh-CN"/>
                          </w:rPr>
                        </w:pPr>
                        <w:r>
                          <w:rPr>
                            <w:rFonts w:hint="eastAsia"/>
                            <w:szCs w:val="21"/>
                          </w:rPr>
                          <w:t>G</w:t>
                        </w:r>
                        <w:r>
                          <w:rPr>
                            <w:rFonts w:hint="eastAsia"/>
                            <w:szCs w:val="21"/>
                            <w:vertAlign w:val="subscript"/>
                          </w:rPr>
                          <w:t>2</w:t>
                        </w:r>
                        <w:r>
                          <w:rPr>
                            <w:rFonts w:hint="eastAsia"/>
                            <w:szCs w:val="21"/>
                          </w:rPr>
                          <w:t>-</w:t>
                        </w:r>
                        <w:r>
                          <w:rPr>
                            <w:rFonts w:hint="eastAsia"/>
                            <w:szCs w:val="21"/>
                            <w:vertAlign w:val="subscript"/>
                          </w:rPr>
                          <w:t>1</w:t>
                        </w:r>
                        <w:r>
                          <w:rPr>
                            <w:rFonts w:hint="eastAsia"/>
                            <w:szCs w:val="21"/>
                          </w:rPr>
                          <w:t>：颗粒物0.</w:t>
                        </w:r>
                        <w:r>
                          <w:rPr>
                            <w:rFonts w:hint="eastAsia"/>
                            <w:szCs w:val="21"/>
                            <w:lang w:val="en-US" w:eastAsia="zh-CN"/>
                          </w:rPr>
                          <w:t>082</w:t>
                        </w:r>
                      </w:p>
                    </w:txbxContent>
                  </v:textbox>
                </v:shape>
                <v:line id="直接连接符 534" o:spid="_x0000_s1026" o:spt="20" style="position:absolute;left:7444;top:765506;height:429;width:1;" filled="f" stroked="t" coordsize="21600,21600" o:gfxdata="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3TqxvQAA&#10;ANs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shape id="文本框 530" o:spid="_x0000_s1026" o:spt="202" type="#_x0000_t202" style="position:absolute;left:6838;top:765045;height:468;width:1303;" fillcolor="#FFFFFF" filled="t" stroked="t" coordsize="21600,21600" o:gfxdata="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LDg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Cs w:val="21"/>
                          </w:rPr>
                        </w:pPr>
                        <w:r>
                          <w:rPr>
                            <w:rFonts w:hint="eastAsia"/>
                            <w:szCs w:val="21"/>
                          </w:rPr>
                          <w:t>破碎</w:t>
                        </w:r>
                      </w:p>
                    </w:txbxContent>
                  </v:textbox>
                </v:shape>
                <v:shape id="文本框 529" o:spid="_x0000_s1026" o:spt="202" type="#_x0000_t202" style="position:absolute;left:8661;top:765044;height:468;width:1512;" fillcolor="#FFFFFF" filled="t" stroked="t" coordsize="21600,21600" o:gfxdata="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OhcVvQAA&#10;ANsAAAAPAAAAAAAAAAEAIAAAACIAAABkcnMvZG93bnJldi54bWxQSwECFAAUAAAACACHTuJAMy8F&#10;njsAAAA5AAAAEAAAAAAAAAABACAAAAAMAQAAZHJzL3NoYXBleG1sLnhtbFBLBQYAAAAABgAGAFsB&#10;AAC2AwAAAAA=&#10;">
                  <v:fill on="t" focussize="0,0"/>
                  <v:stroke color="#FFFFFF [3212]" joinstyle="miter"/>
                  <v:imagedata o:title=""/>
                  <o:lock v:ext="edit" aspectratio="f"/>
                  <v:textbox>
                    <w:txbxContent>
                      <w:p>
                        <w:pPr>
                          <w:jc w:val="center"/>
                          <w:rPr>
                            <w:szCs w:val="21"/>
                          </w:rPr>
                        </w:pPr>
                        <w:r>
                          <w:rPr>
                            <w:rFonts w:hint="eastAsia"/>
                            <w:szCs w:val="21"/>
                          </w:rPr>
                          <w:t>碎料：219.2</w:t>
                        </w:r>
                        <w:r>
                          <w:rPr>
                            <w:rFonts w:hint="eastAsia"/>
                            <w:szCs w:val="21"/>
                            <w:lang w:val="en-US" w:eastAsia="zh-CN"/>
                          </w:rPr>
                          <w:t>5</w:t>
                        </w:r>
                        <w:r>
                          <w:rPr>
                            <w:rFonts w:hint="eastAsia"/>
                            <w:szCs w:val="21"/>
                          </w:rPr>
                          <w:t>6</w:t>
                        </w:r>
                      </w:p>
                    </w:txbxContent>
                  </v:textbox>
                </v:shape>
              </v:group>
            </w:pict>
          </mc:Fallback>
        </mc:AlternateContent>
      </w:r>
    </w:p>
    <w:p>
      <w:pPr>
        <w:rPr>
          <w:color w:val="auto"/>
          <w:highlight w:val="none"/>
        </w:rPr>
      </w:pPr>
    </w:p>
    <w:p>
      <w:pPr>
        <w:pStyle w:val="2"/>
        <w:ind w:firstLine="480"/>
        <w:rPr>
          <w:color w:val="auto"/>
          <w:highlight w:val="none"/>
        </w:rPr>
      </w:pPr>
    </w:p>
    <w:p>
      <w:pPr>
        <w:rPr>
          <w:color w:val="auto"/>
          <w:highlight w:val="none"/>
        </w:rPr>
      </w:pPr>
    </w:p>
    <w:p>
      <w:pPr>
        <w:rPr>
          <w:color w:val="auto"/>
          <w:highlight w:val="none"/>
        </w:rPr>
      </w:pPr>
    </w:p>
    <w:p>
      <w:pPr>
        <w:pStyle w:val="99"/>
        <w:spacing w:line="240" w:lineRule="auto"/>
        <w:ind w:firstLine="480"/>
        <w:jc w:val="center"/>
        <w:rPr>
          <w:rFonts w:ascii="黑体" w:hAnsi="黑体" w:eastAsia="黑体" w:cs="黑体"/>
          <w:color w:val="auto"/>
          <w:highlight w:val="none"/>
        </w:rPr>
      </w:pPr>
      <w:r>
        <w:rPr>
          <w:rFonts w:hint="eastAsia" w:ascii="黑体" w:hAnsi="黑体" w:eastAsia="黑体" w:cs="黑体"/>
          <w:color w:val="auto"/>
          <w:highlight w:val="none"/>
        </w:rPr>
        <w:t>图2.2.1</w:t>
      </w:r>
      <w:r>
        <w:rPr>
          <w:rFonts w:hint="eastAsia" w:ascii="黑体" w:hAnsi="黑体" w:eastAsia="黑体" w:cs="黑体"/>
          <w:color w:val="auto"/>
          <w:highlight w:val="none"/>
          <w:lang w:val="en-US" w:eastAsia="zh-CN"/>
        </w:rPr>
        <w:t>2</w:t>
      </w:r>
      <w:r>
        <w:rPr>
          <w:rFonts w:hint="eastAsia" w:ascii="黑体" w:hAnsi="黑体" w:eastAsia="黑体" w:cs="黑体"/>
          <w:color w:val="auto"/>
          <w:highlight w:val="none"/>
        </w:rPr>
        <w:t xml:space="preserve">  下脚料及不合格产品破碎工序物料平衡图（单位：t/a）</w:t>
      </w:r>
    </w:p>
    <w:p>
      <w:pPr>
        <w:pStyle w:val="100"/>
        <w:spacing w:before="156"/>
        <w:rPr>
          <w:rFonts w:ascii="Times New Roman" w:hAnsi="Times New Roman"/>
          <w:color w:val="auto"/>
          <w:highlight w:val="none"/>
        </w:rPr>
      </w:pPr>
      <w:bookmarkStart w:id="114" w:name="_Toc23608"/>
      <w:r>
        <w:rPr>
          <w:rFonts w:ascii="Times New Roman" w:hAnsi="Times New Roman"/>
          <w:color w:val="auto"/>
          <w:highlight w:val="none"/>
        </w:rPr>
        <w:t>2.3污染物产生</w:t>
      </w:r>
      <w:r>
        <w:rPr>
          <w:rFonts w:hint="eastAsia" w:ascii="Times New Roman" w:hAnsi="Times New Roman"/>
          <w:color w:val="auto"/>
          <w:highlight w:val="none"/>
        </w:rPr>
        <w:t>、</w:t>
      </w:r>
      <w:r>
        <w:rPr>
          <w:rFonts w:ascii="Times New Roman" w:hAnsi="Times New Roman"/>
          <w:color w:val="auto"/>
          <w:highlight w:val="none"/>
        </w:rPr>
        <w:t>排放及治理措施</w:t>
      </w:r>
      <w:bookmarkEnd w:id="113"/>
      <w:bookmarkEnd w:id="114"/>
    </w:p>
    <w:p>
      <w:pPr>
        <w:pStyle w:val="101"/>
        <w:spacing w:before="78"/>
        <w:rPr>
          <w:rFonts w:ascii="Times New Roman" w:hAnsi="Times New Roman"/>
          <w:color w:val="auto"/>
          <w:highlight w:val="none"/>
        </w:rPr>
      </w:pPr>
      <w:r>
        <w:rPr>
          <w:rFonts w:ascii="Times New Roman" w:hAnsi="Times New Roman"/>
          <w:color w:val="auto"/>
          <w:highlight w:val="none"/>
        </w:rPr>
        <w:t>2.3.1废气</w:t>
      </w:r>
      <w:r>
        <w:rPr>
          <w:rFonts w:hint="eastAsia" w:ascii="Times New Roman" w:hAnsi="Times New Roman"/>
          <w:color w:val="auto"/>
          <w:highlight w:val="none"/>
        </w:rPr>
        <w:t>污染物产生、排放及治理措施</w:t>
      </w:r>
    </w:p>
    <w:p>
      <w:pPr>
        <w:pStyle w:val="112"/>
        <w:rPr>
          <w:color w:val="auto"/>
          <w:highlight w:val="none"/>
        </w:rPr>
      </w:pPr>
      <w:r>
        <w:rPr>
          <w:color w:val="auto"/>
          <w:highlight w:val="none"/>
        </w:rPr>
        <w:t>2.3.1.1</w:t>
      </w:r>
      <w:r>
        <w:rPr>
          <w:rFonts w:hint="eastAsia"/>
          <w:color w:val="auto"/>
          <w:highlight w:val="none"/>
        </w:rPr>
        <w:t>废气源强确定依据</w:t>
      </w:r>
    </w:p>
    <w:p>
      <w:pPr>
        <w:widowControl/>
        <w:spacing w:line="360" w:lineRule="auto"/>
        <w:ind w:firstLine="480" w:firstLineChars="200"/>
        <w:jc w:val="center"/>
        <w:rPr>
          <w:rFonts w:eastAsia="黑体"/>
          <w:color w:val="auto"/>
          <w:sz w:val="24"/>
          <w:highlight w:val="none"/>
        </w:rPr>
      </w:pPr>
    </w:p>
    <w:p>
      <w:pPr>
        <w:widowControl/>
        <w:spacing w:line="360" w:lineRule="auto"/>
        <w:ind w:firstLine="480" w:firstLineChars="200"/>
        <w:jc w:val="center"/>
        <w:rPr>
          <w:rFonts w:eastAsia="黑体"/>
          <w:color w:val="auto"/>
          <w:sz w:val="24"/>
          <w:highlight w:val="none"/>
        </w:rPr>
      </w:pPr>
    </w:p>
    <w:p>
      <w:pPr>
        <w:widowControl/>
        <w:spacing w:line="360" w:lineRule="auto"/>
        <w:ind w:firstLine="480" w:firstLineChars="200"/>
        <w:jc w:val="center"/>
        <w:rPr>
          <w:rFonts w:eastAsia="黑体"/>
          <w:color w:val="auto"/>
          <w:sz w:val="24"/>
          <w:highlight w:val="none"/>
        </w:rPr>
      </w:pPr>
      <w:r>
        <w:rPr>
          <w:rFonts w:eastAsia="黑体"/>
          <w:color w:val="auto"/>
          <w:sz w:val="24"/>
          <w:highlight w:val="none"/>
        </w:rPr>
        <w:t>表2.</w:t>
      </w:r>
      <w:r>
        <w:rPr>
          <w:rFonts w:hint="eastAsia" w:eastAsia="黑体"/>
          <w:color w:val="auto"/>
          <w:sz w:val="24"/>
          <w:highlight w:val="none"/>
        </w:rPr>
        <w:t>3</w:t>
      </w:r>
      <w:r>
        <w:rPr>
          <w:rFonts w:eastAsia="黑体"/>
          <w:color w:val="auto"/>
          <w:sz w:val="24"/>
          <w:highlight w:val="none"/>
        </w:rPr>
        <w:t>-</w:t>
      </w:r>
      <w:r>
        <w:rPr>
          <w:rFonts w:hint="eastAsia" w:eastAsia="黑体"/>
          <w:color w:val="auto"/>
          <w:sz w:val="24"/>
          <w:highlight w:val="none"/>
        </w:rPr>
        <w:t>1</w:t>
      </w:r>
      <w:r>
        <w:rPr>
          <w:rFonts w:eastAsia="黑体"/>
          <w:color w:val="auto"/>
          <w:sz w:val="24"/>
          <w:highlight w:val="none"/>
        </w:rPr>
        <w:t xml:space="preserve">  </w:t>
      </w:r>
      <w:r>
        <w:rPr>
          <w:rFonts w:hint="eastAsia" w:eastAsia="黑体"/>
          <w:color w:val="auto"/>
          <w:sz w:val="24"/>
          <w:highlight w:val="none"/>
        </w:rPr>
        <w:t>废气源强确定依据</w:t>
      </w:r>
    </w:p>
    <w:tbl>
      <w:tblPr>
        <w:tblStyle w:val="5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1983"/>
        <w:gridCol w:w="1845"/>
        <w:gridCol w:w="40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Align w:val="center"/>
          </w:tcPr>
          <w:p>
            <w:pPr>
              <w:widowControl/>
              <w:jc w:val="center"/>
              <w:rPr>
                <w:color w:val="auto"/>
                <w:highlight w:val="none"/>
              </w:rPr>
            </w:pPr>
            <w:r>
              <w:rPr>
                <w:rFonts w:hint="eastAsia"/>
                <w:color w:val="auto"/>
                <w:highlight w:val="none"/>
              </w:rPr>
              <w:t>排放形式</w:t>
            </w:r>
          </w:p>
        </w:tc>
        <w:tc>
          <w:tcPr>
            <w:tcW w:w="1101" w:type="pct"/>
            <w:vAlign w:val="center"/>
          </w:tcPr>
          <w:p>
            <w:pPr>
              <w:adjustRightInd w:val="0"/>
              <w:snapToGrid w:val="0"/>
              <w:jc w:val="center"/>
              <w:rPr>
                <w:color w:val="auto"/>
                <w:highlight w:val="none"/>
              </w:rPr>
            </w:pPr>
            <w:r>
              <w:rPr>
                <w:rFonts w:hint="eastAsia"/>
                <w:color w:val="auto"/>
                <w:highlight w:val="none"/>
              </w:rPr>
              <w:t>污染物</w:t>
            </w:r>
          </w:p>
        </w:tc>
        <w:tc>
          <w:tcPr>
            <w:tcW w:w="1024" w:type="pct"/>
            <w:vAlign w:val="center"/>
          </w:tcPr>
          <w:p>
            <w:pPr>
              <w:widowControl/>
              <w:jc w:val="center"/>
              <w:rPr>
                <w:color w:val="auto"/>
                <w:highlight w:val="none"/>
              </w:rPr>
            </w:pPr>
            <w:r>
              <w:rPr>
                <w:rFonts w:hint="eastAsia"/>
                <w:color w:val="auto"/>
                <w:highlight w:val="none"/>
              </w:rPr>
              <w:t>源强确定方法</w:t>
            </w:r>
          </w:p>
        </w:tc>
        <w:tc>
          <w:tcPr>
            <w:tcW w:w="2264" w:type="pct"/>
            <w:vAlign w:val="center"/>
          </w:tcPr>
          <w:p>
            <w:pPr>
              <w:pStyle w:val="105"/>
              <w:spacing w:line="240" w:lineRule="auto"/>
              <w:rPr>
                <w:color w:val="auto"/>
                <w:highlight w:val="none"/>
              </w:rPr>
            </w:pPr>
            <w:r>
              <w:rPr>
                <w:rFonts w:hint="eastAsia"/>
                <w:color w:val="auto"/>
                <w:highlight w:val="none"/>
              </w:rPr>
              <w:t>确定依据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Align w:val="center"/>
          </w:tcPr>
          <w:p>
            <w:pPr>
              <w:widowControl/>
              <w:jc w:val="center"/>
              <w:rPr>
                <w:color w:val="auto"/>
                <w:highlight w:val="none"/>
              </w:rPr>
            </w:pPr>
            <w:r>
              <w:rPr>
                <w:rFonts w:hint="eastAsia"/>
                <w:color w:val="auto"/>
                <w:highlight w:val="none"/>
              </w:rPr>
              <w:t>有组织</w:t>
            </w:r>
          </w:p>
        </w:tc>
        <w:tc>
          <w:tcPr>
            <w:tcW w:w="1101" w:type="pct"/>
            <w:vAlign w:val="center"/>
          </w:tcPr>
          <w:p>
            <w:pPr>
              <w:adjustRightInd w:val="0"/>
              <w:snapToGrid w:val="0"/>
              <w:jc w:val="center"/>
              <w:rPr>
                <w:color w:val="auto"/>
                <w:highlight w:val="none"/>
              </w:rPr>
            </w:pPr>
            <w:r>
              <w:rPr>
                <w:rFonts w:hint="eastAsia"/>
                <w:color w:val="auto"/>
                <w:highlight w:val="none"/>
              </w:rPr>
              <w:t>熔融造粒、挤出成型及其注塑工序</w:t>
            </w:r>
          </w:p>
        </w:tc>
        <w:tc>
          <w:tcPr>
            <w:tcW w:w="1024" w:type="pct"/>
            <w:vAlign w:val="center"/>
          </w:tcPr>
          <w:p>
            <w:pPr>
              <w:widowControl/>
              <w:jc w:val="center"/>
              <w:rPr>
                <w:color w:val="auto"/>
                <w:highlight w:val="none"/>
              </w:rPr>
            </w:pPr>
            <w:r>
              <w:rPr>
                <w:rFonts w:hint="eastAsia"/>
                <w:color w:val="auto"/>
                <w:highlight w:val="none"/>
              </w:rPr>
              <w:t>经验系数法、产污系数法</w:t>
            </w:r>
          </w:p>
        </w:tc>
        <w:tc>
          <w:tcPr>
            <w:tcW w:w="2264" w:type="pct"/>
            <w:vAlign w:val="center"/>
          </w:tcPr>
          <w:p>
            <w:pPr>
              <w:pStyle w:val="105"/>
              <w:spacing w:line="240" w:lineRule="auto"/>
              <w:rPr>
                <w:color w:val="auto"/>
                <w:highlight w:val="none"/>
              </w:rPr>
            </w:pPr>
            <w:r>
              <w:rPr>
                <w:rFonts w:hint="eastAsia"/>
                <w:color w:val="auto"/>
                <w:highlight w:val="none"/>
              </w:rPr>
              <w:t>类比同行业数据以及《排放源统计调查产排污核算方法和系数手册》（环境部公告2021年第24号）、《空气污染物排放和控制手册 工业污染源调查与研究第二辑》（美国环境保护局编）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Align w:val="center"/>
          </w:tcPr>
          <w:p>
            <w:pPr>
              <w:widowControl/>
              <w:jc w:val="center"/>
              <w:rPr>
                <w:color w:val="auto"/>
                <w:highlight w:val="none"/>
              </w:rPr>
            </w:pPr>
            <w:r>
              <w:rPr>
                <w:rFonts w:hint="eastAsia"/>
                <w:color w:val="auto"/>
                <w:highlight w:val="none"/>
              </w:rPr>
              <w:t>无组织</w:t>
            </w:r>
          </w:p>
        </w:tc>
        <w:tc>
          <w:tcPr>
            <w:tcW w:w="1101" w:type="pct"/>
            <w:vAlign w:val="center"/>
          </w:tcPr>
          <w:p>
            <w:pPr>
              <w:jc w:val="center"/>
              <w:rPr>
                <w:color w:val="auto"/>
                <w:highlight w:val="none"/>
              </w:rPr>
            </w:pPr>
            <w:r>
              <w:rPr>
                <w:rFonts w:hint="eastAsia"/>
                <w:color w:val="auto"/>
                <w:highlight w:val="none"/>
              </w:rPr>
              <w:t>生产车间废气</w:t>
            </w:r>
          </w:p>
        </w:tc>
        <w:tc>
          <w:tcPr>
            <w:tcW w:w="1024" w:type="pct"/>
            <w:vAlign w:val="center"/>
          </w:tcPr>
          <w:p>
            <w:pPr>
              <w:widowControl/>
              <w:jc w:val="center"/>
              <w:rPr>
                <w:color w:val="auto"/>
                <w:highlight w:val="none"/>
              </w:rPr>
            </w:pPr>
            <w:r>
              <w:rPr>
                <w:rFonts w:hint="eastAsia"/>
                <w:color w:val="auto"/>
                <w:highlight w:val="none"/>
              </w:rPr>
              <w:t>经验系数法</w:t>
            </w:r>
          </w:p>
        </w:tc>
        <w:tc>
          <w:tcPr>
            <w:tcW w:w="2264" w:type="pct"/>
            <w:vAlign w:val="center"/>
          </w:tcPr>
          <w:p>
            <w:pPr>
              <w:pStyle w:val="105"/>
              <w:spacing w:line="240" w:lineRule="auto"/>
              <w:rPr>
                <w:color w:val="auto"/>
                <w:highlight w:val="none"/>
              </w:rPr>
            </w:pPr>
            <w:r>
              <w:rPr>
                <w:rFonts w:hint="eastAsia"/>
                <w:color w:val="auto"/>
                <w:highlight w:val="none"/>
              </w:rPr>
              <w:t>/</w:t>
            </w:r>
          </w:p>
        </w:tc>
      </w:tr>
    </w:tbl>
    <w:p>
      <w:pPr>
        <w:pStyle w:val="112"/>
        <w:rPr>
          <w:color w:val="auto"/>
          <w:highlight w:val="none"/>
        </w:rPr>
      </w:pPr>
      <w:r>
        <w:rPr>
          <w:color w:val="auto"/>
          <w:highlight w:val="none"/>
        </w:rPr>
        <w:t>2.3.1.</w:t>
      </w:r>
      <w:r>
        <w:rPr>
          <w:rFonts w:hint="eastAsia"/>
          <w:color w:val="auto"/>
          <w:highlight w:val="none"/>
        </w:rPr>
        <w:t>2有组织废气源强确定</w:t>
      </w:r>
    </w:p>
    <w:p>
      <w:pPr>
        <w:pStyle w:val="99"/>
        <w:ind w:firstLine="480"/>
        <w:rPr>
          <w:color w:val="auto"/>
          <w:highlight w:val="none"/>
        </w:rPr>
      </w:pPr>
      <w:r>
        <w:rPr>
          <w:rFonts w:hint="eastAsia"/>
          <w:color w:val="auto"/>
          <w:highlight w:val="none"/>
        </w:rPr>
        <w:t>本项目有组织排放废气主要为给水管道生产挤出废气</w:t>
      </w:r>
      <w:r>
        <w:rPr>
          <w:color w:val="auto"/>
          <w:highlight w:val="none"/>
        </w:rPr>
        <w:t>G</w:t>
      </w:r>
      <w:r>
        <w:rPr>
          <w:color w:val="auto"/>
          <w:highlight w:val="none"/>
          <w:vertAlign w:val="subscript"/>
        </w:rPr>
        <w:t>1-1</w:t>
      </w:r>
      <w:r>
        <w:rPr>
          <w:rFonts w:hint="eastAsia"/>
          <w:color w:val="auto"/>
          <w:highlight w:val="none"/>
        </w:rPr>
        <w:t>、造粒工序熔融挤出废气G</w:t>
      </w:r>
      <w:r>
        <w:rPr>
          <w:rFonts w:hint="eastAsia"/>
          <w:color w:val="auto"/>
          <w:highlight w:val="none"/>
          <w:vertAlign w:val="subscript"/>
        </w:rPr>
        <w:t>2-1</w:t>
      </w:r>
      <w:r>
        <w:rPr>
          <w:rFonts w:hint="eastAsia"/>
          <w:color w:val="auto"/>
          <w:highlight w:val="none"/>
        </w:rPr>
        <w:t>、中空壁缠绕管挤出、缠绕废气G</w:t>
      </w:r>
      <w:r>
        <w:rPr>
          <w:rFonts w:hint="eastAsia"/>
          <w:color w:val="auto"/>
          <w:highlight w:val="none"/>
          <w:vertAlign w:val="subscript"/>
        </w:rPr>
        <w:t>3-1</w:t>
      </w:r>
      <w:r>
        <w:rPr>
          <w:rFonts w:hint="eastAsia"/>
          <w:color w:val="auto"/>
          <w:highlight w:val="none"/>
        </w:rPr>
        <w:t>、双壁波纹管生产</w:t>
      </w:r>
      <w:r>
        <w:rPr>
          <w:color w:val="auto"/>
          <w:highlight w:val="none"/>
        </w:rPr>
        <w:t>挤出</w:t>
      </w:r>
      <w:r>
        <w:rPr>
          <w:rFonts w:hint="eastAsia"/>
          <w:color w:val="auto"/>
          <w:highlight w:val="none"/>
        </w:rPr>
        <w:t>、成型废气G</w:t>
      </w:r>
      <w:r>
        <w:rPr>
          <w:rFonts w:hint="eastAsia"/>
          <w:color w:val="auto"/>
          <w:highlight w:val="none"/>
          <w:vertAlign w:val="subscript"/>
        </w:rPr>
        <w:t>4-1</w:t>
      </w:r>
      <w:r>
        <w:rPr>
          <w:rFonts w:hint="eastAsia"/>
          <w:color w:val="auto"/>
          <w:highlight w:val="none"/>
        </w:rPr>
        <w:t>、注塑污水管件生产注塑成型废气G</w:t>
      </w:r>
      <w:r>
        <w:rPr>
          <w:rFonts w:hint="eastAsia"/>
          <w:color w:val="auto"/>
          <w:highlight w:val="none"/>
          <w:vertAlign w:val="subscript"/>
        </w:rPr>
        <w:t>5-1</w:t>
      </w:r>
      <w:r>
        <w:rPr>
          <w:rFonts w:hint="eastAsia"/>
          <w:color w:val="auto"/>
          <w:highlight w:val="none"/>
        </w:rPr>
        <w:t>、下脚料及不合格产品破碎工序破碎粉尘G</w:t>
      </w:r>
      <w:r>
        <w:rPr>
          <w:rFonts w:hint="eastAsia"/>
          <w:color w:val="auto"/>
          <w:highlight w:val="none"/>
          <w:vertAlign w:val="subscript"/>
        </w:rPr>
        <w:t>6-1</w:t>
      </w:r>
      <w:r>
        <w:rPr>
          <w:rFonts w:hint="eastAsia"/>
          <w:color w:val="auto"/>
          <w:highlight w:val="none"/>
        </w:rPr>
        <w:t>。</w:t>
      </w:r>
    </w:p>
    <w:p>
      <w:pPr>
        <w:pStyle w:val="99"/>
        <w:ind w:firstLine="480"/>
        <w:rPr>
          <w:color w:val="auto"/>
          <w:highlight w:val="none"/>
        </w:rPr>
      </w:pPr>
      <w:r>
        <w:rPr>
          <w:rFonts w:hint="eastAsia"/>
          <w:color w:val="auto"/>
          <w:highlight w:val="none"/>
        </w:rPr>
        <w:t>其中</w:t>
      </w:r>
      <w:r>
        <w:rPr>
          <w:color w:val="auto"/>
          <w:highlight w:val="none"/>
        </w:rPr>
        <w:t>G</w:t>
      </w:r>
      <w:r>
        <w:rPr>
          <w:color w:val="auto"/>
          <w:highlight w:val="none"/>
          <w:vertAlign w:val="subscript"/>
        </w:rPr>
        <w:t>1-1</w:t>
      </w:r>
      <w:r>
        <w:rPr>
          <w:rFonts w:hint="eastAsia"/>
          <w:color w:val="auto"/>
          <w:highlight w:val="none"/>
        </w:rPr>
        <w:t>G</w:t>
      </w:r>
      <w:r>
        <w:rPr>
          <w:rFonts w:hint="eastAsia"/>
          <w:color w:val="auto"/>
          <w:highlight w:val="none"/>
          <w:vertAlign w:val="subscript"/>
        </w:rPr>
        <w:t>2-1</w:t>
      </w:r>
      <w:r>
        <w:rPr>
          <w:rFonts w:hint="eastAsia"/>
          <w:color w:val="auto"/>
          <w:highlight w:val="none"/>
        </w:rPr>
        <w:t>G</w:t>
      </w:r>
      <w:r>
        <w:rPr>
          <w:rFonts w:hint="eastAsia"/>
          <w:color w:val="auto"/>
          <w:highlight w:val="none"/>
          <w:vertAlign w:val="subscript"/>
        </w:rPr>
        <w:t>3-1</w:t>
      </w:r>
      <w:r>
        <w:rPr>
          <w:rFonts w:hint="eastAsia"/>
          <w:color w:val="auto"/>
          <w:highlight w:val="none"/>
        </w:rPr>
        <w:t>G</w:t>
      </w:r>
      <w:r>
        <w:rPr>
          <w:rFonts w:hint="eastAsia"/>
          <w:color w:val="auto"/>
          <w:highlight w:val="none"/>
          <w:vertAlign w:val="subscript"/>
        </w:rPr>
        <w:t>4-1</w:t>
      </w:r>
      <w:r>
        <w:rPr>
          <w:rFonts w:hint="eastAsia"/>
          <w:color w:val="auto"/>
          <w:highlight w:val="none"/>
        </w:rPr>
        <w:t>G</w:t>
      </w:r>
      <w:r>
        <w:rPr>
          <w:rFonts w:hint="eastAsia"/>
          <w:color w:val="auto"/>
          <w:highlight w:val="none"/>
          <w:vertAlign w:val="subscript"/>
        </w:rPr>
        <w:t>5-1</w:t>
      </w:r>
      <w:r>
        <w:rPr>
          <w:rFonts w:hint="eastAsia"/>
          <w:color w:val="auto"/>
          <w:highlight w:val="none"/>
        </w:rPr>
        <w:t>G</w:t>
      </w:r>
      <w:r>
        <w:rPr>
          <w:rFonts w:hint="eastAsia"/>
          <w:color w:val="auto"/>
          <w:highlight w:val="none"/>
          <w:vertAlign w:val="subscript"/>
        </w:rPr>
        <w:t>6-1</w:t>
      </w:r>
      <w:r>
        <w:rPr>
          <w:rFonts w:hint="eastAsia"/>
          <w:color w:val="auto"/>
          <w:highlight w:val="none"/>
        </w:rPr>
        <w:t>经集气罩进入1套布袋除尘+活性炭吸附浓缩+催化燃烧处理后经1根</w:t>
      </w:r>
      <w:r>
        <w:rPr>
          <w:rFonts w:hint="eastAsia"/>
          <w:color w:val="auto"/>
          <w:highlight w:val="none"/>
          <w:lang w:eastAsia="zh-CN"/>
        </w:rPr>
        <w:t>20m</w:t>
      </w:r>
      <w:r>
        <w:rPr>
          <w:rFonts w:hint="eastAsia"/>
          <w:color w:val="auto"/>
          <w:highlight w:val="none"/>
        </w:rPr>
        <w:t>高排气筒排放（DA001）。</w:t>
      </w:r>
    </w:p>
    <w:p>
      <w:pPr>
        <w:pStyle w:val="99"/>
        <w:ind w:firstLine="480"/>
        <w:rPr>
          <w:color w:val="auto"/>
          <w:highlight w:val="none"/>
        </w:rPr>
      </w:pPr>
      <w:r>
        <w:rPr>
          <w:rFonts w:hint="eastAsia"/>
          <w:color w:val="auto"/>
          <w:highlight w:val="none"/>
        </w:rPr>
        <w:t>(1) 给水管道生产挤出废气</w:t>
      </w:r>
      <w:r>
        <w:rPr>
          <w:color w:val="auto"/>
          <w:highlight w:val="none"/>
        </w:rPr>
        <w:t>G</w:t>
      </w:r>
      <w:r>
        <w:rPr>
          <w:color w:val="auto"/>
          <w:highlight w:val="none"/>
          <w:vertAlign w:val="subscript"/>
        </w:rPr>
        <w:t>1-1</w:t>
      </w:r>
    </w:p>
    <w:p>
      <w:pPr>
        <w:spacing w:line="360" w:lineRule="auto"/>
        <w:ind w:firstLine="480" w:firstLineChars="200"/>
        <w:rPr>
          <w:color w:val="auto"/>
          <w:sz w:val="24"/>
          <w:szCs w:val="24"/>
          <w:highlight w:val="none"/>
        </w:rPr>
      </w:pPr>
      <w:r>
        <w:rPr>
          <w:rFonts w:hint="eastAsia"/>
          <w:color w:val="auto"/>
          <w:sz w:val="24"/>
          <w:szCs w:val="24"/>
          <w:highlight w:val="none"/>
        </w:rPr>
        <w:t>给水管道生产需在</w:t>
      </w:r>
      <w:r>
        <w:rPr>
          <w:color w:val="auto"/>
          <w:sz w:val="24"/>
          <w:szCs w:val="24"/>
          <w:highlight w:val="none"/>
        </w:rPr>
        <w:t>180℃±20℃</w:t>
      </w:r>
      <w:r>
        <w:rPr>
          <w:rFonts w:hint="eastAsia"/>
          <w:color w:val="auto"/>
          <w:sz w:val="24"/>
          <w:szCs w:val="24"/>
          <w:highlight w:val="none"/>
        </w:rPr>
        <w:t>下挤出，该工序会产生挥发性有机物</w:t>
      </w:r>
      <w:r>
        <w:rPr>
          <w:rFonts w:hint="eastAsia"/>
          <w:color w:val="auto"/>
          <w:sz w:val="24"/>
          <w:szCs w:val="24"/>
          <w:highlight w:val="none"/>
          <w:lang w:val="en-US" w:eastAsia="zh-CN"/>
        </w:rPr>
        <w:t>和颗粒物</w:t>
      </w:r>
      <w:r>
        <w:rPr>
          <w:rFonts w:hint="eastAsia"/>
          <w:color w:val="auto"/>
          <w:sz w:val="24"/>
          <w:szCs w:val="24"/>
          <w:highlight w:val="none"/>
        </w:rPr>
        <w:t>，参考《排放源统计调查产排污核算方法和系数手册》（环境部公告2021年第24号）中</w:t>
      </w:r>
      <w:r>
        <w:rPr>
          <w:color w:val="auto"/>
          <w:sz w:val="24"/>
          <w:szCs w:val="24"/>
          <w:highlight w:val="none"/>
        </w:rPr>
        <w:t>42</w:t>
      </w:r>
      <w:r>
        <w:rPr>
          <w:rFonts w:hint="eastAsia"/>
          <w:color w:val="auto"/>
          <w:sz w:val="24"/>
          <w:szCs w:val="24"/>
          <w:highlight w:val="none"/>
        </w:rPr>
        <w:t>废弃资源综合利用行业系数手册及《空气污染物排放和控制手册 工业污染源调查与研究第二辑》（美国环境保护局编），挤出工序挥发性有机物产生系数为350</w:t>
      </w:r>
      <w:r>
        <w:rPr>
          <w:color w:val="auto"/>
          <w:sz w:val="24"/>
          <w:szCs w:val="24"/>
          <w:highlight w:val="none"/>
        </w:rPr>
        <w:t>g/t-</w:t>
      </w:r>
      <w:r>
        <w:rPr>
          <w:rFonts w:hint="eastAsia"/>
          <w:color w:val="auto"/>
          <w:sz w:val="24"/>
          <w:szCs w:val="24"/>
          <w:highlight w:val="none"/>
        </w:rPr>
        <w:t>原料</w:t>
      </w:r>
      <w:r>
        <w:rPr>
          <w:rFonts w:hint="eastAsia"/>
          <w:color w:val="auto"/>
          <w:sz w:val="24"/>
          <w:szCs w:val="24"/>
          <w:highlight w:val="none"/>
          <w:lang w:eastAsia="zh-CN"/>
        </w:rPr>
        <w:t>，</w:t>
      </w:r>
      <w:r>
        <w:rPr>
          <w:rFonts w:hint="eastAsia"/>
          <w:color w:val="auto"/>
          <w:sz w:val="24"/>
          <w:szCs w:val="24"/>
          <w:highlight w:val="none"/>
        </w:rPr>
        <w:t>颗粒物产污系数为0.15</w:t>
      </w:r>
      <w:r>
        <w:rPr>
          <w:rFonts w:hint="eastAsia"/>
          <w:color w:val="auto"/>
          <w:sz w:val="24"/>
          <w:szCs w:val="24"/>
          <w:highlight w:val="none"/>
          <w:lang w:val="en-US" w:eastAsia="zh-CN"/>
        </w:rPr>
        <w:t>kg</w:t>
      </w:r>
      <w:r>
        <w:rPr>
          <w:rFonts w:hint="eastAsia"/>
          <w:color w:val="auto"/>
          <w:sz w:val="24"/>
          <w:szCs w:val="24"/>
          <w:highlight w:val="none"/>
        </w:rPr>
        <w:t>/吨</w:t>
      </w:r>
      <w:r>
        <w:rPr>
          <w:rFonts w:hint="eastAsia"/>
          <w:color w:val="auto"/>
          <w:sz w:val="24"/>
          <w:szCs w:val="24"/>
          <w:highlight w:val="none"/>
          <w:lang w:val="en-US" w:eastAsia="zh-CN"/>
        </w:rPr>
        <w:t>产品</w:t>
      </w:r>
      <w:r>
        <w:rPr>
          <w:rFonts w:hint="eastAsia"/>
          <w:color w:val="auto"/>
          <w:sz w:val="24"/>
          <w:szCs w:val="24"/>
          <w:highlight w:val="none"/>
        </w:rPr>
        <w:t>。给水管道生产PE颗粒机色母粒合计用量为6870.4t/a，年工作7200h，经计算，给水管道生产挤出工序VOCs产生量为2.404t/a，产生速率为0.</w:t>
      </w:r>
      <w:r>
        <w:rPr>
          <w:rFonts w:hint="eastAsia"/>
          <w:color w:val="auto"/>
          <w:sz w:val="24"/>
          <w:szCs w:val="24"/>
          <w:highlight w:val="none"/>
          <w:lang w:val="en-US" w:eastAsia="zh-CN"/>
        </w:rPr>
        <w:t>334k</w:t>
      </w:r>
      <w:r>
        <w:rPr>
          <w:rFonts w:hint="eastAsia"/>
          <w:color w:val="auto"/>
          <w:sz w:val="24"/>
          <w:szCs w:val="24"/>
          <w:highlight w:val="none"/>
        </w:rPr>
        <w:t>g/h</w:t>
      </w:r>
      <w:r>
        <w:rPr>
          <w:rFonts w:hint="eastAsia"/>
          <w:color w:val="auto"/>
          <w:sz w:val="24"/>
          <w:szCs w:val="24"/>
          <w:highlight w:val="none"/>
          <w:lang w:eastAsia="zh-CN"/>
        </w:rPr>
        <w:t>，</w:t>
      </w:r>
      <w:r>
        <w:rPr>
          <w:rFonts w:hint="eastAsia"/>
          <w:color w:val="auto"/>
          <w:sz w:val="24"/>
          <w:szCs w:val="24"/>
          <w:highlight w:val="none"/>
          <w:lang w:val="en-US" w:eastAsia="zh-CN"/>
        </w:rPr>
        <w:t>颗粒物产生量1.02t/a、0.14kg/h</w:t>
      </w:r>
      <w:r>
        <w:rPr>
          <w:rFonts w:hint="eastAsia"/>
          <w:color w:val="auto"/>
          <w:sz w:val="24"/>
          <w:szCs w:val="24"/>
          <w:highlight w:val="none"/>
        </w:rPr>
        <w:t>。</w:t>
      </w:r>
    </w:p>
    <w:p>
      <w:pPr>
        <w:pStyle w:val="99"/>
        <w:ind w:firstLine="480"/>
        <w:rPr>
          <w:color w:val="auto"/>
          <w:highlight w:val="none"/>
        </w:rPr>
      </w:pPr>
      <w:r>
        <w:rPr>
          <w:rFonts w:hint="eastAsia"/>
          <w:color w:val="auto"/>
          <w:highlight w:val="none"/>
        </w:rPr>
        <w:t>(2) 造粒工序熔融挤出废气G</w:t>
      </w:r>
      <w:r>
        <w:rPr>
          <w:rFonts w:hint="eastAsia"/>
          <w:color w:val="auto"/>
          <w:highlight w:val="none"/>
          <w:vertAlign w:val="subscript"/>
        </w:rPr>
        <w:t>2-1</w:t>
      </w:r>
    </w:p>
    <w:p>
      <w:pPr>
        <w:spacing w:line="360" w:lineRule="auto"/>
        <w:ind w:firstLine="480" w:firstLineChars="200"/>
        <w:rPr>
          <w:color w:val="auto"/>
          <w:sz w:val="24"/>
          <w:szCs w:val="24"/>
          <w:highlight w:val="none"/>
        </w:rPr>
      </w:pPr>
      <w:r>
        <w:rPr>
          <w:rFonts w:hint="eastAsia"/>
          <w:color w:val="auto"/>
          <w:sz w:val="24"/>
          <w:szCs w:val="24"/>
          <w:highlight w:val="none"/>
        </w:rPr>
        <w:t>造粒工序再熔融挤出过程会产生挥发性有机物和颗粒物，参考《排放源统计调查产排污核算方法和系数手册》（环境部公告2021年第24号）中</w:t>
      </w:r>
      <w:r>
        <w:rPr>
          <w:color w:val="auto"/>
          <w:sz w:val="24"/>
          <w:szCs w:val="24"/>
          <w:highlight w:val="none"/>
        </w:rPr>
        <w:t>42</w:t>
      </w:r>
      <w:r>
        <w:rPr>
          <w:rFonts w:hint="eastAsia"/>
          <w:color w:val="auto"/>
          <w:sz w:val="24"/>
          <w:szCs w:val="24"/>
          <w:highlight w:val="none"/>
        </w:rPr>
        <w:t>废弃资源综合利用行业系数手册及《空气污染物排放和控制手册 工业污染源调查与研究第二辑》（美国环境保护局编），造粒工序挥发性有机物产生系数为350</w:t>
      </w:r>
      <w:r>
        <w:rPr>
          <w:color w:val="auto"/>
          <w:sz w:val="24"/>
          <w:szCs w:val="24"/>
          <w:highlight w:val="none"/>
        </w:rPr>
        <w:t>g/t-</w:t>
      </w:r>
      <w:r>
        <w:rPr>
          <w:rFonts w:hint="eastAsia"/>
          <w:color w:val="auto"/>
          <w:sz w:val="24"/>
          <w:szCs w:val="24"/>
          <w:highlight w:val="none"/>
        </w:rPr>
        <w:t>原料，颗粒物产污系数为0.15</w:t>
      </w:r>
      <w:r>
        <w:rPr>
          <w:rFonts w:hint="eastAsia"/>
          <w:color w:val="auto"/>
          <w:sz w:val="24"/>
          <w:szCs w:val="24"/>
          <w:highlight w:val="none"/>
          <w:lang w:val="en-US" w:eastAsia="zh-CN"/>
        </w:rPr>
        <w:t>kg</w:t>
      </w:r>
      <w:r>
        <w:rPr>
          <w:rFonts w:hint="eastAsia"/>
          <w:color w:val="auto"/>
          <w:sz w:val="24"/>
          <w:szCs w:val="24"/>
          <w:highlight w:val="none"/>
        </w:rPr>
        <w:t>/吨原料。造粒工序投料量为5052.42t/a，年工作7200h，经计算，造粒工序工序VOCs产生量为</w:t>
      </w:r>
      <w:r>
        <w:rPr>
          <w:rFonts w:hint="eastAsia"/>
          <w:color w:val="auto"/>
          <w:sz w:val="24"/>
          <w:szCs w:val="24"/>
          <w:highlight w:val="none"/>
          <w:lang w:val="en-US" w:eastAsia="zh-CN"/>
        </w:rPr>
        <w:t>1.768</w:t>
      </w:r>
      <w:r>
        <w:rPr>
          <w:rFonts w:hint="eastAsia"/>
          <w:color w:val="auto"/>
          <w:sz w:val="24"/>
          <w:szCs w:val="24"/>
          <w:highlight w:val="none"/>
        </w:rPr>
        <w:t>t/a，产生速率为</w:t>
      </w:r>
      <w:r>
        <w:rPr>
          <w:rFonts w:hint="eastAsia"/>
          <w:color w:val="auto"/>
          <w:sz w:val="24"/>
          <w:szCs w:val="24"/>
          <w:highlight w:val="none"/>
          <w:lang w:val="en-US" w:eastAsia="zh-CN"/>
        </w:rPr>
        <w:t>0.246</w:t>
      </w:r>
      <w:r>
        <w:rPr>
          <w:rFonts w:hint="eastAsia"/>
          <w:color w:val="auto"/>
          <w:sz w:val="24"/>
          <w:szCs w:val="24"/>
          <w:highlight w:val="none"/>
        </w:rPr>
        <w:t>kg/h；颗粒物产生量为0.758t/a，产生速率为</w:t>
      </w:r>
      <w:r>
        <w:rPr>
          <w:rFonts w:hint="eastAsia"/>
          <w:color w:val="auto"/>
          <w:sz w:val="24"/>
          <w:szCs w:val="24"/>
          <w:highlight w:val="none"/>
          <w:lang w:val="en-US" w:eastAsia="zh-CN"/>
        </w:rPr>
        <w:t>0.105</w:t>
      </w:r>
      <w:r>
        <w:rPr>
          <w:rFonts w:hint="eastAsia"/>
          <w:color w:val="auto"/>
          <w:sz w:val="24"/>
          <w:szCs w:val="24"/>
          <w:highlight w:val="none"/>
        </w:rPr>
        <w:t>kg/h。</w:t>
      </w:r>
    </w:p>
    <w:p>
      <w:pPr>
        <w:pStyle w:val="99"/>
        <w:ind w:firstLine="480"/>
        <w:rPr>
          <w:color w:val="auto"/>
          <w:highlight w:val="none"/>
        </w:rPr>
      </w:pPr>
      <w:r>
        <w:rPr>
          <w:rFonts w:hint="eastAsia"/>
          <w:color w:val="auto"/>
          <w:highlight w:val="none"/>
        </w:rPr>
        <w:t>(3) 中空壁缠绕管挤出、缠绕废气G</w:t>
      </w:r>
      <w:r>
        <w:rPr>
          <w:rFonts w:hint="eastAsia"/>
          <w:color w:val="auto"/>
          <w:highlight w:val="none"/>
          <w:vertAlign w:val="subscript"/>
        </w:rPr>
        <w:t>3-1</w:t>
      </w:r>
    </w:p>
    <w:p>
      <w:pPr>
        <w:pStyle w:val="99"/>
        <w:ind w:firstLine="480"/>
        <w:rPr>
          <w:color w:val="auto"/>
          <w:szCs w:val="24"/>
          <w:highlight w:val="none"/>
        </w:rPr>
      </w:pPr>
      <w:r>
        <w:rPr>
          <w:color w:val="auto"/>
          <w:szCs w:val="24"/>
          <w:highlight w:val="none"/>
        </w:rPr>
        <w:t>中空壁缠绕管挤出、缠绕</w:t>
      </w:r>
      <w:r>
        <w:rPr>
          <w:rFonts w:hint="eastAsia"/>
          <w:color w:val="auto"/>
          <w:szCs w:val="24"/>
          <w:highlight w:val="none"/>
        </w:rPr>
        <w:t>生产过程中会产生挥发性有机物，参考《排放源统计调查产排污核算方法和系数手册》（环境部公告2021年第24号）中</w:t>
      </w:r>
      <w:r>
        <w:rPr>
          <w:color w:val="auto"/>
          <w:szCs w:val="24"/>
          <w:highlight w:val="none"/>
        </w:rPr>
        <w:t>42</w:t>
      </w:r>
      <w:r>
        <w:rPr>
          <w:rFonts w:hint="eastAsia"/>
          <w:color w:val="auto"/>
          <w:szCs w:val="24"/>
          <w:highlight w:val="none"/>
        </w:rPr>
        <w:t>废弃资源综合利用行业系数手册及《空气污染物排放和控制手册 工业污染源调查与研究第二辑》（美国环境保护局编），挤出缠绕工序挥发性有机物产生系数为350</w:t>
      </w:r>
      <w:r>
        <w:rPr>
          <w:color w:val="auto"/>
          <w:szCs w:val="24"/>
          <w:highlight w:val="none"/>
        </w:rPr>
        <w:t>g/t-</w:t>
      </w:r>
      <w:r>
        <w:rPr>
          <w:rFonts w:hint="eastAsia"/>
          <w:color w:val="auto"/>
          <w:szCs w:val="24"/>
          <w:highlight w:val="none"/>
        </w:rPr>
        <w:t>原料</w:t>
      </w:r>
      <w:r>
        <w:rPr>
          <w:rFonts w:hint="eastAsia"/>
          <w:color w:val="auto"/>
          <w:szCs w:val="24"/>
          <w:highlight w:val="none"/>
          <w:lang w:eastAsia="zh-CN"/>
        </w:rPr>
        <w:t>，</w:t>
      </w:r>
      <w:r>
        <w:rPr>
          <w:rFonts w:hint="eastAsia"/>
          <w:color w:val="auto"/>
          <w:sz w:val="24"/>
          <w:szCs w:val="24"/>
          <w:highlight w:val="none"/>
        </w:rPr>
        <w:t>颗粒物产污系数为0.15</w:t>
      </w:r>
      <w:r>
        <w:rPr>
          <w:rFonts w:hint="eastAsia"/>
          <w:color w:val="auto"/>
          <w:sz w:val="24"/>
          <w:szCs w:val="24"/>
          <w:highlight w:val="none"/>
          <w:lang w:val="en-US" w:eastAsia="zh-CN"/>
        </w:rPr>
        <w:t>kg</w:t>
      </w:r>
      <w:r>
        <w:rPr>
          <w:rFonts w:hint="eastAsia"/>
          <w:color w:val="auto"/>
          <w:sz w:val="24"/>
          <w:szCs w:val="24"/>
          <w:highlight w:val="none"/>
        </w:rPr>
        <w:t>/吨</w:t>
      </w:r>
      <w:r>
        <w:rPr>
          <w:rFonts w:hint="eastAsia"/>
          <w:color w:val="auto"/>
          <w:sz w:val="24"/>
          <w:szCs w:val="24"/>
          <w:highlight w:val="none"/>
          <w:lang w:val="en-US" w:eastAsia="zh-CN"/>
        </w:rPr>
        <w:t>产品</w:t>
      </w:r>
      <w:r>
        <w:rPr>
          <w:rFonts w:hint="eastAsia"/>
          <w:color w:val="auto"/>
          <w:szCs w:val="24"/>
          <w:highlight w:val="none"/>
        </w:rPr>
        <w:t>。</w:t>
      </w:r>
      <w:r>
        <w:rPr>
          <w:color w:val="auto"/>
          <w:szCs w:val="24"/>
          <w:highlight w:val="none"/>
        </w:rPr>
        <w:t>中空壁缠绕管</w:t>
      </w:r>
      <w:r>
        <w:rPr>
          <w:rFonts w:hint="eastAsia"/>
          <w:color w:val="auto"/>
          <w:szCs w:val="24"/>
          <w:highlight w:val="none"/>
        </w:rPr>
        <w:t>生产</w:t>
      </w:r>
      <w:r>
        <w:rPr>
          <w:rFonts w:hint="eastAsia"/>
          <w:color w:val="auto"/>
          <w:highlight w:val="none"/>
        </w:rPr>
        <w:t>聚乙烯颗粒</w:t>
      </w:r>
      <w:r>
        <w:rPr>
          <w:rFonts w:hint="eastAsia"/>
          <w:color w:val="auto"/>
          <w:szCs w:val="24"/>
          <w:highlight w:val="none"/>
        </w:rPr>
        <w:t>色母粒合计用量为</w:t>
      </w:r>
      <w:r>
        <w:rPr>
          <w:rFonts w:hint="eastAsia"/>
          <w:color w:val="auto"/>
          <w:highlight w:val="none"/>
          <w:lang w:val="en-US" w:eastAsia="zh-CN"/>
        </w:rPr>
        <w:t>2040</w:t>
      </w:r>
      <w:r>
        <w:rPr>
          <w:rFonts w:hint="eastAsia"/>
          <w:color w:val="auto"/>
          <w:szCs w:val="24"/>
          <w:highlight w:val="none"/>
        </w:rPr>
        <w:t>t/a，</w:t>
      </w:r>
      <w:r>
        <w:rPr>
          <w:rFonts w:hint="eastAsia"/>
          <w:color w:val="auto"/>
          <w:szCs w:val="24"/>
          <w:highlight w:val="none"/>
          <w:lang w:val="en-US" w:eastAsia="zh-CN"/>
        </w:rPr>
        <w:t>产量为2000t/a，</w:t>
      </w:r>
      <w:r>
        <w:rPr>
          <w:rFonts w:hint="eastAsia"/>
          <w:color w:val="auto"/>
          <w:szCs w:val="24"/>
          <w:highlight w:val="none"/>
        </w:rPr>
        <w:t>年工作7200h，经计算，</w:t>
      </w:r>
      <w:r>
        <w:rPr>
          <w:color w:val="auto"/>
          <w:szCs w:val="24"/>
          <w:highlight w:val="none"/>
        </w:rPr>
        <w:t>中空壁缠绕管</w:t>
      </w:r>
      <w:r>
        <w:rPr>
          <w:rFonts w:hint="eastAsia"/>
          <w:color w:val="auto"/>
          <w:szCs w:val="24"/>
          <w:highlight w:val="none"/>
        </w:rPr>
        <w:t>生产挤出缠绕工序VOCs产生量为</w:t>
      </w:r>
      <w:r>
        <w:rPr>
          <w:rFonts w:hint="eastAsia"/>
          <w:color w:val="auto"/>
          <w:szCs w:val="24"/>
          <w:highlight w:val="none"/>
          <w:lang w:val="en-US" w:eastAsia="zh-CN"/>
        </w:rPr>
        <w:t>0.714</w:t>
      </w:r>
      <w:r>
        <w:rPr>
          <w:rFonts w:hint="eastAsia"/>
          <w:color w:val="auto"/>
          <w:szCs w:val="24"/>
          <w:highlight w:val="none"/>
        </w:rPr>
        <w:t>t/a，产生速率为</w:t>
      </w:r>
      <w:r>
        <w:rPr>
          <w:rFonts w:hint="eastAsia"/>
          <w:color w:val="auto"/>
          <w:szCs w:val="24"/>
          <w:highlight w:val="none"/>
          <w:lang w:val="en-US" w:eastAsia="zh-CN"/>
        </w:rPr>
        <w:t>0.099</w:t>
      </w:r>
      <w:r>
        <w:rPr>
          <w:rFonts w:hint="eastAsia"/>
          <w:color w:val="auto"/>
          <w:szCs w:val="24"/>
          <w:highlight w:val="none"/>
        </w:rPr>
        <w:t>kg/h</w:t>
      </w:r>
      <w:r>
        <w:rPr>
          <w:rFonts w:hint="eastAsia"/>
          <w:color w:val="auto"/>
          <w:szCs w:val="24"/>
          <w:highlight w:val="none"/>
          <w:lang w:eastAsia="zh-CN"/>
        </w:rPr>
        <w:t>，</w:t>
      </w:r>
      <w:r>
        <w:rPr>
          <w:rFonts w:hint="eastAsia"/>
          <w:color w:val="auto"/>
          <w:szCs w:val="24"/>
          <w:highlight w:val="none"/>
          <w:lang w:val="en-US" w:eastAsia="zh-CN"/>
        </w:rPr>
        <w:t>颗粒物</w:t>
      </w:r>
      <w:r>
        <w:rPr>
          <w:rFonts w:hint="eastAsia"/>
          <w:color w:val="auto"/>
          <w:sz w:val="24"/>
          <w:szCs w:val="24"/>
          <w:highlight w:val="none"/>
          <w:lang w:val="en-US" w:eastAsia="zh-CN"/>
        </w:rPr>
        <w:t>产生量0.3t/a、0.042kg/h</w:t>
      </w:r>
      <w:r>
        <w:rPr>
          <w:rFonts w:hint="eastAsia"/>
          <w:color w:val="auto"/>
          <w:sz w:val="24"/>
          <w:szCs w:val="24"/>
          <w:highlight w:val="none"/>
        </w:rPr>
        <w:t>。</w:t>
      </w:r>
    </w:p>
    <w:p>
      <w:pPr>
        <w:pStyle w:val="99"/>
        <w:ind w:firstLine="480"/>
        <w:rPr>
          <w:color w:val="auto"/>
          <w:highlight w:val="none"/>
        </w:rPr>
      </w:pPr>
      <w:r>
        <w:rPr>
          <w:rFonts w:hint="eastAsia"/>
          <w:color w:val="auto"/>
          <w:highlight w:val="none"/>
        </w:rPr>
        <w:t>(4) 双壁波纹管挤出、成型废气G</w:t>
      </w:r>
      <w:r>
        <w:rPr>
          <w:rFonts w:hint="eastAsia"/>
          <w:color w:val="auto"/>
          <w:highlight w:val="none"/>
          <w:vertAlign w:val="subscript"/>
        </w:rPr>
        <w:t>4-1</w:t>
      </w:r>
    </w:p>
    <w:p>
      <w:pPr>
        <w:pStyle w:val="99"/>
        <w:ind w:firstLine="480"/>
        <w:rPr>
          <w:color w:val="auto"/>
          <w:szCs w:val="24"/>
          <w:highlight w:val="none"/>
        </w:rPr>
      </w:pPr>
      <w:r>
        <w:rPr>
          <w:rFonts w:hint="eastAsia"/>
          <w:color w:val="auto"/>
          <w:highlight w:val="none"/>
        </w:rPr>
        <w:t>双壁波纹管挤出、成型</w:t>
      </w:r>
      <w:r>
        <w:rPr>
          <w:rFonts w:hint="eastAsia"/>
          <w:color w:val="auto"/>
          <w:szCs w:val="24"/>
          <w:highlight w:val="none"/>
        </w:rPr>
        <w:t>生产过程中会产生挥发性有机物，参考《排放源统计调查产排污核算方法和系数手册》（环境部公告2021年第24号）中</w:t>
      </w:r>
      <w:r>
        <w:rPr>
          <w:color w:val="auto"/>
          <w:szCs w:val="24"/>
          <w:highlight w:val="none"/>
        </w:rPr>
        <w:t>42</w:t>
      </w:r>
      <w:r>
        <w:rPr>
          <w:rFonts w:hint="eastAsia"/>
          <w:color w:val="auto"/>
          <w:szCs w:val="24"/>
          <w:highlight w:val="none"/>
        </w:rPr>
        <w:t>废弃资源综合利用行业系数手册及《空气污染物排放和控制手册 工业污染源调查与研究第二辑》（美国环境保护局编），挤出成型工序挥发性有机物产生系数为350</w:t>
      </w:r>
      <w:r>
        <w:rPr>
          <w:color w:val="auto"/>
          <w:szCs w:val="24"/>
          <w:highlight w:val="none"/>
        </w:rPr>
        <w:t>g/t-</w:t>
      </w:r>
      <w:r>
        <w:rPr>
          <w:rFonts w:hint="eastAsia"/>
          <w:color w:val="auto"/>
          <w:szCs w:val="24"/>
          <w:highlight w:val="none"/>
        </w:rPr>
        <w:t>原料</w:t>
      </w:r>
      <w:r>
        <w:rPr>
          <w:rFonts w:hint="eastAsia"/>
          <w:color w:val="auto"/>
          <w:szCs w:val="24"/>
          <w:highlight w:val="none"/>
          <w:lang w:eastAsia="zh-CN"/>
        </w:rPr>
        <w:t>，</w:t>
      </w:r>
      <w:r>
        <w:rPr>
          <w:rFonts w:hint="eastAsia"/>
          <w:color w:val="auto"/>
          <w:sz w:val="24"/>
          <w:szCs w:val="24"/>
          <w:highlight w:val="none"/>
        </w:rPr>
        <w:t>颗粒物产污系数为0.15</w:t>
      </w:r>
      <w:r>
        <w:rPr>
          <w:rFonts w:hint="eastAsia"/>
          <w:color w:val="auto"/>
          <w:sz w:val="24"/>
          <w:szCs w:val="24"/>
          <w:highlight w:val="none"/>
          <w:lang w:val="en-US" w:eastAsia="zh-CN"/>
        </w:rPr>
        <w:t>kg</w:t>
      </w:r>
      <w:r>
        <w:rPr>
          <w:rFonts w:hint="eastAsia"/>
          <w:color w:val="auto"/>
          <w:sz w:val="24"/>
          <w:szCs w:val="24"/>
          <w:highlight w:val="none"/>
        </w:rPr>
        <w:t>/吨</w:t>
      </w:r>
      <w:r>
        <w:rPr>
          <w:rFonts w:hint="eastAsia"/>
          <w:color w:val="auto"/>
          <w:sz w:val="24"/>
          <w:szCs w:val="24"/>
          <w:highlight w:val="none"/>
          <w:lang w:val="en-US" w:eastAsia="zh-CN"/>
        </w:rPr>
        <w:t>产品</w:t>
      </w:r>
      <w:r>
        <w:rPr>
          <w:rFonts w:hint="eastAsia"/>
          <w:color w:val="auto"/>
          <w:szCs w:val="24"/>
          <w:highlight w:val="none"/>
        </w:rPr>
        <w:t>。双壁波纹管挤出、成型生产</w:t>
      </w:r>
      <w:r>
        <w:rPr>
          <w:rFonts w:hint="eastAsia"/>
          <w:color w:val="auto"/>
          <w:highlight w:val="none"/>
        </w:rPr>
        <w:t>聚乙烯颗粒</w:t>
      </w:r>
      <w:r>
        <w:rPr>
          <w:rFonts w:hint="eastAsia"/>
          <w:color w:val="auto"/>
          <w:szCs w:val="24"/>
          <w:highlight w:val="none"/>
        </w:rPr>
        <w:t>色母粒合计用量为</w:t>
      </w:r>
      <w:r>
        <w:rPr>
          <w:rFonts w:hint="eastAsia"/>
          <w:color w:val="auto"/>
          <w:highlight w:val="none"/>
          <w:lang w:val="en-US" w:eastAsia="zh-CN"/>
        </w:rPr>
        <w:t>3233.2</w:t>
      </w:r>
      <w:r>
        <w:rPr>
          <w:rFonts w:hint="eastAsia"/>
          <w:color w:val="auto"/>
          <w:szCs w:val="24"/>
          <w:highlight w:val="none"/>
        </w:rPr>
        <w:t>t/a，</w:t>
      </w:r>
      <w:r>
        <w:rPr>
          <w:rFonts w:hint="eastAsia"/>
          <w:color w:val="auto"/>
          <w:szCs w:val="24"/>
          <w:highlight w:val="none"/>
          <w:lang w:val="en-US" w:eastAsia="zh-CN"/>
        </w:rPr>
        <w:t>产量为</w:t>
      </w:r>
      <w:r>
        <w:rPr>
          <w:rFonts w:hint="eastAsia"/>
          <w:color w:val="auto"/>
          <w:highlight w:val="none"/>
          <w:lang w:val="en-US" w:eastAsia="zh-CN"/>
        </w:rPr>
        <w:t>3200t/a，</w:t>
      </w:r>
      <w:r>
        <w:rPr>
          <w:rFonts w:hint="eastAsia"/>
          <w:color w:val="auto"/>
          <w:szCs w:val="24"/>
          <w:highlight w:val="none"/>
        </w:rPr>
        <w:t>年工作7200h，经计算，</w:t>
      </w:r>
      <w:r>
        <w:rPr>
          <w:rFonts w:hint="eastAsia"/>
          <w:color w:val="auto"/>
          <w:highlight w:val="none"/>
        </w:rPr>
        <w:t>双壁波纹管生产</w:t>
      </w:r>
      <w:r>
        <w:rPr>
          <w:rFonts w:hint="eastAsia"/>
          <w:color w:val="auto"/>
          <w:szCs w:val="24"/>
          <w:highlight w:val="none"/>
        </w:rPr>
        <w:t>挤出成型工序VOCs产生量为</w:t>
      </w:r>
      <w:r>
        <w:rPr>
          <w:rFonts w:hint="eastAsia"/>
          <w:color w:val="auto"/>
          <w:szCs w:val="24"/>
          <w:highlight w:val="none"/>
          <w:lang w:val="en-US" w:eastAsia="zh-CN"/>
        </w:rPr>
        <w:t>1.132</w:t>
      </w:r>
      <w:r>
        <w:rPr>
          <w:rFonts w:hint="eastAsia"/>
          <w:color w:val="auto"/>
          <w:szCs w:val="24"/>
          <w:highlight w:val="none"/>
        </w:rPr>
        <w:t>t/a，产生速率为0.</w:t>
      </w:r>
      <w:r>
        <w:rPr>
          <w:rFonts w:hint="eastAsia"/>
          <w:color w:val="auto"/>
          <w:szCs w:val="24"/>
          <w:highlight w:val="none"/>
          <w:lang w:val="en-US" w:eastAsia="zh-CN"/>
        </w:rPr>
        <w:t>157</w:t>
      </w:r>
      <w:r>
        <w:rPr>
          <w:rFonts w:hint="eastAsia"/>
          <w:color w:val="auto"/>
          <w:szCs w:val="24"/>
          <w:highlight w:val="none"/>
        </w:rPr>
        <w:t>kg/h</w:t>
      </w:r>
      <w:r>
        <w:rPr>
          <w:rFonts w:hint="eastAsia"/>
          <w:color w:val="auto"/>
          <w:szCs w:val="24"/>
          <w:highlight w:val="none"/>
          <w:lang w:eastAsia="zh-CN"/>
        </w:rPr>
        <w:t>，</w:t>
      </w:r>
      <w:r>
        <w:rPr>
          <w:rFonts w:hint="eastAsia"/>
          <w:color w:val="auto"/>
          <w:szCs w:val="24"/>
          <w:highlight w:val="none"/>
          <w:lang w:val="en-US" w:eastAsia="zh-CN"/>
        </w:rPr>
        <w:t>颗粒物</w:t>
      </w:r>
      <w:r>
        <w:rPr>
          <w:rFonts w:hint="eastAsia"/>
          <w:color w:val="auto"/>
          <w:sz w:val="24"/>
          <w:szCs w:val="24"/>
          <w:highlight w:val="none"/>
          <w:lang w:val="en-US" w:eastAsia="zh-CN"/>
        </w:rPr>
        <w:t>产生量</w:t>
      </w:r>
      <w:r>
        <w:rPr>
          <w:rFonts w:hint="eastAsia"/>
          <w:color w:val="auto"/>
          <w:highlight w:val="none"/>
          <w:lang w:val="en-US" w:eastAsia="zh-CN"/>
        </w:rPr>
        <w:t>0.48</w:t>
      </w:r>
      <w:r>
        <w:rPr>
          <w:rFonts w:hint="eastAsia"/>
          <w:color w:val="auto"/>
          <w:sz w:val="24"/>
          <w:szCs w:val="24"/>
          <w:highlight w:val="none"/>
          <w:lang w:val="en-US" w:eastAsia="zh-CN"/>
        </w:rPr>
        <w:t>t/a、0.067kg/h</w:t>
      </w:r>
      <w:r>
        <w:rPr>
          <w:rFonts w:hint="eastAsia"/>
          <w:color w:val="auto"/>
          <w:sz w:val="24"/>
          <w:szCs w:val="24"/>
          <w:highlight w:val="none"/>
        </w:rPr>
        <w:t>。</w:t>
      </w:r>
    </w:p>
    <w:p>
      <w:pPr>
        <w:pStyle w:val="99"/>
        <w:ind w:firstLine="480"/>
        <w:rPr>
          <w:color w:val="auto"/>
          <w:highlight w:val="none"/>
        </w:rPr>
      </w:pPr>
      <w:r>
        <w:rPr>
          <w:rFonts w:hint="eastAsia"/>
          <w:color w:val="auto"/>
          <w:highlight w:val="none"/>
        </w:rPr>
        <w:t>(5) 注塑污水管件生产注塑废气G</w:t>
      </w:r>
      <w:r>
        <w:rPr>
          <w:rFonts w:hint="eastAsia"/>
          <w:color w:val="auto"/>
          <w:highlight w:val="none"/>
          <w:vertAlign w:val="subscript"/>
        </w:rPr>
        <w:t>5-1</w:t>
      </w:r>
    </w:p>
    <w:p>
      <w:pPr>
        <w:pStyle w:val="99"/>
        <w:ind w:firstLine="480"/>
        <w:rPr>
          <w:color w:val="auto"/>
          <w:szCs w:val="24"/>
          <w:highlight w:val="none"/>
        </w:rPr>
      </w:pPr>
      <w:r>
        <w:rPr>
          <w:rFonts w:hint="eastAsia"/>
          <w:color w:val="auto"/>
          <w:highlight w:val="none"/>
        </w:rPr>
        <w:t>注塑污水管件生产注塑</w:t>
      </w:r>
      <w:r>
        <w:rPr>
          <w:rFonts w:hint="eastAsia"/>
          <w:color w:val="auto"/>
          <w:szCs w:val="24"/>
          <w:highlight w:val="none"/>
        </w:rPr>
        <w:t>过程中会产生挥发性有机物，参考《排放源统计调查产排污核算方法和系数手册》（环境部公告2021年第24号）中</w:t>
      </w:r>
      <w:r>
        <w:rPr>
          <w:color w:val="auto"/>
          <w:szCs w:val="24"/>
          <w:highlight w:val="none"/>
        </w:rPr>
        <w:t>42</w:t>
      </w:r>
      <w:r>
        <w:rPr>
          <w:rFonts w:hint="eastAsia"/>
          <w:color w:val="auto"/>
          <w:szCs w:val="24"/>
          <w:highlight w:val="none"/>
        </w:rPr>
        <w:t>废弃资源综合利用行业系数手册及《空气污染物排放和控制手册 工业污染源调查与研究第二辑》（美国环境保护局编），注塑工序挥发性有机物产生系数为350</w:t>
      </w:r>
      <w:r>
        <w:rPr>
          <w:color w:val="auto"/>
          <w:szCs w:val="24"/>
          <w:highlight w:val="none"/>
        </w:rPr>
        <w:t>g/t-</w:t>
      </w:r>
      <w:r>
        <w:rPr>
          <w:rFonts w:hint="eastAsia"/>
          <w:color w:val="auto"/>
          <w:szCs w:val="24"/>
          <w:highlight w:val="none"/>
        </w:rPr>
        <w:t>原料</w:t>
      </w:r>
      <w:r>
        <w:rPr>
          <w:rFonts w:hint="eastAsia"/>
          <w:color w:val="auto"/>
          <w:szCs w:val="24"/>
          <w:highlight w:val="none"/>
          <w:lang w:eastAsia="zh-CN"/>
        </w:rPr>
        <w:t>，</w:t>
      </w:r>
      <w:r>
        <w:rPr>
          <w:rFonts w:hint="eastAsia"/>
          <w:color w:val="auto"/>
          <w:sz w:val="24"/>
          <w:szCs w:val="24"/>
          <w:highlight w:val="none"/>
        </w:rPr>
        <w:t>颗粒物产污系数为0.15</w:t>
      </w:r>
      <w:r>
        <w:rPr>
          <w:rFonts w:hint="eastAsia"/>
          <w:color w:val="auto"/>
          <w:sz w:val="24"/>
          <w:szCs w:val="24"/>
          <w:highlight w:val="none"/>
          <w:lang w:val="en-US" w:eastAsia="zh-CN"/>
        </w:rPr>
        <w:t>kg</w:t>
      </w:r>
      <w:r>
        <w:rPr>
          <w:rFonts w:hint="eastAsia"/>
          <w:color w:val="auto"/>
          <w:sz w:val="24"/>
          <w:szCs w:val="24"/>
          <w:highlight w:val="none"/>
        </w:rPr>
        <w:t>/吨</w:t>
      </w:r>
      <w:r>
        <w:rPr>
          <w:rFonts w:hint="eastAsia"/>
          <w:color w:val="auto"/>
          <w:sz w:val="24"/>
          <w:szCs w:val="24"/>
          <w:highlight w:val="none"/>
          <w:lang w:val="en-US" w:eastAsia="zh-CN"/>
        </w:rPr>
        <w:t>产品</w:t>
      </w:r>
      <w:r>
        <w:rPr>
          <w:rFonts w:hint="eastAsia"/>
          <w:color w:val="auto"/>
          <w:szCs w:val="24"/>
          <w:highlight w:val="none"/>
        </w:rPr>
        <w:t>。</w:t>
      </w:r>
      <w:r>
        <w:rPr>
          <w:rFonts w:hint="eastAsia"/>
          <w:color w:val="auto"/>
          <w:highlight w:val="none"/>
        </w:rPr>
        <w:t>注塑污水管件生产</w:t>
      </w:r>
      <w:r>
        <w:rPr>
          <w:rFonts w:hint="eastAsia"/>
          <w:color w:val="auto"/>
          <w:szCs w:val="24"/>
          <w:highlight w:val="none"/>
        </w:rPr>
        <w:t>生产</w:t>
      </w:r>
      <w:r>
        <w:rPr>
          <w:rFonts w:hint="eastAsia"/>
          <w:color w:val="auto"/>
          <w:highlight w:val="none"/>
        </w:rPr>
        <w:t>聚丙烯颗粒</w:t>
      </w:r>
      <w:r>
        <w:rPr>
          <w:rFonts w:hint="eastAsia"/>
          <w:color w:val="auto"/>
          <w:szCs w:val="24"/>
          <w:highlight w:val="none"/>
        </w:rPr>
        <w:t>色母粒合计用量为8082.8t/a，</w:t>
      </w:r>
      <w:r>
        <w:rPr>
          <w:rFonts w:hint="eastAsia"/>
          <w:color w:val="auto"/>
          <w:szCs w:val="24"/>
          <w:highlight w:val="none"/>
          <w:lang w:val="en-US" w:eastAsia="zh-CN"/>
        </w:rPr>
        <w:t>产量为8000t/a，</w:t>
      </w:r>
      <w:r>
        <w:rPr>
          <w:rFonts w:hint="eastAsia"/>
          <w:color w:val="auto"/>
          <w:szCs w:val="24"/>
          <w:highlight w:val="none"/>
        </w:rPr>
        <w:t>年工作7200h，经计算，</w:t>
      </w:r>
      <w:r>
        <w:rPr>
          <w:rFonts w:hint="eastAsia"/>
          <w:color w:val="auto"/>
          <w:highlight w:val="none"/>
        </w:rPr>
        <w:t>注塑污水管件生产注塑</w:t>
      </w:r>
      <w:r>
        <w:rPr>
          <w:rFonts w:hint="eastAsia"/>
          <w:color w:val="auto"/>
          <w:szCs w:val="24"/>
          <w:highlight w:val="none"/>
        </w:rPr>
        <w:t>工序VOCs产生量为</w:t>
      </w:r>
      <w:r>
        <w:rPr>
          <w:rFonts w:hint="eastAsia"/>
          <w:color w:val="auto"/>
          <w:szCs w:val="24"/>
          <w:highlight w:val="none"/>
          <w:lang w:val="en-US" w:eastAsia="zh-CN"/>
        </w:rPr>
        <w:t>2.828</w:t>
      </w:r>
      <w:r>
        <w:rPr>
          <w:rFonts w:hint="eastAsia"/>
          <w:color w:val="auto"/>
          <w:szCs w:val="24"/>
          <w:highlight w:val="none"/>
        </w:rPr>
        <w:t>t/a，产生速率为</w:t>
      </w:r>
      <w:r>
        <w:rPr>
          <w:rFonts w:hint="eastAsia"/>
          <w:color w:val="auto"/>
          <w:szCs w:val="24"/>
          <w:highlight w:val="none"/>
          <w:lang w:val="en-US" w:eastAsia="zh-CN"/>
        </w:rPr>
        <w:t>0.393</w:t>
      </w:r>
      <w:r>
        <w:rPr>
          <w:rFonts w:hint="eastAsia"/>
          <w:color w:val="auto"/>
          <w:szCs w:val="24"/>
          <w:highlight w:val="none"/>
        </w:rPr>
        <w:t>kg/h</w:t>
      </w:r>
      <w:r>
        <w:rPr>
          <w:rFonts w:hint="eastAsia"/>
          <w:color w:val="auto"/>
          <w:szCs w:val="24"/>
          <w:highlight w:val="none"/>
          <w:lang w:eastAsia="zh-CN"/>
        </w:rPr>
        <w:t>，</w:t>
      </w:r>
      <w:r>
        <w:rPr>
          <w:rFonts w:hint="eastAsia"/>
          <w:color w:val="auto"/>
          <w:szCs w:val="24"/>
          <w:highlight w:val="none"/>
          <w:lang w:val="en-US" w:eastAsia="zh-CN"/>
        </w:rPr>
        <w:t>颗粒物</w:t>
      </w:r>
      <w:r>
        <w:rPr>
          <w:rFonts w:hint="eastAsia"/>
          <w:color w:val="auto"/>
          <w:sz w:val="24"/>
          <w:szCs w:val="24"/>
          <w:highlight w:val="none"/>
          <w:lang w:val="en-US" w:eastAsia="zh-CN"/>
        </w:rPr>
        <w:t>产生量</w:t>
      </w:r>
      <w:r>
        <w:rPr>
          <w:rFonts w:hint="eastAsia"/>
          <w:color w:val="auto"/>
          <w:highlight w:val="none"/>
          <w:lang w:val="en-US" w:eastAsia="zh-CN"/>
        </w:rPr>
        <w:t>1.2</w:t>
      </w:r>
      <w:r>
        <w:rPr>
          <w:rFonts w:hint="eastAsia"/>
          <w:color w:val="auto"/>
          <w:sz w:val="24"/>
          <w:szCs w:val="24"/>
          <w:highlight w:val="none"/>
          <w:lang w:val="en-US" w:eastAsia="zh-CN"/>
        </w:rPr>
        <w:t>t/a、0.167kg/h</w:t>
      </w:r>
      <w:r>
        <w:rPr>
          <w:rFonts w:hint="eastAsia"/>
          <w:color w:val="auto"/>
          <w:szCs w:val="24"/>
          <w:highlight w:val="none"/>
        </w:rPr>
        <w:t>。</w:t>
      </w:r>
    </w:p>
    <w:p>
      <w:pPr>
        <w:pStyle w:val="99"/>
        <w:numPr>
          <w:ilvl w:val="0"/>
          <w:numId w:val="16"/>
        </w:numPr>
        <w:ind w:firstLine="480"/>
        <w:rPr>
          <w:color w:val="auto"/>
          <w:highlight w:val="none"/>
        </w:rPr>
      </w:pPr>
      <w:r>
        <w:rPr>
          <w:rFonts w:hint="eastAsia"/>
          <w:color w:val="auto"/>
          <w:highlight w:val="none"/>
        </w:rPr>
        <w:t>下脚料及不合格产品破碎工序破碎粉尘G</w:t>
      </w:r>
      <w:r>
        <w:rPr>
          <w:rFonts w:hint="eastAsia"/>
          <w:color w:val="auto"/>
          <w:highlight w:val="none"/>
          <w:vertAlign w:val="subscript"/>
        </w:rPr>
        <w:t>6-1</w:t>
      </w:r>
    </w:p>
    <w:p>
      <w:pPr>
        <w:pStyle w:val="99"/>
        <w:ind w:firstLine="480"/>
        <w:rPr>
          <w:rFonts w:hint="eastAsia"/>
          <w:color w:val="auto"/>
          <w:szCs w:val="24"/>
          <w:highlight w:val="none"/>
        </w:rPr>
      </w:pPr>
      <w:r>
        <w:rPr>
          <w:rFonts w:hint="eastAsia"/>
          <w:color w:val="auto"/>
          <w:szCs w:val="24"/>
          <w:highlight w:val="none"/>
        </w:rPr>
        <w:t>项目给水管生产、中空壁缠绕管生产、双臂波纹管生产、污水注塑管件生产</w:t>
      </w:r>
      <w:r>
        <w:rPr>
          <w:color w:val="auto"/>
          <w:szCs w:val="24"/>
          <w:highlight w:val="none"/>
        </w:rPr>
        <w:t>切割下脚料及不合格产品，经破碎后回用于造粒工序</w:t>
      </w:r>
      <w:r>
        <w:rPr>
          <w:rFonts w:hint="eastAsia"/>
          <w:color w:val="auto"/>
          <w:szCs w:val="24"/>
          <w:highlight w:val="none"/>
        </w:rPr>
        <w:t>，下脚料破碎工序颗粒物产生系数参考《排放源统计调查产排污核算方法和系数手册》（环境部公告2021年第24号），</w:t>
      </w:r>
      <w:r>
        <w:rPr>
          <w:color w:val="auto"/>
          <w:szCs w:val="24"/>
          <w:highlight w:val="none"/>
        </w:rPr>
        <w:t>42</w:t>
      </w:r>
      <w:r>
        <w:rPr>
          <w:rFonts w:hint="eastAsia"/>
          <w:color w:val="auto"/>
          <w:szCs w:val="24"/>
          <w:highlight w:val="none"/>
        </w:rPr>
        <w:t>废弃资源综合利用行业系数手册，废</w:t>
      </w:r>
      <w:r>
        <w:rPr>
          <w:color w:val="auto"/>
          <w:szCs w:val="24"/>
          <w:highlight w:val="none"/>
        </w:rPr>
        <w:t>PE/PP</w:t>
      </w:r>
      <w:r>
        <w:rPr>
          <w:rFonts w:hint="eastAsia"/>
          <w:color w:val="auto"/>
          <w:szCs w:val="24"/>
          <w:highlight w:val="none"/>
        </w:rPr>
        <w:t>干法破碎工艺的颗粒物产污系数为375</w:t>
      </w:r>
      <w:r>
        <w:rPr>
          <w:color w:val="auto"/>
          <w:szCs w:val="24"/>
          <w:highlight w:val="none"/>
        </w:rPr>
        <w:t>g/t-</w:t>
      </w:r>
      <w:r>
        <w:rPr>
          <w:rFonts w:hint="eastAsia"/>
          <w:color w:val="auto"/>
          <w:szCs w:val="24"/>
          <w:highlight w:val="none"/>
        </w:rPr>
        <w:t>原料。本项目下脚料产生量为</w:t>
      </w:r>
      <w:r>
        <w:rPr>
          <w:rFonts w:hint="eastAsia"/>
          <w:color w:val="auto"/>
          <w:highlight w:val="none"/>
          <w:lang w:val="en-US" w:eastAsia="zh-CN"/>
        </w:rPr>
        <w:t>219.32</w:t>
      </w:r>
      <w:r>
        <w:rPr>
          <w:rFonts w:hint="eastAsia"/>
          <w:color w:val="auto"/>
          <w:szCs w:val="24"/>
          <w:highlight w:val="none"/>
        </w:rPr>
        <w:t>t/a，破碎工序年工作600h，经计算，破碎工序颗粒物产生量为0.</w:t>
      </w:r>
      <w:r>
        <w:rPr>
          <w:rFonts w:hint="eastAsia"/>
          <w:color w:val="auto"/>
          <w:szCs w:val="24"/>
          <w:highlight w:val="none"/>
          <w:lang w:val="en-US" w:eastAsia="zh-CN"/>
        </w:rPr>
        <w:t>082</w:t>
      </w:r>
      <w:r>
        <w:rPr>
          <w:rFonts w:hint="eastAsia"/>
          <w:color w:val="auto"/>
          <w:szCs w:val="24"/>
          <w:highlight w:val="none"/>
        </w:rPr>
        <w:t>t/a，产生速率为0.</w:t>
      </w:r>
      <w:r>
        <w:rPr>
          <w:rFonts w:hint="eastAsia"/>
          <w:color w:val="auto"/>
          <w:szCs w:val="24"/>
          <w:highlight w:val="none"/>
          <w:lang w:val="en-US" w:eastAsia="zh-CN"/>
        </w:rPr>
        <w:t>137</w:t>
      </w:r>
      <w:r>
        <w:rPr>
          <w:rFonts w:hint="eastAsia"/>
          <w:color w:val="auto"/>
          <w:szCs w:val="24"/>
          <w:highlight w:val="none"/>
        </w:rPr>
        <w:t>kg/h。</w:t>
      </w:r>
    </w:p>
    <w:p>
      <w:pPr>
        <w:pStyle w:val="99"/>
        <w:ind w:firstLine="480"/>
        <w:rPr>
          <w:rFonts w:hint="default" w:eastAsia="宋体"/>
          <w:color w:val="auto"/>
          <w:szCs w:val="24"/>
          <w:highlight w:val="none"/>
          <w:lang w:val="en-US" w:eastAsia="zh-CN"/>
        </w:rPr>
      </w:pPr>
      <w:r>
        <w:rPr>
          <w:rFonts w:hint="eastAsia"/>
          <w:color w:val="auto"/>
          <w:szCs w:val="24"/>
          <w:highlight w:val="none"/>
        </w:rPr>
        <w:t>经计算，以上工序VOCs产生量为</w:t>
      </w:r>
      <w:r>
        <w:rPr>
          <w:rFonts w:hint="eastAsia"/>
          <w:color w:val="auto"/>
          <w:szCs w:val="24"/>
          <w:highlight w:val="none"/>
          <w:lang w:val="en-US" w:eastAsia="zh-CN"/>
        </w:rPr>
        <w:t>8.846</w:t>
      </w:r>
      <w:r>
        <w:rPr>
          <w:rFonts w:hint="eastAsia"/>
          <w:color w:val="auto"/>
          <w:szCs w:val="24"/>
          <w:highlight w:val="none"/>
        </w:rPr>
        <w:t>t/a，产生速率为</w:t>
      </w:r>
      <w:r>
        <w:rPr>
          <w:rFonts w:hint="eastAsia"/>
          <w:color w:val="auto"/>
          <w:szCs w:val="24"/>
          <w:highlight w:val="none"/>
          <w:lang w:val="en-US" w:eastAsia="zh-CN"/>
        </w:rPr>
        <w:t>1.229</w:t>
      </w:r>
      <w:r>
        <w:rPr>
          <w:rFonts w:hint="eastAsia"/>
          <w:color w:val="auto"/>
          <w:szCs w:val="24"/>
          <w:highlight w:val="none"/>
        </w:rPr>
        <w:t>kg/h，颗粒物的产生量为</w:t>
      </w:r>
      <w:r>
        <w:rPr>
          <w:rFonts w:hint="eastAsia"/>
          <w:color w:val="auto"/>
          <w:szCs w:val="24"/>
          <w:highlight w:val="none"/>
          <w:lang w:val="en-US" w:eastAsia="zh-CN"/>
        </w:rPr>
        <w:t>3.84</w:t>
      </w:r>
      <w:r>
        <w:rPr>
          <w:rFonts w:hint="eastAsia"/>
          <w:color w:val="auto"/>
          <w:szCs w:val="24"/>
          <w:highlight w:val="none"/>
        </w:rPr>
        <w:t>t/a，产生速率为</w:t>
      </w:r>
      <w:r>
        <w:rPr>
          <w:rFonts w:hint="eastAsia"/>
          <w:color w:val="auto"/>
          <w:szCs w:val="24"/>
          <w:highlight w:val="none"/>
          <w:lang w:val="en-US" w:eastAsia="zh-CN"/>
        </w:rPr>
        <w:t>0.53</w:t>
      </w:r>
      <w:r>
        <w:rPr>
          <w:rFonts w:hint="eastAsia"/>
          <w:color w:val="auto"/>
          <w:szCs w:val="24"/>
          <w:highlight w:val="none"/>
        </w:rPr>
        <w:t>kg/h。</w:t>
      </w:r>
    </w:p>
    <w:p>
      <w:pPr>
        <w:keepNext w:val="0"/>
        <w:keepLines w:val="0"/>
        <w:pageBreakBefore w:val="0"/>
        <w:widowControl w:val="0"/>
        <w:tabs>
          <w:tab w:val="left" w:pos="4980"/>
        </w:tabs>
        <w:kinsoku/>
        <w:wordWrap/>
        <w:overflowPunct/>
        <w:topLinePunct w:val="0"/>
        <w:autoSpaceDE/>
        <w:autoSpaceDN/>
        <w:bidi w:val="0"/>
        <w:adjustRightInd/>
        <w:snapToGrid/>
        <w:spacing w:line="360" w:lineRule="auto"/>
        <w:ind w:firstLine="480" w:firstLineChars="200"/>
        <w:textAlignment w:val="auto"/>
        <w:rPr>
          <w:rFonts w:hint="default"/>
          <w:color w:val="auto"/>
          <w:sz w:val="24"/>
          <w:lang w:val="en-US" w:eastAsia="zh-CN"/>
        </w:rPr>
      </w:pPr>
      <w:r>
        <w:rPr>
          <w:rFonts w:hint="eastAsia"/>
          <w:color w:val="auto"/>
          <w:sz w:val="24"/>
        </w:rPr>
        <w:t>治理措施：</w:t>
      </w:r>
      <w:r>
        <w:rPr>
          <w:color w:val="auto"/>
          <w:sz w:val="24"/>
          <w:szCs w:val="24"/>
          <w:highlight w:val="none"/>
        </w:rPr>
        <w:t>G</w:t>
      </w:r>
      <w:r>
        <w:rPr>
          <w:color w:val="auto"/>
          <w:sz w:val="24"/>
          <w:szCs w:val="24"/>
          <w:highlight w:val="none"/>
          <w:vertAlign w:val="subscript"/>
        </w:rPr>
        <w:t>1-1</w:t>
      </w:r>
      <w:r>
        <w:rPr>
          <w:rFonts w:hint="eastAsia"/>
          <w:color w:val="auto"/>
          <w:sz w:val="24"/>
          <w:szCs w:val="24"/>
          <w:highlight w:val="none"/>
        </w:rPr>
        <w:t>G</w:t>
      </w:r>
      <w:r>
        <w:rPr>
          <w:rFonts w:hint="eastAsia"/>
          <w:color w:val="auto"/>
          <w:sz w:val="24"/>
          <w:szCs w:val="24"/>
          <w:highlight w:val="none"/>
          <w:vertAlign w:val="subscript"/>
        </w:rPr>
        <w:t>2-1</w:t>
      </w:r>
      <w:r>
        <w:rPr>
          <w:rFonts w:hint="eastAsia"/>
          <w:color w:val="auto"/>
          <w:sz w:val="24"/>
          <w:szCs w:val="24"/>
          <w:highlight w:val="none"/>
        </w:rPr>
        <w:t>G</w:t>
      </w:r>
      <w:r>
        <w:rPr>
          <w:rFonts w:hint="eastAsia"/>
          <w:color w:val="auto"/>
          <w:sz w:val="24"/>
          <w:szCs w:val="24"/>
          <w:highlight w:val="none"/>
          <w:vertAlign w:val="subscript"/>
        </w:rPr>
        <w:t>3-1</w:t>
      </w:r>
      <w:r>
        <w:rPr>
          <w:rFonts w:hint="eastAsia"/>
          <w:color w:val="auto"/>
          <w:sz w:val="24"/>
          <w:szCs w:val="24"/>
          <w:highlight w:val="none"/>
        </w:rPr>
        <w:t>G</w:t>
      </w:r>
      <w:r>
        <w:rPr>
          <w:rFonts w:hint="eastAsia"/>
          <w:color w:val="auto"/>
          <w:sz w:val="24"/>
          <w:szCs w:val="24"/>
          <w:highlight w:val="none"/>
          <w:vertAlign w:val="subscript"/>
        </w:rPr>
        <w:t>4-1</w:t>
      </w:r>
      <w:r>
        <w:rPr>
          <w:rFonts w:hint="eastAsia"/>
          <w:color w:val="auto"/>
          <w:sz w:val="24"/>
          <w:szCs w:val="24"/>
          <w:highlight w:val="none"/>
        </w:rPr>
        <w:t>G</w:t>
      </w:r>
      <w:r>
        <w:rPr>
          <w:rFonts w:hint="eastAsia"/>
          <w:color w:val="auto"/>
          <w:sz w:val="24"/>
          <w:szCs w:val="24"/>
          <w:highlight w:val="none"/>
          <w:vertAlign w:val="subscript"/>
        </w:rPr>
        <w:t>5-1</w:t>
      </w:r>
      <w:r>
        <w:rPr>
          <w:rFonts w:hint="eastAsia"/>
          <w:color w:val="auto"/>
          <w:sz w:val="24"/>
          <w:szCs w:val="24"/>
          <w:highlight w:val="none"/>
        </w:rPr>
        <w:t>G</w:t>
      </w:r>
      <w:r>
        <w:rPr>
          <w:rFonts w:hint="eastAsia"/>
          <w:color w:val="auto"/>
          <w:sz w:val="24"/>
          <w:szCs w:val="24"/>
          <w:highlight w:val="none"/>
          <w:vertAlign w:val="subscript"/>
        </w:rPr>
        <w:t>6-1</w:t>
      </w:r>
      <w:r>
        <w:rPr>
          <w:rFonts w:hint="eastAsia"/>
          <w:color w:val="auto"/>
          <w:sz w:val="24"/>
          <w:szCs w:val="24"/>
          <w:highlight w:val="none"/>
        </w:rPr>
        <w:t>经集气罩进入1套布袋除尘+活性炭吸附浓缩+催化燃烧处理后经1根</w:t>
      </w:r>
      <w:r>
        <w:rPr>
          <w:rFonts w:hint="eastAsia"/>
          <w:color w:val="auto"/>
          <w:sz w:val="24"/>
          <w:szCs w:val="24"/>
          <w:highlight w:val="none"/>
          <w:lang w:eastAsia="zh-CN"/>
        </w:rPr>
        <w:t>20m</w:t>
      </w:r>
      <w:r>
        <w:rPr>
          <w:rFonts w:hint="eastAsia"/>
          <w:color w:val="auto"/>
          <w:sz w:val="24"/>
          <w:szCs w:val="24"/>
          <w:highlight w:val="none"/>
        </w:rPr>
        <w:t>高排气筒排放（DA001）</w:t>
      </w:r>
      <w:r>
        <w:rPr>
          <w:rFonts w:hint="eastAsia"/>
          <w:color w:val="auto"/>
          <w:sz w:val="24"/>
          <w:szCs w:val="24"/>
          <w:highlight w:val="none"/>
          <w:lang w:eastAsia="zh-CN"/>
        </w:rPr>
        <w:t>。</w:t>
      </w:r>
      <w:r>
        <w:rPr>
          <w:rFonts w:hint="eastAsia"/>
          <w:color w:val="auto"/>
          <w:sz w:val="24"/>
          <w:lang w:val="en-US" w:eastAsia="zh-CN"/>
        </w:rPr>
        <w:t>本项目根据生产线设置53个集气罩，每个集气罩尺寸为50cm*50cm，风速不小于0.3m/s，经计算风量最小14310m</w:t>
      </w:r>
      <w:r>
        <w:rPr>
          <w:rFonts w:hint="eastAsia"/>
          <w:color w:val="auto"/>
          <w:sz w:val="24"/>
          <w:vertAlign w:val="superscript"/>
        </w:rPr>
        <w:t>3</w:t>
      </w:r>
      <w:r>
        <w:rPr>
          <w:rFonts w:hint="eastAsia"/>
          <w:color w:val="auto"/>
          <w:sz w:val="24"/>
        </w:rPr>
        <w:t>/h</w:t>
      </w:r>
      <w:r>
        <w:rPr>
          <w:rFonts w:hint="eastAsia"/>
          <w:color w:val="auto"/>
          <w:sz w:val="24"/>
          <w:lang w:eastAsia="zh-CN"/>
        </w:rPr>
        <w:t>，</w:t>
      </w:r>
      <w:r>
        <w:rPr>
          <w:rFonts w:hint="eastAsia"/>
          <w:color w:val="auto"/>
          <w:sz w:val="24"/>
          <w:lang w:val="en-US" w:eastAsia="zh-CN"/>
        </w:rPr>
        <w:t>本次环评取15000m</w:t>
      </w:r>
      <w:r>
        <w:rPr>
          <w:rFonts w:hint="eastAsia"/>
          <w:color w:val="auto"/>
          <w:sz w:val="24"/>
          <w:vertAlign w:val="superscript"/>
        </w:rPr>
        <w:t>3</w:t>
      </w:r>
      <w:r>
        <w:rPr>
          <w:rFonts w:hint="eastAsia"/>
          <w:color w:val="auto"/>
          <w:sz w:val="24"/>
        </w:rPr>
        <w:t>/h</w:t>
      </w:r>
      <w:r>
        <w:rPr>
          <w:rFonts w:hint="eastAsia"/>
          <w:color w:val="auto"/>
          <w:sz w:val="24"/>
          <w:lang w:eastAsia="zh-CN"/>
        </w:rPr>
        <w:t>，</w:t>
      </w:r>
      <w:r>
        <w:rPr>
          <w:rFonts w:hint="eastAsia"/>
          <w:color w:val="auto"/>
          <w:sz w:val="24"/>
          <w:lang w:val="en-US" w:eastAsia="zh-CN"/>
        </w:rPr>
        <w:t>可保证污染物收集效率为90%。</w:t>
      </w:r>
    </w:p>
    <w:p>
      <w:pPr>
        <w:keepNext w:val="0"/>
        <w:keepLines w:val="0"/>
        <w:pageBreakBefore w:val="0"/>
        <w:widowControl w:val="0"/>
        <w:tabs>
          <w:tab w:val="left" w:pos="4980"/>
        </w:tabs>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rPr>
      </w:pPr>
      <w:r>
        <w:rPr>
          <w:rFonts w:hint="eastAsia"/>
          <w:color w:val="auto"/>
          <w:sz w:val="24"/>
          <w:szCs w:val="24"/>
          <w:highlight w:val="none"/>
          <w:lang w:val="en-US" w:eastAsia="zh-CN"/>
        </w:rPr>
        <w:t>活性炭吸附浓缩--解析--催化燃烧工作过程介绍：</w:t>
      </w:r>
      <w:r>
        <w:rPr>
          <w:rFonts w:hint="eastAsia" w:ascii="Times New Roman" w:hAnsi="Times New Roman" w:cs="Times New Roman"/>
          <w:color w:val="auto"/>
          <w:sz w:val="24"/>
          <w:szCs w:val="24"/>
          <w:highlight w:val="none"/>
          <w:lang w:val="en-US" w:eastAsia="zh-CN"/>
        </w:rPr>
        <w:t>有机废气中的有机</w:t>
      </w:r>
      <w:r>
        <w:rPr>
          <w:rFonts w:hint="eastAsia" w:cs="Times New Roman"/>
          <w:color w:val="auto"/>
          <w:sz w:val="24"/>
          <w:szCs w:val="24"/>
          <w:highlight w:val="none"/>
          <w:lang w:val="en-US" w:eastAsia="zh-CN"/>
        </w:rPr>
        <w:t>物</w:t>
      </w:r>
      <w:r>
        <w:rPr>
          <w:rFonts w:hint="eastAsia" w:ascii="Times New Roman" w:hAnsi="Times New Roman" w:cs="Times New Roman"/>
          <w:color w:val="auto"/>
          <w:sz w:val="24"/>
          <w:szCs w:val="24"/>
          <w:highlight w:val="none"/>
          <w:lang w:val="en-US" w:eastAsia="zh-CN"/>
        </w:rPr>
        <w:t>经过活性炭层被吸附浓缩，吸附饱和后用催化燃烧产生的热能使</w:t>
      </w:r>
      <w:r>
        <w:rPr>
          <w:rFonts w:hint="eastAsia" w:cs="Times New Roman"/>
          <w:color w:val="auto"/>
          <w:sz w:val="24"/>
          <w:szCs w:val="24"/>
          <w:highlight w:val="none"/>
          <w:lang w:val="en-US" w:eastAsia="zh-CN"/>
        </w:rPr>
        <w:t>有机物</w:t>
      </w:r>
      <w:r>
        <w:rPr>
          <w:rFonts w:hint="eastAsia" w:ascii="Times New Roman" w:hAnsi="Times New Roman" w:cs="Times New Roman"/>
          <w:color w:val="auto"/>
          <w:sz w:val="24"/>
          <w:szCs w:val="24"/>
          <w:highlight w:val="none"/>
          <w:lang w:val="en-US" w:eastAsia="zh-CN"/>
        </w:rPr>
        <w:t>达到沸点使之挥发出来，此时挥发出的气体为高浓度、小风量的</w:t>
      </w:r>
      <w:r>
        <w:rPr>
          <w:rFonts w:hint="eastAsia" w:cs="Times New Roman"/>
          <w:color w:val="auto"/>
          <w:sz w:val="24"/>
          <w:szCs w:val="24"/>
          <w:highlight w:val="none"/>
          <w:lang w:val="en-US" w:eastAsia="zh-CN"/>
        </w:rPr>
        <w:t>有机物</w:t>
      </w:r>
      <w:r>
        <w:rPr>
          <w:rFonts w:hint="eastAsia" w:ascii="Times New Roman" w:hAnsi="Times New Roman" w:cs="Times New Roman"/>
          <w:color w:val="auto"/>
          <w:sz w:val="24"/>
          <w:szCs w:val="24"/>
          <w:highlight w:val="none"/>
          <w:lang w:val="en-US" w:eastAsia="zh-CN"/>
        </w:rPr>
        <w:t>再经催化燃烧低温催化裂解，同时产生热能（有机物分解放热）回用于活性炭脱附再生，项目催化燃烧能源为电能。</w:t>
      </w:r>
    </w:p>
    <w:p>
      <w:pPr>
        <w:pStyle w:val="99"/>
        <w:ind w:firstLine="480"/>
        <w:rPr>
          <w:color w:val="auto"/>
          <w:highlight w:val="none"/>
        </w:rPr>
      </w:pPr>
      <w:r>
        <w:rPr>
          <w:rFonts w:hint="eastAsia"/>
          <w:color w:val="auto"/>
          <w:sz w:val="24"/>
          <w:szCs w:val="24"/>
          <w:highlight w:val="none"/>
          <w:lang w:val="en-US" w:eastAsia="zh-CN"/>
        </w:rPr>
        <w:t>综上分析，</w:t>
      </w:r>
      <w:r>
        <w:rPr>
          <w:rFonts w:hint="eastAsia"/>
          <w:color w:val="auto"/>
          <w:highlight w:val="none"/>
        </w:rPr>
        <w:t>颗粒物治理效率9</w:t>
      </w:r>
      <w:r>
        <w:rPr>
          <w:rFonts w:hint="eastAsia"/>
          <w:color w:val="auto"/>
          <w:highlight w:val="none"/>
          <w:lang w:val="en-US" w:eastAsia="zh-CN"/>
        </w:rPr>
        <w:t>5</w:t>
      </w:r>
      <w:r>
        <w:rPr>
          <w:rFonts w:hint="eastAsia"/>
          <w:color w:val="auto"/>
          <w:highlight w:val="none"/>
        </w:rPr>
        <w:t>％，VOCs治理效率9</w:t>
      </w:r>
      <w:r>
        <w:rPr>
          <w:rFonts w:hint="eastAsia"/>
          <w:color w:val="auto"/>
          <w:highlight w:val="none"/>
          <w:lang w:val="en-US" w:eastAsia="zh-CN"/>
        </w:rPr>
        <w:t>5</w:t>
      </w:r>
      <w:r>
        <w:rPr>
          <w:rFonts w:hint="eastAsia"/>
          <w:color w:val="auto"/>
          <w:highlight w:val="none"/>
        </w:rPr>
        <w:t>％，经计算排气筒DA001中VOCs排放量为</w:t>
      </w:r>
      <w:r>
        <w:rPr>
          <w:rFonts w:hint="eastAsia"/>
          <w:color w:val="auto"/>
          <w:highlight w:val="none"/>
          <w:lang w:val="en-US" w:eastAsia="zh-CN"/>
        </w:rPr>
        <w:t>0.398</w:t>
      </w:r>
      <w:r>
        <w:rPr>
          <w:rFonts w:hint="eastAsia"/>
          <w:color w:val="auto"/>
          <w:highlight w:val="none"/>
        </w:rPr>
        <w:t>t/a，排放速率为</w:t>
      </w:r>
      <w:r>
        <w:rPr>
          <w:rFonts w:hint="eastAsia"/>
          <w:color w:val="auto"/>
          <w:highlight w:val="none"/>
          <w:lang w:val="en-US" w:eastAsia="zh-CN"/>
        </w:rPr>
        <w:t>0.055</w:t>
      </w:r>
      <w:r>
        <w:rPr>
          <w:rFonts w:hint="eastAsia"/>
          <w:color w:val="auto"/>
          <w:highlight w:val="none"/>
        </w:rPr>
        <w:t>kg/h，排放浓度为</w:t>
      </w:r>
      <w:r>
        <w:rPr>
          <w:rFonts w:hint="eastAsia"/>
          <w:color w:val="auto"/>
          <w:highlight w:val="none"/>
          <w:lang w:val="en-US" w:eastAsia="zh-CN"/>
        </w:rPr>
        <w:t>2.75</w:t>
      </w:r>
      <w:r>
        <w:rPr>
          <w:rFonts w:hint="eastAsia"/>
          <w:color w:val="auto"/>
          <w:highlight w:val="none"/>
        </w:rPr>
        <w:t>mg/m</w:t>
      </w:r>
      <w:r>
        <w:rPr>
          <w:rFonts w:hint="eastAsia"/>
          <w:color w:val="auto"/>
          <w:highlight w:val="none"/>
          <w:vertAlign w:val="superscript"/>
        </w:rPr>
        <w:t>3</w:t>
      </w:r>
      <w:r>
        <w:rPr>
          <w:rFonts w:hint="eastAsia"/>
          <w:color w:val="auto"/>
          <w:highlight w:val="none"/>
        </w:rPr>
        <w:t>，颗粒物排放量为</w:t>
      </w:r>
      <w:r>
        <w:rPr>
          <w:rFonts w:hint="eastAsia"/>
          <w:color w:val="auto"/>
          <w:highlight w:val="none"/>
          <w:lang w:val="en-US" w:eastAsia="zh-CN"/>
        </w:rPr>
        <w:t>0.173</w:t>
      </w:r>
      <w:r>
        <w:rPr>
          <w:rFonts w:hint="eastAsia"/>
          <w:color w:val="auto"/>
          <w:highlight w:val="none"/>
        </w:rPr>
        <w:t>t/a，排放速率为0.0</w:t>
      </w:r>
      <w:r>
        <w:rPr>
          <w:rFonts w:hint="eastAsia"/>
          <w:color w:val="auto"/>
          <w:highlight w:val="none"/>
          <w:lang w:val="en-US" w:eastAsia="zh-CN"/>
        </w:rPr>
        <w:t>24</w:t>
      </w:r>
      <w:r>
        <w:rPr>
          <w:rFonts w:hint="eastAsia"/>
          <w:color w:val="auto"/>
          <w:highlight w:val="none"/>
        </w:rPr>
        <w:t>kg/h，排放浓度为</w:t>
      </w:r>
      <w:r>
        <w:rPr>
          <w:rFonts w:hint="eastAsia"/>
          <w:color w:val="auto"/>
          <w:highlight w:val="none"/>
          <w:lang w:val="en-US" w:eastAsia="zh-CN"/>
        </w:rPr>
        <w:t>1.6</w:t>
      </w:r>
      <w:r>
        <w:rPr>
          <w:rFonts w:hint="eastAsia"/>
          <w:color w:val="auto"/>
          <w:highlight w:val="none"/>
        </w:rPr>
        <w:t>mg/m</w:t>
      </w:r>
      <w:r>
        <w:rPr>
          <w:rFonts w:hint="eastAsia"/>
          <w:color w:val="auto"/>
          <w:highlight w:val="none"/>
          <w:vertAlign w:val="superscript"/>
        </w:rPr>
        <w:t>3</w:t>
      </w:r>
      <w:r>
        <w:rPr>
          <w:rFonts w:hint="eastAsia"/>
          <w:color w:val="auto"/>
          <w:highlight w:val="none"/>
        </w:rPr>
        <w:t>。</w:t>
      </w:r>
    </w:p>
    <w:p>
      <w:pPr>
        <w:tabs>
          <w:tab w:val="left" w:pos="538"/>
        </w:tabs>
        <w:spacing w:line="360" w:lineRule="auto"/>
        <w:ind w:firstLine="480" w:firstLineChars="200"/>
        <w:jc w:val="left"/>
        <w:rPr>
          <w:color w:val="auto"/>
          <w:sz w:val="24"/>
          <w:szCs w:val="28"/>
          <w:highlight w:val="none"/>
        </w:rPr>
      </w:pPr>
      <w:r>
        <w:rPr>
          <w:rFonts w:hint="eastAsia"/>
          <w:color w:val="auto"/>
          <w:sz w:val="24"/>
          <w:szCs w:val="28"/>
          <w:highlight w:val="none"/>
        </w:rPr>
        <w:t>项目有组织废气产生排放情况见表2.3-2。</w:t>
      </w:r>
    </w:p>
    <w:p>
      <w:pPr>
        <w:widowControl/>
        <w:spacing w:line="360" w:lineRule="auto"/>
        <w:ind w:firstLine="480" w:firstLineChars="200"/>
        <w:jc w:val="center"/>
        <w:rPr>
          <w:rFonts w:eastAsia="黑体"/>
          <w:color w:val="auto"/>
          <w:sz w:val="24"/>
          <w:highlight w:val="none"/>
        </w:rPr>
      </w:pPr>
      <w:r>
        <w:rPr>
          <w:rFonts w:eastAsia="黑体"/>
          <w:color w:val="auto"/>
          <w:sz w:val="24"/>
          <w:highlight w:val="none"/>
        </w:rPr>
        <w:t>表2.</w:t>
      </w:r>
      <w:r>
        <w:rPr>
          <w:rFonts w:hint="eastAsia" w:eastAsia="黑体"/>
          <w:color w:val="auto"/>
          <w:sz w:val="24"/>
          <w:highlight w:val="none"/>
        </w:rPr>
        <w:t>3</w:t>
      </w:r>
      <w:r>
        <w:rPr>
          <w:rFonts w:eastAsia="黑体"/>
          <w:color w:val="auto"/>
          <w:sz w:val="24"/>
          <w:highlight w:val="none"/>
        </w:rPr>
        <w:t>-</w:t>
      </w:r>
      <w:r>
        <w:rPr>
          <w:rFonts w:hint="eastAsia" w:eastAsia="黑体"/>
          <w:color w:val="auto"/>
          <w:sz w:val="24"/>
          <w:highlight w:val="none"/>
        </w:rPr>
        <w:t>2</w:t>
      </w:r>
      <w:r>
        <w:rPr>
          <w:rFonts w:eastAsia="黑体"/>
          <w:color w:val="auto"/>
          <w:sz w:val="24"/>
          <w:highlight w:val="none"/>
        </w:rPr>
        <w:t xml:space="preserve">  </w:t>
      </w:r>
      <w:r>
        <w:rPr>
          <w:rFonts w:hint="eastAsia" w:eastAsia="黑体"/>
          <w:color w:val="auto"/>
          <w:sz w:val="24"/>
          <w:highlight w:val="none"/>
        </w:rPr>
        <w:t>项目有组织废气污染产生排放一览表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5"/>
        <w:gridCol w:w="1298"/>
        <w:gridCol w:w="911"/>
        <w:gridCol w:w="1120"/>
        <w:gridCol w:w="1352"/>
        <w:gridCol w:w="1372"/>
        <w:gridCol w:w="1195"/>
        <w:gridCol w:w="8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6" w:type="pct"/>
            <w:vMerge w:val="restart"/>
            <w:vAlign w:val="center"/>
          </w:tcPr>
          <w:p>
            <w:pPr>
              <w:jc w:val="center"/>
              <w:rPr>
                <w:color w:val="auto"/>
                <w:highlight w:val="none"/>
              </w:rPr>
            </w:pPr>
            <w:r>
              <w:rPr>
                <w:color w:val="auto"/>
                <w:highlight w:val="none"/>
              </w:rPr>
              <w:t>项目</w:t>
            </w:r>
          </w:p>
        </w:tc>
        <w:tc>
          <w:tcPr>
            <w:tcW w:w="1849" w:type="pct"/>
            <w:gridSpan w:val="3"/>
            <w:vAlign w:val="center"/>
          </w:tcPr>
          <w:p>
            <w:pPr>
              <w:jc w:val="center"/>
              <w:rPr>
                <w:color w:val="auto"/>
                <w:highlight w:val="none"/>
              </w:rPr>
            </w:pPr>
            <w:r>
              <w:rPr>
                <w:color w:val="auto"/>
                <w:highlight w:val="none"/>
              </w:rPr>
              <w:t>产生情况</w:t>
            </w:r>
          </w:p>
        </w:tc>
        <w:tc>
          <w:tcPr>
            <w:tcW w:w="751" w:type="pct"/>
            <w:vAlign w:val="center"/>
          </w:tcPr>
          <w:p>
            <w:pPr>
              <w:jc w:val="center"/>
              <w:rPr>
                <w:color w:val="auto"/>
                <w:highlight w:val="none"/>
              </w:rPr>
            </w:pPr>
            <w:r>
              <w:rPr>
                <w:rFonts w:hint="eastAsia"/>
                <w:color w:val="auto"/>
                <w:highlight w:val="none"/>
              </w:rPr>
              <w:t>治理措施</w:t>
            </w:r>
          </w:p>
        </w:tc>
        <w:tc>
          <w:tcPr>
            <w:tcW w:w="1912" w:type="pct"/>
            <w:gridSpan w:val="3"/>
            <w:vAlign w:val="center"/>
          </w:tcPr>
          <w:p>
            <w:pPr>
              <w:jc w:val="center"/>
              <w:rPr>
                <w:color w:val="auto"/>
                <w:highlight w:val="none"/>
              </w:rPr>
            </w:pPr>
            <w:r>
              <w:rPr>
                <w:color w:val="auto"/>
                <w:highlight w:val="none"/>
              </w:rPr>
              <w:t>排放情况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6" w:type="pct"/>
            <w:vMerge w:val="continue"/>
            <w:vAlign w:val="center"/>
          </w:tcPr>
          <w:p>
            <w:pPr>
              <w:jc w:val="center"/>
              <w:rPr>
                <w:color w:val="auto"/>
                <w:highlight w:val="none"/>
              </w:rPr>
            </w:pPr>
          </w:p>
        </w:tc>
        <w:tc>
          <w:tcPr>
            <w:tcW w:w="721" w:type="pct"/>
            <w:vAlign w:val="center"/>
          </w:tcPr>
          <w:p>
            <w:pPr>
              <w:jc w:val="center"/>
              <w:rPr>
                <w:color w:val="auto"/>
                <w:highlight w:val="none"/>
              </w:rPr>
            </w:pPr>
            <w:r>
              <w:rPr>
                <w:color w:val="auto"/>
                <w:highlight w:val="none"/>
              </w:rPr>
              <w:t>浓度(mg/m</w:t>
            </w:r>
            <w:r>
              <w:rPr>
                <w:color w:val="auto"/>
                <w:highlight w:val="none"/>
                <w:vertAlign w:val="superscript"/>
              </w:rPr>
              <w:t>3</w:t>
            </w:r>
            <w:r>
              <w:rPr>
                <w:color w:val="auto"/>
                <w:highlight w:val="none"/>
              </w:rPr>
              <w:t>)</w:t>
            </w:r>
          </w:p>
        </w:tc>
        <w:tc>
          <w:tcPr>
            <w:tcW w:w="506" w:type="pct"/>
            <w:vAlign w:val="center"/>
          </w:tcPr>
          <w:p>
            <w:pPr>
              <w:jc w:val="center"/>
              <w:rPr>
                <w:color w:val="auto"/>
                <w:highlight w:val="none"/>
              </w:rPr>
            </w:pPr>
            <w:r>
              <w:rPr>
                <w:color w:val="auto"/>
                <w:highlight w:val="none"/>
              </w:rPr>
              <w:t>速率(kg/h)</w:t>
            </w:r>
          </w:p>
        </w:tc>
        <w:tc>
          <w:tcPr>
            <w:tcW w:w="622" w:type="pct"/>
            <w:vAlign w:val="center"/>
          </w:tcPr>
          <w:p>
            <w:pPr>
              <w:jc w:val="center"/>
              <w:rPr>
                <w:color w:val="auto"/>
                <w:highlight w:val="none"/>
              </w:rPr>
            </w:pPr>
            <w:r>
              <w:rPr>
                <w:color w:val="auto"/>
                <w:highlight w:val="none"/>
              </w:rPr>
              <w:t>产生量(t/a)</w:t>
            </w:r>
          </w:p>
        </w:tc>
        <w:tc>
          <w:tcPr>
            <w:tcW w:w="751" w:type="pct"/>
            <w:vMerge w:val="restart"/>
            <w:vAlign w:val="center"/>
          </w:tcPr>
          <w:p>
            <w:pPr>
              <w:jc w:val="center"/>
              <w:rPr>
                <w:color w:val="auto"/>
                <w:highlight w:val="none"/>
              </w:rPr>
            </w:pPr>
            <w:r>
              <w:rPr>
                <w:rFonts w:hint="eastAsia"/>
                <w:color w:val="auto"/>
                <w:highlight w:val="none"/>
              </w:rPr>
              <w:t>布袋除尘+活性炭吸附浓缩+催化燃烧+</w:t>
            </w:r>
            <w:r>
              <w:rPr>
                <w:rFonts w:hint="eastAsia"/>
                <w:color w:val="auto"/>
                <w:highlight w:val="none"/>
                <w:lang w:eastAsia="zh-CN"/>
              </w:rPr>
              <w:t>20m</w:t>
            </w:r>
            <w:r>
              <w:rPr>
                <w:rFonts w:hint="eastAsia"/>
                <w:color w:val="auto"/>
                <w:highlight w:val="none"/>
              </w:rPr>
              <w:t>高排气筒</w:t>
            </w:r>
          </w:p>
        </w:tc>
        <w:tc>
          <w:tcPr>
            <w:tcW w:w="762" w:type="pct"/>
            <w:vAlign w:val="center"/>
          </w:tcPr>
          <w:p>
            <w:pPr>
              <w:jc w:val="center"/>
              <w:rPr>
                <w:color w:val="auto"/>
                <w:highlight w:val="none"/>
              </w:rPr>
            </w:pPr>
            <w:r>
              <w:rPr>
                <w:color w:val="auto"/>
                <w:highlight w:val="none"/>
              </w:rPr>
              <w:t>浓度(mg/m</w:t>
            </w:r>
            <w:r>
              <w:rPr>
                <w:color w:val="auto"/>
                <w:highlight w:val="none"/>
                <w:vertAlign w:val="superscript"/>
              </w:rPr>
              <w:t>3</w:t>
            </w:r>
            <w:r>
              <w:rPr>
                <w:color w:val="auto"/>
                <w:highlight w:val="none"/>
              </w:rPr>
              <w:t>)</w:t>
            </w:r>
          </w:p>
        </w:tc>
        <w:tc>
          <w:tcPr>
            <w:tcW w:w="664" w:type="pct"/>
            <w:vAlign w:val="center"/>
          </w:tcPr>
          <w:p>
            <w:pPr>
              <w:jc w:val="center"/>
              <w:rPr>
                <w:color w:val="auto"/>
                <w:highlight w:val="none"/>
              </w:rPr>
            </w:pPr>
            <w:r>
              <w:rPr>
                <w:color w:val="auto"/>
                <w:highlight w:val="none"/>
              </w:rPr>
              <w:t>速率(kg/h)</w:t>
            </w:r>
          </w:p>
        </w:tc>
        <w:tc>
          <w:tcPr>
            <w:tcW w:w="486" w:type="pct"/>
            <w:vAlign w:val="center"/>
          </w:tcPr>
          <w:p>
            <w:pPr>
              <w:jc w:val="center"/>
              <w:rPr>
                <w:color w:val="auto"/>
                <w:highlight w:val="none"/>
              </w:rPr>
            </w:pPr>
            <w:r>
              <w:rPr>
                <w:color w:val="auto"/>
                <w:highlight w:val="none"/>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86" w:type="pct"/>
            <w:vAlign w:val="center"/>
          </w:tcPr>
          <w:p>
            <w:pPr>
              <w:jc w:val="center"/>
              <w:rPr>
                <w:color w:val="auto"/>
                <w:highlight w:val="none"/>
              </w:rPr>
            </w:pPr>
            <w:r>
              <w:rPr>
                <w:rFonts w:hint="eastAsia"/>
                <w:color w:val="auto"/>
                <w:highlight w:val="none"/>
              </w:rPr>
              <w:t>废气量</w:t>
            </w:r>
          </w:p>
        </w:tc>
        <w:tc>
          <w:tcPr>
            <w:tcW w:w="1849" w:type="pct"/>
            <w:gridSpan w:val="3"/>
            <w:vAlign w:val="center"/>
          </w:tcPr>
          <w:p>
            <w:pPr>
              <w:jc w:val="center"/>
              <w:rPr>
                <w:color w:val="auto"/>
                <w:highlight w:val="none"/>
              </w:rPr>
            </w:pPr>
            <w:r>
              <w:rPr>
                <w:rFonts w:hint="eastAsia"/>
                <w:color w:val="auto"/>
                <w:highlight w:val="none"/>
                <w:lang w:val="en-US" w:eastAsia="zh-CN"/>
              </w:rPr>
              <w:t>15</w:t>
            </w:r>
            <w:r>
              <w:rPr>
                <w:rFonts w:hint="eastAsia"/>
                <w:color w:val="auto"/>
                <w:highlight w:val="none"/>
              </w:rPr>
              <w:t>000m</w:t>
            </w:r>
            <w:r>
              <w:rPr>
                <w:rFonts w:hint="eastAsia"/>
                <w:color w:val="auto"/>
                <w:highlight w:val="none"/>
                <w:vertAlign w:val="superscript"/>
              </w:rPr>
              <w:t>3</w:t>
            </w:r>
            <w:r>
              <w:rPr>
                <w:rFonts w:hint="eastAsia"/>
                <w:color w:val="auto"/>
                <w:highlight w:val="none"/>
              </w:rPr>
              <w:t>/h</w:t>
            </w:r>
          </w:p>
        </w:tc>
        <w:tc>
          <w:tcPr>
            <w:tcW w:w="751" w:type="pct"/>
            <w:vMerge w:val="continue"/>
            <w:vAlign w:val="center"/>
          </w:tcPr>
          <w:p>
            <w:pPr>
              <w:jc w:val="center"/>
              <w:rPr>
                <w:color w:val="auto"/>
                <w:highlight w:val="none"/>
              </w:rPr>
            </w:pPr>
          </w:p>
        </w:tc>
        <w:tc>
          <w:tcPr>
            <w:tcW w:w="1912" w:type="pct"/>
            <w:gridSpan w:val="3"/>
            <w:vAlign w:val="center"/>
          </w:tcPr>
          <w:p>
            <w:pPr>
              <w:jc w:val="center"/>
              <w:rPr>
                <w:color w:val="auto"/>
                <w:highlight w:val="none"/>
              </w:rPr>
            </w:pPr>
            <w:r>
              <w:rPr>
                <w:rFonts w:hint="eastAsia"/>
                <w:color w:val="auto"/>
                <w:highlight w:val="none"/>
                <w:lang w:val="en-US" w:eastAsia="zh-CN"/>
              </w:rPr>
              <w:t>15</w:t>
            </w:r>
            <w:r>
              <w:rPr>
                <w:rFonts w:hint="eastAsia"/>
                <w:color w:val="auto"/>
                <w:highlight w:val="none"/>
              </w:rPr>
              <w:t>000m</w:t>
            </w:r>
            <w:r>
              <w:rPr>
                <w:rFonts w:hint="eastAsia"/>
                <w:color w:val="auto"/>
                <w:highlight w:val="none"/>
                <w:vertAlign w:val="superscript"/>
              </w:rPr>
              <w:t>3</w:t>
            </w:r>
            <w:r>
              <w:rPr>
                <w:rFonts w:hint="eastAsia"/>
                <w:color w:val="auto"/>
                <w:highlight w:val="none"/>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6" w:type="pct"/>
            <w:vAlign w:val="center"/>
          </w:tcPr>
          <w:p>
            <w:pPr>
              <w:jc w:val="center"/>
              <w:rPr>
                <w:color w:val="auto"/>
                <w:highlight w:val="none"/>
              </w:rPr>
            </w:pPr>
            <w:r>
              <w:rPr>
                <w:rFonts w:hint="eastAsia"/>
                <w:color w:val="auto"/>
                <w:highlight w:val="none"/>
              </w:rPr>
              <w:t>VOCs</w:t>
            </w:r>
          </w:p>
        </w:tc>
        <w:tc>
          <w:tcPr>
            <w:tcW w:w="721" w:type="pct"/>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55.3</w:t>
            </w:r>
          </w:p>
        </w:tc>
        <w:tc>
          <w:tcPr>
            <w:tcW w:w="506" w:type="pct"/>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1.106</w:t>
            </w:r>
          </w:p>
        </w:tc>
        <w:tc>
          <w:tcPr>
            <w:tcW w:w="622" w:type="pct"/>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7.96</w:t>
            </w:r>
          </w:p>
        </w:tc>
        <w:tc>
          <w:tcPr>
            <w:tcW w:w="751" w:type="pct"/>
            <w:vMerge w:val="continue"/>
            <w:vAlign w:val="center"/>
          </w:tcPr>
          <w:p>
            <w:pPr>
              <w:jc w:val="center"/>
              <w:rPr>
                <w:color w:val="auto"/>
                <w:szCs w:val="21"/>
                <w:highlight w:val="none"/>
              </w:rPr>
            </w:pPr>
          </w:p>
        </w:tc>
        <w:tc>
          <w:tcPr>
            <w:tcW w:w="762" w:type="pct"/>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2.75</w:t>
            </w:r>
          </w:p>
        </w:tc>
        <w:tc>
          <w:tcPr>
            <w:tcW w:w="664" w:type="pct"/>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0.055</w:t>
            </w:r>
          </w:p>
        </w:tc>
        <w:tc>
          <w:tcPr>
            <w:tcW w:w="486" w:type="pct"/>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0.398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6" w:type="pct"/>
            <w:vAlign w:val="center"/>
          </w:tcPr>
          <w:p>
            <w:pPr>
              <w:jc w:val="center"/>
              <w:rPr>
                <w:color w:val="auto"/>
                <w:highlight w:val="none"/>
              </w:rPr>
            </w:pPr>
            <w:r>
              <w:rPr>
                <w:rFonts w:hint="eastAsia"/>
                <w:color w:val="auto"/>
                <w:highlight w:val="none"/>
              </w:rPr>
              <w:t>颗粒物</w:t>
            </w:r>
          </w:p>
        </w:tc>
        <w:tc>
          <w:tcPr>
            <w:tcW w:w="721" w:type="pct"/>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32</w:t>
            </w:r>
          </w:p>
        </w:tc>
        <w:tc>
          <w:tcPr>
            <w:tcW w:w="506" w:type="pct"/>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0.48</w:t>
            </w:r>
          </w:p>
        </w:tc>
        <w:tc>
          <w:tcPr>
            <w:tcW w:w="622" w:type="pct"/>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3.456</w:t>
            </w:r>
          </w:p>
        </w:tc>
        <w:tc>
          <w:tcPr>
            <w:tcW w:w="751" w:type="pct"/>
            <w:vMerge w:val="continue"/>
            <w:vAlign w:val="center"/>
          </w:tcPr>
          <w:p>
            <w:pPr>
              <w:jc w:val="center"/>
              <w:rPr>
                <w:color w:val="auto"/>
                <w:szCs w:val="21"/>
                <w:highlight w:val="none"/>
              </w:rPr>
            </w:pPr>
          </w:p>
        </w:tc>
        <w:tc>
          <w:tcPr>
            <w:tcW w:w="762" w:type="pct"/>
            <w:vAlign w:val="center"/>
          </w:tcPr>
          <w:p>
            <w:pPr>
              <w:jc w:val="center"/>
              <w:rPr>
                <w:rFonts w:hint="default" w:eastAsia="宋体"/>
                <w:color w:val="auto"/>
                <w:szCs w:val="21"/>
                <w:highlight w:val="none"/>
                <w:lang w:val="en-US" w:eastAsia="zh-CN"/>
              </w:rPr>
            </w:pPr>
            <w:r>
              <w:rPr>
                <w:rFonts w:hint="eastAsia"/>
                <w:color w:val="auto"/>
                <w:highlight w:val="none"/>
                <w:lang w:val="en-US" w:eastAsia="zh-CN"/>
              </w:rPr>
              <w:t>1.6</w:t>
            </w:r>
          </w:p>
        </w:tc>
        <w:tc>
          <w:tcPr>
            <w:tcW w:w="664" w:type="pct"/>
            <w:vAlign w:val="center"/>
          </w:tcPr>
          <w:p>
            <w:pPr>
              <w:jc w:val="center"/>
              <w:rPr>
                <w:rFonts w:hint="default" w:eastAsia="宋体"/>
                <w:color w:val="auto"/>
                <w:szCs w:val="21"/>
                <w:highlight w:val="none"/>
                <w:lang w:val="en-US" w:eastAsia="zh-CN"/>
              </w:rPr>
            </w:pPr>
            <w:r>
              <w:rPr>
                <w:rFonts w:hint="eastAsia"/>
                <w:color w:val="auto"/>
                <w:highlight w:val="none"/>
              </w:rPr>
              <w:t>0.0</w:t>
            </w:r>
            <w:r>
              <w:rPr>
                <w:rFonts w:hint="eastAsia"/>
                <w:color w:val="auto"/>
                <w:highlight w:val="none"/>
                <w:lang w:val="en-US" w:eastAsia="zh-CN"/>
              </w:rPr>
              <w:t>24</w:t>
            </w:r>
          </w:p>
        </w:tc>
        <w:tc>
          <w:tcPr>
            <w:tcW w:w="486" w:type="pct"/>
            <w:vAlign w:val="center"/>
          </w:tcPr>
          <w:p>
            <w:pPr>
              <w:jc w:val="center"/>
              <w:rPr>
                <w:rFonts w:hint="default" w:eastAsia="宋体"/>
                <w:color w:val="auto"/>
                <w:szCs w:val="21"/>
                <w:highlight w:val="none"/>
                <w:lang w:val="en-US" w:eastAsia="zh-CN"/>
              </w:rPr>
            </w:pPr>
            <w:r>
              <w:rPr>
                <w:rFonts w:hint="eastAsia"/>
                <w:color w:val="auto"/>
                <w:highlight w:val="none"/>
                <w:lang w:val="en-US" w:eastAsia="zh-CN"/>
              </w:rPr>
              <w:t>0.173</w:t>
            </w:r>
          </w:p>
        </w:tc>
      </w:tr>
    </w:tbl>
    <w:p>
      <w:pPr>
        <w:pStyle w:val="99"/>
        <w:ind w:firstLine="480"/>
        <w:rPr>
          <w:color w:val="auto"/>
          <w:highlight w:val="none"/>
        </w:rPr>
      </w:pPr>
      <w:r>
        <w:rPr>
          <w:color w:val="auto"/>
          <w:highlight w:val="none"/>
        </w:rPr>
        <w:t>外排废气DA001中挥发性有机物排放浓度和排放速率满足《挥发性有机物排放标准 第6部分：有机化工行业》（DB37/2801.6-2018）</w:t>
      </w:r>
      <w:r>
        <w:rPr>
          <w:color w:val="auto"/>
          <w:spacing w:val="15"/>
          <w:highlight w:val="none"/>
        </w:rPr>
        <w:t>表1中Ⅱ时段的排放限值</w:t>
      </w:r>
      <w:r>
        <w:rPr>
          <w:color w:val="auto"/>
          <w:highlight w:val="none"/>
        </w:rPr>
        <w:t>要求，颗粒物排放浓度满足《山东省区域性大气污染物综合排放标准》（DB37/2376-2019）表1</w:t>
      </w:r>
      <w:r>
        <w:rPr>
          <w:rFonts w:hint="eastAsia"/>
          <w:color w:val="auto"/>
          <w:highlight w:val="none"/>
          <w:lang w:eastAsia="zh-CN"/>
        </w:rPr>
        <w:t>重点控制区</w:t>
      </w:r>
      <w:r>
        <w:rPr>
          <w:color w:val="auto"/>
          <w:highlight w:val="none"/>
        </w:rPr>
        <w:t>标准要求。</w:t>
      </w:r>
    </w:p>
    <w:p>
      <w:pPr>
        <w:pStyle w:val="112"/>
        <w:rPr>
          <w:color w:val="auto"/>
          <w:highlight w:val="none"/>
        </w:rPr>
      </w:pPr>
      <w:r>
        <w:rPr>
          <w:color w:val="auto"/>
          <w:highlight w:val="none"/>
        </w:rPr>
        <w:t>2.3.1.</w:t>
      </w:r>
      <w:r>
        <w:rPr>
          <w:rFonts w:hint="eastAsia"/>
          <w:color w:val="auto"/>
          <w:highlight w:val="none"/>
        </w:rPr>
        <w:t>3无</w:t>
      </w:r>
      <w:r>
        <w:rPr>
          <w:color w:val="auto"/>
          <w:highlight w:val="none"/>
        </w:rPr>
        <w:t>组织废气排放情况</w:t>
      </w:r>
    </w:p>
    <w:p>
      <w:pPr>
        <w:pStyle w:val="99"/>
        <w:ind w:firstLine="480"/>
        <w:rPr>
          <w:color w:val="auto"/>
          <w:highlight w:val="none"/>
        </w:rPr>
      </w:pPr>
      <w:r>
        <w:rPr>
          <w:rFonts w:hint="eastAsia"/>
          <w:color w:val="auto"/>
          <w:highlight w:val="none"/>
        </w:rPr>
        <w:t>项目无组织废气主要为集气罩未收集的VOCs和颗粒物，经计算，无组织VOCs排放量为</w:t>
      </w:r>
      <w:r>
        <w:rPr>
          <w:rFonts w:hint="eastAsia"/>
          <w:color w:val="auto"/>
          <w:highlight w:val="none"/>
          <w:lang w:val="en-US" w:eastAsia="zh-CN"/>
        </w:rPr>
        <w:t>0.885</w:t>
      </w:r>
      <w:r>
        <w:rPr>
          <w:rFonts w:hint="eastAsia"/>
          <w:color w:val="auto"/>
          <w:highlight w:val="none"/>
        </w:rPr>
        <w:t>t/a，排放速率为</w:t>
      </w:r>
      <w:r>
        <w:rPr>
          <w:rFonts w:hint="eastAsia"/>
          <w:color w:val="auto"/>
          <w:highlight w:val="none"/>
          <w:lang w:val="en-US" w:eastAsia="zh-CN"/>
        </w:rPr>
        <w:t>0.123</w:t>
      </w:r>
      <w:r>
        <w:rPr>
          <w:rFonts w:hint="eastAsia"/>
          <w:color w:val="auto"/>
          <w:highlight w:val="none"/>
        </w:rPr>
        <w:t>kg/h，无组织颗粒物排放量为</w:t>
      </w:r>
      <w:r>
        <w:rPr>
          <w:rFonts w:hint="eastAsia"/>
          <w:color w:val="auto"/>
          <w:highlight w:val="none"/>
          <w:lang w:val="en-US" w:eastAsia="zh-CN"/>
        </w:rPr>
        <w:t>0.384</w:t>
      </w:r>
      <w:r>
        <w:rPr>
          <w:rFonts w:hint="eastAsia"/>
          <w:color w:val="auto"/>
          <w:highlight w:val="none"/>
        </w:rPr>
        <w:t>t/a，排放速率为0.0</w:t>
      </w:r>
      <w:r>
        <w:rPr>
          <w:rFonts w:hint="eastAsia"/>
          <w:color w:val="auto"/>
          <w:highlight w:val="none"/>
          <w:lang w:val="en-US" w:eastAsia="zh-CN"/>
        </w:rPr>
        <w:t>53</w:t>
      </w:r>
      <w:r>
        <w:rPr>
          <w:rFonts w:hint="eastAsia"/>
          <w:color w:val="auto"/>
          <w:highlight w:val="none"/>
        </w:rPr>
        <w:t>kg/h。</w:t>
      </w:r>
    </w:p>
    <w:p>
      <w:pPr>
        <w:pStyle w:val="99"/>
        <w:ind w:firstLine="480"/>
        <w:rPr>
          <w:color w:val="auto"/>
          <w:highlight w:val="none"/>
        </w:rPr>
      </w:pPr>
      <w:r>
        <w:rPr>
          <w:rFonts w:hint="eastAsia"/>
          <w:color w:val="auto"/>
          <w:highlight w:val="none"/>
        </w:rPr>
        <w:t>根据预测结果，VOCs厂界排放浓度能满足</w:t>
      </w:r>
      <w:r>
        <w:rPr>
          <w:rFonts w:hAnsi="宋体"/>
          <w:color w:val="auto"/>
          <w:highlight w:val="none"/>
        </w:rPr>
        <w:t>《挥发性有机物排放标准</w:t>
      </w:r>
      <w:r>
        <w:rPr>
          <w:color w:val="auto"/>
          <w:highlight w:val="none"/>
        </w:rPr>
        <w:t xml:space="preserve"> </w:t>
      </w:r>
      <w:r>
        <w:rPr>
          <w:rFonts w:hAnsi="宋体"/>
          <w:color w:val="auto"/>
          <w:highlight w:val="none"/>
        </w:rPr>
        <w:t>第</w:t>
      </w:r>
      <w:r>
        <w:rPr>
          <w:color w:val="auto"/>
          <w:highlight w:val="none"/>
        </w:rPr>
        <w:t>6</w:t>
      </w:r>
      <w:r>
        <w:rPr>
          <w:rFonts w:hAnsi="宋体"/>
          <w:color w:val="auto"/>
          <w:highlight w:val="none"/>
        </w:rPr>
        <w:t>部分：有机化工行业》（</w:t>
      </w:r>
      <w:r>
        <w:rPr>
          <w:color w:val="auto"/>
          <w:highlight w:val="none"/>
        </w:rPr>
        <w:t>DB37/2801.6-2018</w:t>
      </w:r>
      <w:r>
        <w:rPr>
          <w:rFonts w:hAnsi="宋体"/>
          <w:color w:val="auto"/>
          <w:highlight w:val="none"/>
        </w:rPr>
        <w:t>）</w:t>
      </w:r>
      <w:r>
        <w:rPr>
          <w:rFonts w:hAnsi="宋体"/>
          <w:color w:val="auto"/>
          <w:spacing w:val="15"/>
          <w:highlight w:val="none"/>
        </w:rPr>
        <w:t>表</w:t>
      </w:r>
      <w:r>
        <w:rPr>
          <w:color w:val="auto"/>
          <w:spacing w:val="15"/>
          <w:highlight w:val="none"/>
        </w:rPr>
        <w:t>3</w:t>
      </w:r>
      <w:r>
        <w:rPr>
          <w:rFonts w:hAnsi="宋体"/>
          <w:color w:val="auto"/>
          <w:spacing w:val="15"/>
          <w:highlight w:val="none"/>
        </w:rPr>
        <w:t>中的</w:t>
      </w:r>
      <w:r>
        <w:rPr>
          <w:rFonts w:hAnsi="宋体"/>
          <w:color w:val="auto"/>
          <w:highlight w:val="none"/>
        </w:rPr>
        <w:t>企业</w:t>
      </w:r>
      <w:r>
        <w:rPr>
          <w:rFonts w:hAnsi="宋体"/>
          <w:color w:val="auto"/>
          <w:spacing w:val="15"/>
          <w:highlight w:val="none"/>
        </w:rPr>
        <w:t>厂界监控点浓度限值</w:t>
      </w:r>
      <w:r>
        <w:rPr>
          <w:color w:val="auto"/>
          <w:highlight w:val="none"/>
        </w:rPr>
        <w:t>VOCs2.0mg/m</w:t>
      </w:r>
      <w:r>
        <w:rPr>
          <w:color w:val="auto"/>
          <w:highlight w:val="none"/>
          <w:vertAlign w:val="superscript"/>
        </w:rPr>
        <w:t>3</w:t>
      </w:r>
      <w:r>
        <w:rPr>
          <w:rFonts w:hint="eastAsia"/>
          <w:color w:val="auto"/>
          <w:highlight w:val="none"/>
        </w:rPr>
        <w:t>限值，颗粒物厂界排放浓度能满足《大气污染物综合排放标准》(GB16297-1996)表2无组织排放监控浓度限值(1</w:t>
      </w:r>
      <w:r>
        <w:rPr>
          <w:color w:val="auto"/>
          <w:highlight w:val="none"/>
        </w:rPr>
        <w:t>.0</w:t>
      </w:r>
      <w:r>
        <w:rPr>
          <w:rFonts w:hint="eastAsia"/>
          <w:color w:val="auto"/>
          <w:highlight w:val="none"/>
        </w:rPr>
        <w:t>mg/m</w:t>
      </w:r>
      <w:r>
        <w:rPr>
          <w:rFonts w:hint="eastAsia"/>
          <w:color w:val="auto"/>
          <w:highlight w:val="none"/>
          <w:vertAlign w:val="superscript"/>
        </w:rPr>
        <w:t>3</w:t>
      </w:r>
      <w:r>
        <w:rPr>
          <w:rFonts w:hint="eastAsia"/>
          <w:color w:val="auto"/>
          <w:highlight w:val="none"/>
        </w:rPr>
        <w:t>)。</w:t>
      </w:r>
    </w:p>
    <w:p>
      <w:pPr>
        <w:pStyle w:val="99"/>
        <w:ind w:firstLine="480"/>
        <w:rPr>
          <w:color w:val="auto"/>
          <w:highlight w:val="none"/>
        </w:rPr>
        <w:sectPr>
          <w:headerReference r:id="rId11" w:type="default"/>
          <w:headerReference r:id="rId12" w:type="even"/>
          <w:pgSz w:w="11906" w:h="16838"/>
          <w:pgMar w:top="1418" w:right="1418" w:bottom="1418" w:left="1701"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color w:val="auto"/>
          <w:highlight w:val="none"/>
        </w:rPr>
        <w:t>项目废气污染物产生、治理、排放情况见表2.3-3。</w:t>
      </w:r>
    </w:p>
    <w:p>
      <w:pPr>
        <w:widowControl/>
        <w:spacing w:line="360" w:lineRule="auto"/>
        <w:ind w:firstLine="480" w:firstLineChars="200"/>
        <w:jc w:val="center"/>
        <w:rPr>
          <w:rFonts w:eastAsia="黑体"/>
          <w:color w:val="auto"/>
          <w:sz w:val="24"/>
          <w:highlight w:val="none"/>
        </w:rPr>
      </w:pPr>
      <w:r>
        <w:rPr>
          <w:rFonts w:eastAsia="黑体"/>
          <w:color w:val="auto"/>
          <w:sz w:val="24"/>
          <w:highlight w:val="none"/>
        </w:rPr>
        <w:t>表2.</w:t>
      </w:r>
      <w:r>
        <w:rPr>
          <w:rFonts w:hint="eastAsia" w:eastAsia="黑体"/>
          <w:color w:val="auto"/>
          <w:sz w:val="24"/>
          <w:highlight w:val="none"/>
        </w:rPr>
        <w:t>3</w:t>
      </w:r>
      <w:r>
        <w:rPr>
          <w:rFonts w:eastAsia="黑体"/>
          <w:color w:val="auto"/>
          <w:sz w:val="24"/>
          <w:highlight w:val="none"/>
        </w:rPr>
        <w:t>-</w:t>
      </w:r>
      <w:r>
        <w:rPr>
          <w:rFonts w:hint="eastAsia" w:eastAsia="黑体"/>
          <w:color w:val="auto"/>
          <w:sz w:val="24"/>
          <w:highlight w:val="none"/>
        </w:rPr>
        <w:t>3</w:t>
      </w:r>
      <w:r>
        <w:rPr>
          <w:rFonts w:eastAsia="黑体"/>
          <w:color w:val="auto"/>
          <w:sz w:val="24"/>
          <w:highlight w:val="none"/>
        </w:rPr>
        <w:t xml:space="preserve">  </w:t>
      </w:r>
      <w:r>
        <w:rPr>
          <w:rFonts w:hint="eastAsia" w:eastAsia="黑体"/>
          <w:color w:val="auto"/>
          <w:sz w:val="24"/>
          <w:highlight w:val="none"/>
          <w:lang w:val="en-US" w:eastAsia="zh-CN"/>
        </w:rPr>
        <w:t xml:space="preserve"> </w:t>
      </w:r>
      <w:r>
        <w:rPr>
          <w:rFonts w:hint="eastAsia" w:eastAsia="黑体"/>
          <w:color w:val="auto"/>
          <w:sz w:val="24"/>
          <w:highlight w:val="none"/>
        </w:rPr>
        <w:t>项目废气污染物产生、治理、排放情况一览表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851"/>
        <w:gridCol w:w="939"/>
        <w:gridCol w:w="1056"/>
        <w:gridCol w:w="871"/>
        <w:gridCol w:w="942"/>
        <w:gridCol w:w="1292"/>
        <w:gridCol w:w="1059"/>
        <w:gridCol w:w="914"/>
        <w:gridCol w:w="786"/>
        <w:gridCol w:w="1042"/>
        <w:gridCol w:w="1537"/>
        <w:gridCol w:w="777"/>
        <w:gridCol w:w="590"/>
        <w:gridCol w:w="8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7" w:type="pct"/>
            <w:vMerge w:val="restart"/>
            <w:vAlign w:val="center"/>
          </w:tcPr>
          <w:p>
            <w:pPr>
              <w:jc w:val="center"/>
              <w:rPr>
                <w:color w:val="auto"/>
                <w:highlight w:val="none"/>
              </w:rPr>
            </w:pPr>
            <w:r>
              <w:rPr>
                <w:rFonts w:hint="eastAsia"/>
                <w:color w:val="auto"/>
                <w:highlight w:val="none"/>
              </w:rPr>
              <w:t>排放形式</w:t>
            </w:r>
          </w:p>
        </w:tc>
        <w:tc>
          <w:tcPr>
            <w:tcW w:w="299" w:type="pct"/>
            <w:vMerge w:val="restart"/>
            <w:vAlign w:val="center"/>
          </w:tcPr>
          <w:p>
            <w:pPr>
              <w:jc w:val="center"/>
              <w:rPr>
                <w:color w:val="auto"/>
                <w:highlight w:val="none"/>
              </w:rPr>
            </w:pPr>
            <w:r>
              <w:rPr>
                <w:rFonts w:hint="eastAsia"/>
                <w:color w:val="auto"/>
                <w:highlight w:val="none"/>
              </w:rPr>
              <w:t>污染源</w:t>
            </w:r>
          </w:p>
        </w:tc>
        <w:tc>
          <w:tcPr>
            <w:tcW w:w="330" w:type="pct"/>
            <w:vMerge w:val="restart"/>
            <w:vAlign w:val="center"/>
          </w:tcPr>
          <w:p>
            <w:pPr>
              <w:jc w:val="center"/>
              <w:rPr>
                <w:color w:val="auto"/>
                <w:highlight w:val="none"/>
              </w:rPr>
            </w:pPr>
            <w:r>
              <w:rPr>
                <w:rFonts w:hint="eastAsia"/>
                <w:color w:val="auto"/>
                <w:highlight w:val="none"/>
              </w:rPr>
              <w:t>污染物</w:t>
            </w:r>
          </w:p>
        </w:tc>
        <w:tc>
          <w:tcPr>
            <w:tcW w:w="1008" w:type="pct"/>
            <w:gridSpan w:val="3"/>
            <w:vAlign w:val="center"/>
          </w:tcPr>
          <w:p>
            <w:pPr>
              <w:jc w:val="center"/>
              <w:rPr>
                <w:color w:val="auto"/>
                <w:highlight w:val="none"/>
              </w:rPr>
            </w:pPr>
            <w:r>
              <w:rPr>
                <w:color w:val="auto"/>
                <w:highlight w:val="none"/>
              </w:rPr>
              <w:t>产生情况</w:t>
            </w:r>
          </w:p>
        </w:tc>
        <w:tc>
          <w:tcPr>
            <w:tcW w:w="454" w:type="pct"/>
            <w:vMerge w:val="restart"/>
            <w:vAlign w:val="center"/>
          </w:tcPr>
          <w:p>
            <w:pPr>
              <w:jc w:val="center"/>
              <w:rPr>
                <w:color w:val="auto"/>
                <w:highlight w:val="none"/>
              </w:rPr>
            </w:pPr>
            <w:r>
              <w:rPr>
                <w:rFonts w:hint="eastAsia"/>
                <w:color w:val="auto"/>
                <w:highlight w:val="none"/>
              </w:rPr>
              <w:t>治理措施</w:t>
            </w:r>
          </w:p>
        </w:tc>
        <w:tc>
          <w:tcPr>
            <w:tcW w:w="1335" w:type="pct"/>
            <w:gridSpan w:val="4"/>
            <w:vAlign w:val="center"/>
          </w:tcPr>
          <w:p>
            <w:pPr>
              <w:jc w:val="center"/>
              <w:rPr>
                <w:color w:val="auto"/>
                <w:highlight w:val="none"/>
              </w:rPr>
            </w:pPr>
            <w:r>
              <w:rPr>
                <w:color w:val="auto"/>
                <w:highlight w:val="none"/>
              </w:rPr>
              <w:t>排放情况</w:t>
            </w:r>
          </w:p>
        </w:tc>
        <w:tc>
          <w:tcPr>
            <w:tcW w:w="813" w:type="pct"/>
            <w:gridSpan w:val="2"/>
            <w:vAlign w:val="center"/>
          </w:tcPr>
          <w:p>
            <w:pPr>
              <w:jc w:val="center"/>
              <w:rPr>
                <w:color w:val="auto"/>
                <w:highlight w:val="none"/>
              </w:rPr>
            </w:pPr>
            <w:r>
              <w:rPr>
                <w:rFonts w:hint="eastAsia"/>
                <w:color w:val="auto"/>
                <w:highlight w:val="none"/>
              </w:rPr>
              <w:t>排放标准</w:t>
            </w:r>
          </w:p>
        </w:tc>
        <w:tc>
          <w:tcPr>
            <w:tcW w:w="499" w:type="pct"/>
            <w:gridSpan w:val="2"/>
            <w:vAlign w:val="center"/>
          </w:tcPr>
          <w:p>
            <w:pPr>
              <w:jc w:val="center"/>
              <w:rPr>
                <w:color w:val="auto"/>
                <w:highlight w:val="none"/>
              </w:rPr>
            </w:pPr>
            <w:r>
              <w:rPr>
                <w:rFonts w:hint="eastAsia"/>
                <w:color w:val="auto"/>
                <w:highlight w:val="none"/>
              </w:rPr>
              <w:t>排气筒参数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7" w:type="pct"/>
            <w:vMerge w:val="continue"/>
            <w:vAlign w:val="center"/>
          </w:tcPr>
          <w:p>
            <w:pPr>
              <w:jc w:val="center"/>
              <w:rPr>
                <w:color w:val="auto"/>
                <w:highlight w:val="none"/>
              </w:rPr>
            </w:pPr>
          </w:p>
        </w:tc>
        <w:tc>
          <w:tcPr>
            <w:tcW w:w="299" w:type="pct"/>
            <w:vMerge w:val="continue"/>
            <w:vAlign w:val="center"/>
          </w:tcPr>
          <w:p>
            <w:pPr>
              <w:jc w:val="center"/>
              <w:rPr>
                <w:color w:val="auto"/>
                <w:highlight w:val="none"/>
              </w:rPr>
            </w:pPr>
          </w:p>
        </w:tc>
        <w:tc>
          <w:tcPr>
            <w:tcW w:w="330" w:type="pct"/>
            <w:vMerge w:val="continue"/>
            <w:vAlign w:val="center"/>
          </w:tcPr>
          <w:p>
            <w:pPr>
              <w:jc w:val="center"/>
              <w:rPr>
                <w:color w:val="auto"/>
                <w:highlight w:val="none"/>
              </w:rPr>
            </w:pPr>
          </w:p>
        </w:tc>
        <w:tc>
          <w:tcPr>
            <w:tcW w:w="371" w:type="pct"/>
            <w:vAlign w:val="center"/>
          </w:tcPr>
          <w:p>
            <w:pPr>
              <w:jc w:val="center"/>
              <w:rPr>
                <w:color w:val="auto"/>
                <w:highlight w:val="none"/>
              </w:rPr>
            </w:pPr>
            <w:r>
              <w:rPr>
                <w:color w:val="auto"/>
                <w:highlight w:val="none"/>
              </w:rPr>
              <w:t>浓度(mg/m</w:t>
            </w:r>
            <w:r>
              <w:rPr>
                <w:color w:val="auto"/>
                <w:highlight w:val="none"/>
                <w:vertAlign w:val="superscript"/>
              </w:rPr>
              <w:t>3</w:t>
            </w:r>
            <w:r>
              <w:rPr>
                <w:color w:val="auto"/>
                <w:highlight w:val="none"/>
              </w:rPr>
              <w:t>)</w:t>
            </w:r>
          </w:p>
        </w:tc>
        <w:tc>
          <w:tcPr>
            <w:tcW w:w="306" w:type="pct"/>
            <w:vAlign w:val="center"/>
          </w:tcPr>
          <w:p>
            <w:pPr>
              <w:jc w:val="center"/>
              <w:rPr>
                <w:color w:val="auto"/>
                <w:highlight w:val="none"/>
              </w:rPr>
            </w:pPr>
            <w:r>
              <w:rPr>
                <w:color w:val="auto"/>
                <w:highlight w:val="none"/>
              </w:rPr>
              <w:t>速率(kg/h)</w:t>
            </w:r>
          </w:p>
        </w:tc>
        <w:tc>
          <w:tcPr>
            <w:tcW w:w="331" w:type="pct"/>
            <w:vAlign w:val="center"/>
          </w:tcPr>
          <w:p>
            <w:pPr>
              <w:jc w:val="center"/>
              <w:rPr>
                <w:color w:val="auto"/>
                <w:highlight w:val="none"/>
              </w:rPr>
            </w:pPr>
            <w:r>
              <w:rPr>
                <w:color w:val="auto"/>
                <w:highlight w:val="none"/>
              </w:rPr>
              <w:t>产生量(t/a)</w:t>
            </w:r>
          </w:p>
        </w:tc>
        <w:tc>
          <w:tcPr>
            <w:tcW w:w="454" w:type="pct"/>
            <w:vMerge w:val="continue"/>
            <w:vAlign w:val="center"/>
          </w:tcPr>
          <w:p>
            <w:pPr>
              <w:jc w:val="center"/>
              <w:rPr>
                <w:color w:val="auto"/>
                <w:highlight w:val="none"/>
              </w:rPr>
            </w:pPr>
          </w:p>
        </w:tc>
        <w:tc>
          <w:tcPr>
            <w:tcW w:w="372" w:type="pct"/>
            <w:vAlign w:val="center"/>
          </w:tcPr>
          <w:p>
            <w:pPr>
              <w:jc w:val="center"/>
              <w:rPr>
                <w:color w:val="auto"/>
                <w:highlight w:val="none"/>
              </w:rPr>
            </w:pPr>
            <w:r>
              <w:rPr>
                <w:rFonts w:hint="eastAsia"/>
                <w:color w:val="auto"/>
                <w:highlight w:val="none"/>
              </w:rPr>
              <w:t>废气量(m</w:t>
            </w:r>
            <w:r>
              <w:rPr>
                <w:rFonts w:hint="eastAsia"/>
                <w:color w:val="auto"/>
                <w:highlight w:val="none"/>
                <w:vertAlign w:val="superscript"/>
              </w:rPr>
              <w:t>3</w:t>
            </w:r>
            <w:r>
              <w:rPr>
                <w:rFonts w:hint="eastAsia"/>
                <w:color w:val="auto"/>
                <w:highlight w:val="none"/>
              </w:rPr>
              <w:t>/h)</w:t>
            </w:r>
          </w:p>
        </w:tc>
        <w:tc>
          <w:tcPr>
            <w:tcW w:w="321" w:type="pct"/>
            <w:vAlign w:val="center"/>
          </w:tcPr>
          <w:p>
            <w:pPr>
              <w:jc w:val="center"/>
              <w:rPr>
                <w:color w:val="auto"/>
                <w:highlight w:val="none"/>
              </w:rPr>
            </w:pPr>
            <w:r>
              <w:rPr>
                <w:color w:val="auto"/>
                <w:highlight w:val="none"/>
              </w:rPr>
              <w:t>浓度(mg/m</w:t>
            </w:r>
            <w:r>
              <w:rPr>
                <w:color w:val="auto"/>
                <w:highlight w:val="none"/>
                <w:vertAlign w:val="superscript"/>
              </w:rPr>
              <w:t>3</w:t>
            </w:r>
            <w:r>
              <w:rPr>
                <w:color w:val="auto"/>
                <w:highlight w:val="none"/>
              </w:rPr>
              <w:t>)</w:t>
            </w:r>
          </w:p>
        </w:tc>
        <w:tc>
          <w:tcPr>
            <w:tcW w:w="276" w:type="pct"/>
            <w:vAlign w:val="center"/>
          </w:tcPr>
          <w:p>
            <w:pPr>
              <w:jc w:val="center"/>
              <w:rPr>
                <w:color w:val="auto"/>
                <w:highlight w:val="none"/>
              </w:rPr>
            </w:pPr>
            <w:r>
              <w:rPr>
                <w:color w:val="auto"/>
                <w:highlight w:val="none"/>
              </w:rPr>
              <w:t>速率(kg/h)</w:t>
            </w:r>
          </w:p>
        </w:tc>
        <w:tc>
          <w:tcPr>
            <w:tcW w:w="365" w:type="pct"/>
            <w:vAlign w:val="center"/>
          </w:tcPr>
          <w:p>
            <w:pPr>
              <w:jc w:val="center"/>
              <w:rPr>
                <w:color w:val="auto"/>
                <w:highlight w:val="none"/>
              </w:rPr>
            </w:pPr>
            <w:r>
              <w:rPr>
                <w:color w:val="auto"/>
                <w:highlight w:val="none"/>
              </w:rPr>
              <w:t>排放量(t/a)</w:t>
            </w:r>
          </w:p>
        </w:tc>
        <w:tc>
          <w:tcPr>
            <w:tcW w:w="540" w:type="pct"/>
            <w:vAlign w:val="center"/>
          </w:tcPr>
          <w:p>
            <w:pPr>
              <w:jc w:val="center"/>
              <w:rPr>
                <w:color w:val="auto"/>
                <w:highlight w:val="none"/>
              </w:rPr>
            </w:pPr>
            <w:r>
              <w:rPr>
                <w:color w:val="auto"/>
                <w:highlight w:val="none"/>
              </w:rPr>
              <w:t>浓度(mg/m</w:t>
            </w:r>
            <w:r>
              <w:rPr>
                <w:color w:val="auto"/>
                <w:highlight w:val="none"/>
                <w:vertAlign w:val="superscript"/>
              </w:rPr>
              <w:t>3</w:t>
            </w:r>
            <w:r>
              <w:rPr>
                <w:color w:val="auto"/>
                <w:highlight w:val="none"/>
              </w:rPr>
              <w:t>)</w:t>
            </w:r>
          </w:p>
        </w:tc>
        <w:tc>
          <w:tcPr>
            <w:tcW w:w="273" w:type="pct"/>
            <w:vAlign w:val="center"/>
          </w:tcPr>
          <w:p>
            <w:pPr>
              <w:jc w:val="center"/>
              <w:rPr>
                <w:color w:val="auto"/>
                <w:highlight w:val="none"/>
              </w:rPr>
            </w:pPr>
            <w:r>
              <w:rPr>
                <w:color w:val="auto"/>
                <w:highlight w:val="none"/>
              </w:rPr>
              <w:t>速率(kg/h)</w:t>
            </w:r>
          </w:p>
        </w:tc>
        <w:tc>
          <w:tcPr>
            <w:tcW w:w="207" w:type="pct"/>
            <w:vMerge w:val="restart"/>
            <w:vAlign w:val="center"/>
          </w:tcPr>
          <w:p>
            <w:pPr>
              <w:jc w:val="center"/>
              <w:rPr>
                <w:rFonts w:hint="eastAsia" w:eastAsia="宋体"/>
                <w:color w:val="auto"/>
                <w:highlight w:val="none"/>
                <w:lang w:eastAsia="zh-CN"/>
              </w:rPr>
            </w:pPr>
            <w:r>
              <w:rPr>
                <w:rFonts w:hint="eastAsia"/>
                <w:color w:val="auto"/>
                <w:highlight w:val="none"/>
                <w:lang w:eastAsia="zh-CN"/>
              </w:rPr>
              <w:t>20m</w:t>
            </w:r>
          </w:p>
        </w:tc>
        <w:tc>
          <w:tcPr>
            <w:tcW w:w="292" w:type="pct"/>
            <w:vMerge w:val="restart"/>
            <w:vAlign w:val="center"/>
          </w:tcPr>
          <w:p>
            <w:pPr>
              <w:jc w:val="center"/>
              <w:rPr>
                <w:color w:val="auto"/>
                <w:highlight w:val="none"/>
              </w:rPr>
            </w:pPr>
            <w:r>
              <w:rPr>
                <w:rFonts w:hint="eastAsia"/>
                <w:color w:val="auto"/>
                <w:highlight w:val="none"/>
              </w:rPr>
              <w:t>r=0.6m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7" w:type="pct"/>
            <w:vMerge w:val="restart"/>
            <w:vAlign w:val="center"/>
          </w:tcPr>
          <w:p>
            <w:pPr>
              <w:jc w:val="center"/>
              <w:rPr>
                <w:color w:val="auto"/>
                <w:highlight w:val="none"/>
              </w:rPr>
            </w:pPr>
            <w:r>
              <w:rPr>
                <w:rFonts w:hint="eastAsia"/>
                <w:color w:val="auto"/>
                <w:highlight w:val="none"/>
              </w:rPr>
              <w:t>有组织</w:t>
            </w:r>
          </w:p>
        </w:tc>
        <w:tc>
          <w:tcPr>
            <w:tcW w:w="299" w:type="pct"/>
            <w:vMerge w:val="restart"/>
            <w:vAlign w:val="center"/>
          </w:tcPr>
          <w:p>
            <w:pPr>
              <w:jc w:val="center"/>
              <w:rPr>
                <w:color w:val="auto"/>
                <w:highlight w:val="none"/>
              </w:rPr>
            </w:pPr>
            <w:r>
              <w:rPr>
                <w:rFonts w:hint="eastAsia"/>
                <w:color w:val="auto"/>
                <w:highlight w:val="none"/>
              </w:rPr>
              <w:t>挤出、缠绕、熔融、注塑</w:t>
            </w:r>
          </w:p>
        </w:tc>
        <w:tc>
          <w:tcPr>
            <w:tcW w:w="330" w:type="pct"/>
            <w:vAlign w:val="center"/>
          </w:tcPr>
          <w:p>
            <w:pPr>
              <w:jc w:val="center"/>
              <w:rPr>
                <w:color w:val="auto"/>
                <w:highlight w:val="none"/>
              </w:rPr>
            </w:pPr>
            <w:r>
              <w:rPr>
                <w:rFonts w:hint="eastAsia"/>
                <w:color w:val="auto"/>
                <w:highlight w:val="none"/>
              </w:rPr>
              <w:t>VOCs</w:t>
            </w:r>
          </w:p>
        </w:tc>
        <w:tc>
          <w:tcPr>
            <w:tcW w:w="1056" w:type="dxa"/>
            <w:vAlign w:val="center"/>
          </w:tcPr>
          <w:p>
            <w:pPr>
              <w:jc w:val="center"/>
              <w:rPr>
                <w:color w:val="auto"/>
                <w:szCs w:val="21"/>
                <w:highlight w:val="none"/>
              </w:rPr>
            </w:pPr>
            <w:r>
              <w:rPr>
                <w:rFonts w:hint="eastAsia"/>
                <w:color w:val="auto"/>
                <w:szCs w:val="21"/>
                <w:highlight w:val="none"/>
                <w:lang w:val="en-US" w:eastAsia="zh-CN"/>
              </w:rPr>
              <w:t>55.3</w:t>
            </w:r>
          </w:p>
        </w:tc>
        <w:tc>
          <w:tcPr>
            <w:tcW w:w="871" w:type="dxa"/>
            <w:vAlign w:val="center"/>
          </w:tcPr>
          <w:p>
            <w:pPr>
              <w:jc w:val="center"/>
              <w:rPr>
                <w:color w:val="auto"/>
                <w:szCs w:val="21"/>
                <w:highlight w:val="none"/>
              </w:rPr>
            </w:pPr>
            <w:r>
              <w:rPr>
                <w:rFonts w:hint="eastAsia"/>
                <w:color w:val="auto"/>
                <w:szCs w:val="21"/>
                <w:highlight w:val="none"/>
                <w:lang w:val="en-US" w:eastAsia="zh-CN"/>
              </w:rPr>
              <w:t>1.106</w:t>
            </w:r>
          </w:p>
        </w:tc>
        <w:tc>
          <w:tcPr>
            <w:tcW w:w="942" w:type="dxa"/>
            <w:vAlign w:val="center"/>
          </w:tcPr>
          <w:p>
            <w:pPr>
              <w:jc w:val="center"/>
              <w:rPr>
                <w:color w:val="auto"/>
                <w:szCs w:val="21"/>
                <w:highlight w:val="none"/>
              </w:rPr>
            </w:pPr>
            <w:r>
              <w:rPr>
                <w:rFonts w:hint="eastAsia"/>
                <w:color w:val="auto"/>
                <w:szCs w:val="21"/>
                <w:highlight w:val="none"/>
                <w:lang w:val="en-US" w:eastAsia="zh-CN"/>
              </w:rPr>
              <w:t>7.96</w:t>
            </w:r>
          </w:p>
        </w:tc>
        <w:tc>
          <w:tcPr>
            <w:tcW w:w="454" w:type="pct"/>
            <w:vMerge w:val="restart"/>
            <w:vAlign w:val="center"/>
          </w:tcPr>
          <w:p>
            <w:pPr>
              <w:jc w:val="center"/>
              <w:rPr>
                <w:color w:val="auto"/>
                <w:szCs w:val="21"/>
                <w:highlight w:val="none"/>
              </w:rPr>
            </w:pPr>
            <w:r>
              <w:rPr>
                <w:rFonts w:hint="eastAsia"/>
                <w:color w:val="auto"/>
                <w:szCs w:val="21"/>
                <w:highlight w:val="none"/>
              </w:rPr>
              <w:t>布袋除尘+活性炭吸附浓缩+催化燃烧+</w:t>
            </w:r>
            <w:r>
              <w:rPr>
                <w:rFonts w:hint="eastAsia"/>
                <w:color w:val="auto"/>
                <w:szCs w:val="21"/>
                <w:highlight w:val="none"/>
                <w:lang w:eastAsia="zh-CN"/>
              </w:rPr>
              <w:t>20m</w:t>
            </w:r>
            <w:r>
              <w:rPr>
                <w:rFonts w:hint="eastAsia"/>
                <w:color w:val="auto"/>
                <w:szCs w:val="21"/>
                <w:highlight w:val="none"/>
              </w:rPr>
              <w:t>高排气筒</w:t>
            </w:r>
          </w:p>
        </w:tc>
        <w:tc>
          <w:tcPr>
            <w:tcW w:w="372" w:type="pct"/>
            <w:vMerge w:val="restart"/>
            <w:vAlign w:val="center"/>
          </w:tcPr>
          <w:p>
            <w:pPr>
              <w:jc w:val="center"/>
              <w:rPr>
                <w:color w:val="auto"/>
                <w:szCs w:val="21"/>
                <w:highlight w:val="none"/>
              </w:rPr>
            </w:pPr>
            <w:r>
              <w:rPr>
                <w:rFonts w:hint="eastAsia"/>
                <w:color w:val="auto"/>
                <w:highlight w:val="none"/>
                <w:lang w:val="en-US" w:eastAsia="zh-CN"/>
              </w:rPr>
              <w:t>15</w:t>
            </w:r>
            <w:r>
              <w:rPr>
                <w:rFonts w:hint="eastAsia"/>
                <w:color w:val="auto"/>
                <w:highlight w:val="none"/>
              </w:rPr>
              <w:t>000</w:t>
            </w:r>
          </w:p>
        </w:tc>
        <w:tc>
          <w:tcPr>
            <w:tcW w:w="914" w:type="dxa"/>
            <w:vAlign w:val="center"/>
          </w:tcPr>
          <w:p>
            <w:pPr>
              <w:jc w:val="center"/>
              <w:rPr>
                <w:color w:val="auto"/>
                <w:szCs w:val="21"/>
                <w:highlight w:val="none"/>
              </w:rPr>
            </w:pPr>
            <w:r>
              <w:rPr>
                <w:rFonts w:hint="eastAsia"/>
                <w:color w:val="auto"/>
                <w:szCs w:val="21"/>
                <w:highlight w:val="none"/>
                <w:lang w:val="en-US" w:eastAsia="zh-CN"/>
              </w:rPr>
              <w:t>2.75</w:t>
            </w:r>
          </w:p>
        </w:tc>
        <w:tc>
          <w:tcPr>
            <w:tcW w:w="786" w:type="dxa"/>
            <w:vAlign w:val="center"/>
          </w:tcPr>
          <w:p>
            <w:pPr>
              <w:jc w:val="center"/>
              <w:rPr>
                <w:color w:val="auto"/>
                <w:szCs w:val="21"/>
                <w:highlight w:val="none"/>
              </w:rPr>
            </w:pPr>
            <w:r>
              <w:rPr>
                <w:rFonts w:hint="eastAsia"/>
                <w:color w:val="auto"/>
                <w:szCs w:val="21"/>
                <w:highlight w:val="none"/>
                <w:lang w:val="en-US" w:eastAsia="zh-CN"/>
              </w:rPr>
              <w:t>0.055</w:t>
            </w:r>
          </w:p>
        </w:tc>
        <w:tc>
          <w:tcPr>
            <w:tcW w:w="1042" w:type="dxa"/>
            <w:vAlign w:val="center"/>
          </w:tcPr>
          <w:p>
            <w:pPr>
              <w:jc w:val="center"/>
              <w:rPr>
                <w:color w:val="auto"/>
                <w:szCs w:val="21"/>
                <w:highlight w:val="none"/>
              </w:rPr>
            </w:pPr>
            <w:r>
              <w:rPr>
                <w:rFonts w:hint="eastAsia"/>
                <w:color w:val="auto"/>
                <w:szCs w:val="21"/>
                <w:highlight w:val="none"/>
                <w:lang w:val="en-US" w:eastAsia="zh-CN"/>
              </w:rPr>
              <w:t>0.398</w:t>
            </w:r>
          </w:p>
        </w:tc>
        <w:tc>
          <w:tcPr>
            <w:tcW w:w="540" w:type="pct"/>
            <w:vAlign w:val="center"/>
          </w:tcPr>
          <w:p>
            <w:pPr>
              <w:jc w:val="center"/>
              <w:rPr>
                <w:color w:val="auto"/>
                <w:szCs w:val="21"/>
                <w:highlight w:val="none"/>
              </w:rPr>
            </w:pPr>
            <w:r>
              <w:rPr>
                <w:rFonts w:hint="eastAsia"/>
                <w:color w:val="auto"/>
                <w:szCs w:val="21"/>
                <w:highlight w:val="none"/>
              </w:rPr>
              <w:t>60</w:t>
            </w:r>
          </w:p>
        </w:tc>
        <w:tc>
          <w:tcPr>
            <w:tcW w:w="273" w:type="pct"/>
            <w:vAlign w:val="center"/>
          </w:tcPr>
          <w:p>
            <w:pPr>
              <w:jc w:val="center"/>
              <w:rPr>
                <w:color w:val="auto"/>
                <w:szCs w:val="21"/>
                <w:highlight w:val="none"/>
              </w:rPr>
            </w:pPr>
            <w:r>
              <w:rPr>
                <w:rFonts w:hint="eastAsia"/>
                <w:color w:val="auto"/>
                <w:szCs w:val="21"/>
                <w:highlight w:val="none"/>
              </w:rPr>
              <w:t>3.0</w:t>
            </w:r>
          </w:p>
        </w:tc>
        <w:tc>
          <w:tcPr>
            <w:tcW w:w="207" w:type="pct"/>
            <w:vMerge w:val="continue"/>
            <w:vAlign w:val="center"/>
          </w:tcPr>
          <w:p>
            <w:pPr>
              <w:jc w:val="center"/>
              <w:rPr>
                <w:color w:val="auto"/>
                <w:szCs w:val="21"/>
                <w:highlight w:val="none"/>
              </w:rPr>
            </w:pPr>
          </w:p>
        </w:tc>
        <w:tc>
          <w:tcPr>
            <w:tcW w:w="292" w:type="pct"/>
            <w:vMerge w:val="continue"/>
            <w:vAlign w:val="center"/>
          </w:tcPr>
          <w:p>
            <w:pPr>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7" w:type="pct"/>
            <w:vMerge w:val="continue"/>
            <w:vAlign w:val="center"/>
          </w:tcPr>
          <w:p>
            <w:pPr>
              <w:jc w:val="center"/>
              <w:rPr>
                <w:color w:val="auto"/>
                <w:highlight w:val="none"/>
              </w:rPr>
            </w:pPr>
          </w:p>
        </w:tc>
        <w:tc>
          <w:tcPr>
            <w:tcW w:w="299" w:type="pct"/>
            <w:vMerge w:val="continue"/>
            <w:vAlign w:val="center"/>
          </w:tcPr>
          <w:p>
            <w:pPr>
              <w:jc w:val="center"/>
              <w:rPr>
                <w:color w:val="auto"/>
                <w:highlight w:val="none"/>
              </w:rPr>
            </w:pPr>
          </w:p>
        </w:tc>
        <w:tc>
          <w:tcPr>
            <w:tcW w:w="330" w:type="pct"/>
            <w:vAlign w:val="center"/>
          </w:tcPr>
          <w:p>
            <w:pPr>
              <w:jc w:val="center"/>
              <w:rPr>
                <w:color w:val="auto"/>
                <w:highlight w:val="none"/>
              </w:rPr>
            </w:pPr>
            <w:r>
              <w:rPr>
                <w:rFonts w:hint="eastAsia"/>
                <w:color w:val="auto"/>
                <w:highlight w:val="none"/>
              </w:rPr>
              <w:t>颗粒物</w:t>
            </w:r>
          </w:p>
        </w:tc>
        <w:tc>
          <w:tcPr>
            <w:tcW w:w="1056" w:type="dxa"/>
            <w:vAlign w:val="center"/>
          </w:tcPr>
          <w:p>
            <w:pPr>
              <w:jc w:val="center"/>
              <w:rPr>
                <w:color w:val="auto"/>
                <w:szCs w:val="21"/>
                <w:highlight w:val="none"/>
              </w:rPr>
            </w:pPr>
            <w:r>
              <w:rPr>
                <w:rFonts w:hint="eastAsia"/>
                <w:color w:val="auto"/>
                <w:szCs w:val="21"/>
                <w:highlight w:val="none"/>
                <w:lang w:val="en-US" w:eastAsia="zh-CN"/>
              </w:rPr>
              <w:t>32</w:t>
            </w:r>
          </w:p>
        </w:tc>
        <w:tc>
          <w:tcPr>
            <w:tcW w:w="871" w:type="dxa"/>
            <w:vAlign w:val="center"/>
          </w:tcPr>
          <w:p>
            <w:pPr>
              <w:jc w:val="center"/>
              <w:rPr>
                <w:color w:val="auto"/>
                <w:szCs w:val="21"/>
                <w:highlight w:val="none"/>
              </w:rPr>
            </w:pPr>
            <w:r>
              <w:rPr>
                <w:rFonts w:hint="eastAsia"/>
                <w:color w:val="auto"/>
                <w:szCs w:val="21"/>
                <w:highlight w:val="none"/>
                <w:lang w:val="en-US" w:eastAsia="zh-CN"/>
              </w:rPr>
              <w:t>0.48</w:t>
            </w:r>
          </w:p>
        </w:tc>
        <w:tc>
          <w:tcPr>
            <w:tcW w:w="942" w:type="dxa"/>
            <w:vAlign w:val="center"/>
          </w:tcPr>
          <w:p>
            <w:pPr>
              <w:jc w:val="center"/>
              <w:rPr>
                <w:color w:val="auto"/>
                <w:szCs w:val="21"/>
                <w:highlight w:val="none"/>
              </w:rPr>
            </w:pPr>
            <w:r>
              <w:rPr>
                <w:rFonts w:hint="eastAsia"/>
                <w:color w:val="auto"/>
                <w:szCs w:val="21"/>
                <w:highlight w:val="none"/>
                <w:lang w:val="en-US" w:eastAsia="zh-CN"/>
              </w:rPr>
              <w:t>3.456</w:t>
            </w:r>
          </w:p>
        </w:tc>
        <w:tc>
          <w:tcPr>
            <w:tcW w:w="454" w:type="pct"/>
            <w:vMerge w:val="continue"/>
            <w:vAlign w:val="center"/>
          </w:tcPr>
          <w:p>
            <w:pPr>
              <w:jc w:val="center"/>
              <w:rPr>
                <w:color w:val="auto"/>
                <w:szCs w:val="21"/>
                <w:highlight w:val="none"/>
              </w:rPr>
            </w:pPr>
          </w:p>
        </w:tc>
        <w:tc>
          <w:tcPr>
            <w:tcW w:w="372" w:type="pct"/>
            <w:vMerge w:val="continue"/>
            <w:vAlign w:val="center"/>
          </w:tcPr>
          <w:p>
            <w:pPr>
              <w:jc w:val="center"/>
              <w:rPr>
                <w:color w:val="auto"/>
                <w:szCs w:val="21"/>
                <w:highlight w:val="none"/>
              </w:rPr>
            </w:pPr>
          </w:p>
        </w:tc>
        <w:tc>
          <w:tcPr>
            <w:tcW w:w="914" w:type="dxa"/>
            <w:vAlign w:val="center"/>
          </w:tcPr>
          <w:p>
            <w:pPr>
              <w:jc w:val="center"/>
              <w:rPr>
                <w:color w:val="auto"/>
                <w:szCs w:val="21"/>
                <w:highlight w:val="none"/>
              </w:rPr>
            </w:pPr>
            <w:r>
              <w:rPr>
                <w:rFonts w:hint="eastAsia"/>
                <w:color w:val="auto"/>
                <w:highlight w:val="none"/>
                <w:lang w:val="en-US" w:eastAsia="zh-CN"/>
              </w:rPr>
              <w:t>1.6</w:t>
            </w:r>
          </w:p>
        </w:tc>
        <w:tc>
          <w:tcPr>
            <w:tcW w:w="786" w:type="dxa"/>
            <w:vAlign w:val="center"/>
          </w:tcPr>
          <w:p>
            <w:pPr>
              <w:jc w:val="center"/>
              <w:rPr>
                <w:color w:val="auto"/>
                <w:szCs w:val="21"/>
                <w:highlight w:val="none"/>
              </w:rPr>
            </w:pPr>
            <w:r>
              <w:rPr>
                <w:rFonts w:hint="eastAsia"/>
                <w:color w:val="auto"/>
                <w:highlight w:val="none"/>
              </w:rPr>
              <w:t>0.0</w:t>
            </w:r>
            <w:r>
              <w:rPr>
                <w:rFonts w:hint="eastAsia"/>
                <w:color w:val="auto"/>
                <w:highlight w:val="none"/>
                <w:lang w:val="en-US" w:eastAsia="zh-CN"/>
              </w:rPr>
              <w:t>24</w:t>
            </w:r>
          </w:p>
        </w:tc>
        <w:tc>
          <w:tcPr>
            <w:tcW w:w="1042" w:type="dxa"/>
            <w:vAlign w:val="center"/>
          </w:tcPr>
          <w:p>
            <w:pPr>
              <w:jc w:val="center"/>
              <w:rPr>
                <w:color w:val="auto"/>
                <w:szCs w:val="21"/>
                <w:highlight w:val="none"/>
              </w:rPr>
            </w:pPr>
            <w:r>
              <w:rPr>
                <w:rFonts w:hint="eastAsia"/>
                <w:color w:val="auto"/>
                <w:highlight w:val="none"/>
                <w:lang w:val="en-US" w:eastAsia="zh-CN"/>
              </w:rPr>
              <w:t>0.173</w:t>
            </w:r>
          </w:p>
        </w:tc>
        <w:tc>
          <w:tcPr>
            <w:tcW w:w="540" w:type="pct"/>
            <w:vAlign w:val="center"/>
          </w:tcPr>
          <w:p>
            <w:pPr>
              <w:jc w:val="center"/>
              <w:rPr>
                <w:color w:val="auto"/>
                <w:szCs w:val="21"/>
                <w:highlight w:val="none"/>
              </w:rPr>
            </w:pPr>
            <w:r>
              <w:rPr>
                <w:rFonts w:hint="eastAsia"/>
                <w:color w:val="auto"/>
                <w:szCs w:val="21"/>
                <w:highlight w:val="none"/>
                <w:lang w:val="en-US" w:eastAsia="zh-CN"/>
              </w:rPr>
              <w:t>1</w:t>
            </w:r>
            <w:r>
              <w:rPr>
                <w:rFonts w:hint="eastAsia"/>
                <w:color w:val="auto"/>
                <w:szCs w:val="21"/>
                <w:highlight w:val="none"/>
              </w:rPr>
              <w:t>0</w:t>
            </w:r>
          </w:p>
        </w:tc>
        <w:tc>
          <w:tcPr>
            <w:tcW w:w="273" w:type="pct"/>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5.9</w:t>
            </w:r>
          </w:p>
        </w:tc>
        <w:tc>
          <w:tcPr>
            <w:tcW w:w="207" w:type="pct"/>
            <w:vMerge w:val="continue"/>
            <w:vAlign w:val="center"/>
          </w:tcPr>
          <w:p>
            <w:pPr>
              <w:jc w:val="center"/>
              <w:rPr>
                <w:color w:val="auto"/>
                <w:szCs w:val="21"/>
                <w:highlight w:val="none"/>
              </w:rPr>
            </w:pPr>
          </w:p>
        </w:tc>
        <w:tc>
          <w:tcPr>
            <w:tcW w:w="292" w:type="pct"/>
            <w:vMerge w:val="continue"/>
            <w:vAlign w:val="center"/>
          </w:tcPr>
          <w:p>
            <w:pPr>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7" w:type="pct"/>
            <w:vMerge w:val="restart"/>
            <w:vAlign w:val="center"/>
          </w:tcPr>
          <w:p>
            <w:pPr>
              <w:jc w:val="center"/>
              <w:rPr>
                <w:color w:val="auto"/>
                <w:highlight w:val="none"/>
              </w:rPr>
            </w:pPr>
            <w:r>
              <w:rPr>
                <w:rFonts w:hint="eastAsia"/>
                <w:color w:val="auto"/>
                <w:highlight w:val="none"/>
              </w:rPr>
              <w:t>无组织</w:t>
            </w:r>
          </w:p>
        </w:tc>
        <w:tc>
          <w:tcPr>
            <w:tcW w:w="299" w:type="pct"/>
            <w:vMerge w:val="restart"/>
            <w:vAlign w:val="center"/>
          </w:tcPr>
          <w:p>
            <w:pPr>
              <w:jc w:val="center"/>
              <w:rPr>
                <w:rFonts w:hint="eastAsia" w:eastAsia="宋体"/>
                <w:color w:val="auto"/>
                <w:highlight w:val="none"/>
                <w:lang w:eastAsia="zh-CN"/>
              </w:rPr>
            </w:pPr>
            <w:r>
              <w:rPr>
                <w:rFonts w:hint="eastAsia"/>
                <w:color w:val="auto"/>
                <w:highlight w:val="none"/>
              </w:rPr>
              <w:t>生产</w:t>
            </w:r>
            <w:r>
              <w:rPr>
                <w:rFonts w:hint="eastAsia"/>
                <w:color w:val="auto"/>
                <w:highlight w:val="none"/>
                <w:lang w:val="en-US" w:eastAsia="zh-CN"/>
              </w:rPr>
              <w:t>区</w:t>
            </w:r>
          </w:p>
        </w:tc>
        <w:tc>
          <w:tcPr>
            <w:tcW w:w="330" w:type="pct"/>
            <w:vAlign w:val="center"/>
          </w:tcPr>
          <w:p>
            <w:pPr>
              <w:jc w:val="center"/>
              <w:rPr>
                <w:color w:val="auto"/>
                <w:highlight w:val="none"/>
              </w:rPr>
            </w:pPr>
            <w:r>
              <w:rPr>
                <w:rFonts w:hint="eastAsia"/>
                <w:color w:val="auto"/>
                <w:highlight w:val="none"/>
              </w:rPr>
              <w:t>颗粒物</w:t>
            </w:r>
          </w:p>
        </w:tc>
        <w:tc>
          <w:tcPr>
            <w:tcW w:w="371" w:type="pct"/>
            <w:vAlign w:val="center"/>
          </w:tcPr>
          <w:p>
            <w:pPr>
              <w:jc w:val="center"/>
              <w:rPr>
                <w:color w:val="auto"/>
                <w:szCs w:val="21"/>
                <w:highlight w:val="none"/>
              </w:rPr>
            </w:pPr>
            <w:r>
              <w:rPr>
                <w:rFonts w:hint="eastAsia"/>
                <w:color w:val="auto"/>
                <w:szCs w:val="21"/>
                <w:highlight w:val="none"/>
              </w:rPr>
              <w:t>-</w:t>
            </w:r>
          </w:p>
        </w:tc>
        <w:tc>
          <w:tcPr>
            <w:tcW w:w="306" w:type="pct"/>
            <w:vAlign w:val="center"/>
          </w:tcPr>
          <w:p>
            <w:pPr>
              <w:jc w:val="center"/>
              <w:rPr>
                <w:color w:val="auto"/>
                <w:szCs w:val="21"/>
                <w:highlight w:val="none"/>
              </w:rPr>
            </w:pPr>
            <w:r>
              <w:rPr>
                <w:rFonts w:hint="eastAsia"/>
                <w:color w:val="auto"/>
                <w:highlight w:val="none"/>
              </w:rPr>
              <w:t>0.0</w:t>
            </w:r>
            <w:r>
              <w:rPr>
                <w:rFonts w:hint="eastAsia"/>
                <w:color w:val="auto"/>
                <w:highlight w:val="none"/>
                <w:lang w:val="en-US" w:eastAsia="zh-CN"/>
              </w:rPr>
              <w:t>53</w:t>
            </w:r>
          </w:p>
        </w:tc>
        <w:tc>
          <w:tcPr>
            <w:tcW w:w="331" w:type="pct"/>
            <w:vAlign w:val="center"/>
          </w:tcPr>
          <w:p>
            <w:pPr>
              <w:jc w:val="center"/>
              <w:rPr>
                <w:color w:val="auto"/>
                <w:szCs w:val="21"/>
                <w:highlight w:val="none"/>
              </w:rPr>
            </w:pPr>
            <w:r>
              <w:rPr>
                <w:rFonts w:hint="eastAsia"/>
                <w:color w:val="auto"/>
                <w:highlight w:val="none"/>
                <w:lang w:val="en-US" w:eastAsia="zh-CN"/>
              </w:rPr>
              <w:t>0.384</w:t>
            </w:r>
          </w:p>
        </w:tc>
        <w:tc>
          <w:tcPr>
            <w:tcW w:w="454" w:type="pct"/>
            <w:vMerge w:val="restart"/>
            <w:vAlign w:val="center"/>
          </w:tcPr>
          <w:p>
            <w:pPr>
              <w:jc w:val="center"/>
              <w:rPr>
                <w:color w:val="auto"/>
                <w:szCs w:val="21"/>
                <w:highlight w:val="none"/>
              </w:rPr>
            </w:pPr>
            <w:r>
              <w:rPr>
                <w:rFonts w:hint="eastAsia"/>
                <w:color w:val="auto"/>
                <w:szCs w:val="21"/>
                <w:highlight w:val="none"/>
              </w:rPr>
              <w:t>车间通风</w:t>
            </w:r>
          </w:p>
        </w:tc>
        <w:tc>
          <w:tcPr>
            <w:tcW w:w="372" w:type="pct"/>
            <w:vAlign w:val="center"/>
          </w:tcPr>
          <w:p>
            <w:pPr>
              <w:jc w:val="center"/>
              <w:rPr>
                <w:color w:val="auto"/>
                <w:szCs w:val="21"/>
                <w:highlight w:val="none"/>
              </w:rPr>
            </w:pPr>
            <w:r>
              <w:rPr>
                <w:rFonts w:hint="eastAsia"/>
                <w:color w:val="auto"/>
                <w:szCs w:val="21"/>
                <w:highlight w:val="none"/>
              </w:rPr>
              <w:t>-</w:t>
            </w:r>
          </w:p>
        </w:tc>
        <w:tc>
          <w:tcPr>
            <w:tcW w:w="321" w:type="pct"/>
            <w:vAlign w:val="center"/>
          </w:tcPr>
          <w:p>
            <w:pPr>
              <w:jc w:val="center"/>
              <w:rPr>
                <w:color w:val="auto"/>
                <w:highlight w:val="none"/>
              </w:rPr>
            </w:pPr>
            <w:r>
              <w:rPr>
                <w:rFonts w:hint="eastAsia"/>
                <w:color w:val="auto"/>
                <w:szCs w:val="21"/>
                <w:highlight w:val="none"/>
              </w:rPr>
              <w:t>-</w:t>
            </w:r>
          </w:p>
        </w:tc>
        <w:tc>
          <w:tcPr>
            <w:tcW w:w="786" w:type="dxa"/>
            <w:vAlign w:val="center"/>
          </w:tcPr>
          <w:p>
            <w:pPr>
              <w:jc w:val="center"/>
              <w:rPr>
                <w:color w:val="auto"/>
                <w:highlight w:val="none"/>
              </w:rPr>
            </w:pPr>
            <w:r>
              <w:rPr>
                <w:rFonts w:hint="eastAsia"/>
                <w:color w:val="auto"/>
                <w:highlight w:val="none"/>
              </w:rPr>
              <w:t>0.0</w:t>
            </w:r>
            <w:r>
              <w:rPr>
                <w:rFonts w:hint="eastAsia"/>
                <w:color w:val="auto"/>
                <w:highlight w:val="none"/>
                <w:lang w:val="en-US" w:eastAsia="zh-CN"/>
              </w:rPr>
              <w:t>53</w:t>
            </w:r>
          </w:p>
        </w:tc>
        <w:tc>
          <w:tcPr>
            <w:tcW w:w="1042" w:type="dxa"/>
            <w:vAlign w:val="center"/>
          </w:tcPr>
          <w:p>
            <w:pPr>
              <w:jc w:val="center"/>
              <w:rPr>
                <w:color w:val="auto"/>
                <w:highlight w:val="none"/>
              </w:rPr>
            </w:pPr>
            <w:r>
              <w:rPr>
                <w:rFonts w:hint="eastAsia"/>
                <w:color w:val="auto"/>
                <w:highlight w:val="none"/>
                <w:lang w:val="en-US" w:eastAsia="zh-CN"/>
              </w:rPr>
              <w:t>0.384</w:t>
            </w:r>
          </w:p>
        </w:tc>
        <w:tc>
          <w:tcPr>
            <w:tcW w:w="540" w:type="pct"/>
            <w:vAlign w:val="center"/>
          </w:tcPr>
          <w:p>
            <w:pPr>
              <w:jc w:val="center"/>
              <w:rPr>
                <w:color w:val="auto"/>
                <w:szCs w:val="21"/>
                <w:highlight w:val="none"/>
              </w:rPr>
            </w:pPr>
            <w:r>
              <w:rPr>
                <w:rFonts w:hint="eastAsia"/>
                <w:color w:val="auto"/>
                <w:szCs w:val="21"/>
                <w:highlight w:val="none"/>
              </w:rPr>
              <w:t>1.0(厂界)</w:t>
            </w:r>
          </w:p>
        </w:tc>
        <w:tc>
          <w:tcPr>
            <w:tcW w:w="273" w:type="pct"/>
            <w:vAlign w:val="center"/>
          </w:tcPr>
          <w:p>
            <w:pPr>
              <w:jc w:val="center"/>
              <w:rPr>
                <w:color w:val="auto"/>
                <w:szCs w:val="21"/>
                <w:highlight w:val="none"/>
              </w:rPr>
            </w:pPr>
            <w:r>
              <w:rPr>
                <w:rFonts w:hint="eastAsia"/>
                <w:color w:val="auto"/>
                <w:szCs w:val="21"/>
                <w:highlight w:val="none"/>
              </w:rPr>
              <w:t>-</w:t>
            </w:r>
          </w:p>
        </w:tc>
        <w:tc>
          <w:tcPr>
            <w:tcW w:w="207" w:type="pct"/>
            <w:vAlign w:val="center"/>
          </w:tcPr>
          <w:p>
            <w:pPr>
              <w:jc w:val="center"/>
              <w:rPr>
                <w:color w:val="auto"/>
                <w:szCs w:val="21"/>
                <w:highlight w:val="none"/>
              </w:rPr>
            </w:pPr>
            <w:r>
              <w:rPr>
                <w:rFonts w:hint="eastAsia"/>
                <w:color w:val="auto"/>
                <w:szCs w:val="21"/>
                <w:highlight w:val="none"/>
              </w:rPr>
              <w:t>-</w:t>
            </w:r>
          </w:p>
        </w:tc>
        <w:tc>
          <w:tcPr>
            <w:tcW w:w="292" w:type="pct"/>
            <w:vAlign w:val="center"/>
          </w:tcPr>
          <w:p>
            <w:pPr>
              <w:jc w:val="center"/>
              <w:rPr>
                <w:color w:val="auto"/>
                <w:szCs w:val="21"/>
                <w:highlight w:val="none"/>
              </w:rPr>
            </w:pPr>
            <w:r>
              <w:rPr>
                <w:rFonts w:hint="eastAsia"/>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7" w:type="pct"/>
            <w:vMerge w:val="continue"/>
            <w:vAlign w:val="center"/>
          </w:tcPr>
          <w:p>
            <w:pPr>
              <w:jc w:val="center"/>
              <w:rPr>
                <w:color w:val="auto"/>
                <w:highlight w:val="none"/>
              </w:rPr>
            </w:pPr>
          </w:p>
        </w:tc>
        <w:tc>
          <w:tcPr>
            <w:tcW w:w="299" w:type="pct"/>
            <w:vMerge w:val="continue"/>
            <w:vAlign w:val="center"/>
          </w:tcPr>
          <w:p>
            <w:pPr>
              <w:jc w:val="center"/>
              <w:rPr>
                <w:color w:val="auto"/>
                <w:highlight w:val="none"/>
              </w:rPr>
            </w:pPr>
          </w:p>
        </w:tc>
        <w:tc>
          <w:tcPr>
            <w:tcW w:w="330" w:type="pct"/>
            <w:vAlign w:val="center"/>
          </w:tcPr>
          <w:p>
            <w:pPr>
              <w:jc w:val="center"/>
              <w:rPr>
                <w:color w:val="auto"/>
                <w:highlight w:val="none"/>
              </w:rPr>
            </w:pPr>
            <w:r>
              <w:rPr>
                <w:rFonts w:hint="eastAsia"/>
                <w:color w:val="auto"/>
                <w:highlight w:val="none"/>
              </w:rPr>
              <w:t>VOC</w:t>
            </w:r>
            <w:r>
              <w:rPr>
                <w:rFonts w:hint="eastAsia"/>
                <w:color w:val="auto"/>
                <w:highlight w:val="none"/>
                <w:vertAlign w:val="subscript"/>
              </w:rPr>
              <w:t>S</w:t>
            </w:r>
          </w:p>
        </w:tc>
        <w:tc>
          <w:tcPr>
            <w:tcW w:w="371" w:type="pct"/>
            <w:vAlign w:val="center"/>
          </w:tcPr>
          <w:p>
            <w:pPr>
              <w:jc w:val="center"/>
              <w:rPr>
                <w:color w:val="auto"/>
                <w:szCs w:val="21"/>
                <w:highlight w:val="none"/>
              </w:rPr>
            </w:pPr>
            <w:r>
              <w:rPr>
                <w:rFonts w:hint="eastAsia"/>
                <w:color w:val="auto"/>
                <w:szCs w:val="21"/>
                <w:highlight w:val="none"/>
              </w:rPr>
              <w:t>-</w:t>
            </w:r>
          </w:p>
        </w:tc>
        <w:tc>
          <w:tcPr>
            <w:tcW w:w="306" w:type="pct"/>
            <w:vAlign w:val="center"/>
          </w:tcPr>
          <w:p>
            <w:pPr>
              <w:jc w:val="center"/>
              <w:rPr>
                <w:color w:val="auto"/>
                <w:highlight w:val="none"/>
              </w:rPr>
            </w:pPr>
            <w:r>
              <w:rPr>
                <w:rFonts w:hint="eastAsia"/>
                <w:color w:val="auto"/>
                <w:highlight w:val="none"/>
                <w:lang w:val="en-US" w:eastAsia="zh-CN"/>
              </w:rPr>
              <w:t>0.123</w:t>
            </w:r>
          </w:p>
        </w:tc>
        <w:tc>
          <w:tcPr>
            <w:tcW w:w="331" w:type="pct"/>
            <w:vAlign w:val="center"/>
          </w:tcPr>
          <w:p>
            <w:pPr>
              <w:jc w:val="center"/>
              <w:rPr>
                <w:color w:val="auto"/>
                <w:highlight w:val="none"/>
              </w:rPr>
            </w:pPr>
            <w:r>
              <w:rPr>
                <w:rFonts w:hint="eastAsia"/>
                <w:color w:val="auto"/>
                <w:highlight w:val="none"/>
                <w:lang w:val="en-US" w:eastAsia="zh-CN"/>
              </w:rPr>
              <w:t>0.885</w:t>
            </w:r>
          </w:p>
        </w:tc>
        <w:tc>
          <w:tcPr>
            <w:tcW w:w="454" w:type="pct"/>
            <w:vMerge w:val="continue"/>
            <w:vAlign w:val="center"/>
          </w:tcPr>
          <w:p>
            <w:pPr>
              <w:jc w:val="center"/>
              <w:rPr>
                <w:color w:val="auto"/>
                <w:szCs w:val="21"/>
                <w:highlight w:val="none"/>
              </w:rPr>
            </w:pPr>
          </w:p>
        </w:tc>
        <w:tc>
          <w:tcPr>
            <w:tcW w:w="372" w:type="pct"/>
            <w:vAlign w:val="center"/>
          </w:tcPr>
          <w:p>
            <w:pPr>
              <w:jc w:val="center"/>
              <w:rPr>
                <w:color w:val="auto"/>
                <w:szCs w:val="21"/>
                <w:highlight w:val="none"/>
              </w:rPr>
            </w:pPr>
            <w:r>
              <w:rPr>
                <w:rFonts w:hint="eastAsia"/>
                <w:color w:val="auto"/>
                <w:szCs w:val="21"/>
                <w:highlight w:val="none"/>
              </w:rPr>
              <w:t>-</w:t>
            </w:r>
          </w:p>
        </w:tc>
        <w:tc>
          <w:tcPr>
            <w:tcW w:w="321" w:type="pct"/>
            <w:vAlign w:val="center"/>
          </w:tcPr>
          <w:p>
            <w:pPr>
              <w:jc w:val="center"/>
              <w:rPr>
                <w:color w:val="auto"/>
                <w:highlight w:val="none"/>
              </w:rPr>
            </w:pPr>
            <w:r>
              <w:rPr>
                <w:rFonts w:hint="eastAsia"/>
                <w:color w:val="auto"/>
                <w:szCs w:val="21"/>
                <w:highlight w:val="none"/>
              </w:rPr>
              <w:t>-</w:t>
            </w:r>
          </w:p>
        </w:tc>
        <w:tc>
          <w:tcPr>
            <w:tcW w:w="786" w:type="dxa"/>
            <w:vAlign w:val="center"/>
          </w:tcPr>
          <w:p>
            <w:pPr>
              <w:jc w:val="center"/>
              <w:rPr>
                <w:color w:val="auto"/>
                <w:highlight w:val="none"/>
              </w:rPr>
            </w:pPr>
            <w:r>
              <w:rPr>
                <w:rFonts w:hint="eastAsia"/>
                <w:color w:val="auto"/>
                <w:highlight w:val="none"/>
                <w:lang w:val="en-US" w:eastAsia="zh-CN"/>
              </w:rPr>
              <w:t>0.123</w:t>
            </w:r>
          </w:p>
        </w:tc>
        <w:tc>
          <w:tcPr>
            <w:tcW w:w="1042" w:type="dxa"/>
            <w:vAlign w:val="center"/>
          </w:tcPr>
          <w:p>
            <w:pPr>
              <w:jc w:val="center"/>
              <w:rPr>
                <w:color w:val="auto"/>
                <w:highlight w:val="none"/>
              </w:rPr>
            </w:pPr>
            <w:r>
              <w:rPr>
                <w:rFonts w:hint="eastAsia"/>
                <w:color w:val="auto"/>
                <w:highlight w:val="none"/>
                <w:lang w:val="en-US" w:eastAsia="zh-CN"/>
              </w:rPr>
              <w:t>0.885</w:t>
            </w:r>
          </w:p>
        </w:tc>
        <w:tc>
          <w:tcPr>
            <w:tcW w:w="540" w:type="pct"/>
            <w:vAlign w:val="center"/>
          </w:tcPr>
          <w:p>
            <w:pPr>
              <w:jc w:val="center"/>
              <w:rPr>
                <w:color w:val="auto"/>
                <w:szCs w:val="21"/>
                <w:highlight w:val="none"/>
              </w:rPr>
            </w:pPr>
            <w:r>
              <w:rPr>
                <w:rFonts w:hint="eastAsia"/>
                <w:color w:val="auto"/>
                <w:szCs w:val="21"/>
                <w:highlight w:val="none"/>
              </w:rPr>
              <w:t>2.0(厂界)</w:t>
            </w:r>
          </w:p>
        </w:tc>
        <w:tc>
          <w:tcPr>
            <w:tcW w:w="273" w:type="pct"/>
            <w:vAlign w:val="center"/>
          </w:tcPr>
          <w:p>
            <w:pPr>
              <w:jc w:val="center"/>
              <w:rPr>
                <w:color w:val="auto"/>
                <w:szCs w:val="21"/>
                <w:highlight w:val="none"/>
              </w:rPr>
            </w:pPr>
            <w:r>
              <w:rPr>
                <w:rFonts w:hint="eastAsia"/>
                <w:color w:val="auto"/>
                <w:szCs w:val="21"/>
                <w:highlight w:val="none"/>
              </w:rPr>
              <w:t>-</w:t>
            </w:r>
          </w:p>
        </w:tc>
        <w:tc>
          <w:tcPr>
            <w:tcW w:w="207" w:type="pct"/>
            <w:vAlign w:val="center"/>
          </w:tcPr>
          <w:p>
            <w:pPr>
              <w:jc w:val="center"/>
              <w:rPr>
                <w:color w:val="auto"/>
                <w:szCs w:val="21"/>
                <w:highlight w:val="none"/>
              </w:rPr>
            </w:pPr>
            <w:r>
              <w:rPr>
                <w:rFonts w:hint="eastAsia"/>
                <w:color w:val="auto"/>
                <w:szCs w:val="21"/>
                <w:highlight w:val="none"/>
              </w:rPr>
              <w:t>-</w:t>
            </w:r>
          </w:p>
        </w:tc>
        <w:tc>
          <w:tcPr>
            <w:tcW w:w="292" w:type="pct"/>
            <w:vAlign w:val="center"/>
          </w:tcPr>
          <w:p>
            <w:pPr>
              <w:jc w:val="center"/>
              <w:rPr>
                <w:color w:val="auto"/>
                <w:szCs w:val="21"/>
                <w:highlight w:val="none"/>
              </w:rPr>
            </w:pPr>
            <w:r>
              <w:rPr>
                <w:rFonts w:hint="eastAsia"/>
                <w:color w:val="auto"/>
                <w:szCs w:val="21"/>
                <w:highlight w:val="none"/>
              </w:rPr>
              <w:t>-</w:t>
            </w:r>
          </w:p>
        </w:tc>
      </w:tr>
    </w:tbl>
    <w:p>
      <w:pPr>
        <w:pStyle w:val="99"/>
        <w:ind w:firstLine="480"/>
        <w:rPr>
          <w:color w:val="auto"/>
          <w:highlight w:val="none"/>
        </w:rPr>
      </w:pPr>
    </w:p>
    <w:p>
      <w:pPr>
        <w:pStyle w:val="99"/>
        <w:ind w:firstLine="480"/>
        <w:rPr>
          <w:color w:val="auto"/>
          <w:highlight w:val="none"/>
        </w:rPr>
        <w:sectPr>
          <w:pgSz w:w="16838" w:h="11906" w:orient="landscape"/>
          <w:pgMar w:top="1701"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101"/>
        <w:spacing w:before="78"/>
        <w:rPr>
          <w:rFonts w:ascii="Times New Roman" w:hAnsi="Times New Roman"/>
          <w:color w:val="auto"/>
          <w:highlight w:val="none"/>
        </w:rPr>
      </w:pPr>
      <w:r>
        <w:rPr>
          <w:rFonts w:ascii="Times New Roman" w:hAnsi="Times New Roman"/>
          <w:color w:val="auto"/>
          <w:highlight w:val="none"/>
        </w:rPr>
        <w:t>2.3.2</w:t>
      </w:r>
      <w:r>
        <w:rPr>
          <w:rFonts w:hint="eastAsia" w:ascii="Times New Roman" w:hAnsi="Times New Roman"/>
          <w:color w:val="auto"/>
          <w:highlight w:val="none"/>
        </w:rPr>
        <w:t>废水污染物产生、排放及治理措施</w:t>
      </w:r>
    </w:p>
    <w:p>
      <w:pPr>
        <w:pStyle w:val="99"/>
        <w:ind w:firstLine="480"/>
        <w:rPr>
          <w:color w:val="auto"/>
          <w:highlight w:val="none"/>
        </w:rPr>
      </w:pPr>
      <w:r>
        <w:rPr>
          <w:rFonts w:hint="eastAsia"/>
          <w:color w:val="auto"/>
          <w:highlight w:val="none"/>
        </w:rPr>
        <w:t>项目无生产废水产生，废水主要是生活污水。</w:t>
      </w:r>
    </w:p>
    <w:p>
      <w:pPr>
        <w:pStyle w:val="99"/>
        <w:ind w:firstLine="480"/>
        <w:rPr>
          <w:color w:val="auto"/>
          <w:highlight w:val="none"/>
        </w:rPr>
      </w:pPr>
      <w:r>
        <w:rPr>
          <w:color w:val="auto"/>
          <w:highlight w:val="none"/>
        </w:rPr>
        <w:t>项目劳动定员</w:t>
      </w:r>
      <w:r>
        <w:rPr>
          <w:rFonts w:hint="eastAsia"/>
          <w:color w:val="auto"/>
          <w:highlight w:val="none"/>
        </w:rPr>
        <w:t>30</w:t>
      </w:r>
      <w:r>
        <w:rPr>
          <w:color w:val="auto"/>
          <w:highlight w:val="none"/>
        </w:rPr>
        <w:t>人，</w:t>
      </w:r>
      <w:r>
        <w:rPr>
          <w:rFonts w:hint="eastAsia"/>
          <w:color w:val="auto"/>
          <w:highlight w:val="none"/>
        </w:rPr>
        <w:t>生活用水量为360</w:t>
      </w:r>
      <w:r>
        <w:rPr>
          <w:color w:val="auto"/>
          <w:highlight w:val="none"/>
        </w:rPr>
        <w:t>m</w:t>
      </w:r>
      <w:r>
        <w:rPr>
          <w:color w:val="auto"/>
          <w:highlight w:val="none"/>
          <w:vertAlign w:val="superscript"/>
        </w:rPr>
        <w:t>3</w:t>
      </w:r>
      <w:r>
        <w:rPr>
          <w:color w:val="auto"/>
          <w:highlight w:val="none"/>
        </w:rPr>
        <w:t>/a。生活污水产生量按用水量80%计，则生活污水产生量为</w:t>
      </w:r>
      <w:r>
        <w:rPr>
          <w:rFonts w:hint="eastAsia"/>
          <w:color w:val="auto"/>
          <w:highlight w:val="none"/>
        </w:rPr>
        <w:t>0.96</w:t>
      </w:r>
      <w:r>
        <w:rPr>
          <w:color w:val="auto"/>
          <w:highlight w:val="none"/>
        </w:rPr>
        <w:t>m</w:t>
      </w:r>
      <w:r>
        <w:rPr>
          <w:color w:val="auto"/>
          <w:highlight w:val="none"/>
          <w:vertAlign w:val="superscript"/>
        </w:rPr>
        <w:t>3</w:t>
      </w:r>
      <w:r>
        <w:rPr>
          <w:color w:val="auto"/>
          <w:highlight w:val="none"/>
        </w:rPr>
        <w:t>/d，计</w:t>
      </w:r>
      <w:r>
        <w:rPr>
          <w:rFonts w:hint="eastAsia"/>
          <w:color w:val="auto"/>
          <w:highlight w:val="none"/>
        </w:rPr>
        <w:t>288</w:t>
      </w:r>
      <w:r>
        <w:rPr>
          <w:color w:val="auto"/>
          <w:highlight w:val="none"/>
        </w:rPr>
        <w:t>m</w:t>
      </w:r>
      <w:r>
        <w:rPr>
          <w:color w:val="auto"/>
          <w:highlight w:val="none"/>
          <w:vertAlign w:val="superscript"/>
        </w:rPr>
        <w:t>3</w:t>
      </w:r>
      <w:r>
        <w:rPr>
          <w:color w:val="auto"/>
          <w:highlight w:val="none"/>
        </w:rPr>
        <w:t>/a</w:t>
      </w:r>
      <w:r>
        <w:rPr>
          <w:rFonts w:hint="eastAsia"/>
          <w:color w:val="auto"/>
          <w:highlight w:val="none"/>
        </w:rPr>
        <w:t>，</w:t>
      </w:r>
      <w:r>
        <w:rPr>
          <w:color w:val="auto"/>
          <w:highlight w:val="none"/>
        </w:rPr>
        <w:t>类比同类项目，生活污水主要污染物为COD、BOD</w:t>
      </w:r>
      <w:r>
        <w:rPr>
          <w:color w:val="auto"/>
          <w:highlight w:val="none"/>
          <w:vertAlign w:val="subscript"/>
        </w:rPr>
        <w:t>5</w:t>
      </w:r>
      <w:r>
        <w:rPr>
          <w:color w:val="auto"/>
          <w:highlight w:val="none"/>
        </w:rPr>
        <w:t>、NH</w:t>
      </w:r>
      <w:r>
        <w:rPr>
          <w:color w:val="auto"/>
          <w:highlight w:val="none"/>
          <w:vertAlign w:val="subscript"/>
        </w:rPr>
        <w:t>3</w:t>
      </w:r>
      <w:r>
        <w:rPr>
          <w:color w:val="auto"/>
          <w:highlight w:val="none"/>
        </w:rPr>
        <w:t>-N、SS，其浓度及产生量分</w:t>
      </w:r>
      <w:r>
        <w:rPr>
          <w:rFonts w:hint="eastAsia"/>
          <w:color w:val="auto"/>
          <w:highlight w:val="none"/>
        </w:rPr>
        <w:t>别</w:t>
      </w:r>
      <w:r>
        <w:rPr>
          <w:color w:val="auto"/>
          <w:highlight w:val="none"/>
        </w:rPr>
        <w:t>为350mg/L、0.1t/a；200mg/L、0.0</w:t>
      </w:r>
      <w:r>
        <w:rPr>
          <w:rFonts w:hint="eastAsia"/>
          <w:color w:val="auto"/>
          <w:highlight w:val="none"/>
        </w:rPr>
        <w:t>58</w:t>
      </w:r>
      <w:r>
        <w:rPr>
          <w:color w:val="auto"/>
          <w:highlight w:val="none"/>
        </w:rPr>
        <w:t>t/a；35mg/L、0.01t/a；200mg/L、0.0</w:t>
      </w:r>
      <w:r>
        <w:rPr>
          <w:rFonts w:hint="eastAsia"/>
          <w:color w:val="auto"/>
          <w:highlight w:val="none"/>
        </w:rPr>
        <w:t>58</w:t>
      </w:r>
      <w:r>
        <w:rPr>
          <w:color w:val="auto"/>
          <w:highlight w:val="none"/>
        </w:rPr>
        <w:t>t/a。</w:t>
      </w:r>
    </w:p>
    <w:p>
      <w:pPr>
        <w:pStyle w:val="99"/>
        <w:ind w:firstLine="480"/>
        <w:rPr>
          <w:rFonts w:hint="eastAsia"/>
          <w:color w:val="auto"/>
          <w:highlight w:val="none"/>
        </w:rPr>
      </w:pPr>
      <w:r>
        <w:rPr>
          <w:rFonts w:hint="eastAsia"/>
          <w:color w:val="auto"/>
          <w:highlight w:val="none"/>
        </w:rPr>
        <w:t>经化粪池收集后由环卫部门定期清掏，不外排，对地表水周围环境影响较小。</w:t>
      </w:r>
    </w:p>
    <w:p>
      <w:pPr>
        <w:pStyle w:val="99"/>
        <w:ind w:firstLine="480"/>
        <w:rPr>
          <w:rFonts w:hint="eastAsia"/>
          <w:color w:val="auto"/>
          <w:highlight w:val="none"/>
        </w:rPr>
      </w:pPr>
      <w:r>
        <w:rPr>
          <w:rFonts w:hint="eastAsia"/>
          <w:color w:val="auto"/>
          <w:highlight w:val="none"/>
        </w:rPr>
        <w:t>项目设备冷却需用水</w:t>
      </w:r>
      <w:r>
        <w:rPr>
          <w:rFonts w:hint="eastAsia"/>
          <w:color w:val="auto"/>
          <w:highlight w:val="none"/>
          <w:lang w:eastAsia="zh-CN"/>
        </w:rPr>
        <w:t>，</w:t>
      </w:r>
      <w:r>
        <w:rPr>
          <w:rFonts w:hint="eastAsia"/>
          <w:color w:val="auto"/>
          <w:highlight w:val="none"/>
          <w:lang w:val="en-US" w:eastAsia="zh-CN"/>
        </w:rPr>
        <w:t>用水来源为外购去离子水</w:t>
      </w:r>
      <w:r>
        <w:rPr>
          <w:rFonts w:hint="eastAsia"/>
          <w:color w:val="auto"/>
          <w:highlight w:val="none"/>
        </w:rPr>
        <w:t>，冷却水冷却后循环使用，定期补充，</w:t>
      </w:r>
      <w:r>
        <w:rPr>
          <w:rFonts w:hint="eastAsia"/>
          <w:color w:val="auto"/>
          <w:highlight w:val="none"/>
          <w:lang w:val="en-US" w:eastAsia="zh-CN"/>
        </w:rPr>
        <w:t>不外排。</w:t>
      </w:r>
    </w:p>
    <w:p>
      <w:pPr>
        <w:pStyle w:val="101"/>
        <w:spacing w:before="78"/>
        <w:rPr>
          <w:rFonts w:ascii="Times New Roman" w:hAnsi="Times New Roman"/>
          <w:color w:val="auto"/>
          <w:highlight w:val="none"/>
        </w:rPr>
      </w:pPr>
      <w:bookmarkStart w:id="115" w:name="_Hlk66546713"/>
      <w:r>
        <w:rPr>
          <w:rFonts w:ascii="Times New Roman" w:hAnsi="Times New Roman"/>
          <w:color w:val="auto"/>
          <w:highlight w:val="none"/>
        </w:rPr>
        <w:t>2.3.3固废</w:t>
      </w:r>
    </w:p>
    <w:p>
      <w:pPr>
        <w:pStyle w:val="112"/>
        <w:rPr>
          <w:color w:val="auto"/>
          <w:highlight w:val="none"/>
        </w:rPr>
      </w:pPr>
      <w:r>
        <w:rPr>
          <w:color w:val="auto"/>
          <w:highlight w:val="none"/>
        </w:rPr>
        <w:t>2.3.</w:t>
      </w:r>
      <w:r>
        <w:rPr>
          <w:rFonts w:hint="eastAsia"/>
          <w:color w:val="auto"/>
          <w:highlight w:val="none"/>
        </w:rPr>
        <w:t>3</w:t>
      </w:r>
      <w:r>
        <w:rPr>
          <w:color w:val="auto"/>
          <w:highlight w:val="none"/>
        </w:rPr>
        <w:t>.1</w:t>
      </w:r>
      <w:r>
        <w:rPr>
          <w:rFonts w:hint="eastAsia"/>
          <w:color w:val="auto"/>
          <w:highlight w:val="none"/>
        </w:rPr>
        <w:t>固废产生情况</w:t>
      </w:r>
    </w:p>
    <w:p>
      <w:pPr>
        <w:pStyle w:val="99"/>
        <w:ind w:firstLine="480"/>
        <w:rPr>
          <w:color w:val="auto"/>
          <w:highlight w:val="none"/>
        </w:rPr>
      </w:pPr>
      <w:r>
        <w:rPr>
          <w:color w:val="auto"/>
          <w:highlight w:val="none"/>
        </w:rPr>
        <w:t>本项目固体废物主要为</w:t>
      </w:r>
      <w:r>
        <w:rPr>
          <w:rFonts w:hint="eastAsia"/>
          <w:color w:val="auto"/>
          <w:highlight w:val="none"/>
        </w:rPr>
        <w:t>生活垃圾，管道及配件生产切割下脚料、质检不合格产品，造粒工序熔融挤出废料、废网，废气治理过程中产生的废活性炭、废催化剂，设备维修过程产生的废矿物油及空桶。</w:t>
      </w:r>
    </w:p>
    <w:p>
      <w:pPr>
        <w:pStyle w:val="99"/>
        <w:ind w:firstLine="480"/>
        <w:rPr>
          <w:color w:val="auto"/>
          <w:highlight w:val="none"/>
        </w:rPr>
      </w:pPr>
      <w:r>
        <w:rPr>
          <w:rFonts w:hint="eastAsia"/>
          <w:color w:val="auto"/>
          <w:highlight w:val="none"/>
        </w:rPr>
        <w:t>（1）生活垃圾</w:t>
      </w:r>
    </w:p>
    <w:p>
      <w:pPr>
        <w:pStyle w:val="99"/>
        <w:ind w:firstLine="480"/>
        <w:rPr>
          <w:color w:val="auto"/>
          <w:highlight w:val="none"/>
        </w:rPr>
      </w:pPr>
      <w:r>
        <w:rPr>
          <w:color w:val="auto"/>
          <w:highlight w:val="none"/>
        </w:rPr>
        <w:t>本项目共有员工</w:t>
      </w:r>
      <w:r>
        <w:rPr>
          <w:rFonts w:hint="eastAsia"/>
          <w:color w:val="auto"/>
          <w:highlight w:val="none"/>
        </w:rPr>
        <w:t>30</w:t>
      </w:r>
      <w:r>
        <w:rPr>
          <w:color w:val="auto"/>
          <w:highlight w:val="none"/>
        </w:rPr>
        <w:t>人，全年工作300d，生活垃圾产生量以每人0.5kg</w:t>
      </w:r>
      <w:r>
        <w:rPr>
          <w:rFonts w:hint="eastAsia"/>
          <w:color w:val="auto"/>
          <w:highlight w:val="none"/>
        </w:rPr>
        <w:t>/</w:t>
      </w:r>
      <w:r>
        <w:rPr>
          <w:color w:val="auto"/>
          <w:highlight w:val="none"/>
        </w:rPr>
        <w:t>d估算，则生活垃圾</w:t>
      </w:r>
      <w:r>
        <w:rPr>
          <w:rFonts w:hint="eastAsia"/>
          <w:color w:val="auto"/>
          <w:highlight w:val="none"/>
        </w:rPr>
        <w:t>产生量</w:t>
      </w:r>
      <w:r>
        <w:rPr>
          <w:color w:val="auto"/>
          <w:highlight w:val="none"/>
        </w:rPr>
        <w:t>约</w:t>
      </w:r>
      <w:r>
        <w:rPr>
          <w:rFonts w:hint="eastAsia"/>
          <w:color w:val="auto"/>
          <w:highlight w:val="none"/>
        </w:rPr>
        <w:t>4.5</w:t>
      </w:r>
      <w:r>
        <w:rPr>
          <w:color w:val="auto"/>
          <w:highlight w:val="none"/>
        </w:rPr>
        <w:t>t/a，厂区内暂存后交由环卫部门定期清运，统一处理</w:t>
      </w:r>
      <w:r>
        <w:rPr>
          <w:rFonts w:hint="eastAsia"/>
          <w:color w:val="auto"/>
          <w:highlight w:val="none"/>
        </w:rPr>
        <w:t>。</w:t>
      </w:r>
    </w:p>
    <w:p>
      <w:pPr>
        <w:pStyle w:val="99"/>
        <w:ind w:firstLine="480"/>
        <w:rPr>
          <w:color w:val="auto"/>
          <w:highlight w:val="none"/>
        </w:rPr>
      </w:pPr>
      <w:r>
        <w:rPr>
          <w:rFonts w:hint="eastAsia"/>
          <w:color w:val="auto"/>
          <w:highlight w:val="none"/>
        </w:rPr>
        <w:t>（2）管道及配件生产切割下脚料、质检不合格产品</w:t>
      </w:r>
    </w:p>
    <w:p>
      <w:pPr>
        <w:pStyle w:val="99"/>
        <w:ind w:firstLine="480"/>
        <w:rPr>
          <w:color w:val="auto"/>
          <w:highlight w:val="none"/>
        </w:rPr>
      </w:pPr>
      <w:r>
        <w:rPr>
          <w:rFonts w:hint="eastAsia"/>
          <w:color w:val="auto"/>
          <w:highlight w:val="none"/>
        </w:rPr>
        <w:t>根据物料衡算，管道及配件生产切割下脚料、质检不合格产品产生量约219.32t/a，经破碎后回用于造粒工序。</w:t>
      </w:r>
    </w:p>
    <w:p>
      <w:pPr>
        <w:pStyle w:val="99"/>
        <w:ind w:firstLine="480"/>
        <w:rPr>
          <w:color w:val="auto"/>
          <w:highlight w:val="none"/>
        </w:rPr>
      </w:pPr>
      <w:r>
        <w:rPr>
          <w:rFonts w:hint="eastAsia"/>
          <w:color w:val="auto"/>
          <w:highlight w:val="none"/>
        </w:rPr>
        <w:t>（3）造粒工序熔融挤出废料、废滤网</w:t>
      </w:r>
    </w:p>
    <w:p>
      <w:pPr>
        <w:pStyle w:val="99"/>
        <w:ind w:firstLine="480"/>
        <w:rPr>
          <w:color w:val="auto"/>
          <w:highlight w:val="none"/>
        </w:rPr>
      </w:pPr>
      <w:r>
        <w:rPr>
          <w:rFonts w:hint="eastAsia"/>
          <w:color w:val="auto"/>
          <w:highlight w:val="none"/>
        </w:rPr>
        <w:t>根据物料衡算，造粒工序熔融挤出废料产生量约49.894t/a，外卖下游塑料制品企业。</w:t>
      </w:r>
    </w:p>
    <w:p>
      <w:pPr>
        <w:pStyle w:val="99"/>
        <w:ind w:firstLine="480"/>
        <w:rPr>
          <w:color w:val="auto"/>
          <w:highlight w:val="none"/>
        </w:rPr>
      </w:pPr>
      <w:r>
        <w:rPr>
          <w:rFonts w:hint="eastAsia"/>
          <w:color w:val="auto"/>
          <w:highlight w:val="none"/>
        </w:rPr>
        <w:t>项目采用无丝网过滤器进行造粒，每条废滤网更换频次约1次/a，每个废滤网重量约5kg，10条造粒线废滤网产生量约0.05t/a，作为废铁外卖物资回收公司。</w:t>
      </w:r>
    </w:p>
    <w:p>
      <w:pPr>
        <w:spacing w:line="360" w:lineRule="auto"/>
        <w:ind w:firstLine="480" w:firstLineChars="200"/>
        <w:rPr>
          <w:rFonts w:hAnsi="宋体"/>
          <w:color w:val="auto"/>
          <w:sz w:val="24"/>
          <w:highlight w:val="none"/>
        </w:rPr>
      </w:pPr>
      <w:r>
        <w:rPr>
          <w:rFonts w:hint="eastAsia"/>
          <w:color w:val="auto"/>
          <w:sz w:val="24"/>
          <w:highlight w:val="none"/>
        </w:rPr>
        <w:t>（4）</w:t>
      </w:r>
      <w:r>
        <w:rPr>
          <w:color w:val="auto"/>
          <w:sz w:val="24"/>
          <w:highlight w:val="none"/>
        </w:rPr>
        <w:t>废活性炭：项目产生的有机废气采用“</w:t>
      </w:r>
      <w:r>
        <w:rPr>
          <w:rFonts w:hint="eastAsia"/>
          <w:color w:val="auto"/>
          <w:sz w:val="24"/>
          <w:highlight w:val="none"/>
        </w:rPr>
        <w:t>活性炭吸附浓缩+催化燃烧</w:t>
      </w:r>
      <w:r>
        <w:rPr>
          <w:color w:val="auto"/>
          <w:sz w:val="24"/>
          <w:highlight w:val="none"/>
        </w:rPr>
        <w:t>”装置处理</w:t>
      </w:r>
      <w:r>
        <w:rPr>
          <w:rFonts w:hint="eastAsia"/>
          <w:color w:val="auto"/>
          <w:sz w:val="24"/>
          <w:highlight w:val="none"/>
        </w:rPr>
        <w:t>。该</w:t>
      </w:r>
      <w:r>
        <w:rPr>
          <w:color w:val="auto"/>
          <w:sz w:val="24"/>
          <w:highlight w:val="none"/>
        </w:rPr>
        <w:t>装置</w:t>
      </w:r>
      <w:r>
        <w:rPr>
          <w:color w:val="auto"/>
          <w:sz w:val="24"/>
          <w:highlight w:val="none"/>
          <w:shd w:val="clear" w:color="auto" w:fill="FFFFFF"/>
        </w:rPr>
        <w:t>采用蜂窝状活性炭为吸附剂，</w:t>
      </w:r>
      <w:r>
        <w:rPr>
          <w:color w:val="auto"/>
          <w:sz w:val="24"/>
          <w:highlight w:val="none"/>
        </w:rPr>
        <w:t>运行过程中会产生废活性炭。根据设备厂家提供资料，活性炭装填量约</w:t>
      </w:r>
      <w:r>
        <w:rPr>
          <w:rFonts w:hint="eastAsia"/>
          <w:color w:val="auto"/>
          <w:sz w:val="24"/>
          <w:highlight w:val="none"/>
        </w:rPr>
        <w:t>3</w:t>
      </w:r>
      <w:r>
        <w:rPr>
          <w:color w:val="auto"/>
          <w:sz w:val="24"/>
          <w:highlight w:val="none"/>
        </w:rPr>
        <w:t>t，一般</w:t>
      </w:r>
      <w:r>
        <w:rPr>
          <w:rFonts w:hint="eastAsia"/>
          <w:color w:val="auto"/>
          <w:sz w:val="24"/>
          <w:highlight w:val="none"/>
        </w:rPr>
        <w:t>每年更换一次</w:t>
      </w:r>
      <w:r>
        <w:rPr>
          <w:rFonts w:hint="eastAsia" w:hAnsi="宋体"/>
          <w:color w:val="auto"/>
          <w:sz w:val="24"/>
          <w:highlight w:val="none"/>
        </w:rPr>
        <w:t>，废活性炭产生量3</w:t>
      </w:r>
      <w:r>
        <w:rPr>
          <w:rFonts w:hAnsi="宋体"/>
          <w:color w:val="auto"/>
          <w:sz w:val="24"/>
          <w:highlight w:val="none"/>
        </w:rPr>
        <w:t>t/a</w:t>
      </w:r>
      <w:r>
        <w:rPr>
          <w:rFonts w:hint="eastAsia" w:hAnsi="宋体"/>
          <w:color w:val="auto"/>
          <w:sz w:val="24"/>
          <w:highlight w:val="none"/>
        </w:rPr>
        <w:t>。废活性炭属于</w:t>
      </w:r>
      <w:r>
        <w:rPr>
          <w:rFonts w:hAnsi="宋体"/>
          <w:color w:val="auto"/>
          <w:sz w:val="24"/>
          <w:highlight w:val="none"/>
        </w:rPr>
        <w:t>HW49</w:t>
      </w:r>
      <w:r>
        <w:rPr>
          <w:rFonts w:hint="eastAsia" w:hAnsi="宋体"/>
          <w:color w:val="auto"/>
          <w:sz w:val="24"/>
          <w:highlight w:val="none"/>
        </w:rPr>
        <w:t>其他废物、非特定行业、烟气、</w:t>
      </w:r>
      <w:r>
        <w:rPr>
          <w:rFonts w:hAnsi="宋体"/>
          <w:color w:val="auto"/>
          <w:sz w:val="24"/>
          <w:highlight w:val="none"/>
        </w:rPr>
        <w:t>VOCs</w:t>
      </w:r>
      <w:r>
        <w:rPr>
          <w:rFonts w:hint="eastAsia" w:hAnsi="宋体"/>
          <w:color w:val="auto"/>
          <w:sz w:val="24"/>
          <w:highlight w:val="none"/>
        </w:rPr>
        <w:t>治理过程</w:t>
      </w:r>
      <w:r>
        <w:rPr>
          <w:rFonts w:hAnsi="宋体"/>
          <w:color w:val="auto"/>
          <w:sz w:val="24"/>
          <w:highlight w:val="none"/>
        </w:rPr>
        <w:t>(</w:t>
      </w:r>
      <w:r>
        <w:rPr>
          <w:rFonts w:hint="eastAsia" w:hAnsi="宋体"/>
          <w:color w:val="auto"/>
          <w:sz w:val="24"/>
          <w:highlight w:val="none"/>
        </w:rPr>
        <w:t>不包括餐饮行业油烟治理过程</w:t>
      </w:r>
      <w:r>
        <w:rPr>
          <w:rFonts w:hAnsi="宋体"/>
          <w:color w:val="auto"/>
          <w:sz w:val="24"/>
          <w:highlight w:val="none"/>
        </w:rPr>
        <w:t>)</w:t>
      </w:r>
      <w:r>
        <w:rPr>
          <w:rFonts w:hint="eastAsia" w:hAnsi="宋体"/>
          <w:color w:val="auto"/>
          <w:sz w:val="24"/>
          <w:highlight w:val="none"/>
        </w:rPr>
        <w:t>产生的废活性炭，</w:t>
      </w:r>
      <w:r>
        <w:rPr>
          <w:rFonts w:hAnsi="宋体"/>
          <w:color w:val="auto"/>
          <w:sz w:val="24"/>
          <w:highlight w:val="none"/>
        </w:rPr>
        <w:t>废物代码900-039-49。</w:t>
      </w:r>
    </w:p>
    <w:p>
      <w:pPr>
        <w:spacing w:line="360" w:lineRule="auto"/>
        <w:ind w:firstLine="480" w:firstLineChars="200"/>
        <w:rPr>
          <w:color w:val="auto"/>
          <w:sz w:val="24"/>
          <w:highlight w:val="none"/>
        </w:rPr>
      </w:pPr>
      <w:r>
        <w:rPr>
          <w:rFonts w:hint="eastAsia"/>
          <w:color w:val="auto"/>
          <w:sz w:val="24"/>
          <w:highlight w:val="none"/>
        </w:rPr>
        <w:t>（5）废催化剂</w:t>
      </w:r>
    </w:p>
    <w:p>
      <w:pPr>
        <w:widowControl/>
        <w:spacing w:line="360" w:lineRule="auto"/>
        <w:ind w:firstLine="480" w:firstLineChars="200"/>
        <w:rPr>
          <w:color w:val="auto"/>
          <w:sz w:val="24"/>
          <w:highlight w:val="none"/>
        </w:rPr>
      </w:pPr>
      <w:r>
        <w:rPr>
          <w:rFonts w:hint="eastAsia"/>
          <w:color w:val="auto"/>
          <w:sz w:val="24"/>
          <w:highlight w:val="none"/>
        </w:rPr>
        <w:t>本项目废气治理催化燃烧会使用催化剂，每套废气治理设施催化剂填充量为0</w:t>
      </w:r>
      <w:r>
        <w:rPr>
          <w:color w:val="auto"/>
          <w:sz w:val="24"/>
          <w:highlight w:val="none"/>
        </w:rPr>
        <w:t>.08</w:t>
      </w:r>
      <w:r>
        <w:rPr>
          <w:rFonts w:hint="eastAsia"/>
          <w:color w:val="auto"/>
          <w:sz w:val="24"/>
          <w:highlight w:val="none"/>
        </w:rPr>
        <w:t>m</w:t>
      </w:r>
      <w:r>
        <w:rPr>
          <w:color w:val="auto"/>
          <w:sz w:val="24"/>
          <w:highlight w:val="none"/>
          <w:vertAlign w:val="superscript"/>
        </w:rPr>
        <w:t>3</w:t>
      </w:r>
      <w:r>
        <w:rPr>
          <w:rFonts w:hint="eastAsia"/>
          <w:color w:val="auto"/>
          <w:sz w:val="24"/>
          <w:highlight w:val="none"/>
        </w:rPr>
        <w:t>，约0</w:t>
      </w:r>
      <w:r>
        <w:rPr>
          <w:color w:val="auto"/>
          <w:sz w:val="24"/>
          <w:highlight w:val="none"/>
        </w:rPr>
        <w:t>.056</w:t>
      </w:r>
      <w:r>
        <w:rPr>
          <w:rFonts w:hint="eastAsia"/>
          <w:color w:val="auto"/>
          <w:sz w:val="24"/>
          <w:highlight w:val="none"/>
        </w:rPr>
        <w:t>t，3年更换一次，则废催化剂产生量约0</w:t>
      </w:r>
      <w:r>
        <w:rPr>
          <w:color w:val="auto"/>
          <w:sz w:val="24"/>
          <w:highlight w:val="none"/>
        </w:rPr>
        <w:t>.056</w:t>
      </w:r>
      <w:r>
        <w:rPr>
          <w:rFonts w:hint="eastAsia"/>
          <w:color w:val="auto"/>
          <w:sz w:val="24"/>
          <w:highlight w:val="none"/>
        </w:rPr>
        <w:t>t</w:t>
      </w:r>
      <w:r>
        <w:rPr>
          <w:color w:val="auto"/>
          <w:sz w:val="24"/>
          <w:highlight w:val="none"/>
        </w:rPr>
        <w:t>/3</w:t>
      </w:r>
      <w:r>
        <w:rPr>
          <w:rFonts w:hint="eastAsia"/>
          <w:color w:val="auto"/>
          <w:sz w:val="24"/>
          <w:highlight w:val="none"/>
        </w:rPr>
        <w:t>年，0.019t/a。含有铂等重金属，该类废物属于《国家危险废物名录》中HW</w:t>
      </w:r>
      <w:r>
        <w:rPr>
          <w:color w:val="auto"/>
          <w:sz w:val="24"/>
          <w:highlight w:val="none"/>
        </w:rPr>
        <w:t>50</w:t>
      </w:r>
      <w:r>
        <w:rPr>
          <w:rFonts w:hint="eastAsia"/>
          <w:color w:val="auto"/>
          <w:sz w:val="24"/>
          <w:highlight w:val="none"/>
        </w:rPr>
        <w:t>，代码为</w:t>
      </w:r>
      <w:r>
        <w:rPr>
          <w:color w:val="auto"/>
          <w:sz w:val="24"/>
          <w:highlight w:val="none"/>
        </w:rPr>
        <w:t>900-049-50</w:t>
      </w:r>
      <w:r>
        <w:rPr>
          <w:rFonts w:hint="eastAsia"/>
          <w:color w:val="auto"/>
          <w:sz w:val="24"/>
          <w:highlight w:val="none"/>
        </w:rPr>
        <w:t>，需要作为危废委托有资质单位回收处置。</w:t>
      </w:r>
    </w:p>
    <w:p>
      <w:pPr>
        <w:pStyle w:val="99"/>
        <w:ind w:firstLine="480"/>
        <w:rPr>
          <w:color w:val="auto"/>
          <w:highlight w:val="none"/>
        </w:rPr>
      </w:pPr>
      <w:r>
        <w:rPr>
          <w:rFonts w:hint="eastAsia"/>
          <w:color w:val="auto"/>
          <w:highlight w:val="none"/>
        </w:rPr>
        <w:t>(6) 废矿物油及其空桶</w:t>
      </w:r>
    </w:p>
    <w:p>
      <w:pPr>
        <w:pStyle w:val="99"/>
        <w:ind w:firstLine="480"/>
        <w:rPr>
          <w:color w:val="auto"/>
          <w:highlight w:val="none"/>
        </w:rPr>
      </w:pPr>
      <w:r>
        <w:rPr>
          <w:color w:val="auto"/>
          <w:highlight w:val="none"/>
        </w:rPr>
        <w:t>设备维修过程中产生的</w:t>
      </w:r>
      <w:r>
        <w:rPr>
          <w:rFonts w:hint="eastAsia"/>
          <w:color w:val="auto"/>
          <w:highlight w:val="none"/>
        </w:rPr>
        <w:t>废矿物油</w:t>
      </w:r>
      <w:r>
        <w:rPr>
          <w:color w:val="auto"/>
          <w:highlight w:val="none"/>
        </w:rPr>
        <w:t>为0.0</w:t>
      </w:r>
      <w:r>
        <w:rPr>
          <w:rFonts w:hint="eastAsia"/>
          <w:color w:val="auto"/>
          <w:highlight w:val="none"/>
        </w:rPr>
        <w:t>5</w:t>
      </w:r>
      <w:r>
        <w:rPr>
          <w:color w:val="auto"/>
          <w:highlight w:val="none"/>
        </w:rPr>
        <w:t>t，根据《国家危险废物名录》</w:t>
      </w:r>
      <w:r>
        <w:rPr>
          <w:rFonts w:hint="eastAsia"/>
          <w:color w:val="auto"/>
          <w:highlight w:val="none"/>
        </w:rPr>
        <w:t>(</w:t>
      </w:r>
      <w:r>
        <w:rPr>
          <w:color w:val="auto"/>
          <w:highlight w:val="none"/>
        </w:rPr>
        <w:t>20</w:t>
      </w:r>
      <w:r>
        <w:rPr>
          <w:rFonts w:hint="eastAsia"/>
          <w:color w:val="auto"/>
          <w:highlight w:val="none"/>
        </w:rPr>
        <w:t>21</w:t>
      </w:r>
      <w:r>
        <w:rPr>
          <w:color w:val="auto"/>
          <w:highlight w:val="none"/>
        </w:rPr>
        <w:t>版</w:t>
      </w:r>
      <w:r>
        <w:rPr>
          <w:rFonts w:hint="eastAsia"/>
          <w:color w:val="auto"/>
          <w:highlight w:val="none"/>
        </w:rPr>
        <w:t>)</w:t>
      </w:r>
      <w:r>
        <w:rPr>
          <w:color w:val="auto"/>
          <w:highlight w:val="none"/>
        </w:rPr>
        <w:t>，废机油属于危废，危废类别为HW08(900-217-08</w:t>
      </w:r>
      <w:r>
        <w:rPr>
          <w:rFonts w:hint="eastAsia"/>
          <w:color w:val="auto"/>
          <w:highlight w:val="none"/>
        </w:rPr>
        <w:t>)、</w:t>
      </w:r>
      <w:r>
        <w:rPr>
          <w:color w:val="auto"/>
          <w:highlight w:val="none"/>
        </w:rPr>
        <w:t>HW08</w:t>
      </w:r>
      <w:r>
        <w:rPr>
          <w:rFonts w:hint="eastAsia"/>
          <w:color w:val="auto"/>
          <w:highlight w:val="none"/>
        </w:rPr>
        <w:t>(</w:t>
      </w:r>
      <w:r>
        <w:rPr>
          <w:color w:val="auto"/>
          <w:szCs w:val="21"/>
          <w:highlight w:val="none"/>
        </w:rPr>
        <w:t>900-249-08</w:t>
      </w:r>
      <w:r>
        <w:rPr>
          <w:color w:val="auto"/>
          <w:highlight w:val="none"/>
        </w:rPr>
        <w:t>)</w:t>
      </w:r>
      <w:r>
        <w:rPr>
          <w:rFonts w:hint="eastAsia"/>
          <w:color w:val="auto"/>
          <w:highlight w:val="none"/>
        </w:rPr>
        <w:t>。废矿物油及其空桶</w:t>
      </w:r>
      <w:r>
        <w:rPr>
          <w:color w:val="auto"/>
          <w:highlight w:val="none"/>
        </w:rPr>
        <w:t>在厂内危废暂存间暂存后，委托</w:t>
      </w:r>
      <w:r>
        <w:rPr>
          <w:rFonts w:hint="eastAsia"/>
          <w:color w:val="auto"/>
          <w:highlight w:val="none"/>
        </w:rPr>
        <w:t>有相关资质的单位协议处置。</w:t>
      </w:r>
    </w:p>
    <w:p>
      <w:pPr>
        <w:pStyle w:val="99"/>
        <w:ind w:firstLine="480"/>
        <w:rPr>
          <w:color w:val="auto"/>
          <w:highlight w:val="none"/>
        </w:rPr>
      </w:pPr>
      <w:r>
        <w:rPr>
          <w:rFonts w:hint="eastAsia"/>
          <w:color w:val="auto"/>
          <w:highlight w:val="none"/>
        </w:rPr>
        <w:t>本项目固废产生及处置情况见比较2.3-4。</w:t>
      </w:r>
    </w:p>
    <w:p>
      <w:pPr>
        <w:widowControl/>
        <w:spacing w:line="360" w:lineRule="auto"/>
        <w:ind w:firstLine="480" w:firstLineChars="200"/>
        <w:jc w:val="center"/>
        <w:rPr>
          <w:rFonts w:eastAsia="黑体"/>
          <w:color w:val="auto"/>
          <w:sz w:val="24"/>
          <w:highlight w:val="none"/>
        </w:rPr>
      </w:pPr>
      <w:r>
        <w:rPr>
          <w:rFonts w:eastAsia="黑体"/>
          <w:color w:val="auto"/>
          <w:sz w:val="24"/>
          <w:highlight w:val="none"/>
        </w:rPr>
        <w:t>表2.</w:t>
      </w:r>
      <w:r>
        <w:rPr>
          <w:rFonts w:hint="eastAsia" w:eastAsia="黑体"/>
          <w:color w:val="auto"/>
          <w:sz w:val="24"/>
          <w:highlight w:val="none"/>
        </w:rPr>
        <w:t>3</w:t>
      </w:r>
      <w:r>
        <w:rPr>
          <w:rFonts w:eastAsia="黑体"/>
          <w:color w:val="auto"/>
          <w:sz w:val="24"/>
          <w:highlight w:val="none"/>
        </w:rPr>
        <w:t>-</w:t>
      </w:r>
      <w:r>
        <w:rPr>
          <w:rFonts w:hint="eastAsia" w:eastAsia="黑体"/>
          <w:color w:val="auto"/>
          <w:sz w:val="24"/>
          <w:highlight w:val="none"/>
        </w:rPr>
        <w:t>4</w:t>
      </w:r>
      <w:r>
        <w:rPr>
          <w:rFonts w:eastAsia="黑体"/>
          <w:color w:val="auto"/>
          <w:sz w:val="24"/>
          <w:highlight w:val="none"/>
        </w:rPr>
        <w:t xml:space="preserve"> </w:t>
      </w:r>
      <w:r>
        <w:rPr>
          <w:rFonts w:hint="eastAsia" w:eastAsia="黑体"/>
          <w:color w:val="auto"/>
          <w:sz w:val="24"/>
          <w:highlight w:val="none"/>
        </w:rPr>
        <w:t xml:space="preserve">  固废产生及处置情况一览表   单位：t/a</w:t>
      </w:r>
    </w:p>
    <w:tbl>
      <w:tblPr>
        <w:tblStyle w:val="5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312"/>
        <w:gridCol w:w="1133"/>
        <w:gridCol w:w="1703"/>
        <w:gridCol w:w="1701"/>
        <w:gridCol w:w="1090"/>
        <w:gridCol w:w="14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4" w:type="pct"/>
            <w:vAlign w:val="center"/>
          </w:tcPr>
          <w:p>
            <w:pPr>
              <w:jc w:val="center"/>
              <w:rPr>
                <w:color w:val="auto"/>
                <w:szCs w:val="21"/>
                <w:highlight w:val="none"/>
              </w:rPr>
            </w:pPr>
            <w:r>
              <w:rPr>
                <w:color w:val="auto"/>
                <w:szCs w:val="21"/>
                <w:highlight w:val="none"/>
              </w:rPr>
              <w:t>序号</w:t>
            </w:r>
          </w:p>
        </w:tc>
        <w:tc>
          <w:tcPr>
            <w:tcW w:w="728" w:type="pct"/>
            <w:vAlign w:val="center"/>
          </w:tcPr>
          <w:p>
            <w:pPr>
              <w:jc w:val="center"/>
              <w:rPr>
                <w:color w:val="auto"/>
                <w:szCs w:val="21"/>
                <w:highlight w:val="none"/>
              </w:rPr>
            </w:pPr>
            <w:r>
              <w:rPr>
                <w:color w:val="auto"/>
                <w:szCs w:val="21"/>
                <w:highlight w:val="none"/>
              </w:rPr>
              <w:t>名称</w:t>
            </w:r>
          </w:p>
        </w:tc>
        <w:tc>
          <w:tcPr>
            <w:tcW w:w="629" w:type="pct"/>
            <w:vAlign w:val="center"/>
          </w:tcPr>
          <w:p>
            <w:pPr>
              <w:jc w:val="center"/>
              <w:rPr>
                <w:color w:val="auto"/>
                <w:szCs w:val="21"/>
                <w:highlight w:val="none"/>
              </w:rPr>
            </w:pPr>
            <w:r>
              <w:rPr>
                <w:color w:val="auto"/>
                <w:szCs w:val="21"/>
                <w:highlight w:val="none"/>
              </w:rPr>
              <w:t>废物类别</w:t>
            </w:r>
          </w:p>
        </w:tc>
        <w:tc>
          <w:tcPr>
            <w:tcW w:w="945" w:type="pct"/>
            <w:vAlign w:val="center"/>
          </w:tcPr>
          <w:p>
            <w:pPr>
              <w:jc w:val="center"/>
              <w:rPr>
                <w:color w:val="auto"/>
                <w:szCs w:val="21"/>
                <w:highlight w:val="none"/>
              </w:rPr>
            </w:pPr>
            <w:r>
              <w:rPr>
                <w:color w:val="auto"/>
                <w:szCs w:val="21"/>
                <w:highlight w:val="none"/>
              </w:rPr>
              <w:t>废物代码</w:t>
            </w:r>
          </w:p>
        </w:tc>
        <w:tc>
          <w:tcPr>
            <w:tcW w:w="944" w:type="pct"/>
            <w:vAlign w:val="center"/>
          </w:tcPr>
          <w:p>
            <w:pPr>
              <w:jc w:val="center"/>
              <w:rPr>
                <w:color w:val="auto"/>
                <w:szCs w:val="21"/>
                <w:highlight w:val="none"/>
              </w:rPr>
            </w:pPr>
            <w:r>
              <w:rPr>
                <w:color w:val="auto"/>
                <w:szCs w:val="21"/>
                <w:highlight w:val="none"/>
              </w:rPr>
              <w:t>主要成分</w:t>
            </w:r>
          </w:p>
        </w:tc>
        <w:tc>
          <w:tcPr>
            <w:tcW w:w="605" w:type="pct"/>
            <w:vAlign w:val="center"/>
          </w:tcPr>
          <w:p>
            <w:pPr>
              <w:jc w:val="center"/>
              <w:rPr>
                <w:color w:val="auto"/>
                <w:szCs w:val="21"/>
                <w:highlight w:val="none"/>
              </w:rPr>
            </w:pPr>
            <w:r>
              <w:rPr>
                <w:color w:val="auto"/>
                <w:szCs w:val="21"/>
                <w:highlight w:val="none"/>
              </w:rPr>
              <w:t>产生量</w:t>
            </w:r>
          </w:p>
        </w:tc>
        <w:tc>
          <w:tcPr>
            <w:tcW w:w="791" w:type="pct"/>
            <w:vAlign w:val="center"/>
          </w:tcPr>
          <w:p>
            <w:pPr>
              <w:jc w:val="center"/>
              <w:rPr>
                <w:color w:val="auto"/>
                <w:szCs w:val="21"/>
                <w:highlight w:val="none"/>
              </w:rPr>
            </w:pPr>
            <w:r>
              <w:rPr>
                <w:color w:val="auto"/>
                <w:szCs w:val="21"/>
                <w:highlight w:val="none"/>
              </w:rPr>
              <w:t>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4" w:type="pct"/>
            <w:vAlign w:val="center"/>
          </w:tcPr>
          <w:p>
            <w:pPr>
              <w:jc w:val="center"/>
              <w:rPr>
                <w:color w:val="auto"/>
                <w:szCs w:val="21"/>
                <w:highlight w:val="none"/>
              </w:rPr>
            </w:pPr>
            <w:r>
              <w:rPr>
                <w:color w:val="auto"/>
                <w:szCs w:val="21"/>
                <w:highlight w:val="none"/>
              </w:rPr>
              <w:t>1</w:t>
            </w:r>
          </w:p>
        </w:tc>
        <w:tc>
          <w:tcPr>
            <w:tcW w:w="728" w:type="pct"/>
            <w:vAlign w:val="center"/>
          </w:tcPr>
          <w:p>
            <w:pPr>
              <w:jc w:val="center"/>
              <w:rPr>
                <w:color w:val="auto"/>
                <w:szCs w:val="21"/>
                <w:highlight w:val="none"/>
              </w:rPr>
            </w:pPr>
            <w:r>
              <w:rPr>
                <w:color w:val="auto"/>
                <w:szCs w:val="21"/>
                <w:highlight w:val="none"/>
              </w:rPr>
              <w:t>管道及配件生产切割下脚料、质检不合格产品</w:t>
            </w:r>
          </w:p>
        </w:tc>
        <w:tc>
          <w:tcPr>
            <w:tcW w:w="629" w:type="pct"/>
            <w:vAlign w:val="center"/>
          </w:tcPr>
          <w:p>
            <w:pPr>
              <w:jc w:val="center"/>
              <w:rPr>
                <w:color w:val="auto"/>
                <w:szCs w:val="21"/>
                <w:highlight w:val="none"/>
              </w:rPr>
            </w:pPr>
            <w:r>
              <w:rPr>
                <w:color w:val="auto"/>
                <w:szCs w:val="21"/>
                <w:highlight w:val="none"/>
              </w:rPr>
              <w:t>一般固废</w:t>
            </w:r>
          </w:p>
        </w:tc>
        <w:tc>
          <w:tcPr>
            <w:tcW w:w="945" w:type="pct"/>
            <w:vAlign w:val="center"/>
          </w:tcPr>
          <w:p>
            <w:pPr>
              <w:jc w:val="center"/>
              <w:rPr>
                <w:color w:val="auto"/>
                <w:szCs w:val="21"/>
                <w:highlight w:val="none"/>
              </w:rPr>
            </w:pPr>
            <w:r>
              <w:rPr>
                <w:color w:val="auto"/>
                <w:szCs w:val="21"/>
                <w:highlight w:val="none"/>
              </w:rPr>
              <w:t>900-999-99</w:t>
            </w:r>
          </w:p>
        </w:tc>
        <w:tc>
          <w:tcPr>
            <w:tcW w:w="944" w:type="pct"/>
            <w:vAlign w:val="center"/>
          </w:tcPr>
          <w:p>
            <w:pPr>
              <w:jc w:val="center"/>
              <w:rPr>
                <w:color w:val="auto"/>
                <w:szCs w:val="21"/>
                <w:highlight w:val="none"/>
              </w:rPr>
            </w:pPr>
            <w:r>
              <w:rPr>
                <w:color w:val="auto"/>
                <w:szCs w:val="21"/>
                <w:highlight w:val="none"/>
              </w:rPr>
              <w:t>废塑料等</w:t>
            </w:r>
          </w:p>
        </w:tc>
        <w:tc>
          <w:tcPr>
            <w:tcW w:w="605" w:type="pct"/>
            <w:vAlign w:val="center"/>
          </w:tcPr>
          <w:p>
            <w:pPr>
              <w:jc w:val="center"/>
              <w:rPr>
                <w:color w:val="auto"/>
                <w:szCs w:val="21"/>
                <w:highlight w:val="none"/>
              </w:rPr>
            </w:pPr>
            <w:r>
              <w:rPr>
                <w:rFonts w:hint="eastAsia"/>
                <w:color w:val="auto"/>
                <w:szCs w:val="21"/>
                <w:highlight w:val="none"/>
              </w:rPr>
              <w:t>219.32</w:t>
            </w:r>
          </w:p>
        </w:tc>
        <w:tc>
          <w:tcPr>
            <w:tcW w:w="791" w:type="pct"/>
            <w:vAlign w:val="center"/>
          </w:tcPr>
          <w:p>
            <w:pPr>
              <w:jc w:val="center"/>
              <w:rPr>
                <w:color w:val="auto"/>
                <w:szCs w:val="21"/>
                <w:highlight w:val="none"/>
              </w:rPr>
            </w:pPr>
            <w:r>
              <w:rPr>
                <w:color w:val="auto"/>
                <w:szCs w:val="21"/>
                <w:highlight w:val="none"/>
              </w:rPr>
              <w:t>经破碎后回用于造粒工序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4" w:type="pct"/>
            <w:vAlign w:val="center"/>
          </w:tcPr>
          <w:p>
            <w:pPr>
              <w:jc w:val="center"/>
              <w:rPr>
                <w:color w:val="auto"/>
                <w:szCs w:val="21"/>
                <w:highlight w:val="none"/>
              </w:rPr>
            </w:pPr>
            <w:r>
              <w:rPr>
                <w:color w:val="auto"/>
                <w:szCs w:val="21"/>
                <w:highlight w:val="none"/>
              </w:rPr>
              <w:t>2</w:t>
            </w:r>
          </w:p>
        </w:tc>
        <w:tc>
          <w:tcPr>
            <w:tcW w:w="728" w:type="pct"/>
            <w:vAlign w:val="center"/>
          </w:tcPr>
          <w:p>
            <w:pPr>
              <w:jc w:val="center"/>
              <w:rPr>
                <w:color w:val="auto"/>
                <w:szCs w:val="21"/>
                <w:highlight w:val="none"/>
              </w:rPr>
            </w:pPr>
            <w:r>
              <w:rPr>
                <w:color w:val="auto"/>
                <w:szCs w:val="21"/>
                <w:highlight w:val="none"/>
              </w:rPr>
              <w:t>造粒工序熔融挤出废料</w:t>
            </w:r>
          </w:p>
        </w:tc>
        <w:tc>
          <w:tcPr>
            <w:tcW w:w="629" w:type="pct"/>
            <w:vAlign w:val="center"/>
          </w:tcPr>
          <w:p>
            <w:pPr>
              <w:jc w:val="center"/>
              <w:rPr>
                <w:color w:val="auto"/>
                <w:szCs w:val="21"/>
                <w:highlight w:val="none"/>
              </w:rPr>
            </w:pPr>
            <w:r>
              <w:rPr>
                <w:color w:val="auto"/>
                <w:szCs w:val="21"/>
                <w:highlight w:val="none"/>
              </w:rPr>
              <w:t>一般固废</w:t>
            </w:r>
          </w:p>
        </w:tc>
        <w:tc>
          <w:tcPr>
            <w:tcW w:w="945" w:type="pct"/>
            <w:vAlign w:val="center"/>
          </w:tcPr>
          <w:p>
            <w:pPr>
              <w:jc w:val="center"/>
              <w:rPr>
                <w:color w:val="auto"/>
                <w:szCs w:val="21"/>
                <w:highlight w:val="none"/>
              </w:rPr>
            </w:pPr>
            <w:r>
              <w:rPr>
                <w:color w:val="auto"/>
                <w:szCs w:val="21"/>
                <w:highlight w:val="none"/>
              </w:rPr>
              <w:t>900-999-99</w:t>
            </w:r>
          </w:p>
        </w:tc>
        <w:tc>
          <w:tcPr>
            <w:tcW w:w="944" w:type="pct"/>
            <w:vAlign w:val="center"/>
          </w:tcPr>
          <w:p>
            <w:pPr>
              <w:jc w:val="center"/>
              <w:rPr>
                <w:color w:val="auto"/>
                <w:szCs w:val="21"/>
                <w:highlight w:val="none"/>
              </w:rPr>
            </w:pPr>
            <w:r>
              <w:rPr>
                <w:color w:val="auto"/>
                <w:szCs w:val="21"/>
                <w:highlight w:val="none"/>
              </w:rPr>
              <w:t>废塑料等</w:t>
            </w:r>
          </w:p>
        </w:tc>
        <w:tc>
          <w:tcPr>
            <w:tcW w:w="605" w:type="pct"/>
            <w:vAlign w:val="center"/>
          </w:tcPr>
          <w:p>
            <w:pPr>
              <w:jc w:val="center"/>
              <w:rPr>
                <w:color w:val="auto"/>
                <w:szCs w:val="21"/>
                <w:highlight w:val="none"/>
              </w:rPr>
            </w:pPr>
            <w:r>
              <w:rPr>
                <w:rFonts w:hint="eastAsia"/>
                <w:color w:val="auto"/>
                <w:highlight w:val="none"/>
              </w:rPr>
              <w:t>49.894</w:t>
            </w:r>
          </w:p>
        </w:tc>
        <w:tc>
          <w:tcPr>
            <w:tcW w:w="791" w:type="pct"/>
            <w:vAlign w:val="center"/>
          </w:tcPr>
          <w:p>
            <w:pPr>
              <w:jc w:val="center"/>
              <w:rPr>
                <w:color w:val="auto"/>
                <w:szCs w:val="21"/>
                <w:highlight w:val="none"/>
              </w:rPr>
            </w:pPr>
            <w:r>
              <w:rPr>
                <w:color w:val="auto"/>
                <w:szCs w:val="21"/>
                <w:highlight w:val="none"/>
              </w:rPr>
              <w:t>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4" w:type="pct"/>
            <w:vAlign w:val="center"/>
          </w:tcPr>
          <w:p>
            <w:pPr>
              <w:jc w:val="center"/>
              <w:rPr>
                <w:color w:val="auto"/>
                <w:szCs w:val="21"/>
                <w:highlight w:val="none"/>
              </w:rPr>
            </w:pPr>
            <w:r>
              <w:rPr>
                <w:color w:val="auto"/>
                <w:szCs w:val="21"/>
                <w:highlight w:val="none"/>
              </w:rPr>
              <w:t>3</w:t>
            </w:r>
          </w:p>
        </w:tc>
        <w:tc>
          <w:tcPr>
            <w:tcW w:w="728" w:type="pct"/>
            <w:vAlign w:val="center"/>
          </w:tcPr>
          <w:p>
            <w:pPr>
              <w:jc w:val="center"/>
              <w:rPr>
                <w:color w:val="auto"/>
                <w:szCs w:val="21"/>
                <w:highlight w:val="none"/>
              </w:rPr>
            </w:pPr>
            <w:r>
              <w:rPr>
                <w:color w:val="auto"/>
                <w:szCs w:val="21"/>
                <w:highlight w:val="none"/>
              </w:rPr>
              <w:t>废滤网</w:t>
            </w:r>
          </w:p>
        </w:tc>
        <w:tc>
          <w:tcPr>
            <w:tcW w:w="629" w:type="pct"/>
            <w:vAlign w:val="center"/>
          </w:tcPr>
          <w:p>
            <w:pPr>
              <w:jc w:val="center"/>
              <w:rPr>
                <w:color w:val="auto"/>
                <w:szCs w:val="21"/>
                <w:highlight w:val="none"/>
              </w:rPr>
            </w:pPr>
            <w:r>
              <w:rPr>
                <w:color w:val="auto"/>
                <w:szCs w:val="21"/>
                <w:highlight w:val="none"/>
              </w:rPr>
              <w:t>一般固废</w:t>
            </w:r>
          </w:p>
        </w:tc>
        <w:tc>
          <w:tcPr>
            <w:tcW w:w="945" w:type="pct"/>
            <w:vAlign w:val="center"/>
          </w:tcPr>
          <w:p>
            <w:pPr>
              <w:jc w:val="center"/>
              <w:rPr>
                <w:color w:val="auto"/>
                <w:szCs w:val="21"/>
                <w:highlight w:val="none"/>
              </w:rPr>
            </w:pPr>
            <w:r>
              <w:rPr>
                <w:color w:val="auto"/>
                <w:szCs w:val="21"/>
                <w:highlight w:val="none"/>
              </w:rPr>
              <w:t>900-999-99</w:t>
            </w:r>
          </w:p>
        </w:tc>
        <w:tc>
          <w:tcPr>
            <w:tcW w:w="944" w:type="pct"/>
            <w:vAlign w:val="center"/>
          </w:tcPr>
          <w:p>
            <w:pPr>
              <w:jc w:val="center"/>
              <w:rPr>
                <w:color w:val="auto"/>
                <w:szCs w:val="21"/>
                <w:highlight w:val="none"/>
              </w:rPr>
            </w:pPr>
            <w:r>
              <w:rPr>
                <w:color w:val="auto"/>
                <w:szCs w:val="21"/>
                <w:highlight w:val="none"/>
              </w:rPr>
              <w:t>废铁等</w:t>
            </w:r>
          </w:p>
        </w:tc>
        <w:tc>
          <w:tcPr>
            <w:tcW w:w="605" w:type="pct"/>
            <w:vAlign w:val="center"/>
          </w:tcPr>
          <w:p>
            <w:pPr>
              <w:jc w:val="center"/>
              <w:rPr>
                <w:color w:val="auto"/>
                <w:szCs w:val="21"/>
                <w:highlight w:val="none"/>
              </w:rPr>
            </w:pPr>
            <w:r>
              <w:rPr>
                <w:color w:val="auto"/>
                <w:szCs w:val="21"/>
                <w:highlight w:val="none"/>
              </w:rPr>
              <w:t>0.05</w:t>
            </w:r>
          </w:p>
        </w:tc>
        <w:tc>
          <w:tcPr>
            <w:tcW w:w="791" w:type="pct"/>
            <w:vAlign w:val="center"/>
          </w:tcPr>
          <w:p>
            <w:pPr>
              <w:jc w:val="center"/>
              <w:rPr>
                <w:color w:val="auto"/>
                <w:szCs w:val="21"/>
                <w:highlight w:val="none"/>
              </w:rPr>
            </w:pPr>
            <w:r>
              <w:rPr>
                <w:color w:val="auto"/>
                <w:szCs w:val="21"/>
                <w:highlight w:val="none"/>
              </w:rPr>
              <w:t>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4" w:type="pct"/>
            <w:vAlign w:val="center"/>
          </w:tcPr>
          <w:p>
            <w:pPr>
              <w:jc w:val="center"/>
              <w:rPr>
                <w:color w:val="auto"/>
                <w:szCs w:val="21"/>
                <w:highlight w:val="none"/>
              </w:rPr>
            </w:pPr>
            <w:r>
              <w:rPr>
                <w:color w:val="auto"/>
                <w:szCs w:val="21"/>
                <w:highlight w:val="none"/>
              </w:rPr>
              <w:t>4</w:t>
            </w:r>
          </w:p>
        </w:tc>
        <w:tc>
          <w:tcPr>
            <w:tcW w:w="728" w:type="pct"/>
            <w:vAlign w:val="center"/>
          </w:tcPr>
          <w:p>
            <w:pPr>
              <w:jc w:val="center"/>
              <w:rPr>
                <w:color w:val="auto"/>
                <w:szCs w:val="21"/>
                <w:highlight w:val="none"/>
              </w:rPr>
            </w:pPr>
            <w:r>
              <w:rPr>
                <w:color w:val="auto"/>
                <w:szCs w:val="21"/>
                <w:highlight w:val="none"/>
              </w:rPr>
              <w:t>废活性炭</w:t>
            </w:r>
          </w:p>
        </w:tc>
        <w:tc>
          <w:tcPr>
            <w:tcW w:w="629" w:type="pct"/>
            <w:vAlign w:val="center"/>
          </w:tcPr>
          <w:p>
            <w:pPr>
              <w:jc w:val="center"/>
              <w:rPr>
                <w:color w:val="auto"/>
                <w:szCs w:val="21"/>
                <w:highlight w:val="none"/>
              </w:rPr>
            </w:pPr>
            <w:r>
              <w:rPr>
                <w:color w:val="auto"/>
                <w:szCs w:val="21"/>
                <w:highlight w:val="none"/>
              </w:rPr>
              <w:t>危险废物</w:t>
            </w:r>
          </w:p>
        </w:tc>
        <w:tc>
          <w:tcPr>
            <w:tcW w:w="945" w:type="pct"/>
            <w:vAlign w:val="center"/>
          </w:tcPr>
          <w:p>
            <w:pPr>
              <w:jc w:val="center"/>
              <w:rPr>
                <w:color w:val="auto"/>
                <w:szCs w:val="21"/>
                <w:highlight w:val="none"/>
              </w:rPr>
            </w:pPr>
            <w:r>
              <w:rPr>
                <w:color w:val="auto"/>
                <w:szCs w:val="21"/>
                <w:highlight w:val="none"/>
              </w:rPr>
              <w:t>HW49 900-039-49</w:t>
            </w:r>
          </w:p>
        </w:tc>
        <w:tc>
          <w:tcPr>
            <w:tcW w:w="944" w:type="pct"/>
            <w:vAlign w:val="center"/>
          </w:tcPr>
          <w:p>
            <w:pPr>
              <w:jc w:val="center"/>
              <w:rPr>
                <w:color w:val="auto"/>
                <w:szCs w:val="21"/>
                <w:highlight w:val="none"/>
              </w:rPr>
            </w:pPr>
            <w:r>
              <w:rPr>
                <w:color w:val="auto"/>
                <w:szCs w:val="21"/>
                <w:highlight w:val="none"/>
              </w:rPr>
              <w:t>有机物等</w:t>
            </w:r>
          </w:p>
        </w:tc>
        <w:tc>
          <w:tcPr>
            <w:tcW w:w="605" w:type="pct"/>
            <w:vAlign w:val="center"/>
          </w:tcPr>
          <w:p>
            <w:pPr>
              <w:jc w:val="center"/>
              <w:rPr>
                <w:color w:val="auto"/>
                <w:szCs w:val="21"/>
                <w:highlight w:val="none"/>
              </w:rPr>
            </w:pPr>
            <w:r>
              <w:rPr>
                <w:color w:val="auto"/>
                <w:szCs w:val="21"/>
                <w:highlight w:val="none"/>
              </w:rPr>
              <w:t>3</w:t>
            </w:r>
          </w:p>
        </w:tc>
        <w:tc>
          <w:tcPr>
            <w:tcW w:w="791" w:type="pct"/>
            <w:vMerge w:val="restart"/>
            <w:vAlign w:val="center"/>
          </w:tcPr>
          <w:p>
            <w:pPr>
              <w:jc w:val="center"/>
              <w:rPr>
                <w:color w:val="auto"/>
                <w:szCs w:val="21"/>
                <w:highlight w:val="none"/>
              </w:rPr>
            </w:pPr>
            <w:r>
              <w:rPr>
                <w:color w:val="auto"/>
                <w:szCs w:val="21"/>
                <w:highlight w:val="none"/>
              </w:rPr>
              <w:t>委托有相关资质单位处置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4" w:type="pct"/>
            <w:vAlign w:val="center"/>
          </w:tcPr>
          <w:p>
            <w:pPr>
              <w:jc w:val="center"/>
              <w:rPr>
                <w:color w:val="auto"/>
                <w:szCs w:val="21"/>
                <w:highlight w:val="none"/>
              </w:rPr>
            </w:pPr>
            <w:r>
              <w:rPr>
                <w:color w:val="auto"/>
                <w:szCs w:val="21"/>
                <w:highlight w:val="none"/>
              </w:rPr>
              <w:t>5</w:t>
            </w:r>
          </w:p>
        </w:tc>
        <w:tc>
          <w:tcPr>
            <w:tcW w:w="728" w:type="pct"/>
            <w:vAlign w:val="center"/>
          </w:tcPr>
          <w:p>
            <w:pPr>
              <w:jc w:val="center"/>
              <w:rPr>
                <w:color w:val="auto"/>
                <w:szCs w:val="21"/>
                <w:highlight w:val="none"/>
              </w:rPr>
            </w:pPr>
            <w:r>
              <w:rPr>
                <w:color w:val="auto"/>
                <w:szCs w:val="21"/>
                <w:highlight w:val="none"/>
              </w:rPr>
              <w:t>废催化剂</w:t>
            </w:r>
          </w:p>
        </w:tc>
        <w:tc>
          <w:tcPr>
            <w:tcW w:w="629" w:type="pct"/>
            <w:vAlign w:val="center"/>
          </w:tcPr>
          <w:p>
            <w:pPr>
              <w:jc w:val="center"/>
              <w:rPr>
                <w:color w:val="auto"/>
                <w:szCs w:val="21"/>
                <w:highlight w:val="none"/>
              </w:rPr>
            </w:pPr>
            <w:r>
              <w:rPr>
                <w:color w:val="auto"/>
                <w:szCs w:val="21"/>
                <w:highlight w:val="none"/>
              </w:rPr>
              <w:t>危险废物</w:t>
            </w:r>
          </w:p>
        </w:tc>
        <w:tc>
          <w:tcPr>
            <w:tcW w:w="945" w:type="pct"/>
            <w:vAlign w:val="center"/>
          </w:tcPr>
          <w:p>
            <w:pPr>
              <w:jc w:val="center"/>
              <w:rPr>
                <w:color w:val="auto"/>
                <w:szCs w:val="21"/>
                <w:highlight w:val="none"/>
              </w:rPr>
            </w:pPr>
            <w:r>
              <w:rPr>
                <w:color w:val="auto"/>
                <w:szCs w:val="21"/>
                <w:highlight w:val="none"/>
              </w:rPr>
              <w:t>HW50 900-049-50</w:t>
            </w:r>
          </w:p>
        </w:tc>
        <w:tc>
          <w:tcPr>
            <w:tcW w:w="944" w:type="pct"/>
            <w:vAlign w:val="center"/>
          </w:tcPr>
          <w:p>
            <w:pPr>
              <w:jc w:val="center"/>
              <w:rPr>
                <w:color w:val="auto"/>
                <w:szCs w:val="21"/>
                <w:highlight w:val="none"/>
              </w:rPr>
            </w:pPr>
            <w:r>
              <w:rPr>
                <w:color w:val="auto"/>
                <w:szCs w:val="21"/>
                <w:highlight w:val="none"/>
              </w:rPr>
              <w:t>铂等重金属</w:t>
            </w:r>
          </w:p>
        </w:tc>
        <w:tc>
          <w:tcPr>
            <w:tcW w:w="605" w:type="pct"/>
            <w:vAlign w:val="center"/>
          </w:tcPr>
          <w:p>
            <w:pPr>
              <w:jc w:val="center"/>
              <w:rPr>
                <w:color w:val="auto"/>
                <w:szCs w:val="21"/>
                <w:highlight w:val="none"/>
              </w:rPr>
            </w:pPr>
            <w:r>
              <w:rPr>
                <w:color w:val="auto"/>
                <w:szCs w:val="21"/>
                <w:highlight w:val="none"/>
              </w:rPr>
              <w:t>0.019</w:t>
            </w:r>
          </w:p>
        </w:tc>
        <w:tc>
          <w:tcPr>
            <w:tcW w:w="791" w:type="pct"/>
            <w:vMerge w:val="continue"/>
            <w:vAlign w:val="center"/>
          </w:tcPr>
          <w:p>
            <w:pPr>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4" w:type="pct"/>
            <w:vAlign w:val="center"/>
          </w:tcPr>
          <w:p>
            <w:pPr>
              <w:jc w:val="center"/>
              <w:rPr>
                <w:color w:val="auto"/>
                <w:szCs w:val="21"/>
                <w:highlight w:val="none"/>
              </w:rPr>
            </w:pPr>
            <w:r>
              <w:rPr>
                <w:color w:val="auto"/>
                <w:szCs w:val="21"/>
                <w:highlight w:val="none"/>
              </w:rPr>
              <w:t>6</w:t>
            </w:r>
          </w:p>
        </w:tc>
        <w:tc>
          <w:tcPr>
            <w:tcW w:w="728" w:type="pct"/>
            <w:vAlign w:val="center"/>
          </w:tcPr>
          <w:p>
            <w:pPr>
              <w:jc w:val="center"/>
              <w:rPr>
                <w:color w:val="auto"/>
                <w:szCs w:val="21"/>
                <w:highlight w:val="none"/>
              </w:rPr>
            </w:pPr>
            <w:r>
              <w:rPr>
                <w:color w:val="auto"/>
                <w:szCs w:val="21"/>
                <w:highlight w:val="none"/>
              </w:rPr>
              <w:t>废矿物油及其空桶</w:t>
            </w:r>
          </w:p>
        </w:tc>
        <w:tc>
          <w:tcPr>
            <w:tcW w:w="629" w:type="pct"/>
            <w:vAlign w:val="center"/>
          </w:tcPr>
          <w:p>
            <w:pPr>
              <w:jc w:val="center"/>
              <w:rPr>
                <w:color w:val="auto"/>
                <w:szCs w:val="21"/>
                <w:highlight w:val="none"/>
              </w:rPr>
            </w:pPr>
            <w:r>
              <w:rPr>
                <w:color w:val="auto"/>
                <w:szCs w:val="21"/>
                <w:highlight w:val="none"/>
              </w:rPr>
              <w:t>危险废物</w:t>
            </w:r>
          </w:p>
        </w:tc>
        <w:tc>
          <w:tcPr>
            <w:tcW w:w="945" w:type="pct"/>
            <w:vAlign w:val="center"/>
          </w:tcPr>
          <w:p>
            <w:pPr>
              <w:jc w:val="center"/>
              <w:rPr>
                <w:color w:val="auto"/>
                <w:szCs w:val="21"/>
                <w:highlight w:val="none"/>
              </w:rPr>
            </w:pPr>
            <w:r>
              <w:rPr>
                <w:color w:val="auto"/>
                <w:szCs w:val="21"/>
                <w:highlight w:val="none"/>
              </w:rPr>
              <w:t>HW08</w:t>
            </w:r>
          </w:p>
          <w:p>
            <w:pPr>
              <w:jc w:val="center"/>
              <w:rPr>
                <w:color w:val="auto"/>
                <w:szCs w:val="21"/>
                <w:highlight w:val="none"/>
              </w:rPr>
            </w:pPr>
            <w:r>
              <w:rPr>
                <w:color w:val="auto"/>
                <w:szCs w:val="21"/>
                <w:highlight w:val="none"/>
              </w:rPr>
              <w:t>(900-217-08、(900-249-08)</w:t>
            </w:r>
          </w:p>
        </w:tc>
        <w:tc>
          <w:tcPr>
            <w:tcW w:w="944" w:type="pct"/>
            <w:vAlign w:val="center"/>
          </w:tcPr>
          <w:p>
            <w:pPr>
              <w:jc w:val="center"/>
              <w:rPr>
                <w:color w:val="auto"/>
                <w:szCs w:val="21"/>
                <w:highlight w:val="none"/>
              </w:rPr>
            </w:pPr>
            <w:r>
              <w:rPr>
                <w:color w:val="auto"/>
                <w:szCs w:val="21"/>
                <w:highlight w:val="none"/>
              </w:rPr>
              <w:t>废矿物油</w:t>
            </w:r>
          </w:p>
        </w:tc>
        <w:tc>
          <w:tcPr>
            <w:tcW w:w="605" w:type="pct"/>
            <w:vAlign w:val="center"/>
          </w:tcPr>
          <w:p>
            <w:pPr>
              <w:jc w:val="center"/>
              <w:rPr>
                <w:color w:val="auto"/>
                <w:szCs w:val="21"/>
                <w:highlight w:val="none"/>
              </w:rPr>
            </w:pPr>
            <w:r>
              <w:rPr>
                <w:color w:val="auto"/>
                <w:szCs w:val="21"/>
                <w:highlight w:val="none"/>
              </w:rPr>
              <w:t>0.05</w:t>
            </w:r>
          </w:p>
        </w:tc>
        <w:tc>
          <w:tcPr>
            <w:tcW w:w="791" w:type="pct"/>
            <w:vMerge w:val="continue"/>
            <w:vAlign w:val="center"/>
          </w:tcPr>
          <w:p>
            <w:pPr>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4" w:type="pct"/>
            <w:vAlign w:val="center"/>
          </w:tcPr>
          <w:p>
            <w:pPr>
              <w:jc w:val="center"/>
              <w:rPr>
                <w:color w:val="auto"/>
                <w:szCs w:val="21"/>
                <w:highlight w:val="none"/>
              </w:rPr>
            </w:pPr>
            <w:r>
              <w:rPr>
                <w:color w:val="auto"/>
                <w:szCs w:val="21"/>
                <w:highlight w:val="none"/>
              </w:rPr>
              <w:t>7</w:t>
            </w:r>
          </w:p>
        </w:tc>
        <w:tc>
          <w:tcPr>
            <w:tcW w:w="728" w:type="pct"/>
            <w:vAlign w:val="center"/>
          </w:tcPr>
          <w:p>
            <w:pPr>
              <w:jc w:val="center"/>
              <w:rPr>
                <w:color w:val="auto"/>
                <w:szCs w:val="21"/>
                <w:highlight w:val="none"/>
              </w:rPr>
            </w:pPr>
            <w:r>
              <w:rPr>
                <w:color w:val="auto"/>
                <w:szCs w:val="21"/>
                <w:highlight w:val="none"/>
              </w:rPr>
              <w:t>生活垃圾</w:t>
            </w:r>
          </w:p>
        </w:tc>
        <w:tc>
          <w:tcPr>
            <w:tcW w:w="629" w:type="pct"/>
            <w:vAlign w:val="center"/>
          </w:tcPr>
          <w:p>
            <w:pPr>
              <w:jc w:val="center"/>
              <w:rPr>
                <w:color w:val="auto"/>
                <w:szCs w:val="21"/>
                <w:highlight w:val="none"/>
              </w:rPr>
            </w:pPr>
            <w:r>
              <w:rPr>
                <w:color w:val="auto"/>
                <w:szCs w:val="21"/>
                <w:highlight w:val="none"/>
              </w:rPr>
              <w:t>一般固废</w:t>
            </w:r>
          </w:p>
        </w:tc>
        <w:tc>
          <w:tcPr>
            <w:tcW w:w="945" w:type="pct"/>
            <w:vAlign w:val="center"/>
          </w:tcPr>
          <w:p>
            <w:pPr>
              <w:jc w:val="center"/>
              <w:rPr>
                <w:color w:val="auto"/>
                <w:szCs w:val="21"/>
                <w:highlight w:val="none"/>
              </w:rPr>
            </w:pPr>
            <w:r>
              <w:rPr>
                <w:color w:val="auto"/>
                <w:szCs w:val="21"/>
                <w:highlight w:val="none"/>
              </w:rPr>
              <w:t>900-999-99</w:t>
            </w:r>
          </w:p>
        </w:tc>
        <w:tc>
          <w:tcPr>
            <w:tcW w:w="944" w:type="pct"/>
            <w:vAlign w:val="center"/>
          </w:tcPr>
          <w:p>
            <w:pPr>
              <w:jc w:val="center"/>
              <w:rPr>
                <w:color w:val="auto"/>
                <w:szCs w:val="21"/>
                <w:highlight w:val="none"/>
              </w:rPr>
            </w:pPr>
            <w:r>
              <w:rPr>
                <w:color w:val="auto"/>
                <w:szCs w:val="21"/>
                <w:highlight w:val="none"/>
              </w:rPr>
              <w:t>纸张、果皮、塑料等</w:t>
            </w:r>
          </w:p>
        </w:tc>
        <w:tc>
          <w:tcPr>
            <w:tcW w:w="605" w:type="pct"/>
            <w:vAlign w:val="center"/>
          </w:tcPr>
          <w:p>
            <w:pPr>
              <w:jc w:val="center"/>
              <w:rPr>
                <w:color w:val="auto"/>
                <w:szCs w:val="21"/>
                <w:highlight w:val="none"/>
              </w:rPr>
            </w:pPr>
            <w:r>
              <w:rPr>
                <w:color w:val="auto"/>
                <w:szCs w:val="21"/>
                <w:highlight w:val="none"/>
              </w:rPr>
              <w:t>4.5</w:t>
            </w:r>
          </w:p>
        </w:tc>
        <w:tc>
          <w:tcPr>
            <w:tcW w:w="791" w:type="pct"/>
            <w:vAlign w:val="center"/>
          </w:tcPr>
          <w:p>
            <w:pPr>
              <w:jc w:val="center"/>
              <w:rPr>
                <w:color w:val="auto"/>
                <w:szCs w:val="21"/>
                <w:highlight w:val="none"/>
              </w:rPr>
            </w:pPr>
            <w:r>
              <w:rPr>
                <w:color w:val="auto"/>
                <w:szCs w:val="21"/>
                <w:highlight w:val="none"/>
              </w:rPr>
              <w:t>环卫部门定期清运</w:t>
            </w:r>
          </w:p>
        </w:tc>
      </w:tr>
    </w:tbl>
    <w:p>
      <w:pPr>
        <w:pStyle w:val="99"/>
        <w:ind w:firstLine="480"/>
        <w:rPr>
          <w:color w:val="auto"/>
          <w:highlight w:val="none"/>
        </w:rPr>
      </w:pPr>
      <w:r>
        <w:rPr>
          <w:color w:val="auto"/>
          <w:highlight w:val="none"/>
        </w:rPr>
        <w:t>综上，本项目产生的目固废均可得到及时妥善的处理和处置，对周围环境影响</w:t>
      </w:r>
      <w:r>
        <w:rPr>
          <w:rFonts w:hint="eastAsia"/>
          <w:color w:val="auto"/>
          <w:highlight w:val="none"/>
        </w:rPr>
        <w:t>较小</w:t>
      </w:r>
      <w:r>
        <w:rPr>
          <w:color w:val="auto"/>
          <w:highlight w:val="none"/>
        </w:rPr>
        <w:t>。</w:t>
      </w:r>
    </w:p>
    <w:p>
      <w:pPr>
        <w:pStyle w:val="112"/>
        <w:rPr>
          <w:color w:val="auto"/>
          <w:highlight w:val="none"/>
        </w:rPr>
      </w:pPr>
      <w:r>
        <w:rPr>
          <w:color w:val="auto"/>
          <w:highlight w:val="none"/>
        </w:rPr>
        <w:t>2.3.</w:t>
      </w:r>
      <w:r>
        <w:rPr>
          <w:rFonts w:hint="eastAsia"/>
          <w:color w:val="auto"/>
          <w:highlight w:val="none"/>
        </w:rPr>
        <w:t>3</w:t>
      </w:r>
      <w:r>
        <w:rPr>
          <w:color w:val="auto"/>
          <w:highlight w:val="none"/>
        </w:rPr>
        <w:t>.</w:t>
      </w:r>
      <w:r>
        <w:rPr>
          <w:rFonts w:hint="eastAsia"/>
          <w:color w:val="auto"/>
          <w:highlight w:val="none"/>
        </w:rPr>
        <w:t>2固体废物污染防治措施</w:t>
      </w:r>
    </w:p>
    <w:p>
      <w:pPr>
        <w:pStyle w:val="99"/>
        <w:ind w:firstLine="480"/>
        <w:rPr>
          <w:color w:val="auto"/>
          <w:highlight w:val="none"/>
        </w:rPr>
      </w:pPr>
      <w:r>
        <w:rPr>
          <w:rFonts w:hint="eastAsia"/>
          <w:color w:val="auto"/>
          <w:highlight w:val="none"/>
        </w:rPr>
        <w:t xml:space="preserve">(1) </w:t>
      </w:r>
      <w:r>
        <w:rPr>
          <w:color w:val="auto"/>
          <w:highlight w:val="none"/>
        </w:rPr>
        <w:t>生活垃圾：厂区内设置生活垃圾收集箱，所有生活垃圾收集后放在垃圾箱内，2～3天由环卫部门统一</w:t>
      </w:r>
      <w:r>
        <w:rPr>
          <w:rFonts w:hint="eastAsia"/>
          <w:color w:val="auto"/>
          <w:highlight w:val="none"/>
        </w:rPr>
        <w:t>清运</w:t>
      </w:r>
      <w:r>
        <w:rPr>
          <w:color w:val="auto"/>
          <w:highlight w:val="none"/>
        </w:rPr>
        <w:t>。</w:t>
      </w:r>
    </w:p>
    <w:p>
      <w:pPr>
        <w:pStyle w:val="99"/>
        <w:ind w:firstLine="480"/>
        <w:rPr>
          <w:color w:val="auto"/>
          <w:highlight w:val="none"/>
        </w:rPr>
      </w:pPr>
      <w:r>
        <w:rPr>
          <w:rFonts w:hint="eastAsia"/>
          <w:color w:val="auto"/>
          <w:highlight w:val="none"/>
        </w:rPr>
        <w:t xml:space="preserve">(2) </w:t>
      </w:r>
      <w:r>
        <w:rPr>
          <w:color w:val="auto"/>
          <w:highlight w:val="none"/>
        </w:rPr>
        <w:t>一般工业固废：一般工业固废，收集在车间内的堆放点，</w:t>
      </w:r>
      <w:r>
        <w:rPr>
          <w:rFonts w:hint="eastAsia"/>
          <w:color w:val="auto"/>
          <w:highlight w:val="none"/>
        </w:rPr>
        <w:t>定期回用或外卖</w:t>
      </w:r>
      <w:r>
        <w:rPr>
          <w:color w:val="auto"/>
          <w:highlight w:val="none"/>
        </w:rPr>
        <w:t>。</w:t>
      </w:r>
    </w:p>
    <w:p>
      <w:pPr>
        <w:pStyle w:val="99"/>
        <w:ind w:firstLine="480"/>
        <w:rPr>
          <w:color w:val="auto"/>
          <w:highlight w:val="none"/>
        </w:rPr>
      </w:pPr>
      <w:r>
        <w:rPr>
          <w:rFonts w:hint="eastAsia"/>
          <w:color w:val="auto"/>
          <w:highlight w:val="none"/>
        </w:rPr>
        <w:t xml:space="preserve">(3) </w:t>
      </w:r>
      <w:r>
        <w:rPr>
          <w:color w:val="auto"/>
          <w:highlight w:val="none"/>
        </w:rPr>
        <w:t>危险废物：拟建项目拟设置危险废物存放间1座，建筑面积约</w:t>
      </w:r>
      <w:r>
        <w:rPr>
          <w:rFonts w:hint="eastAsia"/>
          <w:color w:val="auto"/>
          <w:highlight w:val="none"/>
        </w:rPr>
        <w:t>2</w:t>
      </w:r>
      <w:r>
        <w:rPr>
          <w:color w:val="auto"/>
          <w:highlight w:val="none"/>
        </w:rPr>
        <w:t>0m</w:t>
      </w:r>
      <w:r>
        <w:rPr>
          <w:color w:val="auto"/>
          <w:highlight w:val="none"/>
          <w:vertAlign w:val="superscript"/>
        </w:rPr>
        <w:t>2</w:t>
      </w:r>
      <w:r>
        <w:rPr>
          <w:rFonts w:hint="eastAsia"/>
          <w:color w:val="auto"/>
          <w:highlight w:val="none"/>
        </w:rPr>
        <w:t>。</w:t>
      </w:r>
    </w:p>
    <w:p>
      <w:pPr>
        <w:pStyle w:val="99"/>
        <w:ind w:firstLine="480"/>
        <w:rPr>
          <w:color w:val="auto"/>
          <w:highlight w:val="none"/>
        </w:rPr>
      </w:pPr>
      <w:r>
        <w:rPr>
          <w:rFonts w:hint="eastAsia"/>
          <w:color w:val="auto"/>
          <w:highlight w:val="none"/>
        </w:rPr>
        <w:t>根据《一般工业固体废物贮存和填埋污染控制标准》（GB18599-2020），其贮存过程应满足相应防渗漏、防雨淋、防扬尘等环境保护要求。项目的一般工业固体废物暂存场地均位于厂区内的生产区域，远离项目办公区，暂存场地均为室内设置，做好防渗漏、防雨淋、防扬尘措施，设置较为合理，不会对外环境产生污染影响。</w:t>
      </w:r>
    </w:p>
    <w:p>
      <w:pPr>
        <w:pStyle w:val="99"/>
        <w:ind w:firstLine="480"/>
        <w:rPr>
          <w:color w:val="auto"/>
          <w:highlight w:val="none"/>
        </w:rPr>
      </w:pPr>
      <w:r>
        <w:rPr>
          <w:color w:val="auto"/>
          <w:highlight w:val="none"/>
        </w:rPr>
        <w:t>危险废物的收集、储存、管理严格按照《危险废物贮存污染控制标准》(GB18597-2001)及其修改单要求执行，建立岗位责任制和危险废物管理档案，由专人负责危险废物收集和管理工作；</w:t>
      </w:r>
      <w:r>
        <w:rPr>
          <w:rFonts w:hint="eastAsia"/>
          <w:color w:val="auto"/>
          <w:highlight w:val="none"/>
        </w:rPr>
        <w:t>根据《中华人民共和国固体废物污染环境防治法》，从事收集、贮存、利用、处置危险废物经营活动的单位，贮存危险废物不得超过一年；确需延长期限的，应当报经颁发许可证的生态环境主管部门批准</w:t>
      </w:r>
      <w:r>
        <w:rPr>
          <w:color w:val="auto"/>
          <w:highlight w:val="none"/>
        </w:rPr>
        <w:t>。贮存危险废物的设施和场所，必须按国家规定设置统一识别标志；采用专用车辆和专用容器运输贮存危险废物，禁止将危险废物混入生活垃圾或其他废物；在收集、贮存危险废物过程中，发生污染事故或其他突发性污染事件时，必须立即采取措施，消除或减轻污染危害，及时通知可能受到危害的单位和居民，并应于24h内向所在区、市环境保护行政主管部门和有关部门报告，接受调查处理；收集、贮存危险废物过程中按危险废物特性进行分类包装。包装容器的外面必须有表示废物形态、性质的明显标志，并向运输者和接受者提供安全保护要求的文字说明；危险废物的贮存设施必须符合国家标准和有关规定，有防渗漏、防雨淋、防流失措施，并必须设置识别危险废物的明显标志；拟建项目对固体废物堆放场所、污水收集区域和处理设施，尤其是危险固体废物堆存，对地面进行硬化和防渗漏处理，防渗漏措施如下：建设堵截泄漏的裙脚，地面与裙脚要用坚固防渗的材料建造。应有隔离设施、报警装置和防风、防晒、防雨设施，同时其地面须为耐腐蚀的硬化地面，且地面无裂隙；基础防渗层可用厚度在2mm以上的高密度聚乙烯或其他人工防渗材料组成，渗透系数应小于1.0×10</w:t>
      </w:r>
      <w:r>
        <w:rPr>
          <w:color w:val="auto"/>
          <w:highlight w:val="none"/>
          <w:vertAlign w:val="superscript"/>
        </w:rPr>
        <w:t>-10</w:t>
      </w:r>
      <w:r>
        <w:rPr>
          <w:color w:val="auto"/>
          <w:highlight w:val="none"/>
        </w:rPr>
        <w:t>cm/s；收集、贮存危险废物的场所、设施、设备和容器、包装物或其他物品转作他用时，必须经过消除污染的处理，并经环境保护监测部门监测，达到无害化标准，未达标准的严禁转作他用。</w:t>
      </w:r>
    </w:p>
    <w:bookmarkEnd w:id="115"/>
    <w:p>
      <w:pPr>
        <w:pStyle w:val="101"/>
        <w:spacing w:before="78"/>
        <w:rPr>
          <w:rFonts w:ascii="Times New Roman" w:hAnsi="Times New Roman"/>
          <w:color w:val="auto"/>
          <w:highlight w:val="none"/>
        </w:rPr>
      </w:pPr>
      <w:r>
        <w:rPr>
          <w:rFonts w:ascii="Times New Roman" w:hAnsi="Times New Roman"/>
          <w:color w:val="auto"/>
          <w:highlight w:val="none"/>
        </w:rPr>
        <w:t>2.3.4噪声</w:t>
      </w:r>
    </w:p>
    <w:p>
      <w:pPr>
        <w:pStyle w:val="102"/>
        <w:ind w:firstLine="480"/>
        <w:rPr>
          <w:color w:val="auto"/>
          <w:highlight w:val="none"/>
        </w:rPr>
      </w:pPr>
      <w:r>
        <w:rPr>
          <w:color w:val="auto"/>
          <w:highlight w:val="none"/>
        </w:rPr>
        <w:t>本项目噪声源主要为</w:t>
      </w:r>
      <w:r>
        <w:rPr>
          <w:rFonts w:hint="eastAsia"/>
          <w:color w:val="auto"/>
          <w:highlight w:val="none"/>
        </w:rPr>
        <w:t>挤出机、牵引机、切割机、成型机、注塑机、造粒机、切粒机、风机</w:t>
      </w:r>
      <w:r>
        <w:rPr>
          <w:rFonts w:hint="eastAsia"/>
          <w:snapToGrid w:val="0"/>
          <w:color w:val="auto"/>
          <w:kern w:val="0"/>
          <w:highlight w:val="none"/>
        </w:rPr>
        <w:t>及各种泵类</w:t>
      </w:r>
      <w:r>
        <w:rPr>
          <w:color w:val="auto"/>
          <w:highlight w:val="none"/>
        </w:rPr>
        <w:t>等，其噪声声压级及采取措施情况见表2.3-</w:t>
      </w:r>
      <w:r>
        <w:rPr>
          <w:rFonts w:hint="eastAsia"/>
          <w:color w:val="auto"/>
          <w:highlight w:val="none"/>
        </w:rPr>
        <w:t>5</w:t>
      </w:r>
      <w:r>
        <w:rPr>
          <w:color w:val="auto"/>
          <w:highlight w:val="none"/>
        </w:rPr>
        <w:t>。</w:t>
      </w:r>
    </w:p>
    <w:p>
      <w:pPr>
        <w:widowControl/>
        <w:spacing w:line="360" w:lineRule="auto"/>
        <w:ind w:firstLine="480" w:firstLineChars="200"/>
        <w:jc w:val="center"/>
        <w:rPr>
          <w:rFonts w:eastAsia="黑体"/>
          <w:color w:val="auto"/>
          <w:sz w:val="24"/>
          <w:highlight w:val="none"/>
        </w:rPr>
      </w:pPr>
    </w:p>
    <w:p>
      <w:pPr>
        <w:widowControl/>
        <w:spacing w:line="360" w:lineRule="auto"/>
        <w:ind w:firstLine="480" w:firstLineChars="200"/>
        <w:jc w:val="center"/>
        <w:rPr>
          <w:color w:val="auto"/>
          <w:highlight w:val="none"/>
        </w:rPr>
      </w:pPr>
      <w:r>
        <w:rPr>
          <w:rFonts w:eastAsia="黑体"/>
          <w:color w:val="auto"/>
          <w:sz w:val="24"/>
          <w:highlight w:val="none"/>
        </w:rPr>
        <w:t>表2.3-</w:t>
      </w:r>
      <w:r>
        <w:rPr>
          <w:rFonts w:hint="eastAsia" w:eastAsia="黑体"/>
          <w:color w:val="auto"/>
          <w:sz w:val="24"/>
          <w:highlight w:val="none"/>
        </w:rPr>
        <w:t>5</w:t>
      </w:r>
      <w:r>
        <w:rPr>
          <w:rFonts w:eastAsia="黑体"/>
          <w:color w:val="auto"/>
          <w:sz w:val="24"/>
          <w:highlight w:val="none"/>
        </w:rPr>
        <w:t xml:space="preserve">    项目主要噪声源一览表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108" w:type="dxa"/>
          <w:bottom w:w="28" w:type="dxa"/>
          <w:right w:w="108" w:type="dxa"/>
        </w:tblCellMar>
      </w:tblPr>
      <w:tblGrid>
        <w:gridCol w:w="1349"/>
        <w:gridCol w:w="778"/>
        <w:gridCol w:w="1521"/>
        <w:gridCol w:w="991"/>
        <w:gridCol w:w="944"/>
        <w:gridCol w:w="2034"/>
        <w:gridCol w:w="13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749" w:type="pct"/>
            <w:shd w:val="clear" w:color="auto" w:fill="auto"/>
            <w:vAlign w:val="center"/>
          </w:tcPr>
          <w:p>
            <w:pPr>
              <w:widowControl/>
              <w:spacing w:line="240" w:lineRule="exact"/>
              <w:jc w:val="center"/>
              <w:rPr>
                <w:color w:val="auto"/>
                <w:highlight w:val="none"/>
              </w:rPr>
            </w:pPr>
            <w:r>
              <w:rPr>
                <w:color w:val="auto"/>
                <w:highlight w:val="none"/>
              </w:rPr>
              <w:t>车间</w:t>
            </w:r>
          </w:p>
        </w:tc>
        <w:tc>
          <w:tcPr>
            <w:tcW w:w="432" w:type="pct"/>
            <w:shd w:val="clear" w:color="auto" w:fill="auto"/>
            <w:vAlign w:val="center"/>
          </w:tcPr>
          <w:p>
            <w:pPr>
              <w:spacing w:line="240" w:lineRule="exact"/>
              <w:jc w:val="center"/>
              <w:rPr>
                <w:color w:val="auto"/>
                <w:highlight w:val="none"/>
              </w:rPr>
            </w:pPr>
            <w:r>
              <w:rPr>
                <w:color w:val="auto"/>
                <w:highlight w:val="none"/>
              </w:rPr>
              <w:t>序号</w:t>
            </w:r>
          </w:p>
        </w:tc>
        <w:tc>
          <w:tcPr>
            <w:tcW w:w="844" w:type="pct"/>
            <w:shd w:val="clear" w:color="auto" w:fill="auto"/>
            <w:vAlign w:val="center"/>
          </w:tcPr>
          <w:p>
            <w:pPr>
              <w:widowControl/>
              <w:spacing w:line="240" w:lineRule="exact"/>
              <w:jc w:val="center"/>
              <w:rPr>
                <w:color w:val="auto"/>
                <w:highlight w:val="none"/>
              </w:rPr>
            </w:pPr>
            <w:r>
              <w:rPr>
                <w:color w:val="auto"/>
                <w:highlight w:val="none"/>
              </w:rPr>
              <w:t>设备名称</w:t>
            </w:r>
          </w:p>
        </w:tc>
        <w:tc>
          <w:tcPr>
            <w:tcW w:w="550" w:type="pct"/>
            <w:shd w:val="clear" w:color="auto" w:fill="auto"/>
            <w:vAlign w:val="center"/>
          </w:tcPr>
          <w:p>
            <w:pPr>
              <w:spacing w:line="240" w:lineRule="exact"/>
              <w:jc w:val="center"/>
              <w:rPr>
                <w:color w:val="auto"/>
                <w:highlight w:val="none"/>
              </w:rPr>
            </w:pPr>
            <w:r>
              <w:rPr>
                <w:color w:val="auto"/>
                <w:highlight w:val="none"/>
              </w:rPr>
              <w:t>数量</w:t>
            </w:r>
          </w:p>
          <w:p>
            <w:pPr>
              <w:spacing w:line="240" w:lineRule="exact"/>
              <w:jc w:val="center"/>
              <w:rPr>
                <w:color w:val="auto"/>
                <w:highlight w:val="none"/>
              </w:rPr>
            </w:pPr>
            <w:r>
              <w:rPr>
                <w:color w:val="auto"/>
                <w:highlight w:val="none"/>
              </w:rPr>
              <w:t>(台/套)</w:t>
            </w:r>
          </w:p>
        </w:tc>
        <w:tc>
          <w:tcPr>
            <w:tcW w:w="524" w:type="pct"/>
            <w:vAlign w:val="center"/>
          </w:tcPr>
          <w:p>
            <w:pPr>
              <w:widowControl/>
              <w:spacing w:line="240" w:lineRule="exact"/>
              <w:jc w:val="center"/>
              <w:rPr>
                <w:color w:val="auto"/>
                <w:highlight w:val="none"/>
              </w:rPr>
            </w:pPr>
            <w:r>
              <w:rPr>
                <w:color w:val="auto"/>
                <w:szCs w:val="21"/>
                <w:highlight w:val="none"/>
              </w:rPr>
              <w:t>源强dB(A)</w:t>
            </w:r>
          </w:p>
        </w:tc>
        <w:tc>
          <w:tcPr>
            <w:tcW w:w="1129" w:type="pct"/>
            <w:vAlign w:val="center"/>
          </w:tcPr>
          <w:p>
            <w:pPr>
              <w:widowControl/>
              <w:spacing w:line="240" w:lineRule="exact"/>
              <w:jc w:val="center"/>
              <w:rPr>
                <w:color w:val="auto"/>
                <w:highlight w:val="none"/>
              </w:rPr>
            </w:pPr>
            <w:r>
              <w:rPr>
                <w:color w:val="auto"/>
                <w:szCs w:val="21"/>
                <w:highlight w:val="none"/>
              </w:rPr>
              <w:t>降噪措施</w:t>
            </w:r>
          </w:p>
        </w:tc>
        <w:tc>
          <w:tcPr>
            <w:tcW w:w="769" w:type="pct"/>
            <w:shd w:val="clear" w:color="auto" w:fill="auto"/>
            <w:vAlign w:val="center"/>
          </w:tcPr>
          <w:p>
            <w:pPr>
              <w:widowControl/>
              <w:spacing w:line="240" w:lineRule="exact"/>
              <w:jc w:val="center"/>
              <w:rPr>
                <w:color w:val="auto"/>
                <w:highlight w:val="none"/>
              </w:rPr>
            </w:pPr>
            <w:r>
              <w:rPr>
                <w:color w:val="auto"/>
                <w:szCs w:val="21"/>
                <w:highlight w:val="none"/>
              </w:rPr>
              <w:t>降噪后声压dB(A)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749" w:type="pct"/>
            <w:vMerge w:val="restart"/>
            <w:shd w:val="clear" w:color="auto" w:fill="auto"/>
            <w:vAlign w:val="center"/>
          </w:tcPr>
          <w:p>
            <w:pPr>
              <w:widowControl/>
              <w:spacing w:line="240" w:lineRule="exact"/>
              <w:jc w:val="center"/>
              <w:rPr>
                <w:color w:val="auto"/>
                <w:highlight w:val="none"/>
              </w:rPr>
            </w:pPr>
            <w:r>
              <w:rPr>
                <w:rFonts w:hint="eastAsia"/>
                <w:color w:val="auto"/>
                <w:highlight w:val="none"/>
              </w:rPr>
              <w:t>给水管及注塑车间（1#车间）</w:t>
            </w:r>
          </w:p>
        </w:tc>
        <w:tc>
          <w:tcPr>
            <w:tcW w:w="432" w:type="pct"/>
            <w:shd w:val="clear" w:color="auto" w:fill="auto"/>
            <w:vAlign w:val="center"/>
          </w:tcPr>
          <w:p>
            <w:pPr>
              <w:spacing w:line="240" w:lineRule="exact"/>
              <w:jc w:val="center"/>
              <w:rPr>
                <w:color w:val="auto"/>
                <w:highlight w:val="none"/>
              </w:rPr>
            </w:pPr>
            <w:r>
              <w:rPr>
                <w:color w:val="auto"/>
                <w:highlight w:val="none"/>
              </w:rPr>
              <w:t>1</w:t>
            </w:r>
          </w:p>
        </w:tc>
        <w:tc>
          <w:tcPr>
            <w:tcW w:w="844" w:type="pct"/>
            <w:shd w:val="clear" w:color="auto" w:fill="auto"/>
            <w:vAlign w:val="center"/>
          </w:tcPr>
          <w:p>
            <w:pPr>
              <w:widowControl/>
              <w:spacing w:line="240" w:lineRule="exact"/>
              <w:jc w:val="center"/>
              <w:rPr>
                <w:color w:val="auto"/>
                <w:highlight w:val="none"/>
              </w:rPr>
            </w:pPr>
            <w:r>
              <w:rPr>
                <w:rFonts w:hint="eastAsia"/>
                <w:color w:val="auto"/>
                <w:szCs w:val="24"/>
                <w:highlight w:val="none"/>
              </w:rPr>
              <w:t>挤出机</w:t>
            </w:r>
          </w:p>
        </w:tc>
        <w:tc>
          <w:tcPr>
            <w:tcW w:w="550" w:type="pct"/>
            <w:shd w:val="clear" w:color="auto" w:fill="auto"/>
            <w:vAlign w:val="center"/>
          </w:tcPr>
          <w:p>
            <w:pPr>
              <w:spacing w:line="240" w:lineRule="exact"/>
              <w:jc w:val="center"/>
              <w:rPr>
                <w:color w:val="auto"/>
                <w:highlight w:val="none"/>
              </w:rPr>
            </w:pPr>
            <w:r>
              <w:rPr>
                <w:rFonts w:hint="eastAsia"/>
                <w:color w:val="auto"/>
                <w:szCs w:val="24"/>
                <w:highlight w:val="none"/>
              </w:rPr>
              <w:t>12</w:t>
            </w:r>
          </w:p>
        </w:tc>
        <w:tc>
          <w:tcPr>
            <w:tcW w:w="524" w:type="pct"/>
            <w:vAlign w:val="center"/>
          </w:tcPr>
          <w:p>
            <w:pPr>
              <w:widowControl/>
              <w:spacing w:line="240" w:lineRule="exact"/>
              <w:jc w:val="center"/>
              <w:rPr>
                <w:color w:val="auto"/>
                <w:highlight w:val="none"/>
              </w:rPr>
            </w:pPr>
            <w:r>
              <w:rPr>
                <w:rFonts w:hint="eastAsia"/>
                <w:color w:val="auto"/>
                <w:highlight w:val="none"/>
              </w:rPr>
              <w:t>75</w:t>
            </w:r>
          </w:p>
        </w:tc>
        <w:tc>
          <w:tcPr>
            <w:tcW w:w="1129" w:type="pct"/>
            <w:vMerge w:val="restart"/>
            <w:vAlign w:val="center"/>
          </w:tcPr>
          <w:p>
            <w:pPr>
              <w:widowControl/>
              <w:spacing w:line="240" w:lineRule="exact"/>
              <w:jc w:val="center"/>
              <w:rPr>
                <w:color w:val="auto"/>
                <w:highlight w:val="none"/>
              </w:rPr>
            </w:pPr>
            <w:r>
              <w:rPr>
                <w:rFonts w:hint="eastAsia"/>
                <w:color w:val="auto"/>
                <w:highlight w:val="none"/>
              </w:rPr>
              <w:t>厂房隔声，基础减震</w:t>
            </w:r>
          </w:p>
        </w:tc>
        <w:tc>
          <w:tcPr>
            <w:tcW w:w="769" w:type="pct"/>
            <w:shd w:val="clear" w:color="auto" w:fill="auto"/>
            <w:vAlign w:val="center"/>
          </w:tcPr>
          <w:p>
            <w:pPr>
              <w:widowControl/>
              <w:spacing w:line="240" w:lineRule="exact"/>
              <w:jc w:val="center"/>
              <w:rPr>
                <w:color w:val="auto"/>
                <w:highlight w:val="none"/>
              </w:rPr>
            </w:pPr>
            <w:r>
              <w:rPr>
                <w:rFonts w:hint="eastAsia"/>
                <w:color w:val="auto"/>
                <w:highlight w:val="none"/>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749" w:type="pct"/>
            <w:vMerge w:val="continue"/>
            <w:shd w:val="clear" w:color="auto" w:fill="auto"/>
            <w:vAlign w:val="center"/>
          </w:tcPr>
          <w:p>
            <w:pPr>
              <w:widowControl/>
              <w:spacing w:line="240" w:lineRule="exact"/>
              <w:jc w:val="center"/>
              <w:rPr>
                <w:color w:val="auto"/>
                <w:highlight w:val="none"/>
              </w:rPr>
            </w:pPr>
          </w:p>
        </w:tc>
        <w:tc>
          <w:tcPr>
            <w:tcW w:w="432" w:type="pct"/>
            <w:shd w:val="clear" w:color="auto" w:fill="auto"/>
            <w:vAlign w:val="center"/>
          </w:tcPr>
          <w:p>
            <w:pPr>
              <w:spacing w:line="240" w:lineRule="exact"/>
              <w:jc w:val="center"/>
              <w:rPr>
                <w:color w:val="auto"/>
                <w:highlight w:val="none"/>
              </w:rPr>
            </w:pPr>
            <w:r>
              <w:rPr>
                <w:rFonts w:hint="eastAsia"/>
                <w:color w:val="auto"/>
                <w:highlight w:val="none"/>
              </w:rPr>
              <w:t>2</w:t>
            </w:r>
          </w:p>
        </w:tc>
        <w:tc>
          <w:tcPr>
            <w:tcW w:w="844" w:type="pct"/>
            <w:shd w:val="clear" w:color="auto" w:fill="auto"/>
            <w:vAlign w:val="center"/>
          </w:tcPr>
          <w:p>
            <w:pPr>
              <w:widowControl/>
              <w:spacing w:line="240" w:lineRule="exact"/>
              <w:jc w:val="center"/>
              <w:rPr>
                <w:color w:val="auto"/>
                <w:szCs w:val="24"/>
                <w:highlight w:val="none"/>
              </w:rPr>
            </w:pPr>
            <w:r>
              <w:rPr>
                <w:rFonts w:hint="eastAsia"/>
                <w:color w:val="auto"/>
                <w:szCs w:val="24"/>
                <w:highlight w:val="none"/>
              </w:rPr>
              <w:t>牵引机</w:t>
            </w:r>
          </w:p>
        </w:tc>
        <w:tc>
          <w:tcPr>
            <w:tcW w:w="550" w:type="pct"/>
            <w:shd w:val="clear" w:color="auto" w:fill="auto"/>
            <w:vAlign w:val="center"/>
          </w:tcPr>
          <w:p>
            <w:pPr>
              <w:spacing w:line="240" w:lineRule="exact"/>
              <w:jc w:val="center"/>
              <w:rPr>
                <w:color w:val="auto"/>
                <w:szCs w:val="24"/>
                <w:highlight w:val="none"/>
              </w:rPr>
            </w:pPr>
            <w:r>
              <w:rPr>
                <w:rFonts w:hint="eastAsia"/>
                <w:color w:val="auto"/>
                <w:szCs w:val="24"/>
                <w:highlight w:val="none"/>
              </w:rPr>
              <w:t>6</w:t>
            </w:r>
          </w:p>
        </w:tc>
        <w:tc>
          <w:tcPr>
            <w:tcW w:w="524" w:type="pct"/>
            <w:vAlign w:val="center"/>
          </w:tcPr>
          <w:p>
            <w:pPr>
              <w:widowControl/>
              <w:spacing w:line="240" w:lineRule="exact"/>
              <w:jc w:val="center"/>
              <w:rPr>
                <w:color w:val="auto"/>
                <w:highlight w:val="none"/>
              </w:rPr>
            </w:pPr>
            <w:r>
              <w:rPr>
                <w:rFonts w:hint="eastAsia"/>
                <w:color w:val="auto"/>
                <w:highlight w:val="none"/>
              </w:rPr>
              <w:t>65</w:t>
            </w:r>
          </w:p>
        </w:tc>
        <w:tc>
          <w:tcPr>
            <w:tcW w:w="1129" w:type="pct"/>
            <w:vMerge w:val="continue"/>
            <w:vAlign w:val="center"/>
          </w:tcPr>
          <w:p>
            <w:pPr>
              <w:widowControl/>
              <w:spacing w:line="240" w:lineRule="exact"/>
              <w:jc w:val="center"/>
              <w:rPr>
                <w:color w:val="auto"/>
                <w:highlight w:val="none"/>
              </w:rPr>
            </w:pPr>
          </w:p>
        </w:tc>
        <w:tc>
          <w:tcPr>
            <w:tcW w:w="769" w:type="pct"/>
            <w:shd w:val="clear" w:color="auto" w:fill="auto"/>
            <w:vAlign w:val="center"/>
          </w:tcPr>
          <w:p>
            <w:pPr>
              <w:widowControl/>
              <w:spacing w:line="240" w:lineRule="exact"/>
              <w:jc w:val="center"/>
              <w:rPr>
                <w:color w:val="auto"/>
                <w:highlight w:val="none"/>
              </w:rPr>
            </w:pPr>
            <w:r>
              <w:rPr>
                <w:rFonts w:hint="eastAsia"/>
                <w:color w:val="auto"/>
                <w:highlight w:val="none"/>
                <w:lang w:val="en-US" w:eastAsia="zh-CN"/>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749" w:type="pct"/>
            <w:vMerge w:val="continue"/>
            <w:shd w:val="clear" w:color="auto" w:fill="auto"/>
            <w:vAlign w:val="center"/>
          </w:tcPr>
          <w:p>
            <w:pPr>
              <w:widowControl/>
              <w:spacing w:line="240" w:lineRule="exact"/>
              <w:jc w:val="center"/>
              <w:rPr>
                <w:color w:val="auto"/>
                <w:highlight w:val="none"/>
              </w:rPr>
            </w:pPr>
          </w:p>
        </w:tc>
        <w:tc>
          <w:tcPr>
            <w:tcW w:w="432" w:type="pct"/>
            <w:shd w:val="clear" w:color="auto" w:fill="auto"/>
            <w:vAlign w:val="center"/>
          </w:tcPr>
          <w:p>
            <w:pPr>
              <w:spacing w:line="240" w:lineRule="exact"/>
              <w:jc w:val="center"/>
              <w:rPr>
                <w:color w:val="auto"/>
                <w:highlight w:val="none"/>
              </w:rPr>
            </w:pPr>
            <w:r>
              <w:rPr>
                <w:rFonts w:hint="eastAsia"/>
                <w:color w:val="auto"/>
                <w:highlight w:val="none"/>
              </w:rPr>
              <w:t>3</w:t>
            </w:r>
          </w:p>
        </w:tc>
        <w:tc>
          <w:tcPr>
            <w:tcW w:w="844" w:type="pct"/>
            <w:shd w:val="clear" w:color="auto" w:fill="auto"/>
            <w:vAlign w:val="center"/>
          </w:tcPr>
          <w:p>
            <w:pPr>
              <w:widowControl/>
              <w:spacing w:line="240" w:lineRule="exact"/>
              <w:jc w:val="center"/>
              <w:rPr>
                <w:color w:val="auto"/>
                <w:szCs w:val="24"/>
                <w:highlight w:val="none"/>
              </w:rPr>
            </w:pPr>
            <w:r>
              <w:rPr>
                <w:rFonts w:hint="eastAsia"/>
                <w:color w:val="auto"/>
                <w:szCs w:val="24"/>
                <w:highlight w:val="none"/>
              </w:rPr>
              <w:t>切割机</w:t>
            </w:r>
          </w:p>
        </w:tc>
        <w:tc>
          <w:tcPr>
            <w:tcW w:w="550" w:type="pct"/>
            <w:shd w:val="clear" w:color="auto" w:fill="auto"/>
            <w:vAlign w:val="center"/>
          </w:tcPr>
          <w:p>
            <w:pPr>
              <w:spacing w:line="240" w:lineRule="exact"/>
              <w:jc w:val="center"/>
              <w:rPr>
                <w:color w:val="auto"/>
                <w:szCs w:val="24"/>
                <w:highlight w:val="none"/>
              </w:rPr>
            </w:pPr>
            <w:r>
              <w:rPr>
                <w:rFonts w:hint="eastAsia"/>
                <w:color w:val="auto"/>
                <w:szCs w:val="24"/>
                <w:highlight w:val="none"/>
              </w:rPr>
              <w:t>6</w:t>
            </w:r>
          </w:p>
        </w:tc>
        <w:tc>
          <w:tcPr>
            <w:tcW w:w="524" w:type="pct"/>
            <w:vAlign w:val="center"/>
          </w:tcPr>
          <w:p>
            <w:pPr>
              <w:widowControl/>
              <w:spacing w:line="240" w:lineRule="exact"/>
              <w:jc w:val="center"/>
              <w:rPr>
                <w:color w:val="auto"/>
                <w:highlight w:val="none"/>
              </w:rPr>
            </w:pPr>
            <w:r>
              <w:rPr>
                <w:rFonts w:hint="eastAsia"/>
                <w:color w:val="auto"/>
                <w:highlight w:val="none"/>
              </w:rPr>
              <w:t>75</w:t>
            </w:r>
          </w:p>
        </w:tc>
        <w:tc>
          <w:tcPr>
            <w:tcW w:w="1129" w:type="pct"/>
            <w:vMerge w:val="continue"/>
            <w:vAlign w:val="center"/>
          </w:tcPr>
          <w:p>
            <w:pPr>
              <w:widowControl/>
              <w:spacing w:line="240" w:lineRule="exact"/>
              <w:jc w:val="center"/>
              <w:rPr>
                <w:color w:val="auto"/>
                <w:highlight w:val="none"/>
              </w:rPr>
            </w:pPr>
          </w:p>
        </w:tc>
        <w:tc>
          <w:tcPr>
            <w:tcW w:w="769" w:type="pct"/>
            <w:shd w:val="clear" w:color="auto" w:fill="auto"/>
            <w:vAlign w:val="center"/>
          </w:tcPr>
          <w:p>
            <w:pPr>
              <w:widowControl/>
              <w:spacing w:line="240" w:lineRule="exact"/>
              <w:jc w:val="center"/>
              <w:rPr>
                <w:color w:val="auto"/>
                <w:highlight w:val="none"/>
              </w:rPr>
            </w:pPr>
            <w:r>
              <w:rPr>
                <w:rFonts w:hint="eastAsia"/>
                <w:color w:val="auto"/>
                <w:highlight w:val="none"/>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749" w:type="pct"/>
            <w:vMerge w:val="continue"/>
            <w:shd w:val="clear" w:color="auto" w:fill="auto"/>
            <w:vAlign w:val="center"/>
          </w:tcPr>
          <w:p>
            <w:pPr>
              <w:widowControl/>
              <w:spacing w:line="240" w:lineRule="exact"/>
              <w:jc w:val="center"/>
              <w:rPr>
                <w:color w:val="auto"/>
                <w:highlight w:val="none"/>
              </w:rPr>
            </w:pPr>
          </w:p>
        </w:tc>
        <w:tc>
          <w:tcPr>
            <w:tcW w:w="432" w:type="pct"/>
            <w:shd w:val="clear" w:color="auto" w:fill="auto"/>
            <w:vAlign w:val="center"/>
          </w:tcPr>
          <w:p>
            <w:pPr>
              <w:spacing w:line="240" w:lineRule="exact"/>
              <w:jc w:val="center"/>
              <w:rPr>
                <w:color w:val="auto"/>
                <w:highlight w:val="none"/>
              </w:rPr>
            </w:pPr>
            <w:r>
              <w:rPr>
                <w:rFonts w:hint="eastAsia"/>
                <w:color w:val="auto"/>
                <w:highlight w:val="none"/>
              </w:rPr>
              <w:t>4</w:t>
            </w:r>
          </w:p>
        </w:tc>
        <w:tc>
          <w:tcPr>
            <w:tcW w:w="844" w:type="pct"/>
            <w:shd w:val="clear" w:color="auto" w:fill="auto"/>
            <w:vAlign w:val="center"/>
          </w:tcPr>
          <w:p>
            <w:pPr>
              <w:widowControl/>
              <w:spacing w:line="240" w:lineRule="exact"/>
              <w:jc w:val="center"/>
              <w:rPr>
                <w:color w:val="auto"/>
                <w:szCs w:val="24"/>
                <w:highlight w:val="none"/>
              </w:rPr>
            </w:pPr>
            <w:r>
              <w:rPr>
                <w:rFonts w:hint="eastAsia"/>
                <w:color w:val="auto"/>
                <w:szCs w:val="24"/>
                <w:highlight w:val="none"/>
              </w:rPr>
              <w:t>注塑机</w:t>
            </w:r>
          </w:p>
        </w:tc>
        <w:tc>
          <w:tcPr>
            <w:tcW w:w="550" w:type="pct"/>
            <w:shd w:val="clear" w:color="auto" w:fill="auto"/>
            <w:vAlign w:val="center"/>
          </w:tcPr>
          <w:p>
            <w:pPr>
              <w:spacing w:line="240" w:lineRule="exact"/>
              <w:jc w:val="center"/>
              <w:rPr>
                <w:color w:val="auto"/>
                <w:szCs w:val="24"/>
                <w:highlight w:val="none"/>
              </w:rPr>
            </w:pPr>
            <w:r>
              <w:rPr>
                <w:rFonts w:hint="eastAsia"/>
                <w:color w:val="auto"/>
                <w:szCs w:val="24"/>
                <w:highlight w:val="none"/>
              </w:rPr>
              <w:t>7</w:t>
            </w:r>
          </w:p>
        </w:tc>
        <w:tc>
          <w:tcPr>
            <w:tcW w:w="524" w:type="pct"/>
            <w:vAlign w:val="center"/>
          </w:tcPr>
          <w:p>
            <w:pPr>
              <w:widowControl/>
              <w:spacing w:line="240" w:lineRule="exact"/>
              <w:jc w:val="center"/>
              <w:rPr>
                <w:color w:val="auto"/>
                <w:highlight w:val="none"/>
              </w:rPr>
            </w:pPr>
            <w:r>
              <w:rPr>
                <w:rFonts w:hint="eastAsia"/>
                <w:color w:val="auto"/>
                <w:highlight w:val="none"/>
              </w:rPr>
              <w:t>75</w:t>
            </w:r>
          </w:p>
        </w:tc>
        <w:tc>
          <w:tcPr>
            <w:tcW w:w="1129" w:type="pct"/>
            <w:vMerge w:val="continue"/>
            <w:vAlign w:val="center"/>
          </w:tcPr>
          <w:p>
            <w:pPr>
              <w:widowControl/>
              <w:spacing w:line="240" w:lineRule="exact"/>
              <w:jc w:val="center"/>
              <w:rPr>
                <w:color w:val="auto"/>
                <w:highlight w:val="none"/>
              </w:rPr>
            </w:pPr>
          </w:p>
        </w:tc>
        <w:tc>
          <w:tcPr>
            <w:tcW w:w="769" w:type="pct"/>
            <w:shd w:val="clear" w:color="auto" w:fill="auto"/>
            <w:vAlign w:val="center"/>
          </w:tcPr>
          <w:p>
            <w:pPr>
              <w:widowControl/>
              <w:spacing w:line="240" w:lineRule="exact"/>
              <w:jc w:val="center"/>
              <w:rPr>
                <w:color w:val="auto"/>
                <w:highlight w:val="none"/>
              </w:rPr>
            </w:pPr>
            <w:r>
              <w:rPr>
                <w:rFonts w:hint="eastAsia"/>
                <w:color w:val="auto"/>
                <w:highlight w:val="none"/>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749" w:type="pct"/>
            <w:vMerge w:val="restart"/>
            <w:shd w:val="clear" w:color="auto" w:fill="auto"/>
            <w:vAlign w:val="center"/>
          </w:tcPr>
          <w:p>
            <w:pPr>
              <w:widowControl/>
              <w:spacing w:line="240" w:lineRule="exact"/>
              <w:jc w:val="center"/>
              <w:rPr>
                <w:color w:val="auto"/>
                <w:szCs w:val="24"/>
                <w:highlight w:val="none"/>
              </w:rPr>
            </w:pPr>
            <w:r>
              <w:rPr>
                <w:rFonts w:hint="eastAsia"/>
                <w:color w:val="auto"/>
                <w:szCs w:val="24"/>
                <w:highlight w:val="none"/>
              </w:rPr>
              <w:t>造粒、双壁波纹管、中空壁缠绕管车间（2#车间）</w:t>
            </w:r>
          </w:p>
        </w:tc>
        <w:tc>
          <w:tcPr>
            <w:tcW w:w="432" w:type="pct"/>
            <w:shd w:val="clear" w:color="auto" w:fill="auto"/>
            <w:vAlign w:val="center"/>
          </w:tcPr>
          <w:p>
            <w:pPr>
              <w:spacing w:line="240" w:lineRule="exact"/>
              <w:jc w:val="center"/>
              <w:rPr>
                <w:color w:val="auto"/>
                <w:szCs w:val="24"/>
                <w:highlight w:val="none"/>
              </w:rPr>
            </w:pPr>
            <w:r>
              <w:rPr>
                <w:rFonts w:hint="eastAsia"/>
                <w:color w:val="auto"/>
                <w:szCs w:val="24"/>
                <w:highlight w:val="none"/>
              </w:rPr>
              <w:t>5</w:t>
            </w:r>
          </w:p>
        </w:tc>
        <w:tc>
          <w:tcPr>
            <w:tcW w:w="844" w:type="pct"/>
            <w:shd w:val="clear" w:color="auto" w:fill="auto"/>
            <w:vAlign w:val="center"/>
          </w:tcPr>
          <w:p>
            <w:pPr>
              <w:spacing w:line="240" w:lineRule="exact"/>
              <w:jc w:val="center"/>
              <w:rPr>
                <w:color w:val="auto"/>
                <w:szCs w:val="24"/>
                <w:highlight w:val="none"/>
              </w:rPr>
            </w:pPr>
            <w:r>
              <w:rPr>
                <w:rFonts w:hint="eastAsia"/>
                <w:color w:val="auto"/>
                <w:szCs w:val="24"/>
                <w:highlight w:val="none"/>
              </w:rPr>
              <w:t>挤出机</w:t>
            </w:r>
          </w:p>
        </w:tc>
        <w:tc>
          <w:tcPr>
            <w:tcW w:w="550" w:type="pct"/>
            <w:shd w:val="clear" w:color="auto" w:fill="auto"/>
            <w:vAlign w:val="center"/>
          </w:tcPr>
          <w:p>
            <w:pPr>
              <w:widowControl/>
              <w:spacing w:line="240" w:lineRule="exact"/>
              <w:jc w:val="center"/>
              <w:rPr>
                <w:color w:val="auto"/>
                <w:highlight w:val="none"/>
              </w:rPr>
            </w:pPr>
            <w:r>
              <w:rPr>
                <w:rFonts w:hint="eastAsia"/>
                <w:color w:val="auto"/>
                <w:szCs w:val="24"/>
                <w:highlight w:val="none"/>
              </w:rPr>
              <w:t>20</w:t>
            </w:r>
          </w:p>
        </w:tc>
        <w:tc>
          <w:tcPr>
            <w:tcW w:w="524" w:type="pct"/>
            <w:vAlign w:val="center"/>
          </w:tcPr>
          <w:p>
            <w:pPr>
              <w:widowControl/>
              <w:spacing w:line="240" w:lineRule="exact"/>
              <w:jc w:val="center"/>
              <w:rPr>
                <w:color w:val="auto"/>
                <w:highlight w:val="none"/>
              </w:rPr>
            </w:pPr>
            <w:r>
              <w:rPr>
                <w:rFonts w:hint="eastAsia"/>
                <w:color w:val="auto"/>
                <w:highlight w:val="none"/>
              </w:rPr>
              <w:t>75</w:t>
            </w:r>
          </w:p>
        </w:tc>
        <w:tc>
          <w:tcPr>
            <w:tcW w:w="1129" w:type="pct"/>
            <w:vMerge w:val="restart"/>
            <w:vAlign w:val="center"/>
          </w:tcPr>
          <w:p>
            <w:pPr>
              <w:widowControl/>
              <w:spacing w:line="240" w:lineRule="exact"/>
              <w:jc w:val="center"/>
              <w:rPr>
                <w:color w:val="auto"/>
                <w:highlight w:val="none"/>
              </w:rPr>
            </w:pPr>
            <w:r>
              <w:rPr>
                <w:rFonts w:hint="eastAsia"/>
                <w:color w:val="auto"/>
                <w:highlight w:val="none"/>
              </w:rPr>
              <w:t>厂房隔声，基础减震</w:t>
            </w:r>
          </w:p>
        </w:tc>
        <w:tc>
          <w:tcPr>
            <w:tcW w:w="769" w:type="pct"/>
            <w:shd w:val="clear" w:color="auto" w:fill="auto"/>
            <w:vAlign w:val="center"/>
          </w:tcPr>
          <w:p>
            <w:pPr>
              <w:widowControl/>
              <w:spacing w:line="240" w:lineRule="exact"/>
              <w:jc w:val="center"/>
              <w:rPr>
                <w:color w:val="auto"/>
                <w:highlight w:val="none"/>
              </w:rPr>
            </w:pPr>
            <w:r>
              <w:rPr>
                <w:rFonts w:hint="eastAsia"/>
                <w:color w:val="auto"/>
                <w:highlight w:val="none"/>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749" w:type="pct"/>
            <w:vMerge w:val="continue"/>
            <w:shd w:val="clear" w:color="auto" w:fill="auto"/>
            <w:vAlign w:val="center"/>
          </w:tcPr>
          <w:p>
            <w:pPr>
              <w:widowControl/>
              <w:spacing w:line="240" w:lineRule="exact"/>
              <w:jc w:val="center"/>
              <w:rPr>
                <w:color w:val="auto"/>
                <w:szCs w:val="24"/>
                <w:highlight w:val="none"/>
              </w:rPr>
            </w:pPr>
          </w:p>
        </w:tc>
        <w:tc>
          <w:tcPr>
            <w:tcW w:w="432" w:type="pct"/>
            <w:shd w:val="clear" w:color="auto" w:fill="auto"/>
            <w:vAlign w:val="center"/>
          </w:tcPr>
          <w:p>
            <w:pPr>
              <w:spacing w:line="240" w:lineRule="exact"/>
              <w:jc w:val="center"/>
              <w:rPr>
                <w:color w:val="auto"/>
                <w:szCs w:val="24"/>
                <w:highlight w:val="none"/>
              </w:rPr>
            </w:pPr>
            <w:r>
              <w:rPr>
                <w:rFonts w:hint="eastAsia"/>
                <w:color w:val="auto"/>
                <w:szCs w:val="24"/>
                <w:highlight w:val="none"/>
              </w:rPr>
              <w:t>6</w:t>
            </w:r>
          </w:p>
        </w:tc>
        <w:tc>
          <w:tcPr>
            <w:tcW w:w="844" w:type="pct"/>
            <w:shd w:val="clear" w:color="auto" w:fill="auto"/>
            <w:vAlign w:val="center"/>
          </w:tcPr>
          <w:p>
            <w:pPr>
              <w:spacing w:line="240" w:lineRule="exact"/>
              <w:jc w:val="center"/>
              <w:rPr>
                <w:color w:val="auto"/>
                <w:szCs w:val="24"/>
                <w:highlight w:val="none"/>
              </w:rPr>
            </w:pPr>
            <w:r>
              <w:rPr>
                <w:rFonts w:hint="eastAsia"/>
                <w:color w:val="auto"/>
                <w:szCs w:val="24"/>
                <w:highlight w:val="none"/>
              </w:rPr>
              <w:t>成型机</w:t>
            </w:r>
          </w:p>
        </w:tc>
        <w:tc>
          <w:tcPr>
            <w:tcW w:w="550" w:type="pct"/>
            <w:shd w:val="clear" w:color="auto" w:fill="auto"/>
            <w:vAlign w:val="center"/>
          </w:tcPr>
          <w:p>
            <w:pPr>
              <w:widowControl/>
              <w:spacing w:line="240" w:lineRule="exact"/>
              <w:jc w:val="center"/>
              <w:rPr>
                <w:color w:val="auto"/>
                <w:highlight w:val="none"/>
              </w:rPr>
            </w:pPr>
            <w:r>
              <w:rPr>
                <w:rFonts w:hint="eastAsia"/>
                <w:color w:val="auto"/>
                <w:szCs w:val="24"/>
                <w:highlight w:val="none"/>
              </w:rPr>
              <w:t>8</w:t>
            </w:r>
          </w:p>
        </w:tc>
        <w:tc>
          <w:tcPr>
            <w:tcW w:w="524" w:type="pct"/>
            <w:vAlign w:val="center"/>
          </w:tcPr>
          <w:p>
            <w:pPr>
              <w:widowControl/>
              <w:spacing w:line="240" w:lineRule="exact"/>
              <w:jc w:val="center"/>
              <w:rPr>
                <w:color w:val="auto"/>
                <w:highlight w:val="none"/>
              </w:rPr>
            </w:pPr>
            <w:r>
              <w:rPr>
                <w:rFonts w:hint="eastAsia"/>
                <w:color w:val="auto"/>
                <w:highlight w:val="none"/>
              </w:rPr>
              <w:t>75</w:t>
            </w:r>
          </w:p>
        </w:tc>
        <w:tc>
          <w:tcPr>
            <w:tcW w:w="1129" w:type="pct"/>
            <w:vMerge w:val="continue"/>
            <w:vAlign w:val="center"/>
          </w:tcPr>
          <w:p>
            <w:pPr>
              <w:widowControl/>
              <w:spacing w:line="240" w:lineRule="exact"/>
              <w:jc w:val="center"/>
              <w:rPr>
                <w:color w:val="auto"/>
                <w:highlight w:val="none"/>
              </w:rPr>
            </w:pPr>
          </w:p>
        </w:tc>
        <w:tc>
          <w:tcPr>
            <w:tcW w:w="769" w:type="pct"/>
            <w:shd w:val="clear" w:color="auto" w:fill="auto"/>
            <w:vAlign w:val="center"/>
          </w:tcPr>
          <w:p>
            <w:pPr>
              <w:widowControl/>
              <w:spacing w:line="240" w:lineRule="exact"/>
              <w:jc w:val="center"/>
              <w:rPr>
                <w:color w:val="auto"/>
                <w:highlight w:val="none"/>
              </w:rPr>
            </w:pPr>
            <w:r>
              <w:rPr>
                <w:rFonts w:hint="eastAsia"/>
                <w:color w:val="auto"/>
                <w:highlight w:val="none"/>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749" w:type="pct"/>
            <w:vMerge w:val="continue"/>
            <w:shd w:val="clear" w:color="auto" w:fill="auto"/>
            <w:vAlign w:val="center"/>
          </w:tcPr>
          <w:p>
            <w:pPr>
              <w:widowControl/>
              <w:spacing w:line="240" w:lineRule="exact"/>
              <w:jc w:val="center"/>
              <w:rPr>
                <w:color w:val="auto"/>
                <w:szCs w:val="24"/>
                <w:highlight w:val="none"/>
              </w:rPr>
            </w:pPr>
          </w:p>
        </w:tc>
        <w:tc>
          <w:tcPr>
            <w:tcW w:w="432" w:type="pct"/>
            <w:shd w:val="clear" w:color="auto" w:fill="auto"/>
            <w:vAlign w:val="center"/>
          </w:tcPr>
          <w:p>
            <w:pPr>
              <w:spacing w:line="240" w:lineRule="exact"/>
              <w:jc w:val="center"/>
              <w:rPr>
                <w:color w:val="auto"/>
                <w:szCs w:val="24"/>
                <w:highlight w:val="none"/>
              </w:rPr>
            </w:pPr>
            <w:r>
              <w:rPr>
                <w:rFonts w:hint="eastAsia"/>
                <w:color w:val="auto"/>
                <w:szCs w:val="24"/>
                <w:highlight w:val="none"/>
              </w:rPr>
              <w:t>7</w:t>
            </w:r>
          </w:p>
        </w:tc>
        <w:tc>
          <w:tcPr>
            <w:tcW w:w="844" w:type="pct"/>
            <w:shd w:val="clear" w:color="auto" w:fill="auto"/>
            <w:vAlign w:val="center"/>
          </w:tcPr>
          <w:p>
            <w:pPr>
              <w:spacing w:line="240" w:lineRule="exact"/>
              <w:jc w:val="center"/>
              <w:rPr>
                <w:color w:val="auto"/>
                <w:szCs w:val="24"/>
                <w:highlight w:val="none"/>
              </w:rPr>
            </w:pPr>
            <w:r>
              <w:rPr>
                <w:rFonts w:hint="eastAsia"/>
                <w:color w:val="auto"/>
                <w:szCs w:val="24"/>
                <w:highlight w:val="none"/>
              </w:rPr>
              <w:t>切割机</w:t>
            </w:r>
          </w:p>
        </w:tc>
        <w:tc>
          <w:tcPr>
            <w:tcW w:w="550" w:type="pct"/>
            <w:shd w:val="clear" w:color="auto" w:fill="auto"/>
            <w:vAlign w:val="center"/>
          </w:tcPr>
          <w:p>
            <w:pPr>
              <w:widowControl/>
              <w:spacing w:line="240" w:lineRule="exact"/>
              <w:jc w:val="center"/>
              <w:rPr>
                <w:color w:val="auto"/>
                <w:highlight w:val="none"/>
              </w:rPr>
            </w:pPr>
            <w:r>
              <w:rPr>
                <w:rFonts w:hint="eastAsia"/>
                <w:color w:val="auto"/>
                <w:szCs w:val="24"/>
                <w:highlight w:val="none"/>
              </w:rPr>
              <w:t>4</w:t>
            </w:r>
          </w:p>
        </w:tc>
        <w:tc>
          <w:tcPr>
            <w:tcW w:w="524" w:type="pct"/>
            <w:vAlign w:val="center"/>
          </w:tcPr>
          <w:p>
            <w:pPr>
              <w:widowControl/>
              <w:spacing w:line="240" w:lineRule="exact"/>
              <w:jc w:val="center"/>
              <w:rPr>
                <w:color w:val="auto"/>
                <w:highlight w:val="none"/>
              </w:rPr>
            </w:pPr>
            <w:r>
              <w:rPr>
                <w:rFonts w:hint="eastAsia"/>
                <w:color w:val="auto"/>
                <w:highlight w:val="none"/>
              </w:rPr>
              <w:t>75</w:t>
            </w:r>
          </w:p>
        </w:tc>
        <w:tc>
          <w:tcPr>
            <w:tcW w:w="1129" w:type="pct"/>
            <w:vMerge w:val="continue"/>
            <w:vAlign w:val="center"/>
          </w:tcPr>
          <w:p>
            <w:pPr>
              <w:widowControl/>
              <w:spacing w:line="240" w:lineRule="exact"/>
              <w:jc w:val="center"/>
              <w:rPr>
                <w:color w:val="auto"/>
                <w:highlight w:val="none"/>
              </w:rPr>
            </w:pPr>
          </w:p>
        </w:tc>
        <w:tc>
          <w:tcPr>
            <w:tcW w:w="769" w:type="pct"/>
            <w:shd w:val="clear" w:color="auto" w:fill="auto"/>
            <w:vAlign w:val="center"/>
          </w:tcPr>
          <w:p>
            <w:pPr>
              <w:widowControl/>
              <w:spacing w:line="240" w:lineRule="exact"/>
              <w:jc w:val="center"/>
              <w:rPr>
                <w:color w:val="auto"/>
                <w:highlight w:val="none"/>
              </w:rPr>
            </w:pPr>
            <w:r>
              <w:rPr>
                <w:rFonts w:hint="eastAsia"/>
                <w:color w:val="auto"/>
                <w:highlight w:val="none"/>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749" w:type="pct"/>
            <w:vMerge w:val="continue"/>
            <w:shd w:val="clear" w:color="auto" w:fill="auto"/>
            <w:vAlign w:val="center"/>
          </w:tcPr>
          <w:p>
            <w:pPr>
              <w:widowControl/>
              <w:spacing w:line="240" w:lineRule="exact"/>
              <w:jc w:val="center"/>
              <w:rPr>
                <w:color w:val="auto"/>
                <w:szCs w:val="24"/>
                <w:highlight w:val="none"/>
              </w:rPr>
            </w:pPr>
          </w:p>
        </w:tc>
        <w:tc>
          <w:tcPr>
            <w:tcW w:w="432" w:type="pct"/>
            <w:shd w:val="clear" w:color="auto" w:fill="auto"/>
            <w:vAlign w:val="center"/>
          </w:tcPr>
          <w:p>
            <w:pPr>
              <w:spacing w:line="240" w:lineRule="exact"/>
              <w:jc w:val="center"/>
              <w:rPr>
                <w:color w:val="auto"/>
                <w:szCs w:val="24"/>
                <w:highlight w:val="none"/>
              </w:rPr>
            </w:pPr>
            <w:r>
              <w:rPr>
                <w:rFonts w:hint="eastAsia"/>
                <w:color w:val="auto"/>
                <w:szCs w:val="24"/>
                <w:highlight w:val="none"/>
              </w:rPr>
              <w:t>8</w:t>
            </w:r>
          </w:p>
        </w:tc>
        <w:tc>
          <w:tcPr>
            <w:tcW w:w="844" w:type="pct"/>
            <w:shd w:val="clear" w:color="auto" w:fill="auto"/>
            <w:vAlign w:val="center"/>
          </w:tcPr>
          <w:p>
            <w:pPr>
              <w:spacing w:line="240" w:lineRule="exact"/>
              <w:jc w:val="center"/>
              <w:rPr>
                <w:color w:val="auto"/>
                <w:szCs w:val="24"/>
                <w:highlight w:val="none"/>
              </w:rPr>
            </w:pPr>
            <w:r>
              <w:rPr>
                <w:rFonts w:hint="eastAsia"/>
                <w:color w:val="auto"/>
                <w:szCs w:val="24"/>
                <w:highlight w:val="none"/>
              </w:rPr>
              <w:t>造粒机</w:t>
            </w:r>
          </w:p>
        </w:tc>
        <w:tc>
          <w:tcPr>
            <w:tcW w:w="550" w:type="pct"/>
            <w:shd w:val="clear" w:color="auto" w:fill="auto"/>
            <w:vAlign w:val="center"/>
          </w:tcPr>
          <w:p>
            <w:pPr>
              <w:widowControl/>
              <w:spacing w:line="240" w:lineRule="exact"/>
              <w:jc w:val="center"/>
              <w:rPr>
                <w:color w:val="auto"/>
                <w:highlight w:val="none"/>
              </w:rPr>
            </w:pPr>
            <w:r>
              <w:rPr>
                <w:rFonts w:hint="eastAsia"/>
                <w:color w:val="auto"/>
                <w:highlight w:val="none"/>
              </w:rPr>
              <w:t>10</w:t>
            </w:r>
          </w:p>
        </w:tc>
        <w:tc>
          <w:tcPr>
            <w:tcW w:w="524" w:type="pct"/>
            <w:vAlign w:val="center"/>
          </w:tcPr>
          <w:p>
            <w:pPr>
              <w:widowControl/>
              <w:spacing w:line="240" w:lineRule="exact"/>
              <w:jc w:val="center"/>
              <w:rPr>
                <w:color w:val="auto"/>
                <w:highlight w:val="none"/>
              </w:rPr>
            </w:pPr>
            <w:r>
              <w:rPr>
                <w:rFonts w:hint="eastAsia"/>
                <w:color w:val="auto"/>
                <w:highlight w:val="none"/>
              </w:rPr>
              <w:t>75</w:t>
            </w:r>
          </w:p>
        </w:tc>
        <w:tc>
          <w:tcPr>
            <w:tcW w:w="1129" w:type="pct"/>
            <w:vMerge w:val="continue"/>
            <w:vAlign w:val="center"/>
          </w:tcPr>
          <w:p>
            <w:pPr>
              <w:widowControl/>
              <w:spacing w:line="240" w:lineRule="exact"/>
              <w:jc w:val="center"/>
              <w:rPr>
                <w:color w:val="auto"/>
                <w:highlight w:val="none"/>
              </w:rPr>
            </w:pPr>
          </w:p>
        </w:tc>
        <w:tc>
          <w:tcPr>
            <w:tcW w:w="769" w:type="pct"/>
            <w:shd w:val="clear" w:color="auto" w:fill="auto"/>
            <w:vAlign w:val="center"/>
          </w:tcPr>
          <w:p>
            <w:pPr>
              <w:widowControl/>
              <w:spacing w:line="240" w:lineRule="exact"/>
              <w:jc w:val="center"/>
              <w:rPr>
                <w:color w:val="auto"/>
                <w:highlight w:val="none"/>
              </w:rPr>
            </w:pPr>
            <w:r>
              <w:rPr>
                <w:rFonts w:hint="eastAsia"/>
                <w:color w:val="auto"/>
                <w:highlight w:val="none"/>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749" w:type="pct"/>
            <w:vMerge w:val="continue"/>
            <w:shd w:val="clear" w:color="auto" w:fill="auto"/>
            <w:vAlign w:val="center"/>
          </w:tcPr>
          <w:p>
            <w:pPr>
              <w:widowControl/>
              <w:spacing w:line="240" w:lineRule="exact"/>
              <w:jc w:val="center"/>
              <w:rPr>
                <w:color w:val="auto"/>
                <w:szCs w:val="24"/>
                <w:highlight w:val="none"/>
              </w:rPr>
            </w:pPr>
          </w:p>
        </w:tc>
        <w:tc>
          <w:tcPr>
            <w:tcW w:w="432" w:type="pct"/>
            <w:shd w:val="clear" w:color="auto" w:fill="auto"/>
            <w:vAlign w:val="center"/>
          </w:tcPr>
          <w:p>
            <w:pPr>
              <w:spacing w:line="240" w:lineRule="exact"/>
              <w:jc w:val="center"/>
              <w:rPr>
                <w:color w:val="auto"/>
                <w:szCs w:val="24"/>
                <w:highlight w:val="none"/>
              </w:rPr>
            </w:pPr>
            <w:r>
              <w:rPr>
                <w:rFonts w:hint="eastAsia"/>
                <w:color w:val="auto"/>
                <w:szCs w:val="24"/>
                <w:highlight w:val="none"/>
              </w:rPr>
              <w:t>9</w:t>
            </w:r>
          </w:p>
        </w:tc>
        <w:tc>
          <w:tcPr>
            <w:tcW w:w="844" w:type="pct"/>
            <w:shd w:val="clear" w:color="auto" w:fill="auto"/>
            <w:vAlign w:val="center"/>
          </w:tcPr>
          <w:p>
            <w:pPr>
              <w:spacing w:line="240" w:lineRule="exact"/>
              <w:jc w:val="center"/>
              <w:rPr>
                <w:color w:val="auto"/>
                <w:szCs w:val="24"/>
                <w:highlight w:val="none"/>
              </w:rPr>
            </w:pPr>
            <w:r>
              <w:rPr>
                <w:rFonts w:hint="eastAsia"/>
                <w:color w:val="auto"/>
                <w:szCs w:val="24"/>
                <w:highlight w:val="none"/>
              </w:rPr>
              <w:t>切粒机</w:t>
            </w:r>
          </w:p>
        </w:tc>
        <w:tc>
          <w:tcPr>
            <w:tcW w:w="550" w:type="pct"/>
            <w:shd w:val="clear" w:color="auto" w:fill="auto"/>
            <w:vAlign w:val="center"/>
          </w:tcPr>
          <w:p>
            <w:pPr>
              <w:widowControl/>
              <w:spacing w:line="240" w:lineRule="exact"/>
              <w:jc w:val="center"/>
              <w:rPr>
                <w:color w:val="auto"/>
                <w:highlight w:val="none"/>
              </w:rPr>
            </w:pPr>
            <w:r>
              <w:rPr>
                <w:rFonts w:hint="eastAsia"/>
                <w:color w:val="auto"/>
                <w:szCs w:val="24"/>
                <w:highlight w:val="none"/>
              </w:rPr>
              <w:t>10</w:t>
            </w:r>
          </w:p>
        </w:tc>
        <w:tc>
          <w:tcPr>
            <w:tcW w:w="524" w:type="pct"/>
            <w:vAlign w:val="center"/>
          </w:tcPr>
          <w:p>
            <w:pPr>
              <w:widowControl/>
              <w:spacing w:line="240" w:lineRule="exact"/>
              <w:jc w:val="center"/>
              <w:rPr>
                <w:color w:val="auto"/>
                <w:highlight w:val="none"/>
              </w:rPr>
            </w:pPr>
            <w:r>
              <w:rPr>
                <w:rFonts w:hint="eastAsia"/>
                <w:color w:val="auto"/>
                <w:highlight w:val="none"/>
              </w:rPr>
              <w:t>80</w:t>
            </w:r>
          </w:p>
        </w:tc>
        <w:tc>
          <w:tcPr>
            <w:tcW w:w="1129" w:type="pct"/>
            <w:vMerge w:val="continue"/>
            <w:vAlign w:val="center"/>
          </w:tcPr>
          <w:p>
            <w:pPr>
              <w:widowControl/>
              <w:spacing w:line="240" w:lineRule="exact"/>
              <w:jc w:val="center"/>
              <w:rPr>
                <w:color w:val="auto"/>
                <w:highlight w:val="none"/>
              </w:rPr>
            </w:pPr>
          </w:p>
        </w:tc>
        <w:tc>
          <w:tcPr>
            <w:tcW w:w="769" w:type="pct"/>
            <w:shd w:val="clear" w:color="auto" w:fill="auto"/>
            <w:vAlign w:val="center"/>
          </w:tcPr>
          <w:p>
            <w:pPr>
              <w:widowControl/>
              <w:spacing w:line="240" w:lineRule="exact"/>
              <w:jc w:val="center"/>
              <w:rPr>
                <w:color w:val="auto"/>
                <w:highlight w:val="none"/>
              </w:rPr>
            </w:pPr>
            <w:r>
              <w:rPr>
                <w:rFonts w:hint="eastAsia"/>
                <w:color w:val="auto"/>
                <w:highlight w:val="none"/>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749" w:type="pct"/>
            <w:vMerge w:val="continue"/>
            <w:shd w:val="clear" w:color="auto" w:fill="auto"/>
            <w:vAlign w:val="center"/>
          </w:tcPr>
          <w:p>
            <w:pPr>
              <w:widowControl/>
              <w:spacing w:line="240" w:lineRule="exact"/>
              <w:jc w:val="center"/>
              <w:rPr>
                <w:color w:val="auto"/>
                <w:szCs w:val="24"/>
                <w:highlight w:val="none"/>
              </w:rPr>
            </w:pPr>
          </w:p>
        </w:tc>
        <w:tc>
          <w:tcPr>
            <w:tcW w:w="432" w:type="pct"/>
            <w:shd w:val="clear" w:color="auto" w:fill="auto"/>
            <w:vAlign w:val="center"/>
          </w:tcPr>
          <w:p>
            <w:pPr>
              <w:spacing w:line="240" w:lineRule="exact"/>
              <w:jc w:val="center"/>
              <w:rPr>
                <w:color w:val="auto"/>
                <w:szCs w:val="24"/>
                <w:highlight w:val="none"/>
              </w:rPr>
            </w:pPr>
            <w:r>
              <w:rPr>
                <w:rFonts w:hint="eastAsia"/>
                <w:color w:val="auto"/>
                <w:szCs w:val="24"/>
                <w:highlight w:val="none"/>
              </w:rPr>
              <w:t>10</w:t>
            </w:r>
          </w:p>
        </w:tc>
        <w:tc>
          <w:tcPr>
            <w:tcW w:w="844" w:type="pct"/>
            <w:shd w:val="clear" w:color="auto" w:fill="auto"/>
            <w:vAlign w:val="center"/>
          </w:tcPr>
          <w:p>
            <w:pPr>
              <w:spacing w:line="240" w:lineRule="exact"/>
              <w:jc w:val="center"/>
              <w:rPr>
                <w:color w:val="auto"/>
                <w:szCs w:val="24"/>
                <w:highlight w:val="none"/>
              </w:rPr>
            </w:pPr>
            <w:r>
              <w:rPr>
                <w:rFonts w:hint="eastAsia"/>
                <w:color w:val="auto"/>
                <w:szCs w:val="24"/>
                <w:highlight w:val="none"/>
              </w:rPr>
              <w:t>破碎机</w:t>
            </w:r>
          </w:p>
        </w:tc>
        <w:tc>
          <w:tcPr>
            <w:tcW w:w="550" w:type="pct"/>
            <w:shd w:val="clear" w:color="auto" w:fill="auto"/>
            <w:vAlign w:val="center"/>
          </w:tcPr>
          <w:p>
            <w:pPr>
              <w:widowControl/>
              <w:spacing w:line="240" w:lineRule="exact"/>
              <w:jc w:val="center"/>
              <w:rPr>
                <w:color w:val="auto"/>
                <w:highlight w:val="none"/>
              </w:rPr>
            </w:pPr>
            <w:r>
              <w:rPr>
                <w:rFonts w:hint="eastAsia"/>
                <w:color w:val="auto"/>
                <w:szCs w:val="24"/>
                <w:highlight w:val="none"/>
              </w:rPr>
              <w:t>1</w:t>
            </w:r>
          </w:p>
        </w:tc>
        <w:tc>
          <w:tcPr>
            <w:tcW w:w="524" w:type="pct"/>
            <w:vAlign w:val="center"/>
          </w:tcPr>
          <w:p>
            <w:pPr>
              <w:widowControl/>
              <w:spacing w:line="240" w:lineRule="exact"/>
              <w:jc w:val="center"/>
              <w:rPr>
                <w:color w:val="auto"/>
                <w:highlight w:val="none"/>
              </w:rPr>
            </w:pPr>
            <w:r>
              <w:rPr>
                <w:rFonts w:hint="eastAsia"/>
                <w:color w:val="auto"/>
                <w:highlight w:val="none"/>
              </w:rPr>
              <w:t>80</w:t>
            </w:r>
          </w:p>
        </w:tc>
        <w:tc>
          <w:tcPr>
            <w:tcW w:w="1129" w:type="pct"/>
            <w:vMerge w:val="continue"/>
            <w:vAlign w:val="center"/>
          </w:tcPr>
          <w:p>
            <w:pPr>
              <w:widowControl/>
              <w:spacing w:line="240" w:lineRule="exact"/>
              <w:jc w:val="center"/>
              <w:rPr>
                <w:color w:val="auto"/>
                <w:highlight w:val="none"/>
              </w:rPr>
            </w:pPr>
          </w:p>
        </w:tc>
        <w:tc>
          <w:tcPr>
            <w:tcW w:w="769" w:type="pct"/>
            <w:shd w:val="clear" w:color="auto" w:fill="auto"/>
            <w:vAlign w:val="center"/>
          </w:tcPr>
          <w:p>
            <w:pPr>
              <w:widowControl/>
              <w:spacing w:line="240" w:lineRule="exact"/>
              <w:jc w:val="center"/>
              <w:rPr>
                <w:color w:val="auto"/>
                <w:highlight w:val="none"/>
              </w:rPr>
            </w:pPr>
            <w:r>
              <w:rPr>
                <w:rFonts w:hint="eastAsia"/>
                <w:color w:val="auto"/>
                <w:highlight w:val="none"/>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749" w:type="pct"/>
            <w:vMerge w:val="restart"/>
            <w:shd w:val="clear" w:color="auto" w:fill="auto"/>
            <w:vAlign w:val="center"/>
          </w:tcPr>
          <w:p>
            <w:pPr>
              <w:widowControl/>
              <w:spacing w:line="240" w:lineRule="exact"/>
              <w:jc w:val="center"/>
              <w:rPr>
                <w:color w:val="auto"/>
                <w:szCs w:val="24"/>
                <w:highlight w:val="none"/>
              </w:rPr>
            </w:pPr>
            <w:r>
              <w:rPr>
                <w:color w:val="auto"/>
                <w:szCs w:val="24"/>
                <w:highlight w:val="none"/>
              </w:rPr>
              <w:t>辅助设备</w:t>
            </w:r>
          </w:p>
        </w:tc>
        <w:tc>
          <w:tcPr>
            <w:tcW w:w="432" w:type="pct"/>
            <w:shd w:val="clear" w:color="auto" w:fill="auto"/>
            <w:vAlign w:val="center"/>
          </w:tcPr>
          <w:p>
            <w:pPr>
              <w:spacing w:line="240" w:lineRule="exact"/>
              <w:jc w:val="center"/>
              <w:rPr>
                <w:color w:val="auto"/>
                <w:szCs w:val="24"/>
                <w:highlight w:val="none"/>
              </w:rPr>
            </w:pPr>
            <w:r>
              <w:rPr>
                <w:rFonts w:hint="eastAsia"/>
                <w:color w:val="auto"/>
                <w:szCs w:val="24"/>
                <w:highlight w:val="none"/>
              </w:rPr>
              <w:t>11</w:t>
            </w:r>
          </w:p>
        </w:tc>
        <w:tc>
          <w:tcPr>
            <w:tcW w:w="844" w:type="pct"/>
            <w:shd w:val="clear" w:color="auto" w:fill="auto"/>
            <w:vAlign w:val="center"/>
          </w:tcPr>
          <w:p>
            <w:pPr>
              <w:spacing w:line="240" w:lineRule="exact"/>
              <w:jc w:val="center"/>
              <w:rPr>
                <w:color w:val="auto"/>
                <w:szCs w:val="24"/>
                <w:highlight w:val="none"/>
              </w:rPr>
            </w:pPr>
            <w:r>
              <w:rPr>
                <w:rFonts w:hint="eastAsia"/>
                <w:color w:val="auto"/>
                <w:szCs w:val="24"/>
                <w:highlight w:val="none"/>
              </w:rPr>
              <w:t>风机</w:t>
            </w:r>
          </w:p>
        </w:tc>
        <w:tc>
          <w:tcPr>
            <w:tcW w:w="550" w:type="pct"/>
            <w:shd w:val="clear" w:color="auto" w:fill="auto"/>
            <w:vAlign w:val="center"/>
          </w:tcPr>
          <w:p>
            <w:pPr>
              <w:widowControl/>
              <w:spacing w:line="240" w:lineRule="exact"/>
              <w:jc w:val="center"/>
              <w:rPr>
                <w:rFonts w:hint="eastAsia" w:eastAsia="宋体"/>
                <w:color w:val="auto"/>
                <w:highlight w:val="none"/>
                <w:lang w:eastAsia="zh-CN"/>
              </w:rPr>
            </w:pPr>
            <w:r>
              <w:rPr>
                <w:rFonts w:hint="eastAsia"/>
                <w:color w:val="auto"/>
                <w:highlight w:val="none"/>
                <w:lang w:val="en-US" w:eastAsia="zh-CN"/>
              </w:rPr>
              <w:t>1</w:t>
            </w:r>
          </w:p>
        </w:tc>
        <w:tc>
          <w:tcPr>
            <w:tcW w:w="524" w:type="pct"/>
            <w:vAlign w:val="center"/>
          </w:tcPr>
          <w:p>
            <w:pPr>
              <w:widowControl/>
              <w:spacing w:line="240" w:lineRule="exact"/>
              <w:jc w:val="center"/>
              <w:rPr>
                <w:color w:val="auto"/>
                <w:highlight w:val="none"/>
              </w:rPr>
            </w:pPr>
            <w:r>
              <w:rPr>
                <w:rFonts w:hint="eastAsia"/>
                <w:color w:val="auto"/>
                <w:highlight w:val="none"/>
              </w:rPr>
              <w:t>85</w:t>
            </w:r>
          </w:p>
        </w:tc>
        <w:tc>
          <w:tcPr>
            <w:tcW w:w="1129" w:type="pct"/>
            <w:vAlign w:val="center"/>
          </w:tcPr>
          <w:p>
            <w:pPr>
              <w:widowControl/>
              <w:spacing w:line="240" w:lineRule="exact"/>
              <w:jc w:val="center"/>
              <w:rPr>
                <w:color w:val="auto"/>
                <w:highlight w:val="none"/>
              </w:rPr>
            </w:pPr>
            <w:r>
              <w:rPr>
                <w:rFonts w:hint="eastAsia"/>
                <w:color w:val="auto"/>
                <w:highlight w:val="none"/>
              </w:rPr>
              <w:t>基础减震</w:t>
            </w:r>
          </w:p>
        </w:tc>
        <w:tc>
          <w:tcPr>
            <w:tcW w:w="769" w:type="pct"/>
            <w:shd w:val="clear" w:color="auto" w:fill="auto"/>
            <w:vAlign w:val="center"/>
          </w:tcPr>
          <w:p>
            <w:pPr>
              <w:widowControl/>
              <w:spacing w:line="240" w:lineRule="exact"/>
              <w:jc w:val="center"/>
              <w:rPr>
                <w:color w:val="auto"/>
                <w:highlight w:val="none"/>
              </w:rPr>
            </w:pPr>
            <w:r>
              <w:rPr>
                <w:rFonts w:hint="eastAsia"/>
                <w:color w:val="auto"/>
                <w:highlight w:val="none"/>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749" w:type="pct"/>
            <w:vMerge w:val="continue"/>
            <w:shd w:val="clear" w:color="auto" w:fill="auto"/>
            <w:vAlign w:val="center"/>
          </w:tcPr>
          <w:p>
            <w:pPr>
              <w:widowControl/>
              <w:spacing w:line="240" w:lineRule="exact"/>
              <w:jc w:val="center"/>
              <w:rPr>
                <w:color w:val="auto"/>
                <w:szCs w:val="24"/>
                <w:highlight w:val="none"/>
              </w:rPr>
            </w:pPr>
          </w:p>
        </w:tc>
        <w:tc>
          <w:tcPr>
            <w:tcW w:w="432" w:type="pct"/>
            <w:shd w:val="clear" w:color="auto" w:fill="auto"/>
            <w:vAlign w:val="center"/>
          </w:tcPr>
          <w:p>
            <w:pPr>
              <w:spacing w:line="240" w:lineRule="exact"/>
              <w:jc w:val="center"/>
              <w:rPr>
                <w:color w:val="auto"/>
                <w:szCs w:val="24"/>
                <w:highlight w:val="none"/>
              </w:rPr>
            </w:pPr>
            <w:r>
              <w:rPr>
                <w:rFonts w:hint="eastAsia"/>
                <w:color w:val="auto"/>
                <w:szCs w:val="24"/>
                <w:highlight w:val="none"/>
              </w:rPr>
              <w:t>12</w:t>
            </w:r>
          </w:p>
        </w:tc>
        <w:tc>
          <w:tcPr>
            <w:tcW w:w="844" w:type="pct"/>
            <w:shd w:val="clear" w:color="auto" w:fill="auto"/>
            <w:vAlign w:val="center"/>
          </w:tcPr>
          <w:p>
            <w:pPr>
              <w:spacing w:line="240" w:lineRule="exact"/>
              <w:jc w:val="center"/>
              <w:rPr>
                <w:color w:val="auto"/>
                <w:szCs w:val="24"/>
                <w:highlight w:val="none"/>
              </w:rPr>
            </w:pPr>
            <w:r>
              <w:rPr>
                <w:rFonts w:hint="eastAsia"/>
                <w:color w:val="auto"/>
                <w:szCs w:val="24"/>
                <w:highlight w:val="none"/>
              </w:rPr>
              <w:t>泵类</w:t>
            </w:r>
          </w:p>
        </w:tc>
        <w:tc>
          <w:tcPr>
            <w:tcW w:w="550" w:type="pct"/>
            <w:shd w:val="clear" w:color="auto" w:fill="auto"/>
            <w:vAlign w:val="center"/>
          </w:tcPr>
          <w:p>
            <w:pPr>
              <w:widowControl/>
              <w:spacing w:line="240" w:lineRule="exact"/>
              <w:jc w:val="center"/>
              <w:rPr>
                <w:color w:val="auto"/>
                <w:highlight w:val="none"/>
              </w:rPr>
            </w:pPr>
            <w:r>
              <w:rPr>
                <w:rFonts w:hint="eastAsia"/>
                <w:color w:val="auto"/>
                <w:highlight w:val="none"/>
              </w:rPr>
              <w:t>3</w:t>
            </w:r>
          </w:p>
        </w:tc>
        <w:tc>
          <w:tcPr>
            <w:tcW w:w="524" w:type="pct"/>
            <w:vAlign w:val="center"/>
          </w:tcPr>
          <w:p>
            <w:pPr>
              <w:widowControl/>
              <w:spacing w:line="240" w:lineRule="exact"/>
              <w:jc w:val="center"/>
              <w:rPr>
                <w:color w:val="auto"/>
                <w:highlight w:val="none"/>
              </w:rPr>
            </w:pPr>
            <w:r>
              <w:rPr>
                <w:rFonts w:hint="eastAsia"/>
                <w:color w:val="auto"/>
                <w:highlight w:val="none"/>
              </w:rPr>
              <w:t>80</w:t>
            </w:r>
          </w:p>
        </w:tc>
        <w:tc>
          <w:tcPr>
            <w:tcW w:w="1129" w:type="pct"/>
            <w:vAlign w:val="center"/>
          </w:tcPr>
          <w:p>
            <w:pPr>
              <w:widowControl/>
              <w:spacing w:line="240" w:lineRule="exact"/>
              <w:jc w:val="center"/>
              <w:rPr>
                <w:color w:val="auto"/>
                <w:highlight w:val="none"/>
              </w:rPr>
            </w:pPr>
            <w:r>
              <w:rPr>
                <w:rFonts w:hint="eastAsia"/>
                <w:color w:val="auto"/>
                <w:highlight w:val="none"/>
              </w:rPr>
              <w:t>基础减震</w:t>
            </w:r>
          </w:p>
        </w:tc>
        <w:tc>
          <w:tcPr>
            <w:tcW w:w="769" w:type="pct"/>
            <w:shd w:val="clear" w:color="auto" w:fill="auto"/>
            <w:vAlign w:val="center"/>
          </w:tcPr>
          <w:p>
            <w:pPr>
              <w:widowControl/>
              <w:spacing w:line="240" w:lineRule="exact"/>
              <w:jc w:val="center"/>
              <w:rPr>
                <w:color w:val="auto"/>
                <w:highlight w:val="none"/>
              </w:rPr>
            </w:pPr>
            <w:r>
              <w:rPr>
                <w:rFonts w:hint="eastAsia"/>
                <w:color w:val="auto"/>
                <w:highlight w:val="none"/>
              </w:rPr>
              <w:t>60</w:t>
            </w:r>
          </w:p>
        </w:tc>
      </w:tr>
    </w:tbl>
    <w:p>
      <w:pPr>
        <w:pStyle w:val="99"/>
        <w:ind w:firstLine="480"/>
        <w:rPr>
          <w:color w:val="auto"/>
          <w:highlight w:val="none"/>
        </w:rPr>
      </w:pPr>
      <w:r>
        <w:rPr>
          <w:rFonts w:hint="eastAsia"/>
          <w:color w:val="auto"/>
          <w:highlight w:val="none"/>
        </w:rPr>
        <w:t>为了有效降低噪声，工程主要采取以下措施：</w:t>
      </w:r>
    </w:p>
    <w:p>
      <w:pPr>
        <w:pStyle w:val="99"/>
        <w:ind w:firstLine="480"/>
        <w:rPr>
          <w:color w:val="auto"/>
          <w:highlight w:val="none"/>
        </w:rPr>
      </w:pPr>
      <w:r>
        <w:rPr>
          <w:rFonts w:hint="eastAsia"/>
          <w:color w:val="auto"/>
          <w:highlight w:val="none"/>
        </w:rPr>
        <w:t>(1) 从源头治理抓起，在设备选型订货时，首选运行高效、噪声达标设备，在一些必要的设备上加装消音、隔声装置，以降低噪声源强。</w:t>
      </w:r>
    </w:p>
    <w:p>
      <w:pPr>
        <w:pStyle w:val="99"/>
        <w:ind w:firstLine="480"/>
        <w:rPr>
          <w:color w:val="auto"/>
          <w:highlight w:val="none"/>
        </w:rPr>
      </w:pPr>
      <w:r>
        <w:rPr>
          <w:rFonts w:hint="eastAsia"/>
          <w:color w:val="auto"/>
          <w:highlight w:val="none"/>
        </w:rPr>
        <w:t>(2) 设备安装时，先打坚固地基，加装减振垫，增加稳定性减轻振动；风机、水泵用软接头连接，平台风机及泵底座安装减震垫。对于噪声强度大的设备，除加装消音装置外，单独进行封闭布置，尽可能远离厂界。</w:t>
      </w:r>
    </w:p>
    <w:p>
      <w:pPr>
        <w:pStyle w:val="99"/>
        <w:ind w:firstLine="480"/>
        <w:rPr>
          <w:color w:val="auto"/>
          <w:highlight w:val="none"/>
        </w:rPr>
      </w:pPr>
      <w:r>
        <w:rPr>
          <w:rFonts w:hint="eastAsia"/>
          <w:color w:val="auto"/>
          <w:highlight w:val="none"/>
        </w:rPr>
        <w:t>根据噪声预测可知，项目运营后四厂界昼间、夜间噪声贡献值能满足《工业企业厂界环境噪声排放标准》(GB12348-2008)2类区标准要求。</w:t>
      </w:r>
    </w:p>
    <w:p>
      <w:pPr>
        <w:pStyle w:val="101"/>
        <w:spacing w:before="78"/>
        <w:rPr>
          <w:rFonts w:ascii="Times New Roman" w:hAnsi="Times New Roman"/>
          <w:color w:val="auto"/>
          <w:highlight w:val="none"/>
        </w:rPr>
      </w:pPr>
      <w:r>
        <w:rPr>
          <w:rFonts w:ascii="Times New Roman" w:hAnsi="Times New Roman"/>
          <w:color w:val="auto"/>
          <w:highlight w:val="none"/>
        </w:rPr>
        <w:t>2.3.5非正常工况污染物排放分析</w:t>
      </w:r>
    </w:p>
    <w:p>
      <w:pPr>
        <w:pStyle w:val="99"/>
        <w:ind w:firstLine="480"/>
        <w:rPr>
          <w:color w:val="auto"/>
          <w:highlight w:val="none"/>
        </w:rPr>
      </w:pPr>
      <w:r>
        <w:rPr>
          <w:color w:val="auto"/>
          <w:highlight w:val="none"/>
        </w:rPr>
        <w:t>非正常排放主要是指生产过程中开停车、检修、发生故障情况下污染物的排放。非正常排放大小及频率与生产装置的工艺水平、操作管理水平等因素有密切关系，若没有严格的处理措施，往往是造成污染的重要因素。</w:t>
      </w:r>
    </w:p>
    <w:p>
      <w:pPr>
        <w:spacing w:line="360" w:lineRule="auto"/>
        <w:ind w:firstLine="480" w:firstLineChars="200"/>
        <w:rPr>
          <w:color w:val="auto"/>
          <w:sz w:val="24"/>
          <w:highlight w:val="none"/>
        </w:rPr>
      </w:pPr>
      <w:r>
        <w:rPr>
          <w:rFonts w:hint="eastAsia"/>
          <w:color w:val="auto"/>
          <w:sz w:val="24"/>
          <w:highlight w:val="none"/>
        </w:rPr>
        <w:t>根据项目的情况，结合国内同类项目的运行情况，确定以下非正常状况：</w:t>
      </w:r>
    </w:p>
    <w:p>
      <w:pPr>
        <w:spacing w:line="360" w:lineRule="auto"/>
        <w:ind w:firstLine="480" w:firstLineChars="200"/>
        <w:rPr>
          <w:color w:val="auto"/>
          <w:sz w:val="24"/>
          <w:highlight w:val="none"/>
        </w:rPr>
      </w:pPr>
      <w:r>
        <w:rPr>
          <w:rFonts w:hint="eastAsia"/>
          <w:color w:val="auto"/>
          <w:sz w:val="24"/>
          <w:highlight w:val="none"/>
        </w:rPr>
        <w:t>(1) 由于意外因素造成机械设施或电力故障而导致废气处理设施不能正常运行时，废气处理效率降低甚至可能会超标排放。</w:t>
      </w:r>
    </w:p>
    <w:p>
      <w:pPr>
        <w:spacing w:line="360" w:lineRule="auto"/>
        <w:ind w:firstLine="480" w:firstLineChars="200"/>
        <w:rPr>
          <w:color w:val="auto"/>
          <w:sz w:val="24"/>
          <w:highlight w:val="none"/>
        </w:rPr>
      </w:pPr>
      <w:r>
        <w:rPr>
          <w:rFonts w:hint="eastAsia"/>
          <w:color w:val="auto"/>
          <w:sz w:val="24"/>
          <w:highlight w:val="none"/>
        </w:rPr>
        <w:t>(2) 由于意外因素造成机械设施或电力故障而导致厂区污水处理站不能正常运行时，废水处理效率降低甚至可能会超标排放。</w:t>
      </w:r>
    </w:p>
    <w:p>
      <w:pPr>
        <w:spacing w:line="360" w:lineRule="auto"/>
        <w:ind w:firstLine="480" w:firstLineChars="200"/>
        <w:rPr>
          <w:color w:val="auto"/>
          <w:sz w:val="24"/>
          <w:highlight w:val="none"/>
        </w:rPr>
      </w:pPr>
      <w:r>
        <w:rPr>
          <w:rFonts w:hint="eastAsia"/>
          <w:color w:val="auto"/>
          <w:sz w:val="24"/>
          <w:highlight w:val="none"/>
        </w:rPr>
        <w:t>非正常工况下，废气处理效率按原有处理效率0%考虑，</w:t>
      </w:r>
      <w:r>
        <w:rPr>
          <w:color w:val="auto"/>
          <w:sz w:val="24"/>
          <w:highlight w:val="none"/>
        </w:rPr>
        <w:t>本项目非正常工况下废气主要污染物排放情况见表2.3-</w:t>
      </w:r>
      <w:r>
        <w:rPr>
          <w:rFonts w:hint="eastAsia"/>
          <w:color w:val="auto"/>
          <w:sz w:val="24"/>
          <w:highlight w:val="none"/>
        </w:rPr>
        <w:t>6</w:t>
      </w:r>
      <w:r>
        <w:rPr>
          <w:color w:val="auto"/>
          <w:sz w:val="24"/>
          <w:highlight w:val="none"/>
        </w:rPr>
        <w:t>。</w:t>
      </w:r>
    </w:p>
    <w:p>
      <w:pPr>
        <w:widowControl/>
        <w:spacing w:line="360" w:lineRule="auto"/>
        <w:jc w:val="center"/>
        <w:rPr>
          <w:rFonts w:eastAsia="黑体"/>
          <w:color w:val="auto"/>
          <w:sz w:val="24"/>
          <w:highlight w:val="none"/>
        </w:rPr>
      </w:pPr>
      <w:r>
        <w:rPr>
          <w:rFonts w:eastAsia="黑体"/>
          <w:color w:val="auto"/>
          <w:sz w:val="24"/>
          <w:highlight w:val="none"/>
        </w:rPr>
        <w:t>表2.3-</w:t>
      </w:r>
      <w:r>
        <w:rPr>
          <w:rFonts w:hint="eastAsia" w:eastAsia="黑体"/>
          <w:color w:val="auto"/>
          <w:sz w:val="24"/>
          <w:highlight w:val="none"/>
        </w:rPr>
        <w:t>6</w:t>
      </w:r>
      <w:r>
        <w:rPr>
          <w:rFonts w:eastAsia="黑体"/>
          <w:color w:val="auto"/>
          <w:sz w:val="24"/>
          <w:highlight w:val="none"/>
        </w:rPr>
        <w:t xml:space="preserve">  本项目非正常工况下废气排放情况一览表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916"/>
        <w:gridCol w:w="1354"/>
        <w:gridCol w:w="1091"/>
        <w:gridCol w:w="1100"/>
        <w:gridCol w:w="1249"/>
        <w:gridCol w:w="19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42" w:type="pct"/>
            <w:vMerge w:val="restart"/>
            <w:vAlign w:val="center"/>
          </w:tcPr>
          <w:p>
            <w:pPr>
              <w:jc w:val="center"/>
              <w:rPr>
                <w:color w:val="auto"/>
                <w:highlight w:val="none"/>
              </w:rPr>
            </w:pPr>
            <w:r>
              <w:rPr>
                <w:rFonts w:hint="eastAsia"/>
                <w:color w:val="auto"/>
                <w:highlight w:val="none"/>
              </w:rPr>
              <w:t>污染源</w:t>
            </w:r>
          </w:p>
        </w:tc>
        <w:tc>
          <w:tcPr>
            <w:tcW w:w="509" w:type="pct"/>
            <w:vMerge w:val="restart"/>
            <w:vAlign w:val="center"/>
          </w:tcPr>
          <w:p>
            <w:pPr>
              <w:jc w:val="center"/>
              <w:rPr>
                <w:color w:val="auto"/>
                <w:highlight w:val="none"/>
              </w:rPr>
            </w:pPr>
            <w:r>
              <w:rPr>
                <w:rFonts w:hint="eastAsia"/>
                <w:color w:val="auto"/>
                <w:highlight w:val="none"/>
              </w:rPr>
              <w:t>污染物</w:t>
            </w:r>
          </w:p>
        </w:tc>
        <w:tc>
          <w:tcPr>
            <w:tcW w:w="1969" w:type="pct"/>
            <w:gridSpan w:val="3"/>
            <w:vAlign w:val="center"/>
          </w:tcPr>
          <w:p>
            <w:pPr>
              <w:jc w:val="center"/>
              <w:rPr>
                <w:color w:val="auto"/>
                <w:highlight w:val="none"/>
              </w:rPr>
            </w:pPr>
            <w:r>
              <w:rPr>
                <w:color w:val="auto"/>
                <w:highlight w:val="none"/>
              </w:rPr>
              <w:t>排放情况</w:t>
            </w:r>
          </w:p>
        </w:tc>
        <w:tc>
          <w:tcPr>
            <w:tcW w:w="694" w:type="pct"/>
            <w:vMerge w:val="restart"/>
            <w:vAlign w:val="center"/>
          </w:tcPr>
          <w:p>
            <w:pPr>
              <w:jc w:val="center"/>
              <w:rPr>
                <w:color w:val="auto"/>
                <w:highlight w:val="none"/>
              </w:rPr>
            </w:pPr>
            <w:r>
              <w:rPr>
                <w:color w:val="auto"/>
                <w:highlight w:val="none"/>
              </w:rPr>
              <w:t>排放标准</w:t>
            </w:r>
          </w:p>
        </w:tc>
        <w:tc>
          <w:tcPr>
            <w:tcW w:w="1084" w:type="pct"/>
            <w:vMerge w:val="restart"/>
            <w:vAlign w:val="center"/>
          </w:tcPr>
          <w:p>
            <w:pPr>
              <w:jc w:val="center"/>
              <w:rPr>
                <w:color w:val="auto"/>
                <w:highlight w:val="none"/>
              </w:rPr>
            </w:pPr>
            <w:r>
              <w:rPr>
                <w:color w:val="auto"/>
                <w:highlight w:val="none"/>
              </w:rPr>
              <w:t>应急措施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42" w:type="pct"/>
            <w:vMerge w:val="continue"/>
            <w:vAlign w:val="center"/>
          </w:tcPr>
          <w:p>
            <w:pPr>
              <w:jc w:val="center"/>
              <w:rPr>
                <w:color w:val="auto"/>
                <w:highlight w:val="none"/>
              </w:rPr>
            </w:pPr>
          </w:p>
        </w:tc>
        <w:tc>
          <w:tcPr>
            <w:tcW w:w="509" w:type="pct"/>
            <w:vMerge w:val="continue"/>
            <w:vAlign w:val="center"/>
          </w:tcPr>
          <w:p>
            <w:pPr>
              <w:jc w:val="center"/>
              <w:rPr>
                <w:color w:val="auto"/>
                <w:highlight w:val="none"/>
              </w:rPr>
            </w:pPr>
          </w:p>
        </w:tc>
        <w:tc>
          <w:tcPr>
            <w:tcW w:w="752" w:type="pct"/>
            <w:vAlign w:val="center"/>
          </w:tcPr>
          <w:p>
            <w:pPr>
              <w:jc w:val="center"/>
              <w:rPr>
                <w:color w:val="auto"/>
                <w:highlight w:val="none"/>
              </w:rPr>
            </w:pPr>
            <w:r>
              <w:rPr>
                <w:rFonts w:hint="eastAsia"/>
                <w:color w:val="auto"/>
                <w:highlight w:val="none"/>
              </w:rPr>
              <w:t>废气量(m</w:t>
            </w:r>
            <w:r>
              <w:rPr>
                <w:rFonts w:hint="eastAsia"/>
                <w:color w:val="auto"/>
                <w:highlight w:val="none"/>
                <w:vertAlign w:val="superscript"/>
              </w:rPr>
              <w:t>3</w:t>
            </w:r>
            <w:r>
              <w:rPr>
                <w:rFonts w:hint="eastAsia"/>
                <w:color w:val="auto"/>
                <w:highlight w:val="none"/>
              </w:rPr>
              <w:t>/h)</w:t>
            </w:r>
          </w:p>
        </w:tc>
        <w:tc>
          <w:tcPr>
            <w:tcW w:w="606" w:type="pct"/>
            <w:vAlign w:val="center"/>
          </w:tcPr>
          <w:p>
            <w:pPr>
              <w:jc w:val="center"/>
              <w:rPr>
                <w:color w:val="auto"/>
                <w:highlight w:val="none"/>
              </w:rPr>
            </w:pPr>
            <w:r>
              <w:rPr>
                <w:color w:val="auto"/>
                <w:highlight w:val="none"/>
              </w:rPr>
              <w:t>浓度(mg/m</w:t>
            </w:r>
            <w:r>
              <w:rPr>
                <w:color w:val="auto"/>
                <w:highlight w:val="none"/>
                <w:vertAlign w:val="superscript"/>
              </w:rPr>
              <w:t>3</w:t>
            </w:r>
            <w:r>
              <w:rPr>
                <w:color w:val="auto"/>
                <w:highlight w:val="none"/>
              </w:rPr>
              <w:t>)</w:t>
            </w:r>
          </w:p>
        </w:tc>
        <w:tc>
          <w:tcPr>
            <w:tcW w:w="611" w:type="pct"/>
            <w:vAlign w:val="center"/>
          </w:tcPr>
          <w:p>
            <w:pPr>
              <w:jc w:val="center"/>
              <w:rPr>
                <w:color w:val="auto"/>
                <w:highlight w:val="none"/>
              </w:rPr>
            </w:pPr>
            <w:r>
              <w:rPr>
                <w:color w:val="auto"/>
                <w:highlight w:val="none"/>
              </w:rPr>
              <w:t>排放</w:t>
            </w:r>
            <w:r>
              <w:rPr>
                <w:rFonts w:hint="eastAsia"/>
                <w:color w:val="auto"/>
                <w:highlight w:val="none"/>
              </w:rPr>
              <w:t>速率</w:t>
            </w:r>
            <w:r>
              <w:rPr>
                <w:color w:val="auto"/>
                <w:highlight w:val="none"/>
              </w:rPr>
              <w:t>(</w:t>
            </w:r>
            <w:r>
              <w:rPr>
                <w:rFonts w:hint="eastAsia"/>
                <w:color w:val="auto"/>
                <w:highlight w:val="none"/>
              </w:rPr>
              <w:t>kg</w:t>
            </w:r>
            <w:r>
              <w:rPr>
                <w:color w:val="auto"/>
                <w:highlight w:val="none"/>
              </w:rPr>
              <w:t>/</w:t>
            </w:r>
            <w:r>
              <w:rPr>
                <w:rFonts w:hint="eastAsia"/>
                <w:color w:val="auto"/>
                <w:highlight w:val="none"/>
              </w:rPr>
              <w:t>h</w:t>
            </w:r>
            <w:r>
              <w:rPr>
                <w:color w:val="auto"/>
                <w:highlight w:val="none"/>
              </w:rPr>
              <w:t>)</w:t>
            </w:r>
          </w:p>
        </w:tc>
        <w:tc>
          <w:tcPr>
            <w:tcW w:w="694" w:type="pct"/>
            <w:vMerge w:val="continue"/>
            <w:vAlign w:val="center"/>
          </w:tcPr>
          <w:p>
            <w:pPr>
              <w:jc w:val="center"/>
              <w:rPr>
                <w:color w:val="auto"/>
                <w:highlight w:val="none"/>
              </w:rPr>
            </w:pPr>
          </w:p>
        </w:tc>
        <w:tc>
          <w:tcPr>
            <w:tcW w:w="1084" w:type="pct"/>
            <w:vMerge w:val="continue"/>
            <w:vAlign w:val="center"/>
          </w:tcPr>
          <w:p>
            <w:pPr>
              <w:jc w:val="center"/>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42" w:type="pct"/>
            <w:vMerge w:val="restart"/>
            <w:vAlign w:val="center"/>
          </w:tcPr>
          <w:p>
            <w:pPr>
              <w:jc w:val="center"/>
              <w:rPr>
                <w:color w:val="auto"/>
                <w:highlight w:val="none"/>
              </w:rPr>
            </w:pPr>
            <w:r>
              <w:rPr>
                <w:rFonts w:hint="eastAsia"/>
                <w:color w:val="auto"/>
                <w:highlight w:val="none"/>
              </w:rPr>
              <w:t>挤出成型、熔融造粒、注塑废气(DA001)</w:t>
            </w:r>
          </w:p>
        </w:tc>
        <w:tc>
          <w:tcPr>
            <w:tcW w:w="509" w:type="pct"/>
            <w:vAlign w:val="center"/>
          </w:tcPr>
          <w:p>
            <w:pPr>
              <w:jc w:val="center"/>
              <w:rPr>
                <w:color w:val="auto"/>
                <w:highlight w:val="none"/>
              </w:rPr>
            </w:pPr>
            <w:r>
              <w:rPr>
                <w:rFonts w:hint="eastAsia"/>
                <w:color w:val="auto"/>
                <w:highlight w:val="none"/>
              </w:rPr>
              <w:t>VOCs</w:t>
            </w:r>
          </w:p>
        </w:tc>
        <w:tc>
          <w:tcPr>
            <w:tcW w:w="752" w:type="pct"/>
            <w:vMerge w:val="restart"/>
            <w:vAlign w:val="center"/>
          </w:tcPr>
          <w:p>
            <w:pPr>
              <w:jc w:val="center"/>
              <w:rPr>
                <w:color w:val="auto"/>
                <w:szCs w:val="21"/>
                <w:highlight w:val="none"/>
              </w:rPr>
            </w:pPr>
            <w:r>
              <w:rPr>
                <w:rFonts w:hint="eastAsia"/>
                <w:color w:val="auto"/>
                <w:highlight w:val="none"/>
                <w:lang w:val="en-US" w:eastAsia="zh-CN"/>
              </w:rPr>
              <w:t>15</w:t>
            </w:r>
            <w:r>
              <w:rPr>
                <w:rFonts w:hint="eastAsia"/>
                <w:color w:val="auto"/>
                <w:highlight w:val="none"/>
              </w:rPr>
              <w:t>000</w:t>
            </w:r>
          </w:p>
        </w:tc>
        <w:tc>
          <w:tcPr>
            <w:tcW w:w="1091" w:type="dxa"/>
            <w:vAlign w:val="center"/>
          </w:tcPr>
          <w:p>
            <w:pPr>
              <w:jc w:val="center"/>
              <w:rPr>
                <w:color w:val="auto"/>
                <w:szCs w:val="21"/>
                <w:highlight w:val="none"/>
              </w:rPr>
            </w:pPr>
            <w:r>
              <w:rPr>
                <w:rFonts w:hint="eastAsia"/>
                <w:color w:val="auto"/>
                <w:szCs w:val="21"/>
                <w:highlight w:val="none"/>
                <w:lang w:val="en-US" w:eastAsia="zh-CN"/>
              </w:rPr>
              <w:t>55.3</w:t>
            </w:r>
          </w:p>
        </w:tc>
        <w:tc>
          <w:tcPr>
            <w:tcW w:w="1100" w:type="dxa"/>
            <w:vAlign w:val="center"/>
          </w:tcPr>
          <w:p>
            <w:pPr>
              <w:jc w:val="center"/>
              <w:rPr>
                <w:color w:val="auto"/>
                <w:szCs w:val="21"/>
                <w:highlight w:val="none"/>
              </w:rPr>
            </w:pPr>
            <w:r>
              <w:rPr>
                <w:rFonts w:hint="eastAsia"/>
                <w:color w:val="auto"/>
                <w:szCs w:val="21"/>
                <w:highlight w:val="none"/>
                <w:lang w:val="en-US" w:eastAsia="zh-CN"/>
              </w:rPr>
              <w:t>1.106</w:t>
            </w:r>
          </w:p>
        </w:tc>
        <w:tc>
          <w:tcPr>
            <w:tcW w:w="694" w:type="pct"/>
            <w:vAlign w:val="center"/>
          </w:tcPr>
          <w:p>
            <w:pPr>
              <w:jc w:val="center"/>
              <w:rPr>
                <w:color w:val="auto"/>
                <w:szCs w:val="21"/>
                <w:highlight w:val="none"/>
              </w:rPr>
            </w:pPr>
            <w:r>
              <w:rPr>
                <w:rFonts w:hint="eastAsia"/>
                <w:color w:val="auto"/>
                <w:szCs w:val="21"/>
                <w:highlight w:val="none"/>
              </w:rPr>
              <w:t>60</w:t>
            </w:r>
            <w:r>
              <w:rPr>
                <w:color w:val="auto"/>
                <w:highlight w:val="none"/>
              </w:rPr>
              <w:t>mg/m</w:t>
            </w:r>
            <w:r>
              <w:rPr>
                <w:color w:val="auto"/>
                <w:highlight w:val="none"/>
                <w:vertAlign w:val="superscript"/>
              </w:rPr>
              <w:t>3</w:t>
            </w:r>
            <w:r>
              <w:rPr>
                <w:rFonts w:hint="eastAsia"/>
                <w:color w:val="auto"/>
                <w:highlight w:val="none"/>
              </w:rPr>
              <w:t>、3kg/h</w:t>
            </w:r>
          </w:p>
        </w:tc>
        <w:tc>
          <w:tcPr>
            <w:tcW w:w="1084" w:type="pct"/>
            <w:vMerge w:val="restart"/>
            <w:vAlign w:val="center"/>
          </w:tcPr>
          <w:p>
            <w:pPr>
              <w:jc w:val="center"/>
              <w:rPr>
                <w:color w:val="auto"/>
                <w:szCs w:val="21"/>
                <w:highlight w:val="none"/>
              </w:rPr>
            </w:pPr>
            <w:r>
              <w:rPr>
                <w:rFonts w:hint="eastAsia"/>
                <w:color w:val="auto"/>
                <w:szCs w:val="21"/>
                <w:highlight w:val="none"/>
              </w:rPr>
              <w:t>发生事故时，应及时停止生产，待检修能够达标排放后再恢复生产；加强日常设备维护。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42" w:type="pct"/>
            <w:vMerge w:val="continue"/>
            <w:vAlign w:val="center"/>
          </w:tcPr>
          <w:p>
            <w:pPr>
              <w:jc w:val="center"/>
              <w:rPr>
                <w:color w:val="auto"/>
                <w:highlight w:val="none"/>
              </w:rPr>
            </w:pPr>
          </w:p>
        </w:tc>
        <w:tc>
          <w:tcPr>
            <w:tcW w:w="509" w:type="pct"/>
            <w:vAlign w:val="center"/>
          </w:tcPr>
          <w:p>
            <w:pPr>
              <w:jc w:val="center"/>
              <w:rPr>
                <w:color w:val="auto"/>
                <w:highlight w:val="none"/>
              </w:rPr>
            </w:pPr>
            <w:r>
              <w:rPr>
                <w:rFonts w:hint="eastAsia"/>
                <w:color w:val="auto"/>
                <w:highlight w:val="none"/>
              </w:rPr>
              <w:t>颗粒物</w:t>
            </w:r>
          </w:p>
        </w:tc>
        <w:tc>
          <w:tcPr>
            <w:tcW w:w="752" w:type="pct"/>
            <w:vMerge w:val="continue"/>
            <w:vAlign w:val="center"/>
          </w:tcPr>
          <w:p>
            <w:pPr>
              <w:jc w:val="center"/>
              <w:rPr>
                <w:color w:val="auto"/>
                <w:szCs w:val="21"/>
                <w:highlight w:val="none"/>
              </w:rPr>
            </w:pPr>
          </w:p>
        </w:tc>
        <w:tc>
          <w:tcPr>
            <w:tcW w:w="1091" w:type="dxa"/>
            <w:vAlign w:val="center"/>
          </w:tcPr>
          <w:p>
            <w:pPr>
              <w:jc w:val="center"/>
              <w:rPr>
                <w:color w:val="auto"/>
                <w:szCs w:val="21"/>
                <w:highlight w:val="none"/>
              </w:rPr>
            </w:pPr>
            <w:r>
              <w:rPr>
                <w:rFonts w:hint="eastAsia"/>
                <w:color w:val="auto"/>
                <w:szCs w:val="21"/>
                <w:highlight w:val="none"/>
                <w:lang w:val="en-US" w:eastAsia="zh-CN"/>
              </w:rPr>
              <w:t>32</w:t>
            </w:r>
          </w:p>
        </w:tc>
        <w:tc>
          <w:tcPr>
            <w:tcW w:w="1100" w:type="dxa"/>
            <w:vAlign w:val="center"/>
          </w:tcPr>
          <w:p>
            <w:pPr>
              <w:jc w:val="center"/>
              <w:rPr>
                <w:color w:val="auto"/>
                <w:szCs w:val="21"/>
                <w:highlight w:val="none"/>
              </w:rPr>
            </w:pPr>
            <w:r>
              <w:rPr>
                <w:rFonts w:hint="eastAsia"/>
                <w:color w:val="auto"/>
                <w:szCs w:val="21"/>
                <w:highlight w:val="none"/>
                <w:lang w:val="en-US" w:eastAsia="zh-CN"/>
              </w:rPr>
              <w:t>0.48</w:t>
            </w:r>
          </w:p>
        </w:tc>
        <w:tc>
          <w:tcPr>
            <w:tcW w:w="694" w:type="pct"/>
            <w:vAlign w:val="center"/>
          </w:tcPr>
          <w:p>
            <w:pPr>
              <w:jc w:val="center"/>
              <w:rPr>
                <w:color w:val="auto"/>
                <w:szCs w:val="21"/>
                <w:highlight w:val="none"/>
              </w:rPr>
            </w:pPr>
            <w:r>
              <w:rPr>
                <w:rFonts w:hint="eastAsia"/>
                <w:color w:val="auto"/>
                <w:szCs w:val="21"/>
                <w:highlight w:val="none"/>
                <w:lang w:val="en-US" w:eastAsia="zh-CN"/>
              </w:rPr>
              <w:t>1</w:t>
            </w:r>
            <w:r>
              <w:rPr>
                <w:rFonts w:hint="eastAsia"/>
                <w:color w:val="auto"/>
                <w:szCs w:val="21"/>
                <w:highlight w:val="none"/>
              </w:rPr>
              <w:t>0</w:t>
            </w:r>
            <w:r>
              <w:rPr>
                <w:color w:val="auto"/>
                <w:highlight w:val="none"/>
              </w:rPr>
              <w:t>mg/m</w:t>
            </w:r>
            <w:r>
              <w:rPr>
                <w:color w:val="auto"/>
                <w:highlight w:val="none"/>
                <w:vertAlign w:val="superscript"/>
              </w:rPr>
              <w:t>3</w:t>
            </w:r>
          </w:p>
        </w:tc>
        <w:tc>
          <w:tcPr>
            <w:tcW w:w="1084" w:type="pct"/>
            <w:vMerge w:val="continue"/>
            <w:vAlign w:val="center"/>
          </w:tcPr>
          <w:p>
            <w:pPr>
              <w:jc w:val="center"/>
              <w:rPr>
                <w:color w:val="auto"/>
                <w:szCs w:val="21"/>
                <w:highlight w:val="none"/>
              </w:rPr>
            </w:pPr>
          </w:p>
        </w:tc>
      </w:tr>
    </w:tbl>
    <w:p>
      <w:pPr>
        <w:pStyle w:val="99"/>
        <w:ind w:firstLine="480"/>
        <w:rPr>
          <w:color w:val="auto"/>
          <w:szCs w:val="24"/>
          <w:highlight w:val="none"/>
        </w:rPr>
      </w:pPr>
      <w:r>
        <w:rPr>
          <w:color w:val="auto"/>
          <w:highlight w:val="none"/>
        </w:rPr>
        <w:t>可见，在上述非正常工况下，废气</w:t>
      </w:r>
      <w:r>
        <w:rPr>
          <w:rFonts w:hint="eastAsia"/>
          <w:color w:val="auto"/>
          <w:highlight w:val="none"/>
          <w:lang w:val="en-US" w:eastAsia="zh-CN"/>
        </w:rPr>
        <w:t>中颗粒物超标排放，为避免废气超标排放，</w:t>
      </w:r>
      <w:r>
        <w:rPr>
          <w:color w:val="auto"/>
          <w:szCs w:val="24"/>
          <w:highlight w:val="none"/>
        </w:rPr>
        <w:t>企业生产或废气治理设备发生故障时须立即停车，对发生故障的废气处理系统进行维修、维护，以确保污染物达标排放。</w:t>
      </w:r>
    </w:p>
    <w:p>
      <w:pPr>
        <w:pStyle w:val="99"/>
        <w:ind w:firstLine="480"/>
        <w:rPr>
          <w:color w:val="auto"/>
          <w:szCs w:val="24"/>
          <w:highlight w:val="none"/>
        </w:rPr>
      </w:pPr>
      <w:r>
        <w:rPr>
          <w:color w:val="auto"/>
          <w:szCs w:val="24"/>
          <w:highlight w:val="none"/>
        </w:rPr>
        <w:t>为尽量避免非正常排放发生，企业还应采取如下防范措施：</w:t>
      </w:r>
    </w:p>
    <w:p>
      <w:pPr>
        <w:pStyle w:val="99"/>
        <w:ind w:firstLine="480"/>
        <w:rPr>
          <w:color w:val="auto"/>
          <w:szCs w:val="24"/>
          <w:highlight w:val="none"/>
        </w:rPr>
      </w:pPr>
      <w:r>
        <w:rPr>
          <w:color w:val="auto"/>
          <w:szCs w:val="24"/>
          <w:highlight w:val="none"/>
        </w:rPr>
        <w:t>(1)</w:t>
      </w:r>
      <w:r>
        <w:rPr>
          <w:rFonts w:hint="eastAsia"/>
          <w:color w:val="auto"/>
          <w:szCs w:val="24"/>
          <w:highlight w:val="none"/>
        </w:rPr>
        <w:t xml:space="preserve"> </w:t>
      </w:r>
      <w:r>
        <w:rPr>
          <w:color w:val="auto"/>
          <w:szCs w:val="24"/>
          <w:highlight w:val="none"/>
        </w:rPr>
        <w:t>对非正常状态下排放的危害加强认识，建立完善的环保设施检修体制。</w:t>
      </w:r>
    </w:p>
    <w:p>
      <w:pPr>
        <w:pStyle w:val="99"/>
        <w:ind w:firstLine="480"/>
        <w:rPr>
          <w:color w:val="auto"/>
          <w:szCs w:val="24"/>
          <w:highlight w:val="none"/>
        </w:rPr>
      </w:pPr>
      <w:r>
        <w:rPr>
          <w:color w:val="auto"/>
          <w:szCs w:val="24"/>
          <w:highlight w:val="none"/>
        </w:rPr>
        <w:t>(2)</w:t>
      </w:r>
      <w:r>
        <w:rPr>
          <w:rFonts w:hint="eastAsia"/>
          <w:color w:val="auto"/>
          <w:szCs w:val="24"/>
          <w:highlight w:val="none"/>
        </w:rPr>
        <w:t xml:space="preserve"> </w:t>
      </w:r>
      <w:r>
        <w:rPr>
          <w:color w:val="auto"/>
          <w:szCs w:val="24"/>
          <w:highlight w:val="none"/>
        </w:rPr>
        <w:t>建设单位应做好生产设备和环保设施的管理、维修工作，选用质量好的设备；派专人对易发生非正常排放的设备进行管理，出现异常，及时维修处理。</w:t>
      </w:r>
    </w:p>
    <w:p>
      <w:pPr>
        <w:pStyle w:val="99"/>
        <w:ind w:firstLine="480"/>
        <w:rPr>
          <w:color w:val="auto"/>
          <w:szCs w:val="24"/>
          <w:highlight w:val="none"/>
        </w:rPr>
      </w:pPr>
      <w:r>
        <w:rPr>
          <w:color w:val="auto"/>
          <w:szCs w:val="24"/>
          <w:highlight w:val="none"/>
        </w:rPr>
        <w:t>(3)</w:t>
      </w:r>
      <w:r>
        <w:rPr>
          <w:rFonts w:hint="eastAsia"/>
          <w:color w:val="auto"/>
          <w:szCs w:val="24"/>
          <w:highlight w:val="none"/>
        </w:rPr>
        <w:t xml:space="preserve"> </w:t>
      </w:r>
      <w:r>
        <w:rPr>
          <w:color w:val="auto"/>
          <w:szCs w:val="24"/>
          <w:highlight w:val="none"/>
        </w:rPr>
        <w:t>如出现事故情况，必要时应立即停产检修，通过采取严格的管理措施，有工艺设备达不到设计要求而出现排污风险相对较小。采取上述措施后，完全可以做到有效避免非正常排放的发生。</w:t>
      </w:r>
    </w:p>
    <w:p>
      <w:pPr>
        <w:pStyle w:val="100"/>
        <w:spacing w:before="156"/>
        <w:rPr>
          <w:rFonts w:ascii="Times New Roman" w:hAnsi="Times New Roman"/>
          <w:color w:val="auto"/>
          <w:highlight w:val="none"/>
        </w:rPr>
      </w:pPr>
      <w:bookmarkStart w:id="116" w:name="_Toc13964"/>
      <w:bookmarkStart w:id="117" w:name="_Toc66281276"/>
      <w:r>
        <w:rPr>
          <w:rFonts w:ascii="Times New Roman" w:hAnsi="Times New Roman"/>
          <w:color w:val="auto"/>
          <w:highlight w:val="none"/>
        </w:rPr>
        <w:t>2.4</w:t>
      </w:r>
      <w:r>
        <w:rPr>
          <w:rFonts w:hint="eastAsia" w:ascii="Times New Roman" w:hAnsi="Times New Roman"/>
          <w:color w:val="auto"/>
          <w:highlight w:val="none"/>
        </w:rPr>
        <w:t>项目污染物产生量及处理设施、排放量汇总</w:t>
      </w:r>
      <w:bookmarkEnd w:id="116"/>
      <w:bookmarkEnd w:id="117"/>
    </w:p>
    <w:p>
      <w:pPr>
        <w:pStyle w:val="99"/>
        <w:ind w:firstLine="480"/>
        <w:rPr>
          <w:color w:val="auto"/>
          <w:highlight w:val="none"/>
        </w:rPr>
      </w:pPr>
      <w:r>
        <w:rPr>
          <w:color w:val="auto"/>
          <w:highlight w:val="none"/>
        </w:rPr>
        <w:t>拟建项目污染物</w:t>
      </w:r>
      <w:r>
        <w:rPr>
          <w:rFonts w:hint="eastAsia"/>
          <w:color w:val="auto"/>
          <w:highlight w:val="none"/>
        </w:rPr>
        <w:t>产生</w:t>
      </w:r>
      <w:r>
        <w:rPr>
          <w:color w:val="auto"/>
          <w:highlight w:val="none"/>
        </w:rPr>
        <w:t>排放汇总见表2.4-1。</w:t>
      </w:r>
    </w:p>
    <w:p>
      <w:pPr>
        <w:widowControl/>
        <w:spacing w:line="360" w:lineRule="auto"/>
        <w:jc w:val="center"/>
        <w:rPr>
          <w:rFonts w:eastAsia="黑体"/>
          <w:color w:val="auto"/>
          <w:sz w:val="24"/>
          <w:highlight w:val="none"/>
        </w:rPr>
      </w:pPr>
      <w:r>
        <w:rPr>
          <w:rFonts w:eastAsia="黑体"/>
          <w:color w:val="auto"/>
          <w:sz w:val="24"/>
          <w:highlight w:val="none"/>
        </w:rPr>
        <w:t>表2.4-1  项目污染物产生、排放及处理处置措施一览表</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autofit"/>
        <w:tblCellMar>
          <w:top w:w="0" w:type="dxa"/>
          <w:left w:w="108" w:type="dxa"/>
          <w:bottom w:w="0" w:type="dxa"/>
          <w:right w:w="108" w:type="dxa"/>
        </w:tblCellMar>
      </w:tblPr>
      <w:tblGrid>
        <w:gridCol w:w="426"/>
        <w:gridCol w:w="426"/>
        <w:gridCol w:w="835"/>
        <w:gridCol w:w="1262"/>
        <w:gridCol w:w="896"/>
        <w:gridCol w:w="833"/>
        <w:gridCol w:w="2588"/>
        <w:gridCol w:w="881"/>
        <w:gridCol w:w="738"/>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84" w:hRule="atLeast"/>
          <w:tblHeader/>
          <w:jc w:val="center"/>
        </w:trPr>
        <w:tc>
          <w:tcPr>
            <w:tcW w:w="2123" w:type="pct"/>
            <w:gridSpan w:val="5"/>
            <w:tcBorders>
              <w:tl2br w:val="nil"/>
              <w:tr2bl w:val="nil"/>
            </w:tcBorders>
            <w:tcMar>
              <w:top w:w="0" w:type="dxa"/>
              <w:left w:w="51" w:type="dxa"/>
              <w:bottom w:w="0" w:type="dxa"/>
              <w:right w:w="51" w:type="dxa"/>
            </w:tcMar>
            <w:vAlign w:val="center"/>
          </w:tcPr>
          <w:p>
            <w:pPr>
              <w:spacing w:line="240" w:lineRule="exact"/>
              <w:jc w:val="center"/>
              <w:rPr>
                <w:b/>
                <w:color w:val="auto"/>
                <w:sz w:val="21"/>
                <w:szCs w:val="21"/>
                <w:highlight w:val="none"/>
              </w:rPr>
            </w:pPr>
            <w:r>
              <w:rPr>
                <w:b/>
                <w:color w:val="auto"/>
                <w:sz w:val="21"/>
                <w:szCs w:val="21"/>
                <w:highlight w:val="none"/>
              </w:rPr>
              <w:t>项目</w:t>
            </w:r>
          </w:p>
        </w:tc>
        <w:tc>
          <w:tcPr>
            <w:tcW w:w="479" w:type="pct"/>
            <w:tcBorders>
              <w:tl2br w:val="nil"/>
              <w:tr2bl w:val="nil"/>
            </w:tcBorders>
            <w:tcMar>
              <w:top w:w="0" w:type="dxa"/>
              <w:left w:w="51" w:type="dxa"/>
              <w:bottom w:w="0" w:type="dxa"/>
              <w:right w:w="51" w:type="dxa"/>
            </w:tcMar>
            <w:vAlign w:val="center"/>
          </w:tcPr>
          <w:p>
            <w:pPr>
              <w:spacing w:line="240" w:lineRule="exact"/>
              <w:jc w:val="center"/>
              <w:rPr>
                <w:b/>
                <w:color w:val="auto"/>
                <w:sz w:val="21"/>
                <w:szCs w:val="21"/>
                <w:highlight w:val="none"/>
              </w:rPr>
            </w:pPr>
            <w:r>
              <w:rPr>
                <w:b/>
                <w:color w:val="auto"/>
                <w:sz w:val="21"/>
                <w:szCs w:val="21"/>
                <w:highlight w:val="none"/>
              </w:rPr>
              <w:t>产生量(</w:t>
            </w:r>
            <w:r>
              <w:rPr>
                <w:color w:val="auto"/>
                <w:sz w:val="21"/>
                <w:szCs w:val="21"/>
                <w:highlight w:val="none"/>
              </w:rPr>
              <w:t>t/a</w:t>
            </w:r>
            <w:r>
              <w:rPr>
                <w:b/>
                <w:color w:val="auto"/>
                <w:sz w:val="21"/>
                <w:szCs w:val="21"/>
                <w:highlight w:val="none"/>
              </w:rPr>
              <w:t>)</w:t>
            </w:r>
          </w:p>
        </w:tc>
        <w:tc>
          <w:tcPr>
            <w:tcW w:w="1466" w:type="pct"/>
            <w:tcBorders>
              <w:tl2br w:val="nil"/>
              <w:tr2bl w:val="nil"/>
            </w:tcBorders>
            <w:tcMar>
              <w:top w:w="0" w:type="dxa"/>
              <w:left w:w="51" w:type="dxa"/>
              <w:bottom w:w="0" w:type="dxa"/>
              <w:right w:w="51" w:type="dxa"/>
            </w:tcMar>
            <w:vAlign w:val="center"/>
          </w:tcPr>
          <w:p>
            <w:pPr>
              <w:spacing w:line="240" w:lineRule="exact"/>
              <w:jc w:val="center"/>
              <w:rPr>
                <w:b/>
                <w:color w:val="auto"/>
                <w:sz w:val="21"/>
                <w:szCs w:val="21"/>
                <w:highlight w:val="none"/>
              </w:rPr>
            </w:pPr>
            <w:r>
              <w:rPr>
                <w:b/>
                <w:color w:val="auto"/>
                <w:sz w:val="21"/>
                <w:szCs w:val="21"/>
                <w:highlight w:val="none"/>
              </w:rPr>
              <w:t>处理处置措施</w:t>
            </w:r>
          </w:p>
        </w:tc>
        <w:tc>
          <w:tcPr>
            <w:tcW w:w="506" w:type="pct"/>
            <w:tcBorders>
              <w:tl2br w:val="nil"/>
              <w:tr2bl w:val="nil"/>
            </w:tcBorders>
            <w:vAlign w:val="center"/>
          </w:tcPr>
          <w:p>
            <w:pPr>
              <w:spacing w:line="240" w:lineRule="exact"/>
              <w:jc w:val="center"/>
              <w:rPr>
                <w:b/>
                <w:color w:val="auto"/>
                <w:sz w:val="21"/>
                <w:szCs w:val="21"/>
                <w:highlight w:val="none"/>
              </w:rPr>
            </w:pPr>
            <w:r>
              <w:rPr>
                <w:b/>
                <w:color w:val="auto"/>
                <w:sz w:val="21"/>
                <w:szCs w:val="21"/>
                <w:highlight w:val="none"/>
              </w:rPr>
              <w:t>削减量t/a</w:t>
            </w:r>
          </w:p>
        </w:tc>
        <w:tc>
          <w:tcPr>
            <w:tcW w:w="423" w:type="pct"/>
            <w:tcBorders>
              <w:tl2br w:val="nil"/>
              <w:tr2bl w:val="nil"/>
            </w:tcBorders>
            <w:tcMar>
              <w:top w:w="0" w:type="dxa"/>
              <w:left w:w="51" w:type="dxa"/>
              <w:bottom w:w="0" w:type="dxa"/>
              <w:right w:w="51" w:type="dxa"/>
            </w:tcMar>
            <w:vAlign w:val="center"/>
          </w:tcPr>
          <w:p>
            <w:pPr>
              <w:spacing w:line="240" w:lineRule="exact"/>
              <w:jc w:val="center"/>
              <w:rPr>
                <w:b/>
                <w:color w:val="auto"/>
                <w:sz w:val="21"/>
                <w:szCs w:val="21"/>
                <w:highlight w:val="none"/>
              </w:rPr>
            </w:pPr>
            <w:r>
              <w:rPr>
                <w:b/>
                <w:color w:val="auto"/>
                <w:sz w:val="21"/>
                <w:szCs w:val="21"/>
                <w:highlight w:val="none"/>
              </w:rPr>
              <w:t>排放量(</w:t>
            </w:r>
            <w:r>
              <w:rPr>
                <w:color w:val="auto"/>
                <w:sz w:val="21"/>
                <w:szCs w:val="21"/>
                <w:highlight w:val="none"/>
              </w:rPr>
              <w:t>t/a</w:t>
            </w:r>
            <w:r>
              <w:rPr>
                <w:b/>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84" w:hRule="atLeast"/>
          <w:tblHeader/>
          <w:jc w:val="center"/>
        </w:trPr>
        <w:tc>
          <w:tcPr>
            <w:tcW w:w="212" w:type="pct"/>
            <w:vMerge w:val="restart"/>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r>
              <w:rPr>
                <w:color w:val="auto"/>
                <w:sz w:val="21"/>
                <w:szCs w:val="21"/>
                <w:highlight w:val="none"/>
              </w:rPr>
              <w:t>废水</w:t>
            </w:r>
          </w:p>
        </w:tc>
        <w:tc>
          <w:tcPr>
            <w:tcW w:w="676" w:type="pct"/>
            <w:gridSpan w:val="2"/>
            <w:vMerge w:val="restart"/>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r>
              <w:rPr>
                <w:color w:val="auto"/>
                <w:sz w:val="21"/>
                <w:szCs w:val="21"/>
                <w:highlight w:val="none"/>
              </w:rPr>
              <w:t>生活</w:t>
            </w:r>
          </w:p>
        </w:tc>
        <w:tc>
          <w:tcPr>
            <w:tcW w:w="1234" w:type="pct"/>
            <w:gridSpan w:val="2"/>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r>
              <w:rPr>
                <w:color w:val="auto"/>
                <w:sz w:val="21"/>
                <w:szCs w:val="21"/>
                <w:highlight w:val="none"/>
              </w:rPr>
              <w:t>废水量</w:t>
            </w:r>
          </w:p>
        </w:tc>
        <w:tc>
          <w:tcPr>
            <w:tcW w:w="479" w:type="pct"/>
            <w:tcBorders>
              <w:tl2br w:val="nil"/>
              <w:tr2bl w:val="nil"/>
            </w:tcBorders>
            <w:tcMar>
              <w:top w:w="0" w:type="dxa"/>
              <w:left w:w="51" w:type="dxa"/>
              <w:bottom w:w="0" w:type="dxa"/>
              <w:right w:w="51" w:type="dxa"/>
            </w:tcMar>
            <w:vAlign w:val="center"/>
          </w:tcPr>
          <w:p>
            <w:pPr>
              <w:widowControl/>
              <w:spacing w:line="240" w:lineRule="exact"/>
              <w:jc w:val="center"/>
              <w:rPr>
                <w:color w:val="auto"/>
                <w:sz w:val="21"/>
                <w:szCs w:val="21"/>
                <w:highlight w:val="none"/>
              </w:rPr>
            </w:pPr>
            <w:r>
              <w:rPr>
                <w:rFonts w:hint="eastAsia"/>
                <w:color w:val="auto"/>
                <w:sz w:val="21"/>
                <w:szCs w:val="21"/>
                <w:highlight w:val="none"/>
              </w:rPr>
              <w:t>288</w:t>
            </w:r>
          </w:p>
        </w:tc>
        <w:tc>
          <w:tcPr>
            <w:tcW w:w="1466" w:type="pct"/>
            <w:vMerge w:val="restart"/>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r>
              <w:rPr>
                <w:bCs/>
                <w:color w:val="auto"/>
                <w:sz w:val="21"/>
                <w:szCs w:val="21"/>
                <w:highlight w:val="none"/>
              </w:rPr>
              <w:t>经化粪池收集后由环卫部门定期清运，不外排</w:t>
            </w:r>
          </w:p>
        </w:tc>
        <w:tc>
          <w:tcPr>
            <w:tcW w:w="506" w:type="pct"/>
            <w:tcBorders>
              <w:tl2br w:val="nil"/>
              <w:tr2bl w:val="nil"/>
            </w:tcBorders>
            <w:vAlign w:val="center"/>
          </w:tcPr>
          <w:p>
            <w:pPr>
              <w:widowControl/>
              <w:spacing w:line="240" w:lineRule="exact"/>
              <w:jc w:val="center"/>
              <w:rPr>
                <w:color w:val="auto"/>
                <w:sz w:val="21"/>
                <w:szCs w:val="21"/>
                <w:highlight w:val="none"/>
              </w:rPr>
            </w:pPr>
            <w:r>
              <w:rPr>
                <w:rFonts w:hint="eastAsia"/>
                <w:color w:val="auto"/>
                <w:sz w:val="21"/>
                <w:szCs w:val="21"/>
                <w:highlight w:val="none"/>
              </w:rPr>
              <w:t>288</w:t>
            </w:r>
          </w:p>
        </w:tc>
        <w:tc>
          <w:tcPr>
            <w:tcW w:w="423" w:type="pct"/>
            <w:tcBorders>
              <w:tl2br w:val="nil"/>
              <w:tr2bl w:val="nil"/>
            </w:tcBorders>
            <w:tcMar>
              <w:top w:w="0" w:type="dxa"/>
              <w:left w:w="51" w:type="dxa"/>
              <w:bottom w:w="0" w:type="dxa"/>
              <w:right w:w="51" w:type="dxa"/>
            </w:tcMar>
            <w:vAlign w:val="center"/>
          </w:tcPr>
          <w:p>
            <w:pPr>
              <w:widowControl/>
              <w:spacing w:line="240" w:lineRule="exact"/>
              <w:jc w:val="center"/>
              <w:rPr>
                <w:color w:val="auto"/>
                <w:sz w:val="21"/>
                <w:szCs w:val="21"/>
                <w:highlight w:val="none"/>
              </w:rPr>
            </w:pPr>
            <w:r>
              <w:rPr>
                <w:color w:val="auto"/>
                <w:sz w:val="21"/>
                <w:szCs w:val="21"/>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90" w:hRule="atLeast"/>
          <w:tblHeader/>
          <w:jc w:val="center"/>
        </w:trPr>
        <w:tc>
          <w:tcPr>
            <w:tcW w:w="212" w:type="pct"/>
            <w:vMerge w:val="continue"/>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p>
        </w:tc>
        <w:tc>
          <w:tcPr>
            <w:tcW w:w="676" w:type="pct"/>
            <w:gridSpan w:val="2"/>
            <w:vMerge w:val="continue"/>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p>
        </w:tc>
        <w:tc>
          <w:tcPr>
            <w:tcW w:w="1234" w:type="pct"/>
            <w:gridSpan w:val="2"/>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r>
              <w:rPr>
                <w:color w:val="auto"/>
                <w:sz w:val="21"/>
                <w:szCs w:val="21"/>
                <w:highlight w:val="none"/>
              </w:rPr>
              <w:t>COD</w:t>
            </w:r>
            <w:r>
              <w:rPr>
                <w:color w:val="auto"/>
                <w:sz w:val="21"/>
                <w:szCs w:val="21"/>
                <w:highlight w:val="none"/>
                <w:vertAlign w:val="subscript"/>
              </w:rPr>
              <w:t>Cr</w:t>
            </w:r>
          </w:p>
        </w:tc>
        <w:tc>
          <w:tcPr>
            <w:tcW w:w="479" w:type="pct"/>
            <w:tcBorders>
              <w:tl2br w:val="nil"/>
              <w:tr2bl w:val="nil"/>
            </w:tcBorders>
            <w:tcMar>
              <w:top w:w="0" w:type="dxa"/>
              <w:left w:w="51" w:type="dxa"/>
              <w:bottom w:w="0" w:type="dxa"/>
              <w:right w:w="51" w:type="dxa"/>
            </w:tcMar>
            <w:vAlign w:val="center"/>
          </w:tcPr>
          <w:p>
            <w:pPr>
              <w:widowControl/>
              <w:spacing w:line="240" w:lineRule="exact"/>
              <w:jc w:val="center"/>
              <w:rPr>
                <w:color w:val="auto"/>
                <w:sz w:val="21"/>
                <w:szCs w:val="21"/>
                <w:highlight w:val="none"/>
              </w:rPr>
            </w:pPr>
            <w:r>
              <w:rPr>
                <w:color w:val="auto"/>
                <w:sz w:val="21"/>
                <w:szCs w:val="21"/>
                <w:highlight w:val="none"/>
              </w:rPr>
              <w:t>0.</w:t>
            </w:r>
            <w:r>
              <w:rPr>
                <w:rFonts w:hint="eastAsia"/>
                <w:color w:val="auto"/>
                <w:sz w:val="21"/>
                <w:szCs w:val="21"/>
                <w:highlight w:val="none"/>
              </w:rPr>
              <w:t>1</w:t>
            </w:r>
          </w:p>
        </w:tc>
        <w:tc>
          <w:tcPr>
            <w:tcW w:w="1466" w:type="pct"/>
            <w:vMerge w:val="continue"/>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p>
        </w:tc>
        <w:tc>
          <w:tcPr>
            <w:tcW w:w="506" w:type="pct"/>
            <w:tcBorders>
              <w:tl2br w:val="nil"/>
              <w:tr2bl w:val="nil"/>
            </w:tcBorders>
            <w:vAlign w:val="center"/>
          </w:tcPr>
          <w:p>
            <w:pPr>
              <w:widowControl/>
              <w:spacing w:line="240" w:lineRule="exact"/>
              <w:jc w:val="center"/>
              <w:rPr>
                <w:color w:val="auto"/>
                <w:sz w:val="21"/>
                <w:szCs w:val="21"/>
                <w:highlight w:val="none"/>
              </w:rPr>
            </w:pPr>
            <w:r>
              <w:rPr>
                <w:color w:val="auto"/>
                <w:sz w:val="21"/>
                <w:szCs w:val="21"/>
                <w:highlight w:val="none"/>
              </w:rPr>
              <w:t>0.</w:t>
            </w:r>
            <w:r>
              <w:rPr>
                <w:rFonts w:hint="eastAsia"/>
                <w:color w:val="auto"/>
                <w:sz w:val="21"/>
                <w:szCs w:val="21"/>
                <w:highlight w:val="none"/>
              </w:rPr>
              <w:t>1</w:t>
            </w:r>
          </w:p>
        </w:tc>
        <w:tc>
          <w:tcPr>
            <w:tcW w:w="423" w:type="pct"/>
            <w:tcBorders>
              <w:tl2br w:val="nil"/>
              <w:tr2bl w:val="nil"/>
            </w:tcBorders>
            <w:tcMar>
              <w:top w:w="0" w:type="dxa"/>
              <w:left w:w="51" w:type="dxa"/>
              <w:bottom w:w="0" w:type="dxa"/>
              <w:right w:w="51" w:type="dxa"/>
            </w:tcMar>
            <w:vAlign w:val="center"/>
          </w:tcPr>
          <w:p>
            <w:pPr>
              <w:widowControl/>
              <w:spacing w:line="240" w:lineRule="exact"/>
              <w:jc w:val="center"/>
              <w:rPr>
                <w:color w:val="auto"/>
                <w:sz w:val="21"/>
                <w:szCs w:val="21"/>
                <w:highlight w:val="none"/>
              </w:rPr>
            </w:pPr>
            <w:r>
              <w:rPr>
                <w:color w:val="auto"/>
                <w:sz w:val="21"/>
                <w:szCs w:val="21"/>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84" w:hRule="atLeast"/>
          <w:tblHeader/>
          <w:jc w:val="center"/>
        </w:trPr>
        <w:tc>
          <w:tcPr>
            <w:tcW w:w="212" w:type="pct"/>
            <w:vMerge w:val="continue"/>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p>
        </w:tc>
        <w:tc>
          <w:tcPr>
            <w:tcW w:w="676" w:type="pct"/>
            <w:gridSpan w:val="2"/>
            <w:vMerge w:val="continue"/>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p>
        </w:tc>
        <w:tc>
          <w:tcPr>
            <w:tcW w:w="1234" w:type="pct"/>
            <w:gridSpan w:val="2"/>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r>
              <w:rPr>
                <w:color w:val="auto"/>
                <w:sz w:val="21"/>
                <w:szCs w:val="21"/>
                <w:highlight w:val="none"/>
              </w:rPr>
              <w:t>氨氮</w:t>
            </w:r>
          </w:p>
        </w:tc>
        <w:tc>
          <w:tcPr>
            <w:tcW w:w="479" w:type="pct"/>
            <w:tcBorders>
              <w:tl2br w:val="nil"/>
              <w:tr2bl w:val="nil"/>
            </w:tcBorders>
            <w:tcMar>
              <w:top w:w="0" w:type="dxa"/>
              <w:left w:w="51" w:type="dxa"/>
              <w:bottom w:w="0" w:type="dxa"/>
              <w:right w:w="51" w:type="dxa"/>
            </w:tcMar>
            <w:vAlign w:val="center"/>
          </w:tcPr>
          <w:p>
            <w:pPr>
              <w:widowControl/>
              <w:spacing w:line="240" w:lineRule="exact"/>
              <w:jc w:val="center"/>
              <w:rPr>
                <w:color w:val="auto"/>
                <w:sz w:val="21"/>
                <w:szCs w:val="21"/>
                <w:highlight w:val="none"/>
              </w:rPr>
            </w:pPr>
            <w:r>
              <w:rPr>
                <w:color w:val="auto"/>
                <w:sz w:val="21"/>
                <w:szCs w:val="21"/>
                <w:highlight w:val="none"/>
              </w:rPr>
              <w:t>0.01</w:t>
            </w:r>
          </w:p>
        </w:tc>
        <w:tc>
          <w:tcPr>
            <w:tcW w:w="1466" w:type="pct"/>
            <w:vMerge w:val="continue"/>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p>
        </w:tc>
        <w:tc>
          <w:tcPr>
            <w:tcW w:w="506" w:type="pct"/>
            <w:tcBorders>
              <w:tl2br w:val="nil"/>
              <w:tr2bl w:val="nil"/>
            </w:tcBorders>
            <w:vAlign w:val="center"/>
          </w:tcPr>
          <w:p>
            <w:pPr>
              <w:widowControl/>
              <w:spacing w:line="240" w:lineRule="exact"/>
              <w:jc w:val="center"/>
              <w:rPr>
                <w:color w:val="auto"/>
                <w:sz w:val="21"/>
                <w:szCs w:val="21"/>
                <w:highlight w:val="none"/>
              </w:rPr>
            </w:pPr>
            <w:r>
              <w:rPr>
                <w:color w:val="auto"/>
                <w:sz w:val="21"/>
                <w:szCs w:val="21"/>
                <w:highlight w:val="none"/>
              </w:rPr>
              <w:t>0.01</w:t>
            </w:r>
          </w:p>
        </w:tc>
        <w:tc>
          <w:tcPr>
            <w:tcW w:w="423" w:type="pct"/>
            <w:tcBorders>
              <w:tl2br w:val="nil"/>
              <w:tr2bl w:val="nil"/>
            </w:tcBorders>
            <w:tcMar>
              <w:top w:w="0" w:type="dxa"/>
              <w:left w:w="51" w:type="dxa"/>
              <w:bottom w:w="0" w:type="dxa"/>
              <w:right w:w="51" w:type="dxa"/>
            </w:tcMar>
            <w:vAlign w:val="center"/>
          </w:tcPr>
          <w:p>
            <w:pPr>
              <w:widowControl/>
              <w:spacing w:line="240" w:lineRule="exact"/>
              <w:jc w:val="center"/>
              <w:rPr>
                <w:color w:val="auto"/>
                <w:sz w:val="21"/>
                <w:szCs w:val="21"/>
                <w:highlight w:val="none"/>
              </w:rPr>
            </w:pPr>
            <w:r>
              <w:rPr>
                <w:color w:val="auto"/>
                <w:sz w:val="21"/>
                <w:szCs w:val="21"/>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78" w:hRule="atLeast"/>
          <w:tblHeader/>
          <w:jc w:val="center"/>
        </w:trPr>
        <w:tc>
          <w:tcPr>
            <w:tcW w:w="212" w:type="pct"/>
            <w:vMerge w:val="restart"/>
            <w:tcBorders>
              <w:tl2br w:val="nil"/>
              <w:tr2bl w:val="nil"/>
            </w:tcBorders>
            <w:vAlign w:val="center"/>
          </w:tcPr>
          <w:p>
            <w:pPr>
              <w:pStyle w:val="46"/>
              <w:overflowPunct w:val="0"/>
              <w:spacing w:line="240" w:lineRule="exact"/>
              <w:rPr>
                <w:rFonts w:ascii="Times New Roman" w:eastAsia="宋体"/>
                <w:bCs/>
                <w:color w:val="auto"/>
                <w:sz w:val="21"/>
                <w:szCs w:val="21"/>
                <w:highlight w:val="none"/>
              </w:rPr>
            </w:pPr>
            <w:r>
              <w:rPr>
                <w:rFonts w:ascii="Times New Roman" w:eastAsia="宋体"/>
                <w:bCs/>
                <w:color w:val="auto"/>
                <w:sz w:val="21"/>
                <w:szCs w:val="21"/>
                <w:highlight w:val="none"/>
              </w:rPr>
              <w:t>废气</w:t>
            </w:r>
          </w:p>
        </w:tc>
        <w:tc>
          <w:tcPr>
            <w:tcW w:w="211" w:type="pct"/>
            <w:vMerge w:val="restart"/>
            <w:tcBorders>
              <w:tl2br w:val="nil"/>
              <w:tr2bl w:val="nil"/>
            </w:tcBorders>
            <w:vAlign w:val="center"/>
          </w:tcPr>
          <w:p>
            <w:pPr>
              <w:pStyle w:val="46"/>
              <w:overflowPunct w:val="0"/>
              <w:spacing w:line="240" w:lineRule="exact"/>
              <w:rPr>
                <w:rFonts w:ascii="Times New Roman" w:eastAsia="宋体"/>
                <w:bCs/>
                <w:color w:val="auto"/>
                <w:sz w:val="21"/>
                <w:szCs w:val="21"/>
                <w:highlight w:val="none"/>
              </w:rPr>
            </w:pPr>
            <w:r>
              <w:rPr>
                <w:rFonts w:ascii="Times New Roman" w:eastAsia="宋体"/>
                <w:bCs/>
                <w:color w:val="auto"/>
                <w:sz w:val="21"/>
                <w:szCs w:val="21"/>
                <w:highlight w:val="none"/>
              </w:rPr>
              <w:t>有组织</w:t>
            </w:r>
          </w:p>
        </w:tc>
        <w:tc>
          <w:tcPr>
            <w:tcW w:w="465" w:type="pct"/>
            <w:vMerge w:val="restart"/>
            <w:tcBorders>
              <w:tl2br w:val="nil"/>
              <w:tr2bl w:val="nil"/>
            </w:tcBorders>
            <w:vAlign w:val="center"/>
          </w:tcPr>
          <w:p>
            <w:pPr>
              <w:pStyle w:val="46"/>
              <w:overflowPunct w:val="0"/>
              <w:spacing w:line="240" w:lineRule="exact"/>
              <w:rPr>
                <w:rFonts w:ascii="Times New Roman" w:eastAsia="宋体"/>
                <w:bCs/>
                <w:color w:val="auto"/>
                <w:sz w:val="21"/>
                <w:szCs w:val="21"/>
                <w:highlight w:val="none"/>
              </w:rPr>
            </w:pPr>
            <w:r>
              <w:rPr>
                <w:rFonts w:ascii="Times New Roman" w:eastAsia="宋体"/>
                <w:bCs/>
                <w:color w:val="auto"/>
                <w:sz w:val="21"/>
                <w:szCs w:val="21"/>
                <w:highlight w:val="none"/>
              </w:rPr>
              <w:t>DA001</w:t>
            </w:r>
          </w:p>
        </w:tc>
        <w:tc>
          <w:tcPr>
            <w:tcW w:w="720" w:type="pct"/>
            <w:vMerge w:val="restart"/>
            <w:tcBorders>
              <w:tl2br w:val="nil"/>
              <w:tr2bl w:val="nil"/>
            </w:tcBorders>
            <w:vAlign w:val="center"/>
          </w:tcPr>
          <w:p>
            <w:pPr>
              <w:pStyle w:val="46"/>
              <w:overflowPunct w:val="0"/>
              <w:spacing w:line="240" w:lineRule="exact"/>
              <w:rPr>
                <w:rFonts w:ascii="Times New Roman" w:eastAsia="宋体"/>
                <w:bCs/>
                <w:color w:val="auto"/>
                <w:sz w:val="21"/>
                <w:szCs w:val="21"/>
                <w:highlight w:val="none"/>
              </w:rPr>
            </w:pPr>
            <w:r>
              <w:rPr>
                <w:rFonts w:ascii="Times New Roman" w:eastAsia="宋体"/>
                <w:bCs/>
                <w:color w:val="auto"/>
                <w:sz w:val="21"/>
                <w:szCs w:val="21"/>
                <w:highlight w:val="none"/>
              </w:rPr>
              <w:t>挤出成型、熔融造粒、注塑</w:t>
            </w:r>
            <w:r>
              <w:rPr>
                <w:rFonts w:hint="eastAsia" w:ascii="Times New Roman" w:eastAsia="宋体"/>
                <w:bCs/>
                <w:color w:val="auto"/>
                <w:sz w:val="21"/>
                <w:szCs w:val="21"/>
                <w:highlight w:val="none"/>
              </w:rPr>
              <w:t>、破碎</w:t>
            </w:r>
            <w:r>
              <w:rPr>
                <w:rFonts w:ascii="Times New Roman" w:eastAsia="宋体"/>
                <w:bCs/>
                <w:color w:val="auto"/>
                <w:sz w:val="21"/>
                <w:szCs w:val="21"/>
                <w:highlight w:val="none"/>
              </w:rPr>
              <w:t>废气</w:t>
            </w:r>
          </w:p>
        </w:tc>
        <w:tc>
          <w:tcPr>
            <w:tcW w:w="514" w:type="pct"/>
            <w:tcBorders>
              <w:tl2br w:val="nil"/>
              <w:tr2bl w:val="nil"/>
            </w:tcBorders>
            <w:vAlign w:val="center"/>
          </w:tcPr>
          <w:p>
            <w:pPr>
              <w:spacing w:line="240" w:lineRule="exact"/>
              <w:jc w:val="center"/>
              <w:rPr>
                <w:bCs/>
                <w:color w:val="auto"/>
                <w:sz w:val="21"/>
                <w:szCs w:val="21"/>
                <w:highlight w:val="none"/>
              </w:rPr>
            </w:pPr>
            <w:r>
              <w:rPr>
                <w:color w:val="auto"/>
                <w:sz w:val="21"/>
                <w:szCs w:val="21"/>
                <w:highlight w:val="none"/>
              </w:rPr>
              <w:t>VOCs</w:t>
            </w:r>
          </w:p>
        </w:tc>
        <w:tc>
          <w:tcPr>
            <w:tcW w:w="479" w:type="pct"/>
            <w:tcBorders>
              <w:tl2br w:val="nil"/>
              <w:tr2bl w:val="nil"/>
            </w:tcBorders>
            <w:tcMar>
              <w:top w:w="0" w:type="dxa"/>
              <w:left w:w="51" w:type="dxa"/>
              <w:bottom w:w="0" w:type="dxa"/>
              <w:right w:w="51" w:type="dxa"/>
            </w:tcMar>
            <w:vAlign w:val="center"/>
          </w:tcPr>
          <w:p>
            <w:pPr>
              <w:spacing w:line="240" w:lineRule="exact"/>
              <w:jc w:val="center"/>
              <w:rPr>
                <w:bCs/>
                <w:color w:val="auto"/>
                <w:sz w:val="21"/>
                <w:szCs w:val="21"/>
                <w:highlight w:val="none"/>
              </w:rPr>
            </w:pPr>
            <w:r>
              <w:rPr>
                <w:rFonts w:hint="eastAsia"/>
                <w:color w:val="auto"/>
                <w:sz w:val="21"/>
                <w:szCs w:val="21"/>
                <w:highlight w:val="none"/>
                <w:lang w:val="en-US" w:eastAsia="zh-CN"/>
              </w:rPr>
              <w:t>8.846</w:t>
            </w:r>
          </w:p>
        </w:tc>
        <w:tc>
          <w:tcPr>
            <w:tcW w:w="1466" w:type="pct"/>
            <w:vMerge w:val="restart"/>
            <w:tcBorders>
              <w:tl2br w:val="nil"/>
              <w:tr2bl w:val="nil"/>
            </w:tcBorders>
            <w:tcMar>
              <w:top w:w="0" w:type="dxa"/>
              <w:left w:w="51" w:type="dxa"/>
              <w:bottom w:w="0" w:type="dxa"/>
              <w:right w:w="51" w:type="dxa"/>
            </w:tcMar>
            <w:vAlign w:val="center"/>
          </w:tcPr>
          <w:p>
            <w:pPr>
              <w:spacing w:line="240" w:lineRule="exact"/>
              <w:jc w:val="center"/>
              <w:rPr>
                <w:bCs/>
                <w:color w:val="auto"/>
                <w:sz w:val="21"/>
                <w:szCs w:val="21"/>
                <w:highlight w:val="none"/>
              </w:rPr>
            </w:pPr>
            <w:r>
              <w:rPr>
                <w:color w:val="auto"/>
                <w:sz w:val="21"/>
                <w:szCs w:val="21"/>
                <w:highlight w:val="none"/>
              </w:rPr>
              <w:t>布袋除尘+活性炭吸附浓缩+催化燃烧+</w:t>
            </w:r>
            <w:r>
              <w:rPr>
                <w:rFonts w:hint="eastAsia"/>
                <w:color w:val="auto"/>
                <w:sz w:val="21"/>
                <w:szCs w:val="21"/>
                <w:highlight w:val="none"/>
                <w:lang w:eastAsia="zh-CN"/>
              </w:rPr>
              <w:t>20m</w:t>
            </w:r>
            <w:r>
              <w:rPr>
                <w:color w:val="auto"/>
                <w:sz w:val="21"/>
                <w:szCs w:val="21"/>
                <w:highlight w:val="none"/>
              </w:rPr>
              <w:t>高排气筒</w:t>
            </w:r>
            <w:r>
              <w:rPr>
                <w:rFonts w:hint="eastAsia"/>
                <w:color w:val="auto"/>
                <w:sz w:val="21"/>
                <w:szCs w:val="21"/>
                <w:highlight w:val="none"/>
              </w:rPr>
              <w:t>（DA001）</w:t>
            </w:r>
          </w:p>
        </w:tc>
        <w:tc>
          <w:tcPr>
            <w:tcW w:w="506" w:type="pct"/>
            <w:tcBorders>
              <w:tl2br w:val="nil"/>
              <w:tr2bl w:val="nil"/>
            </w:tcBorders>
            <w:vAlign w:val="center"/>
          </w:tcPr>
          <w:p>
            <w:pPr>
              <w:widowControl/>
              <w:spacing w:line="240" w:lineRule="exact"/>
              <w:jc w:val="center"/>
              <w:textAlignment w:val="bottom"/>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8.448</w:t>
            </w:r>
          </w:p>
        </w:tc>
        <w:tc>
          <w:tcPr>
            <w:tcW w:w="738" w:type="dxa"/>
            <w:tcBorders>
              <w:tl2br w:val="nil"/>
              <w:tr2bl w:val="nil"/>
            </w:tcBorders>
            <w:tcMar>
              <w:top w:w="0" w:type="dxa"/>
              <w:left w:w="51" w:type="dxa"/>
              <w:bottom w:w="0" w:type="dxa"/>
              <w:right w:w="51" w:type="dxa"/>
            </w:tcMar>
            <w:vAlign w:val="center"/>
          </w:tcPr>
          <w:p>
            <w:pPr>
              <w:jc w:val="center"/>
              <w:rPr>
                <w:bCs/>
                <w:color w:val="auto"/>
                <w:sz w:val="21"/>
                <w:szCs w:val="21"/>
                <w:highlight w:val="none"/>
              </w:rPr>
            </w:pPr>
            <w:r>
              <w:rPr>
                <w:rFonts w:hint="eastAsia"/>
                <w:color w:val="auto"/>
                <w:sz w:val="21"/>
                <w:szCs w:val="21"/>
                <w:highlight w:val="none"/>
                <w:lang w:val="en-US" w:eastAsia="zh-CN"/>
              </w:rPr>
              <w:t>0.398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630" w:hRule="atLeast"/>
          <w:tblHeader/>
          <w:jc w:val="center"/>
        </w:trPr>
        <w:tc>
          <w:tcPr>
            <w:tcW w:w="212" w:type="pct"/>
            <w:vMerge w:val="continue"/>
            <w:tcBorders>
              <w:tl2br w:val="nil"/>
              <w:tr2bl w:val="nil"/>
            </w:tcBorders>
            <w:vAlign w:val="center"/>
          </w:tcPr>
          <w:p>
            <w:pPr>
              <w:pStyle w:val="46"/>
              <w:overflowPunct w:val="0"/>
              <w:spacing w:line="240" w:lineRule="exact"/>
              <w:rPr>
                <w:rFonts w:ascii="Times New Roman" w:eastAsia="宋体"/>
                <w:bCs/>
                <w:color w:val="auto"/>
                <w:sz w:val="21"/>
                <w:szCs w:val="21"/>
                <w:highlight w:val="none"/>
              </w:rPr>
            </w:pPr>
          </w:p>
        </w:tc>
        <w:tc>
          <w:tcPr>
            <w:tcW w:w="211" w:type="pct"/>
            <w:vMerge w:val="continue"/>
            <w:tcBorders>
              <w:tl2br w:val="nil"/>
              <w:tr2bl w:val="nil"/>
            </w:tcBorders>
            <w:vAlign w:val="center"/>
          </w:tcPr>
          <w:p>
            <w:pPr>
              <w:pStyle w:val="46"/>
              <w:overflowPunct w:val="0"/>
              <w:spacing w:line="240" w:lineRule="exact"/>
              <w:rPr>
                <w:rFonts w:ascii="Times New Roman" w:eastAsia="宋体"/>
                <w:bCs/>
                <w:color w:val="auto"/>
                <w:sz w:val="21"/>
                <w:szCs w:val="21"/>
                <w:highlight w:val="none"/>
              </w:rPr>
            </w:pPr>
          </w:p>
        </w:tc>
        <w:tc>
          <w:tcPr>
            <w:tcW w:w="465" w:type="pct"/>
            <w:vMerge w:val="continue"/>
            <w:tcBorders>
              <w:tl2br w:val="nil"/>
              <w:tr2bl w:val="nil"/>
            </w:tcBorders>
            <w:vAlign w:val="center"/>
          </w:tcPr>
          <w:p>
            <w:pPr>
              <w:pStyle w:val="46"/>
              <w:overflowPunct w:val="0"/>
              <w:spacing w:line="240" w:lineRule="exact"/>
              <w:rPr>
                <w:rFonts w:ascii="Times New Roman" w:eastAsia="宋体"/>
                <w:bCs/>
                <w:color w:val="auto"/>
                <w:sz w:val="21"/>
                <w:szCs w:val="21"/>
                <w:highlight w:val="none"/>
              </w:rPr>
            </w:pPr>
          </w:p>
        </w:tc>
        <w:tc>
          <w:tcPr>
            <w:tcW w:w="720" w:type="pct"/>
            <w:vMerge w:val="continue"/>
            <w:tcBorders>
              <w:tl2br w:val="nil"/>
              <w:tr2bl w:val="nil"/>
            </w:tcBorders>
            <w:vAlign w:val="center"/>
          </w:tcPr>
          <w:p>
            <w:pPr>
              <w:pStyle w:val="46"/>
              <w:overflowPunct w:val="0"/>
              <w:spacing w:line="240" w:lineRule="exact"/>
              <w:rPr>
                <w:rFonts w:ascii="Times New Roman" w:eastAsia="宋体"/>
                <w:bCs/>
                <w:color w:val="auto"/>
                <w:sz w:val="21"/>
                <w:szCs w:val="21"/>
                <w:highlight w:val="none"/>
              </w:rPr>
            </w:pPr>
          </w:p>
        </w:tc>
        <w:tc>
          <w:tcPr>
            <w:tcW w:w="514" w:type="pct"/>
            <w:tcBorders>
              <w:tl2br w:val="nil"/>
              <w:tr2bl w:val="nil"/>
            </w:tcBorders>
            <w:vAlign w:val="center"/>
          </w:tcPr>
          <w:p>
            <w:pPr>
              <w:spacing w:line="240" w:lineRule="exact"/>
              <w:jc w:val="center"/>
              <w:rPr>
                <w:bCs/>
                <w:color w:val="auto"/>
                <w:sz w:val="21"/>
                <w:szCs w:val="21"/>
                <w:highlight w:val="none"/>
              </w:rPr>
            </w:pPr>
            <w:r>
              <w:rPr>
                <w:color w:val="auto"/>
                <w:sz w:val="21"/>
                <w:szCs w:val="21"/>
                <w:highlight w:val="none"/>
              </w:rPr>
              <w:t>颗粒物</w:t>
            </w:r>
          </w:p>
        </w:tc>
        <w:tc>
          <w:tcPr>
            <w:tcW w:w="479" w:type="pct"/>
            <w:tcBorders>
              <w:tl2br w:val="nil"/>
              <w:tr2bl w:val="nil"/>
            </w:tcBorders>
            <w:tcMar>
              <w:top w:w="0" w:type="dxa"/>
              <w:left w:w="51" w:type="dxa"/>
              <w:bottom w:w="0" w:type="dxa"/>
              <w:right w:w="51" w:type="dxa"/>
            </w:tcMar>
            <w:vAlign w:val="center"/>
          </w:tcPr>
          <w:p>
            <w:pPr>
              <w:spacing w:line="240" w:lineRule="exact"/>
              <w:jc w:val="center"/>
              <w:rPr>
                <w:bCs/>
                <w:color w:val="auto"/>
                <w:sz w:val="21"/>
                <w:szCs w:val="21"/>
                <w:highlight w:val="none"/>
              </w:rPr>
            </w:pPr>
            <w:r>
              <w:rPr>
                <w:rFonts w:hint="eastAsia"/>
                <w:color w:val="auto"/>
                <w:sz w:val="21"/>
                <w:szCs w:val="21"/>
                <w:highlight w:val="none"/>
                <w:lang w:val="en-US" w:eastAsia="zh-CN"/>
              </w:rPr>
              <w:t>3.84</w:t>
            </w:r>
          </w:p>
        </w:tc>
        <w:tc>
          <w:tcPr>
            <w:tcW w:w="1466" w:type="pct"/>
            <w:vMerge w:val="continue"/>
            <w:tcBorders>
              <w:tl2br w:val="nil"/>
              <w:tr2bl w:val="nil"/>
            </w:tcBorders>
            <w:tcMar>
              <w:top w:w="0" w:type="dxa"/>
              <w:left w:w="51" w:type="dxa"/>
              <w:bottom w:w="0" w:type="dxa"/>
              <w:right w:w="51" w:type="dxa"/>
            </w:tcMar>
            <w:vAlign w:val="center"/>
          </w:tcPr>
          <w:p>
            <w:pPr>
              <w:spacing w:line="240" w:lineRule="exact"/>
              <w:jc w:val="center"/>
              <w:rPr>
                <w:bCs/>
                <w:color w:val="auto"/>
                <w:sz w:val="21"/>
                <w:szCs w:val="21"/>
                <w:highlight w:val="none"/>
              </w:rPr>
            </w:pPr>
          </w:p>
        </w:tc>
        <w:tc>
          <w:tcPr>
            <w:tcW w:w="506" w:type="pct"/>
            <w:tcBorders>
              <w:tl2br w:val="nil"/>
              <w:tr2bl w:val="nil"/>
            </w:tcBorders>
            <w:vAlign w:val="center"/>
          </w:tcPr>
          <w:p>
            <w:pPr>
              <w:widowControl/>
              <w:spacing w:line="240" w:lineRule="exact"/>
              <w:jc w:val="center"/>
              <w:textAlignment w:val="bottom"/>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3.667</w:t>
            </w:r>
          </w:p>
        </w:tc>
        <w:tc>
          <w:tcPr>
            <w:tcW w:w="738" w:type="dxa"/>
            <w:tcBorders>
              <w:tl2br w:val="nil"/>
              <w:tr2bl w:val="nil"/>
            </w:tcBorders>
            <w:tcMar>
              <w:top w:w="0" w:type="dxa"/>
              <w:left w:w="51" w:type="dxa"/>
              <w:bottom w:w="0" w:type="dxa"/>
              <w:right w:w="51" w:type="dxa"/>
            </w:tcMar>
            <w:vAlign w:val="center"/>
          </w:tcPr>
          <w:p>
            <w:pPr>
              <w:jc w:val="center"/>
              <w:rPr>
                <w:bCs/>
                <w:color w:val="auto"/>
                <w:sz w:val="21"/>
                <w:szCs w:val="21"/>
                <w:highlight w:val="none"/>
              </w:rPr>
            </w:pPr>
            <w:r>
              <w:rPr>
                <w:rFonts w:hint="eastAsia"/>
                <w:color w:val="auto"/>
                <w:highlight w:val="none"/>
                <w:lang w:val="en-US" w:eastAsia="zh-CN"/>
              </w:rPr>
              <w:t>0.173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94" w:hRule="atLeast"/>
          <w:tblHeader/>
          <w:jc w:val="center"/>
        </w:trPr>
        <w:tc>
          <w:tcPr>
            <w:tcW w:w="212" w:type="pct"/>
            <w:vMerge w:val="continue"/>
            <w:tcBorders>
              <w:tl2br w:val="nil"/>
              <w:tr2bl w:val="nil"/>
            </w:tcBorders>
            <w:vAlign w:val="center"/>
          </w:tcPr>
          <w:p>
            <w:pPr>
              <w:pStyle w:val="46"/>
              <w:overflowPunct w:val="0"/>
              <w:spacing w:line="240" w:lineRule="exact"/>
              <w:rPr>
                <w:rFonts w:ascii="Times New Roman" w:eastAsia="宋体"/>
                <w:bCs/>
                <w:color w:val="auto"/>
                <w:sz w:val="21"/>
                <w:szCs w:val="21"/>
                <w:highlight w:val="none"/>
              </w:rPr>
            </w:pPr>
          </w:p>
        </w:tc>
        <w:tc>
          <w:tcPr>
            <w:tcW w:w="676" w:type="pct"/>
            <w:gridSpan w:val="2"/>
            <w:vMerge w:val="restart"/>
            <w:tcBorders>
              <w:tl2br w:val="nil"/>
              <w:tr2bl w:val="nil"/>
            </w:tcBorders>
            <w:vAlign w:val="center"/>
          </w:tcPr>
          <w:p>
            <w:pPr>
              <w:pStyle w:val="46"/>
              <w:overflowPunct w:val="0"/>
              <w:spacing w:line="240" w:lineRule="exact"/>
              <w:rPr>
                <w:rFonts w:ascii="Times New Roman" w:eastAsia="宋体"/>
                <w:bCs/>
                <w:color w:val="auto"/>
                <w:sz w:val="21"/>
                <w:szCs w:val="21"/>
                <w:highlight w:val="none"/>
              </w:rPr>
            </w:pPr>
            <w:r>
              <w:rPr>
                <w:rFonts w:ascii="Times New Roman" w:eastAsia="宋体"/>
                <w:bCs/>
                <w:color w:val="auto"/>
                <w:sz w:val="21"/>
                <w:szCs w:val="21"/>
                <w:highlight w:val="none"/>
              </w:rPr>
              <w:t>无组织</w:t>
            </w:r>
          </w:p>
        </w:tc>
        <w:tc>
          <w:tcPr>
            <w:tcW w:w="720" w:type="pct"/>
            <w:vMerge w:val="restart"/>
            <w:tcBorders>
              <w:tl2br w:val="nil"/>
              <w:tr2bl w:val="nil"/>
            </w:tcBorders>
            <w:vAlign w:val="center"/>
          </w:tcPr>
          <w:p>
            <w:pPr>
              <w:spacing w:line="240" w:lineRule="exact"/>
              <w:jc w:val="center"/>
              <w:rPr>
                <w:rFonts w:hint="eastAsia" w:eastAsia="宋体"/>
                <w:bCs/>
                <w:color w:val="auto"/>
                <w:sz w:val="21"/>
                <w:szCs w:val="21"/>
                <w:highlight w:val="none"/>
                <w:lang w:eastAsia="zh-CN"/>
              </w:rPr>
            </w:pPr>
            <w:r>
              <w:rPr>
                <w:rFonts w:hint="eastAsia"/>
                <w:color w:val="auto"/>
                <w:kern w:val="0"/>
                <w:sz w:val="21"/>
                <w:szCs w:val="21"/>
                <w:highlight w:val="none"/>
              </w:rPr>
              <w:t>生产</w:t>
            </w:r>
            <w:r>
              <w:rPr>
                <w:color w:val="auto"/>
                <w:sz w:val="21"/>
                <w:szCs w:val="21"/>
                <w:highlight w:val="none"/>
              </w:rPr>
              <w:t>车</w:t>
            </w:r>
            <w:r>
              <w:rPr>
                <w:rFonts w:hint="eastAsia"/>
                <w:color w:val="auto"/>
                <w:sz w:val="21"/>
                <w:szCs w:val="21"/>
                <w:highlight w:val="none"/>
                <w:lang w:val="en-US" w:eastAsia="zh-CN"/>
              </w:rPr>
              <w:t>区</w:t>
            </w:r>
          </w:p>
        </w:tc>
        <w:tc>
          <w:tcPr>
            <w:tcW w:w="514" w:type="pct"/>
            <w:tcBorders>
              <w:tl2br w:val="nil"/>
              <w:tr2bl w:val="nil"/>
            </w:tcBorders>
            <w:vAlign w:val="center"/>
          </w:tcPr>
          <w:p>
            <w:pPr>
              <w:pStyle w:val="127"/>
              <w:spacing w:line="240" w:lineRule="exact"/>
              <w:rPr>
                <w:rFonts w:eastAsia="宋体"/>
                <w:bCs/>
                <w:color w:val="auto"/>
                <w:sz w:val="21"/>
                <w:szCs w:val="21"/>
                <w:highlight w:val="none"/>
              </w:rPr>
            </w:pPr>
            <w:r>
              <w:rPr>
                <w:rFonts w:hint="eastAsia" w:eastAsia="宋体"/>
                <w:bCs/>
                <w:color w:val="auto"/>
                <w:sz w:val="21"/>
                <w:szCs w:val="21"/>
                <w:highlight w:val="none"/>
              </w:rPr>
              <w:t>VOCs</w:t>
            </w:r>
          </w:p>
        </w:tc>
        <w:tc>
          <w:tcPr>
            <w:tcW w:w="479" w:type="pct"/>
            <w:tcBorders>
              <w:tl2br w:val="nil"/>
              <w:tr2bl w:val="nil"/>
            </w:tcBorders>
            <w:tcMar>
              <w:top w:w="0" w:type="dxa"/>
              <w:left w:w="51" w:type="dxa"/>
              <w:bottom w:w="0" w:type="dxa"/>
              <w:right w:w="51" w:type="dxa"/>
            </w:tcMar>
            <w:vAlign w:val="center"/>
          </w:tcPr>
          <w:p>
            <w:pPr>
              <w:pStyle w:val="46"/>
              <w:overflowPunct w:val="0"/>
              <w:spacing w:line="240" w:lineRule="exact"/>
              <w:rPr>
                <w:rFonts w:ascii="Times New Roman" w:eastAsia="宋体"/>
                <w:bCs/>
                <w:color w:val="auto"/>
                <w:sz w:val="21"/>
                <w:szCs w:val="21"/>
                <w:highlight w:val="none"/>
              </w:rPr>
            </w:pPr>
            <w:r>
              <w:rPr>
                <w:rFonts w:hint="eastAsia" w:ascii="Times New Roman" w:eastAsia="宋体"/>
                <w:bCs/>
                <w:color w:val="auto"/>
                <w:sz w:val="21"/>
                <w:szCs w:val="21"/>
                <w:highlight w:val="none"/>
              </w:rPr>
              <w:t>0.885</w:t>
            </w:r>
          </w:p>
        </w:tc>
        <w:tc>
          <w:tcPr>
            <w:tcW w:w="1466" w:type="pct"/>
            <w:vMerge w:val="restart"/>
            <w:tcBorders>
              <w:tl2br w:val="nil"/>
              <w:tr2bl w:val="nil"/>
            </w:tcBorders>
            <w:tcMar>
              <w:top w:w="0" w:type="dxa"/>
              <w:left w:w="51" w:type="dxa"/>
              <w:bottom w:w="0" w:type="dxa"/>
              <w:right w:w="51" w:type="dxa"/>
            </w:tcMar>
            <w:vAlign w:val="center"/>
          </w:tcPr>
          <w:p>
            <w:pPr>
              <w:pStyle w:val="46"/>
              <w:overflowPunct w:val="0"/>
              <w:spacing w:line="240" w:lineRule="exact"/>
              <w:rPr>
                <w:rFonts w:ascii="Times New Roman" w:eastAsia="宋体"/>
                <w:bCs/>
                <w:color w:val="auto"/>
                <w:sz w:val="21"/>
                <w:szCs w:val="21"/>
                <w:highlight w:val="none"/>
              </w:rPr>
            </w:pPr>
            <w:r>
              <w:rPr>
                <w:rFonts w:hint="eastAsia" w:ascii="Times New Roman" w:eastAsia="宋体"/>
                <w:bCs/>
                <w:color w:val="auto"/>
                <w:sz w:val="21"/>
                <w:szCs w:val="21"/>
                <w:highlight w:val="none"/>
              </w:rPr>
              <w:t>车间通风</w:t>
            </w:r>
          </w:p>
        </w:tc>
        <w:tc>
          <w:tcPr>
            <w:tcW w:w="506" w:type="pct"/>
            <w:tcBorders>
              <w:tl2br w:val="nil"/>
              <w:tr2bl w:val="nil"/>
            </w:tcBorders>
            <w:vAlign w:val="center"/>
          </w:tcPr>
          <w:p>
            <w:pPr>
              <w:widowControl/>
              <w:spacing w:line="240" w:lineRule="exact"/>
              <w:jc w:val="center"/>
              <w:textAlignment w:val="bottom"/>
              <w:rPr>
                <w:color w:val="auto"/>
                <w:kern w:val="0"/>
                <w:sz w:val="21"/>
                <w:szCs w:val="21"/>
                <w:highlight w:val="none"/>
              </w:rPr>
            </w:pPr>
            <w:r>
              <w:rPr>
                <w:rFonts w:hint="eastAsia"/>
                <w:color w:val="auto"/>
                <w:kern w:val="0"/>
                <w:sz w:val="21"/>
                <w:szCs w:val="21"/>
                <w:highlight w:val="none"/>
              </w:rPr>
              <w:t>0</w:t>
            </w:r>
          </w:p>
        </w:tc>
        <w:tc>
          <w:tcPr>
            <w:tcW w:w="738" w:type="dxa"/>
            <w:tcBorders>
              <w:tl2br w:val="nil"/>
              <w:tr2bl w:val="nil"/>
            </w:tcBorders>
            <w:tcMar>
              <w:top w:w="0" w:type="dxa"/>
              <w:left w:w="51" w:type="dxa"/>
              <w:bottom w:w="0" w:type="dxa"/>
              <w:right w:w="51" w:type="dxa"/>
            </w:tcMar>
            <w:vAlign w:val="center"/>
          </w:tcPr>
          <w:p>
            <w:pPr>
              <w:pStyle w:val="46"/>
              <w:overflowPunct w:val="0"/>
              <w:spacing w:line="240" w:lineRule="exact"/>
              <w:rPr>
                <w:bCs/>
                <w:color w:val="auto"/>
                <w:sz w:val="21"/>
                <w:szCs w:val="21"/>
                <w:highlight w:val="none"/>
              </w:rPr>
            </w:pPr>
            <w:r>
              <w:rPr>
                <w:rFonts w:hint="eastAsia" w:ascii="Times New Roman" w:eastAsia="宋体"/>
                <w:bCs/>
                <w:color w:val="auto"/>
                <w:sz w:val="21"/>
                <w:szCs w:val="21"/>
                <w:highlight w:val="none"/>
              </w:rPr>
              <w:t>0.885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180" w:hRule="atLeast"/>
          <w:tblHeader/>
          <w:jc w:val="center"/>
        </w:trPr>
        <w:tc>
          <w:tcPr>
            <w:tcW w:w="212" w:type="pct"/>
            <w:vMerge w:val="continue"/>
            <w:tcBorders>
              <w:tl2br w:val="nil"/>
              <w:tr2bl w:val="nil"/>
            </w:tcBorders>
            <w:vAlign w:val="center"/>
          </w:tcPr>
          <w:p>
            <w:pPr>
              <w:pStyle w:val="46"/>
              <w:overflowPunct w:val="0"/>
              <w:spacing w:line="240" w:lineRule="exact"/>
              <w:rPr>
                <w:rFonts w:ascii="Times New Roman" w:eastAsia="宋体"/>
                <w:bCs/>
                <w:color w:val="auto"/>
                <w:sz w:val="21"/>
                <w:szCs w:val="21"/>
                <w:highlight w:val="none"/>
              </w:rPr>
            </w:pPr>
          </w:p>
        </w:tc>
        <w:tc>
          <w:tcPr>
            <w:tcW w:w="676" w:type="pct"/>
            <w:gridSpan w:val="2"/>
            <w:vMerge w:val="continue"/>
            <w:tcBorders>
              <w:tl2br w:val="nil"/>
              <w:tr2bl w:val="nil"/>
            </w:tcBorders>
            <w:vAlign w:val="center"/>
          </w:tcPr>
          <w:p>
            <w:pPr>
              <w:pStyle w:val="46"/>
              <w:overflowPunct w:val="0"/>
              <w:spacing w:line="240" w:lineRule="exact"/>
              <w:rPr>
                <w:rFonts w:ascii="Times New Roman" w:eastAsia="宋体"/>
                <w:bCs/>
                <w:color w:val="auto"/>
                <w:sz w:val="21"/>
                <w:szCs w:val="21"/>
                <w:highlight w:val="none"/>
              </w:rPr>
            </w:pPr>
          </w:p>
        </w:tc>
        <w:tc>
          <w:tcPr>
            <w:tcW w:w="720" w:type="pct"/>
            <w:vMerge w:val="continue"/>
            <w:tcBorders>
              <w:tl2br w:val="nil"/>
              <w:tr2bl w:val="nil"/>
            </w:tcBorders>
            <w:vAlign w:val="center"/>
          </w:tcPr>
          <w:p>
            <w:pPr>
              <w:spacing w:line="240" w:lineRule="exact"/>
              <w:jc w:val="center"/>
              <w:rPr>
                <w:bCs/>
                <w:color w:val="auto"/>
                <w:sz w:val="21"/>
                <w:szCs w:val="21"/>
                <w:highlight w:val="none"/>
              </w:rPr>
            </w:pPr>
          </w:p>
        </w:tc>
        <w:tc>
          <w:tcPr>
            <w:tcW w:w="514" w:type="pct"/>
            <w:tcBorders>
              <w:tl2br w:val="nil"/>
              <w:tr2bl w:val="nil"/>
            </w:tcBorders>
            <w:vAlign w:val="center"/>
          </w:tcPr>
          <w:p>
            <w:pPr>
              <w:pStyle w:val="127"/>
              <w:spacing w:line="240" w:lineRule="exact"/>
              <w:rPr>
                <w:rFonts w:eastAsia="宋体"/>
                <w:bCs/>
                <w:color w:val="auto"/>
                <w:sz w:val="21"/>
                <w:szCs w:val="21"/>
                <w:highlight w:val="none"/>
              </w:rPr>
            </w:pPr>
            <w:r>
              <w:rPr>
                <w:rFonts w:eastAsia="宋体"/>
                <w:color w:val="auto"/>
                <w:sz w:val="21"/>
                <w:szCs w:val="21"/>
                <w:highlight w:val="none"/>
                <w:lang w:val="zh-CN"/>
              </w:rPr>
              <w:t>颗粒物</w:t>
            </w:r>
          </w:p>
        </w:tc>
        <w:tc>
          <w:tcPr>
            <w:tcW w:w="479" w:type="pct"/>
            <w:tcBorders>
              <w:tl2br w:val="nil"/>
              <w:tr2bl w:val="nil"/>
            </w:tcBorders>
            <w:tcMar>
              <w:top w:w="0" w:type="dxa"/>
              <w:left w:w="51" w:type="dxa"/>
              <w:bottom w:w="0" w:type="dxa"/>
              <w:right w:w="51" w:type="dxa"/>
            </w:tcMar>
            <w:vAlign w:val="center"/>
          </w:tcPr>
          <w:p>
            <w:pPr>
              <w:pStyle w:val="46"/>
              <w:overflowPunct w:val="0"/>
              <w:spacing w:line="240" w:lineRule="exact"/>
              <w:rPr>
                <w:rFonts w:ascii="Times New Roman" w:eastAsia="宋体"/>
                <w:bCs/>
                <w:color w:val="auto"/>
                <w:sz w:val="21"/>
                <w:szCs w:val="21"/>
                <w:highlight w:val="none"/>
              </w:rPr>
            </w:pPr>
            <w:r>
              <w:rPr>
                <w:rFonts w:hint="eastAsia" w:ascii="Times New Roman" w:eastAsia="宋体"/>
                <w:bCs/>
                <w:color w:val="auto"/>
                <w:sz w:val="21"/>
                <w:szCs w:val="21"/>
                <w:highlight w:val="none"/>
              </w:rPr>
              <w:t>0.384</w:t>
            </w:r>
          </w:p>
        </w:tc>
        <w:tc>
          <w:tcPr>
            <w:tcW w:w="1466" w:type="pct"/>
            <w:vMerge w:val="continue"/>
            <w:tcBorders>
              <w:tl2br w:val="nil"/>
              <w:tr2bl w:val="nil"/>
            </w:tcBorders>
            <w:tcMar>
              <w:top w:w="0" w:type="dxa"/>
              <w:left w:w="51" w:type="dxa"/>
              <w:bottom w:w="0" w:type="dxa"/>
              <w:right w:w="51" w:type="dxa"/>
            </w:tcMar>
            <w:vAlign w:val="center"/>
          </w:tcPr>
          <w:p>
            <w:pPr>
              <w:pStyle w:val="46"/>
              <w:overflowPunct w:val="0"/>
              <w:spacing w:line="240" w:lineRule="exact"/>
              <w:rPr>
                <w:rFonts w:ascii="Times New Roman" w:eastAsia="宋体"/>
                <w:bCs/>
                <w:color w:val="auto"/>
                <w:sz w:val="21"/>
                <w:szCs w:val="21"/>
                <w:highlight w:val="none"/>
                <w:lang w:val="en-GB"/>
              </w:rPr>
            </w:pPr>
          </w:p>
        </w:tc>
        <w:tc>
          <w:tcPr>
            <w:tcW w:w="506" w:type="pct"/>
            <w:tcBorders>
              <w:tl2br w:val="nil"/>
              <w:tr2bl w:val="nil"/>
            </w:tcBorders>
            <w:vAlign w:val="center"/>
          </w:tcPr>
          <w:p>
            <w:pPr>
              <w:widowControl/>
              <w:spacing w:line="240" w:lineRule="exact"/>
              <w:jc w:val="center"/>
              <w:textAlignment w:val="bottom"/>
              <w:rPr>
                <w:color w:val="auto"/>
                <w:kern w:val="0"/>
                <w:sz w:val="21"/>
                <w:szCs w:val="21"/>
                <w:highlight w:val="none"/>
              </w:rPr>
            </w:pPr>
            <w:r>
              <w:rPr>
                <w:rFonts w:hint="eastAsia"/>
                <w:color w:val="auto"/>
                <w:kern w:val="0"/>
                <w:sz w:val="21"/>
                <w:szCs w:val="21"/>
                <w:highlight w:val="none"/>
              </w:rPr>
              <w:t>0</w:t>
            </w:r>
          </w:p>
        </w:tc>
        <w:tc>
          <w:tcPr>
            <w:tcW w:w="738" w:type="dxa"/>
            <w:tcBorders>
              <w:tl2br w:val="nil"/>
              <w:tr2bl w:val="nil"/>
            </w:tcBorders>
            <w:tcMar>
              <w:top w:w="0" w:type="dxa"/>
              <w:left w:w="51" w:type="dxa"/>
              <w:bottom w:w="0" w:type="dxa"/>
              <w:right w:w="51" w:type="dxa"/>
            </w:tcMar>
            <w:vAlign w:val="center"/>
          </w:tcPr>
          <w:p>
            <w:pPr>
              <w:pStyle w:val="46"/>
              <w:overflowPunct w:val="0"/>
              <w:spacing w:line="240" w:lineRule="exact"/>
              <w:rPr>
                <w:bCs/>
                <w:color w:val="auto"/>
                <w:sz w:val="21"/>
                <w:szCs w:val="21"/>
                <w:highlight w:val="none"/>
              </w:rPr>
            </w:pPr>
            <w:r>
              <w:rPr>
                <w:rFonts w:hint="eastAsia" w:ascii="Times New Roman" w:eastAsia="宋体"/>
                <w:bCs/>
                <w:color w:val="auto"/>
                <w:sz w:val="21"/>
                <w:szCs w:val="21"/>
                <w:highlight w:val="none"/>
              </w:rPr>
              <w:t>0.384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84" w:hRule="atLeast"/>
          <w:tblHeader/>
          <w:jc w:val="center"/>
        </w:trPr>
        <w:tc>
          <w:tcPr>
            <w:tcW w:w="212" w:type="pct"/>
            <w:vMerge w:val="restart"/>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r>
              <w:rPr>
                <w:color w:val="auto"/>
                <w:sz w:val="21"/>
                <w:szCs w:val="21"/>
                <w:highlight w:val="none"/>
              </w:rPr>
              <w:t>固废</w:t>
            </w:r>
          </w:p>
        </w:tc>
        <w:tc>
          <w:tcPr>
            <w:tcW w:w="676" w:type="pct"/>
            <w:gridSpan w:val="2"/>
            <w:tcBorders>
              <w:tl2br w:val="nil"/>
              <w:tr2bl w:val="nil"/>
            </w:tcBorders>
            <w:tcMar>
              <w:top w:w="0" w:type="dxa"/>
              <w:left w:w="51" w:type="dxa"/>
              <w:bottom w:w="0" w:type="dxa"/>
              <w:right w:w="51" w:type="dxa"/>
            </w:tcMar>
            <w:vAlign w:val="center"/>
          </w:tcPr>
          <w:p>
            <w:pPr>
              <w:pStyle w:val="46"/>
              <w:overflowPunct w:val="0"/>
              <w:spacing w:line="240" w:lineRule="exact"/>
              <w:rPr>
                <w:rFonts w:ascii="Times New Roman" w:eastAsia="宋体"/>
                <w:bCs/>
                <w:color w:val="auto"/>
                <w:sz w:val="21"/>
                <w:szCs w:val="21"/>
                <w:highlight w:val="none"/>
              </w:rPr>
            </w:pPr>
            <w:r>
              <w:rPr>
                <w:rFonts w:hint="eastAsia" w:ascii="Times New Roman" w:eastAsia="宋体"/>
                <w:bCs/>
                <w:color w:val="auto"/>
                <w:sz w:val="21"/>
                <w:szCs w:val="21"/>
                <w:highlight w:val="none"/>
              </w:rPr>
              <w:t>管道及配件生产切割下脚料、质检不合格产品</w:t>
            </w:r>
          </w:p>
        </w:tc>
        <w:tc>
          <w:tcPr>
            <w:tcW w:w="1234" w:type="pct"/>
            <w:gridSpan w:val="2"/>
            <w:tcBorders>
              <w:tl2br w:val="nil"/>
              <w:tr2bl w:val="nil"/>
            </w:tcBorders>
            <w:tcMar>
              <w:top w:w="0" w:type="dxa"/>
              <w:left w:w="51" w:type="dxa"/>
              <w:bottom w:w="0" w:type="dxa"/>
              <w:right w:w="51" w:type="dxa"/>
            </w:tcMar>
            <w:vAlign w:val="center"/>
          </w:tcPr>
          <w:p>
            <w:pPr>
              <w:pStyle w:val="46"/>
              <w:overflowPunct w:val="0"/>
              <w:spacing w:line="240" w:lineRule="exact"/>
              <w:rPr>
                <w:rFonts w:ascii="Times New Roman" w:eastAsia="宋体"/>
                <w:bCs/>
                <w:color w:val="auto"/>
                <w:sz w:val="21"/>
                <w:szCs w:val="21"/>
                <w:highlight w:val="none"/>
              </w:rPr>
            </w:pPr>
            <w:r>
              <w:rPr>
                <w:rFonts w:ascii="Times New Roman" w:eastAsia="宋体"/>
                <w:bCs/>
                <w:color w:val="auto"/>
                <w:sz w:val="21"/>
                <w:szCs w:val="21"/>
                <w:highlight w:val="none"/>
              </w:rPr>
              <w:t>废</w:t>
            </w:r>
            <w:r>
              <w:rPr>
                <w:rFonts w:hint="eastAsia" w:ascii="Times New Roman" w:eastAsia="宋体"/>
                <w:bCs/>
                <w:color w:val="auto"/>
                <w:sz w:val="21"/>
                <w:szCs w:val="21"/>
                <w:highlight w:val="none"/>
              </w:rPr>
              <w:t>塑料</w:t>
            </w:r>
          </w:p>
        </w:tc>
        <w:tc>
          <w:tcPr>
            <w:tcW w:w="479" w:type="pct"/>
            <w:tcBorders>
              <w:tl2br w:val="nil"/>
              <w:tr2bl w:val="nil"/>
            </w:tcBorders>
            <w:tcMar>
              <w:top w:w="0" w:type="dxa"/>
              <w:left w:w="51" w:type="dxa"/>
              <w:bottom w:w="0" w:type="dxa"/>
              <w:right w:w="51" w:type="dxa"/>
            </w:tcMar>
            <w:vAlign w:val="center"/>
          </w:tcPr>
          <w:p>
            <w:pPr>
              <w:pStyle w:val="137"/>
              <w:spacing w:line="240" w:lineRule="exact"/>
              <w:jc w:val="center"/>
              <w:rPr>
                <w:color w:val="auto"/>
                <w:sz w:val="21"/>
                <w:szCs w:val="21"/>
                <w:highlight w:val="none"/>
              </w:rPr>
            </w:pPr>
            <w:r>
              <w:rPr>
                <w:rFonts w:hint="eastAsia" w:ascii="Times New Roman" w:hAnsi="Times New Roman" w:eastAsia="宋体" w:cs="Times New Roman"/>
                <w:bCs/>
                <w:color w:val="auto"/>
                <w:kern w:val="2"/>
                <w:sz w:val="21"/>
                <w:szCs w:val="21"/>
                <w:highlight w:val="none"/>
                <w:lang w:val="en-US" w:eastAsia="zh-CN" w:bidi="ar-SA"/>
              </w:rPr>
              <w:t>219.32</w:t>
            </w:r>
          </w:p>
        </w:tc>
        <w:tc>
          <w:tcPr>
            <w:tcW w:w="1466" w:type="pct"/>
            <w:tcBorders>
              <w:tl2br w:val="nil"/>
              <w:tr2bl w:val="nil"/>
            </w:tcBorders>
            <w:tcMar>
              <w:top w:w="0" w:type="dxa"/>
              <w:left w:w="51" w:type="dxa"/>
              <w:bottom w:w="0" w:type="dxa"/>
              <w:right w:w="51" w:type="dxa"/>
            </w:tcMar>
            <w:vAlign w:val="center"/>
          </w:tcPr>
          <w:p>
            <w:pPr>
              <w:pStyle w:val="137"/>
              <w:spacing w:line="240" w:lineRule="exact"/>
              <w:jc w:val="center"/>
              <w:rPr>
                <w:color w:val="auto"/>
                <w:sz w:val="21"/>
                <w:szCs w:val="21"/>
                <w:highlight w:val="none"/>
                <w:lang w:eastAsia="zh-CN"/>
              </w:rPr>
            </w:pPr>
            <w:r>
              <w:rPr>
                <w:rFonts w:ascii="Times New Roman" w:hAnsi="Times New Roman"/>
                <w:color w:val="auto"/>
                <w:sz w:val="21"/>
                <w:szCs w:val="21"/>
                <w:highlight w:val="none"/>
                <w:lang w:eastAsia="zh-CN"/>
              </w:rPr>
              <w:t>经破碎后回用于造粒工序</w:t>
            </w:r>
          </w:p>
        </w:tc>
        <w:tc>
          <w:tcPr>
            <w:tcW w:w="506" w:type="pct"/>
            <w:tcBorders>
              <w:tl2br w:val="nil"/>
              <w:tr2bl w:val="nil"/>
            </w:tcBorders>
            <w:vAlign w:val="center"/>
          </w:tcPr>
          <w:p>
            <w:pPr>
              <w:pStyle w:val="137"/>
              <w:spacing w:line="240" w:lineRule="exact"/>
              <w:jc w:val="center"/>
              <w:rPr>
                <w:color w:val="auto"/>
                <w:sz w:val="21"/>
                <w:szCs w:val="21"/>
                <w:highlight w:val="none"/>
              </w:rPr>
            </w:pPr>
            <w:r>
              <w:rPr>
                <w:rFonts w:hint="eastAsia" w:ascii="Times New Roman" w:hAnsi="Times New Roman" w:eastAsia="宋体" w:cs="Times New Roman"/>
                <w:bCs/>
                <w:color w:val="auto"/>
                <w:kern w:val="2"/>
                <w:sz w:val="21"/>
                <w:szCs w:val="21"/>
                <w:highlight w:val="none"/>
                <w:lang w:val="en-US" w:eastAsia="zh-CN" w:bidi="ar-SA"/>
              </w:rPr>
              <w:t>219.32</w:t>
            </w:r>
          </w:p>
        </w:tc>
        <w:tc>
          <w:tcPr>
            <w:tcW w:w="423" w:type="pct"/>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r>
              <w:rPr>
                <w:rFonts w:hint="eastAsia"/>
                <w:color w:val="auto"/>
                <w:sz w:val="21"/>
                <w:szCs w:val="21"/>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84" w:hRule="atLeast"/>
          <w:tblHeader/>
          <w:jc w:val="center"/>
        </w:trPr>
        <w:tc>
          <w:tcPr>
            <w:tcW w:w="212" w:type="pct"/>
            <w:vMerge w:val="continue"/>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p>
        </w:tc>
        <w:tc>
          <w:tcPr>
            <w:tcW w:w="676" w:type="pct"/>
            <w:gridSpan w:val="2"/>
            <w:tcBorders>
              <w:tl2br w:val="nil"/>
              <w:tr2bl w:val="nil"/>
            </w:tcBorders>
            <w:tcMar>
              <w:top w:w="0" w:type="dxa"/>
              <w:left w:w="51" w:type="dxa"/>
              <w:bottom w:w="0" w:type="dxa"/>
              <w:right w:w="51" w:type="dxa"/>
            </w:tcMar>
            <w:vAlign w:val="center"/>
          </w:tcPr>
          <w:p>
            <w:pPr>
              <w:pStyle w:val="137"/>
              <w:spacing w:line="240" w:lineRule="exact"/>
              <w:jc w:val="center"/>
              <w:rPr>
                <w:color w:val="auto"/>
                <w:sz w:val="21"/>
                <w:szCs w:val="21"/>
                <w:highlight w:val="none"/>
                <w:lang w:eastAsia="zh-CN"/>
              </w:rPr>
            </w:pPr>
            <w:r>
              <w:rPr>
                <w:rFonts w:ascii="Times New Roman" w:hAnsi="Times New Roman"/>
                <w:color w:val="auto"/>
                <w:sz w:val="21"/>
                <w:szCs w:val="21"/>
                <w:highlight w:val="none"/>
                <w:lang w:eastAsia="zh-CN"/>
              </w:rPr>
              <w:t>造粒工序熔融挤出废料</w:t>
            </w:r>
          </w:p>
        </w:tc>
        <w:tc>
          <w:tcPr>
            <w:tcW w:w="1234" w:type="pct"/>
            <w:gridSpan w:val="2"/>
            <w:tcBorders>
              <w:tl2br w:val="nil"/>
              <w:tr2bl w:val="nil"/>
            </w:tcBorders>
            <w:tcMar>
              <w:top w:w="0" w:type="dxa"/>
              <w:left w:w="51" w:type="dxa"/>
              <w:bottom w:w="0" w:type="dxa"/>
              <w:right w:w="51" w:type="dxa"/>
            </w:tcMar>
            <w:vAlign w:val="center"/>
          </w:tcPr>
          <w:p>
            <w:pPr>
              <w:pStyle w:val="137"/>
              <w:spacing w:line="240" w:lineRule="exact"/>
              <w:jc w:val="center"/>
              <w:rPr>
                <w:color w:val="auto"/>
                <w:sz w:val="21"/>
                <w:szCs w:val="21"/>
                <w:highlight w:val="none"/>
              </w:rPr>
            </w:pPr>
            <w:r>
              <w:rPr>
                <w:rFonts w:ascii="Times New Roman" w:eastAsia="宋体"/>
                <w:bCs/>
                <w:color w:val="auto"/>
                <w:sz w:val="21"/>
                <w:szCs w:val="21"/>
                <w:highlight w:val="none"/>
              </w:rPr>
              <w:t>废</w:t>
            </w:r>
            <w:r>
              <w:rPr>
                <w:rFonts w:hint="eastAsia" w:ascii="Times New Roman" w:eastAsia="宋体"/>
                <w:bCs/>
                <w:color w:val="auto"/>
                <w:sz w:val="21"/>
                <w:szCs w:val="21"/>
                <w:highlight w:val="none"/>
                <w:lang w:eastAsia="zh-CN"/>
              </w:rPr>
              <w:t>塑料</w:t>
            </w:r>
          </w:p>
        </w:tc>
        <w:tc>
          <w:tcPr>
            <w:tcW w:w="479" w:type="pct"/>
            <w:tcBorders>
              <w:tl2br w:val="nil"/>
              <w:tr2bl w:val="nil"/>
            </w:tcBorders>
            <w:tcMar>
              <w:top w:w="0" w:type="dxa"/>
              <w:left w:w="51" w:type="dxa"/>
              <w:bottom w:w="0" w:type="dxa"/>
              <w:right w:w="51" w:type="dxa"/>
            </w:tcMar>
            <w:vAlign w:val="center"/>
          </w:tcPr>
          <w:p>
            <w:pPr>
              <w:pStyle w:val="137"/>
              <w:spacing w:line="240" w:lineRule="exact"/>
              <w:jc w:val="center"/>
              <w:rPr>
                <w:color w:val="auto"/>
                <w:sz w:val="21"/>
                <w:szCs w:val="21"/>
                <w:highlight w:val="none"/>
              </w:rPr>
            </w:pPr>
            <w:r>
              <w:rPr>
                <w:rFonts w:hint="eastAsia" w:ascii="Times New Roman" w:hAnsi="Times New Roman" w:eastAsia="宋体" w:cs="Times New Roman"/>
                <w:bCs/>
                <w:color w:val="auto"/>
                <w:kern w:val="2"/>
                <w:sz w:val="21"/>
                <w:szCs w:val="21"/>
                <w:highlight w:val="none"/>
                <w:lang w:val="en-US" w:eastAsia="zh-CN" w:bidi="ar-SA"/>
              </w:rPr>
              <w:t>49.894</w:t>
            </w:r>
          </w:p>
        </w:tc>
        <w:tc>
          <w:tcPr>
            <w:tcW w:w="1466" w:type="pct"/>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r>
              <w:rPr>
                <w:color w:val="auto"/>
                <w:sz w:val="21"/>
                <w:szCs w:val="21"/>
                <w:highlight w:val="none"/>
              </w:rPr>
              <w:t>外售</w:t>
            </w:r>
          </w:p>
        </w:tc>
        <w:tc>
          <w:tcPr>
            <w:tcW w:w="506" w:type="pct"/>
            <w:tcBorders>
              <w:tl2br w:val="nil"/>
              <w:tr2bl w:val="nil"/>
            </w:tcBorders>
            <w:vAlign w:val="center"/>
          </w:tcPr>
          <w:p>
            <w:pPr>
              <w:pStyle w:val="137"/>
              <w:spacing w:line="240" w:lineRule="exact"/>
              <w:jc w:val="center"/>
              <w:rPr>
                <w:color w:val="auto"/>
                <w:sz w:val="21"/>
                <w:szCs w:val="21"/>
                <w:highlight w:val="none"/>
              </w:rPr>
            </w:pPr>
            <w:r>
              <w:rPr>
                <w:rFonts w:hint="eastAsia" w:ascii="Times New Roman" w:hAnsi="Times New Roman" w:eastAsia="宋体" w:cs="Times New Roman"/>
                <w:bCs/>
                <w:color w:val="auto"/>
                <w:kern w:val="2"/>
                <w:sz w:val="21"/>
                <w:szCs w:val="21"/>
                <w:highlight w:val="none"/>
                <w:lang w:val="en-US" w:eastAsia="zh-CN" w:bidi="ar-SA"/>
              </w:rPr>
              <w:t>49.894</w:t>
            </w:r>
          </w:p>
        </w:tc>
        <w:tc>
          <w:tcPr>
            <w:tcW w:w="423" w:type="pct"/>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r>
              <w:rPr>
                <w:color w:val="auto"/>
                <w:sz w:val="21"/>
                <w:szCs w:val="21"/>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84" w:hRule="atLeast"/>
          <w:tblHeader/>
          <w:jc w:val="center"/>
        </w:trPr>
        <w:tc>
          <w:tcPr>
            <w:tcW w:w="212" w:type="pct"/>
            <w:vMerge w:val="continue"/>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p>
        </w:tc>
        <w:tc>
          <w:tcPr>
            <w:tcW w:w="676" w:type="pct"/>
            <w:gridSpan w:val="2"/>
            <w:tcBorders>
              <w:tl2br w:val="nil"/>
              <w:tr2bl w:val="nil"/>
            </w:tcBorders>
            <w:tcMar>
              <w:top w:w="0" w:type="dxa"/>
              <w:left w:w="51" w:type="dxa"/>
              <w:bottom w:w="0" w:type="dxa"/>
              <w:right w:w="51" w:type="dxa"/>
            </w:tcMar>
            <w:vAlign w:val="center"/>
          </w:tcPr>
          <w:p>
            <w:pPr>
              <w:pStyle w:val="137"/>
              <w:spacing w:line="240" w:lineRule="exact"/>
              <w:jc w:val="center"/>
              <w:rPr>
                <w:color w:val="auto"/>
                <w:sz w:val="21"/>
                <w:szCs w:val="21"/>
                <w:highlight w:val="none"/>
              </w:rPr>
            </w:pPr>
            <w:r>
              <w:rPr>
                <w:rFonts w:ascii="Times New Roman" w:hAnsi="Times New Roman"/>
                <w:color w:val="auto"/>
                <w:sz w:val="21"/>
                <w:szCs w:val="21"/>
                <w:highlight w:val="none"/>
                <w:lang w:eastAsia="zh-CN"/>
              </w:rPr>
              <w:t>废滤网</w:t>
            </w:r>
          </w:p>
        </w:tc>
        <w:tc>
          <w:tcPr>
            <w:tcW w:w="1234" w:type="pct"/>
            <w:gridSpan w:val="2"/>
            <w:tcBorders>
              <w:tl2br w:val="nil"/>
              <w:tr2bl w:val="nil"/>
            </w:tcBorders>
            <w:tcMar>
              <w:top w:w="0" w:type="dxa"/>
              <w:left w:w="51" w:type="dxa"/>
              <w:bottom w:w="0" w:type="dxa"/>
              <w:right w:w="51" w:type="dxa"/>
            </w:tcMar>
            <w:vAlign w:val="center"/>
          </w:tcPr>
          <w:p>
            <w:pPr>
              <w:pStyle w:val="137"/>
              <w:spacing w:line="240" w:lineRule="exact"/>
              <w:jc w:val="center"/>
              <w:rPr>
                <w:color w:val="auto"/>
                <w:sz w:val="21"/>
                <w:szCs w:val="21"/>
                <w:highlight w:val="none"/>
              </w:rPr>
            </w:pPr>
            <w:r>
              <w:rPr>
                <w:rFonts w:ascii="Times New Roman" w:hAnsi="Times New Roman"/>
                <w:color w:val="auto"/>
                <w:sz w:val="21"/>
                <w:szCs w:val="21"/>
                <w:highlight w:val="none"/>
                <w:lang w:eastAsia="zh-CN"/>
              </w:rPr>
              <w:t>废铁</w:t>
            </w:r>
            <w:r>
              <w:rPr>
                <w:rFonts w:ascii="Times New Roman" w:hAnsi="Times New Roman"/>
                <w:color w:val="auto"/>
                <w:sz w:val="21"/>
                <w:szCs w:val="21"/>
                <w:highlight w:val="none"/>
              </w:rPr>
              <w:t>等</w:t>
            </w:r>
          </w:p>
        </w:tc>
        <w:tc>
          <w:tcPr>
            <w:tcW w:w="479" w:type="pct"/>
            <w:tcBorders>
              <w:tl2br w:val="nil"/>
              <w:tr2bl w:val="nil"/>
            </w:tcBorders>
            <w:tcMar>
              <w:top w:w="0" w:type="dxa"/>
              <w:left w:w="51" w:type="dxa"/>
              <w:bottom w:w="0" w:type="dxa"/>
              <w:right w:w="51" w:type="dxa"/>
            </w:tcMar>
            <w:vAlign w:val="center"/>
          </w:tcPr>
          <w:p>
            <w:pPr>
              <w:pStyle w:val="137"/>
              <w:spacing w:line="240" w:lineRule="exact"/>
              <w:jc w:val="center"/>
              <w:rPr>
                <w:color w:val="auto"/>
                <w:sz w:val="21"/>
                <w:szCs w:val="21"/>
                <w:highlight w:val="none"/>
              </w:rPr>
            </w:pPr>
            <w:r>
              <w:rPr>
                <w:rFonts w:ascii="Times New Roman" w:hAnsi="Times New Roman"/>
                <w:color w:val="auto"/>
                <w:sz w:val="21"/>
                <w:szCs w:val="21"/>
                <w:highlight w:val="none"/>
                <w:lang w:eastAsia="zh-CN"/>
              </w:rPr>
              <w:t>0.05</w:t>
            </w:r>
          </w:p>
        </w:tc>
        <w:tc>
          <w:tcPr>
            <w:tcW w:w="1466" w:type="pct"/>
            <w:tcBorders>
              <w:tl2br w:val="nil"/>
              <w:tr2bl w:val="nil"/>
            </w:tcBorders>
            <w:tcMar>
              <w:top w:w="0" w:type="dxa"/>
              <w:left w:w="51" w:type="dxa"/>
              <w:bottom w:w="0" w:type="dxa"/>
              <w:right w:w="51" w:type="dxa"/>
            </w:tcMar>
            <w:vAlign w:val="center"/>
          </w:tcPr>
          <w:p>
            <w:pPr>
              <w:pStyle w:val="137"/>
              <w:spacing w:line="240" w:lineRule="exact"/>
              <w:jc w:val="center"/>
              <w:rPr>
                <w:color w:val="auto"/>
                <w:sz w:val="21"/>
                <w:szCs w:val="21"/>
                <w:highlight w:val="none"/>
                <w:lang w:eastAsia="zh-CN"/>
              </w:rPr>
            </w:pPr>
            <w:r>
              <w:rPr>
                <w:rFonts w:ascii="Times New Roman" w:hAnsi="Times New Roman"/>
                <w:color w:val="auto"/>
                <w:sz w:val="21"/>
                <w:szCs w:val="21"/>
                <w:highlight w:val="none"/>
              </w:rPr>
              <w:t>外售</w:t>
            </w:r>
          </w:p>
        </w:tc>
        <w:tc>
          <w:tcPr>
            <w:tcW w:w="506" w:type="pct"/>
            <w:tcBorders>
              <w:tl2br w:val="nil"/>
              <w:tr2bl w:val="nil"/>
            </w:tcBorders>
            <w:vAlign w:val="center"/>
          </w:tcPr>
          <w:p>
            <w:pPr>
              <w:pStyle w:val="137"/>
              <w:spacing w:line="240" w:lineRule="exact"/>
              <w:jc w:val="center"/>
              <w:rPr>
                <w:color w:val="auto"/>
                <w:sz w:val="21"/>
                <w:szCs w:val="21"/>
                <w:highlight w:val="none"/>
              </w:rPr>
            </w:pPr>
            <w:r>
              <w:rPr>
                <w:rFonts w:ascii="Times New Roman" w:hAnsi="Times New Roman"/>
                <w:color w:val="auto"/>
                <w:sz w:val="21"/>
                <w:szCs w:val="21"/>
                <w:highlight w:val="none"/>
                <w:lang w:eastAsia="zh-CN"/>
              </w:rPr>
              <w:t>0.05</w:t>
            </w:r>
          </w:p>
        </w:tc>
        <w:tc>
          <w:tcPr>
            <w:tcW w:w="423" w:type="pct"/>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r>
              <w:rPr>
                <w:color w:val="auto"/>
                <w:sz w:val="21"/>
                <w:szCs w:val="21"/>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23" w:hRule="atLeast"/>
          <w:tblHeader/>
          <w:jc w:val="center"/>
        </w:trPr>
        <w:tc>
          <w:tcPr>
            <w:tcW w:w="212" w:type="pct"/>
            <w:vMerge w:val="continue"/>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p>
        </w:tc>
        <w:tc>
          <w:tcPr>
            <w:tcW w:w="676" w:type="pct"/>
            <w:gridSpan w:val="2"/>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r>
              <w:rPr>
                <w:color w:val="auto"/>
                <w:sz w:val="21"/>
                <w:szCs w:val="21"/>
                <w:highlight w:val="none"/>
              </w:rPr>
              <w:t>废活性炭</w:t>
            </w:r>
          </w:p>
        </w:tc>
        <w:tc>
          <w:tcPr>
            <w:tcW w:w="1234" w:type="pct"/>
            <w:gridSpan w:val="2"/>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r>
              <w:rPr>
                <w:color w:val="auto"/>
                <w:sz w:val="21"/>
                <w:szCs w:val="21"/>
                <w:highlight w:val="none"/>
              </w:rPr>
              <w:t>有机物等</w:t>
            </w:r>
          </w:p>
        </w:tc>
        <w:tc>
          <w:tcPr>
            <w:tcW w:w="479" w:type="pct"/>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r>
              <w:rPr>
                <w:color w:val="auto"/>
                <w:sz w:val="21"/>
                <w:szCs w:val="21"/>
                <w:highlight w:val="none"/>
              </w:rPr>
              <w:t>3</w:t>
            </w:r>
          </w:p>
        </w:tc>
        <w:tc>
          <w:tcPr>
            <w:tcW w:w="1466" w:type="pct"/>
            <w:vMerge w:val="restart"/>
            <w:tcBorders>
              <w:tl2br w:val="nil"/>
              <w:tr2bl w:val="nil"/>
            </w:tcBorders>
            <w:tcMar>
              <w:top w:w="0" w:type="dxa"/>
              <w:left w:w="51" w:type="dxa"/>
              <w:bottom w:w="0" w:type="dxa"/>
              <w:right w:w="51" w:type="dxa"/>
            </w:tcMar>
            <w:vAlign w:val="center"/>
          </w:tcPr>
          <w:p>
            <w:pPr>
              <w:pStyle w:val="137"/>
              <w:spacing w:line="240" w:lineRule="exact"/>
              <w:jc w:val="center"/>
              <w:rPr>
                <w:color w:val="auto"/>
                <w:sz w:val="21"/>
                <w:szCs w:val="21"/>
                <w:highlight w:val="none"/>
                <w:lang w:eastAsia="zh-CN"/>
              </w:rPr>
            </w:pPr>
            <w:r>
              <w:rPr>
                <w:color w:val="auto"/>
                <w:sz w:val="21"/>
                <w:szCs w:val="21"/>
                <w:highlight w:val="none"/>
                <w:lang w:eastAsia="zh-CN"/>
              </w:rPr>
              <w:t>委托有资质单位处置</w:t>
            </w:r>
          </w:p>
        </w:tc>
        <w:tc>
          <w:tcPr>
            <w:tcW w:w="506" w:type="pct"/>
            <w:tcBorders>
              <w:tl2br w:val="nil"/>
              <w:tr2bl w:val="nil"/>
            </w:tcBorders>
            <w:vAlign w:val="center"/>
          </w:tcPr>
          <w:p>
            <w:pPr>
              <w:spacing w:line="240" w:lineRule="exact"/>
              <w:jc w:val="center"/>
              <w:rPr>
                <w:color w:val="auto"/>
                <w:sz w:val="21"/>
                <w:szCs w:val="21"/>
                <w:highlight w:val="none"/>
              </w:rPr>
            </w:pPr>
            <w:r>
              <w:rPr>
                <w:color w:val="auto"/>
                <w:sz w:val="21"/>
                <w:szCs w:val="21"/>
                <w:highlight w:val="none"/>
              </w:rPr>
              <w:t>3</w:t>
            </w:r>
          </w:p>
        </w:tc>
        <w:tc>
          <w:tcPr>
            <w:tcW w:w="423" w:type="pct"/>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r>
              <w:rPr>
                <w:color w:val="auto"/>
                <w:sz w:val="21"/>
                <w:szCs w:val="21"/>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6" w:hRule="atLeast"/>
          <w:tblHeader/>
          <w:jc w:val="center"/>
        </w:trPr>
        <w:tc>
          <w:tcPr>
            <w:tcW w:w="212" w:type="pct"/>
            <w:vMerge w:val="continue"/>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p>
        </w:tc>
        <w:tc>
          <w:tcPr>
            <w:tcW w:w="676" w:type="pct"/>
            <w:gridSpan w:val="2"/>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r>
              <w:rPr>
                <w:color w:val="auto"/>
                <w:sz w:val="21"/>
                <w:szCs w:val="21"/>
                <w:highlight w:val="none"/>
              </w:rPr>
              <w:t>废催化剂</w:t>
            </w:r>
          </w:p>
        </w:tc>
        <w:tc>
          <w:tcPr>
            <w:tcW w:w="1234" w:type="pct"/>
            <w:gridSpan w:val="2"/>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r>
              <w:rPr>
                <w:color w:val="auto"/>
                <w:sz w:val="21"/>
                <w:szCs w:val="21"/>
                <w:highlight w:val="none"/>
              </w:rPr>
              <w:t>铂等重金属</w:t>
            </w:r>
          </w:p>
        </w:tc>
        <w:tc>
          <w:tcPr>
            <w:tcW w:w="479" w:type="pct"/>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r>
              <w:rPr>
                <w:color w:val="auto"/>
                <w:sz w:val="21"/>
                <w:szCs w:val="21"/>
                <w:highlight w:val="none"/>
              </w:rPr>
              <w:t>0.019</w:t>
            </w:r>
          </w:p>
        </w:tc>
        <w:tc>
          <w:tcPr>
            <w:tcW w:w="1466" w:type="pct"/>
            <w:vMerge w:val="continue"/>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p>
        </w:tc>
        <w:tc>
          <w:tcPr>
            <w:tcW w:w="506" w:type="pct"/>
            <w:tcBorders>
              <w:tl2br w:val="nil"/>
              <w:tr2bl w:val="nil"/>
            </w:tcBorders>
            <w:vAlign w:val="center"/>
          </w:tcPr>
          <w:p>
            <w:pPr>
              <w:spacing w:line="240" w:lineRule="exact"/>
              <w:jc w:val="center"/>
              <w:rPr>
                <w:color w:val="auto"/>
                <w:sz w:val="21"/>
                <w:szCs w:val="21"/>
                <w:highlight w:val="none"/>
              </w:rPr>
            </w:pPr>
            <w:r>
              <w:rPr>
                <w:color w:val="auto"/>
                <w:sz w:val="21"/>
                <w:szCs w:val="21"/>
                <w:highlight w:val="none"/>
              </w:rPr>
              <w:t>0.019</w:t>
            </w:r>
          </w:p>
        </w:tc>
        <w:tc>
          <w:tcPr>
            <w:tcW w:w="423" w:type="pct"/>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r>
              <w:rPr>
                <w:rFonts w:hint="eastAsia"/>
                <w:color w:val="auto"/>
                <w:sz w:val="21"/>
                <w:szCs w:val="21"/>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4" w:hRule="atLeast"/>
          <w:tblHeader/>
          <w:jc w:val="center"/>
        </w:trPr>
        <w:tc>
          <w:tcPr>
            <w:tcW w:w="212" w:type="pct"/>
            <w:vMerge w:val="continue"/>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p>
        </w:tc>
        <w:tc>
          <w:tcPr>
            <w:tcW w:w="676" w:type="pct"/>
            <w:gridSpan w:val="2"/>
            <w:tcBorders>
              <w:tl2br w:val="nil"/>
              <w:tr2bl w:val="nil"/>
            </w:tcBorders>
            <w:tcMar>
              <w:top w:w="0" w:type="dxa"/>
              <w:left w:w="51" w:type="dxa"/>
              <w:bottom w:w="0" w:type="dxa"/>
              <w:right w:w="51" w:type="dxa"/>
            </w:tcMar>
            <w:vAlign w:val="center"/>
          </w:tcPr>
          <w:p>
            <w:pPr>
              <w:pStyle w:val="137"/>
              <w:spacing w:line="240" w:lineRule="exact"/>
              <w:jc w:val="center"/>
              <w:rPr>
                <w:color w:val="auto"/>
                <w:sz w:val="21"/>
                <w:szCs w:val="21"/>
                <w:highlight w:val="none"/>
                <w:lang w:eastAsia="zh-CN"/>
              </w:rPr>
            </w:pPr>
            <w:r>
              <w:rPr>
                <w:rFonts w:ascii="Times New Roman" w:hAnsi="Times New Roman"/>
                <w:color w:val="auto"/>
                <w:sz w:val="21"/>
                <w:szCs w:val="21"/>
                <w:highlight w:val="none"/>
              </w:rPr>
              <w:t>废矿物油及其空桶</w:t>
            </w:r>
          </w:p>
        </w:tc>
        <w:tc>
          <w:tcPr>
            <w:tcW w:w="1234" w:type="pct"/>
            <w:gridSpan w:val="2"/>
            <w:tcBorders>
              <w:tl2br w:val="nil"/>
              <w:tr2bl w:val="nil"/>
            </w:tcBorders>
            <w:tcMar>
              <w:top w:w="0" w:type="dxa"/>
              <w:left w:w="51" w:type="dxa"/>
              <w:bottom w:w="0" w:type="dxa"/>
              <w:right w:w="51" w:type="dxa"/>
            </w:tcMar>
            <w:vAlign w:val="center"/>
          </w:tcPr>
          <w:p>
            <w:pPr>
              <w:pStyle w:val="137"/>
              <w:spacing w:line="240" w:lineRule="exact"/>
              <w:jc w:val="center"/>
              <w:rPr>
                <w:color w:val="auto"/>
                <w:sz w:val="21"/>
                <w:szCs w:val="21"/>
                <w:highlight w:val="none"/>
                <w:lang w:eastAsia="zh-CN"/>
              </w:rPr>
            </w:pPr>
            <w:r>
              <w:rPr>
                <w:rFonts w:ascii="Times New Roman" w:hAnsi="Times New Roman"/>
                <w:color w:val="auto"/>
                <w:sz w:val="21"/>
                <w:szCs w:val="21"/>
                <w:highlight w:val="none"/>
              </w:rPr>
              <w:t>废矿物油</w:t>
            </w:r>
          </w:p>
        </w:tc>
        <w:tc>
          <w:tcPr>
            <w:tcW w:w="479" w:type="pct"/>
            <w:tcBorders>
              <w:tl2br w:val="nil"/>
              <w:tr2bl w:val="nil"/>
            </w:tcBorders>
            <w:tcMar>
              <w:top w:w="0" w:type="dxa"/>
              <w:left w:w="51" w:type="dxa"/>
              <w:bottom w:w="0" w:type="dxa"/>
              <w:right w:w="51" w:type="dxa"/>
            </w:tcMar>
            <w:vAlign w:val="center"/>
          </w:tcPr>
          <w:p>
            <w:pPr>
              <w:pStyle w:val="137"/>
              <w:spacing w:line="240" w:lineRule="exact"/>
              <w:jc w:val="center"/>
              <w:rPr>
                <w:color w:val="auto"/>
                <w:sz w:val="21"/>
                <w:szCs w:val="21"/>
                <w:highlight w:val="none"/>
              </w:rPr>
            </w:pPr>
            <w:r>
              <w:rPr>
                <w:rFonts w:ascii="Times New Roman" w:hAnsi="Times New Roman"/>
                <w:color w:val="auto"/>
                <w:sz w:val="21"/>
                <w:szCs w:val="21"/>
                <w:highlight w:val="none"/>
              </w:rPr>
              <w:t>0.05</w:t>
            </w:r>
          </w:p>
        </w:tc>
        <w:tc>
          <w:tcPr>
            <w:tcW w:w="1466" w:type="pct"/>
            <w:vMerge w:val="continue"/>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p>
        </w:tc>
        <w:tc>
          <w:tcPr>
            <w:tcW w:w="506" w:type="pct"/>
            <w:tcBorders>
              <w:tl2br w:val="nil"/>
              <w:tr2bl w:val="nil"/>
            </w:tcBorders>
            <w:vAlign w:val="center"/>
          </w:tcPr>
          <w:p>
            <w:pPr>
              <w:pStyle w:val="137"/>
              <w:spacing w:line="240" w:lineRule="exact"/>
              <w:jc w:val="center"/>
              <w:rPr>
                <w:color w:val="auto"/>
                <w:sz w:val="21"/>
                <w:szCs w:val="21"/>
                <w:highlight w:val="none"/>
              </w:rPr>
            </w:pPr>
            <w:r>
              <w:rPr>
                <w:rFonts w:ascii="Times New Roman" w:hAnsi="Times New Roman"/>
                <w:color w:val="auto"/>
                <w:sz w:val="21"/>
                <w:szCs w:val="21"/>
                <w:highlight w:val="none"/>
              </w:rPr>
              <w:t>0.05</w:t>
            </w:r>
          </w:p>
        </w:tc>
        <w:tc>
          <w:tcPr>
            <w:tcW w:w="423" w:type="pct"/>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r>
              <w:rPr>
                <w:color w:val="auto"/>
                <w:sz w:val="21"/>
                <w:szCs w:val="21"/>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84" w:hRule="atLeast"/>
          <w:tblHeader/>
          <w:jc w:val="center"/>
        </w:trPr>
        <w:tc>
          <w:tcPr>
            <w:tcW w:w="212" w:type="pct"/>
            <w:vMerge w:val="continue"/>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p>
        </w:tc>
        <w:tc>
          <w:tcPr>
            <w:tcW w:w="676" w:type="pct"/>
            <w:gridSpan w:val="2"/>
            <w:tcBorders>
              <w:tl2br w:val="nil"/>
              <w:tr2bl w:val="nil"/>
            </w:tcBorders>
            <w:tcMar>
              <w:top w:w="0" w:type="dxa"/>
              <w:left w:w="51" w:type="dxa"/>
              <w:bottom w:w="0" w:type="dxa"/>
              <w:right w:w="51" w:type="dxa"/>
            </w:tcMar>
            <w:vAlign w:val="center"/>
          </w:tcPr>
          <w:p>
            <w:pPr>
              <w:pStyle w:val="1321"/>
              <w:spacing w:line="240" w:lineRule="exact"/>
              <w:rPr>
                <w:color w:val="auto"/>
                <w:sz w:val="21"/>
                <w:szCs w:val="21"/>
                <w:highlight w:val="none"/>
              </w:rPr>
            </w:pPr>
            <w:r>
              <w:rPr>
                <w:color w:val="auto"/>
                <w:sz w:val="21"/>
                <w:szCs w:val="21"/>
                <w:highlight w:val="none"/>
              </w:rPr>
              <w:t>办公生活</w:t>
            </w:r>
          </w:p>
        </w:tc>
        <w:tc>
          <w:tcPr>
            <w:tcW w:w="1234" w:type="pct"/>
            <w:gridSpan w:val="2"/>
            <w:tcBorders>
              <w:tl2br w:val="nil"/>
              <w:tr2bl w:val="nil"/>
            </w:tcBorders>
            <w:tcMar>
              <w:top w:w="0" w:type="dxa"/>
              <w:left w:w="51" w:type="dxa"/>
              <w:bottom w:w="0" w:type="dxa"/>
              <w:right w:w="51" w:type="dxa"/>
            </w:tcMar>
            <w:vAlign w:val="center"/>
          </w:tcPr>
          <w:p>
            <w:pPr>
              <w:pStyle w:val="1321"/>
              <w:spacing w:line="240" w:lineRule="exact"/>
              <w:rPr>
                <w:color w:val="auto"/>
                <w:sz w:val="21"/>
                <w:szCs w:val="21"/>
                <w:highlight w:val="none"/>
              </w:rPr>
            </w:pPr>
            <w:r>
              <w:rPr>
                <w:color w:val="auto"/>
                <w:sz w:val="21"/>
                <w:szCs w:val="21"/>
                <w:highlight w:val="none"/>
              </w:rPr>
              <w:t>生活垃圾</w:t>
            </w:r>
          </w:p>
        </w:tc>
        <w:tc>
          <w:tcPr>
            <w:tcW w:w="479" w:type="pct"/>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r>
              <w:rPr>
                <w:rFonts w:hint="eastAsia"/>
                <w:color w:val="auto"/>
                <w:sz w:val="21"/>
                <w:szCs w:val="21"/>
                <w:highlight w:val="none"/>
              </w:rPr>
              <w:t>4.5</w:t>
            </w:r>
          </w:p>
        </w:tc>
        <w:tc>
          <w:tcPr>
            <w:tcW w:w="1466" w:type="pct"/>
            <w:tcBorders>
              <w:tl2br w:val="nil"/>
              <w:tr2bl w:val="nil"/>
            </w:tcBorders>
            <w:tcMar>
              <w:top w:w="0" w:type="dxa"/>
              <w:left w:w="51" w:type="dxa"/>
              <w:bottom w:w="0" w:type="dxa"/>
              <w:right w:w="51" w:type="dxa"/>
            </w:tcMar>
            <w:vAlign w:val="center"/>
          </w:tcPr>
          <w:p>
            <w:pPr>
              <w:pStyle w:val="137"/>
              <w:spacing w:line="240" w:lineRule="exact"/>
              <w:jc w:val="center"/>
              <w:rPr>
                <w:color w:val="auto"/>
                <w:sz w:val="21"/>
                <w:szCs w:val="21"/>
                <w:highlight w:val="none"/>
              </w:rPr>
            </w:pPr>
            <w:r>
              <w:rPr>
                <w:color w:val="auto"/>
                <w:sz w:val="21"/>
                <w:szCs w:val="21"/>
                <w:highlight w:val="none"/>
              </w:rPr>
              <w:t>环卫部门处置</w:t>
            </w:r>
          </w:p>
        </w:tc>
        <w:tc>
          <w:tcPr>
            <w:tcW w:w="506" w:type="pct"/>
            <w:tcBorders>
              <w:tl2br w:val="nil"/>
              <w:tr2bl w:val="nil"/>
            </w:tcBorders>
            <w:vAlign w:val="center"/>
          </w:tcPr>
          <w:p>
            <w:pPr>
              <w:spacing w:line="240" w:lineRule="exact"/>
              <w:jc w:val="center"/>
              <w:rPr>
                <w:color w:val="auto"/>
                <w:sz w:val="21"/>
                <w:szCs w:val="21"/>
                <w:highlight w:val="none"/>
              </w:rPr>
            </w:pPr>
            <w:r>
              <w:rPr>
                <w:rFonts w:hint="eastAsia"/>
                <w:color w:val="auto"/>
                <w:sz w:val="21"/>
                <w:szCs w:val="21"/>
                <w:highlight w:val="none"/>
              </w:rPr>
              <w:t>4.5</w:t>
            </w:r>
          </w:p>
        </w:tc>
        <w:tc>
          <w:tcPr>
            <w:tcW w:w="423" w:type="pct"/>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r>
              <w:rPr>
                <w:color w:val="auto"/>
                <w:sz w:val="21"/>
                <w:szCs w:val="21"/>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84" w:hRule="atLeast"/>
          <w:tblHeader/>
          <w:jc w:val="center"/>
        </w:trPr>
        <w:tc>
          <w:tcPr>
            <w:tcW w:w="889" w:type="pct"/>
            <w:gridSpan w:val="3"/>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r>
              <w:rPr>
                <w:color w:val="auto"/>
                <w:sz w:val="21"/>
                <w:szCs w:val="21"/>
                <w:highlight w:val="none"/>
              </w:rPr>
              <w:t>噪声</w:t>
            </w:r>
          </w:p>
        </w:tc>
        <w:tc>
          <w:tcPr>
            <w:tcW w:w="4110" w:type="pct"/>
            <w:gridSpan w:val="6"/>
            <w:tcBorders>
              <w:tl2br w:val="nil"/>
              <w:tr2bl w:val="nil"/>
            </w:tcBorders>
            <w:tcMar>
              <w:top w:w="0" w:type="dxa"/>
              <w:left w:w="51" w:type="dxa"/>
              <w:bottom w:w="0" w:type="dxa"/>
              <w:right w:w="51" w:type="dxa"/>
            </w:tcMar>
            <w:vAlign w:val="center"/>
          </w:tcPr>
          <w:p>
            <w:pPr>
              <w:spacing w:line="240" w:lineRule="exact"/>
              <w:jc w:val="center"/>
              <w:rPr>
                <w:color w:val="auto"/>
                <w:sz w:val="21"/>
                <w:szCs w:val="21"/>
                <w:highlight w:val="none"/>
              </w:rPr>
            </w:pPr>
            <w:r>
              <w:rPr>
                <w:color w:val="auto"/>
                <w:sz w:val="21"/>
                <w:szCs w:val="21"/>
                <w:highlight w:val="none"/>
              </w:rPr>
              <w:t>噪声主要来源于</w:t>
            </w:r>
            <w:r>
              <w:rPr>
                <w:rFonts w:hint="eastAsia"/>
                <w:color w:val="auto"/>
                <w:sz w:val="21"/>
                <w:szCs w:val="21"/>
                <w:highlight w:val="none"/>
              </w:rPr>
              <w:t>挤出机、牵引机、切割锯、成型机、注塑机、造粒机、切粒机、风机及各种泵类</w:t>
            </w:r>
            <w:r>
              <w:rPr>
                <w:color w:val="auto"/>
                <w:sz w:val="21"/>
                <w:szCs w:val="21"/>
                <w:highlight w:val="none"/>
              </w:rPr>
              <w:t>等生产设备，噪声值约为</w:t>
            </w:r>
            <w:r>
              <w:rPr>
                <w:rFonts w:hint="eastAsia"/>
                <w:color w:val="auto"/>
                <w:sz w:val="21"/>
                <w:szCs w:val="21"/>
                <w:highlight w:val="none"/>
              </w:rPr>
              <w:t>65</w:t>
            </w:r>
            <w:r>
              <w:rPr>
                <w:color w:val="auto"/>
                <w:sz w:val="21"/>
                <w:szCs w:val="21"/>
                <w:highlight w:val="none"/>
              </w:rPr>
              <w:t>~</w:t>
            </w:r>
            <w:r>
              <w:rPr>
                <w:rFonts w:hint="eastAsia"/>
                <w:color w:val="auto"/>
                <w:sz w:val="21"/>
                <w:szCs w:val="21"/>
                <w:highlight w:val="none"/>
              </w:rPr>
              <w:t>8</w:t>
            </w:r>
            <w:r>
              <w:rPr>
                <w:rFonts w:hint="eastAsia"/>
                <w:color w:val="auto"/>
                <w:sz w:val="21"/>
                <w:szCs w:val="21"/>
                <w:highlight w:val="none"/>
                <w:lang w:val="en-US" w:eastAsia="zh-CN"/>
              </w:rPr>
              <w:t>5</w:t>
            </w:r>
            <w:r>
              <w:rPr>
                <w:color w:val="auto"/>
                <w:sz w:val="21"/>
                <w:szCs w:val="21"/>
                <w:highlight w:val="none"/>
              </w:rPr>
              <w:t>dB(A)，采取一定的降噪措施后，厂界噪声可以满足《工业企业厂界环境噪声排放标准》（GB12348-2008）</w:t>
            </w:r>
            <w:r>
              <w:rPr>
                <w:rFonts w:hint="eastAsia"/>
                <w:color w:val="auto"/>
                <w:sz w:val="21"/>
                <w:szCs w:val="21"/>
                <w:highlight w:val="none"/>
              </w:rPr>
              <w:t>2</w:t>
            </w:r>
            <w:r>
              <w:rPr>
                <w:color w:val="auto"/>
                <w:sz w:val="21"/>
                <w:szCs w:val="21"/>
                <w:highlight w:val="none"/>
              </w:rPr>
              <w:t>类标准要求。</w:t>
            </w:r>
          </w:p>
        </w:tc>
      </w:tr>
    </w:tbl>
    <w:p>
      <w:pPr>
        <w:rPr>
          <w:rFonts w:eastAsia="黑体"/>
          <w:color w:val="auto"/>
          <w:sz w:val="24"/>
          <w:highlight w:val="none"/>
        </w:rPr>
      </w:pPr>
    </w:p>
    <w:p>
      <w:pPr>
        <w:spacing w:line="360" w:lineRule="auto"/>
        <w:ind w:firstLine="480" w:firstLineChars="200"/>
        <w:jc w:val="left"/>
        <w:rPr>
          <w:color w:val="auto"/>
          <w:sz w:val="24"/>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sectPr>
          <w:pgSz w:w="11906" w:h="16838"/>
          <w:pgMar w:top="1418" w:right="1418" w:bottom="1418" w:left="1701" w:header="851" w:footer="992" w:gutter="0"/>
          <w:pgBorders>
            <w:top w:val="none" w:sz="0" w:space="0"/>
            <w:left w:val="none" w:sz="0" w:space="0"/>
            <w:bottom w:val="none" w:sz="0" w:space="0"/>
            <w:right w:val="none" w:sz="0" w:space="0"/>
          </w:pgBorders>
          <w:cols w:space="425" w:num="1"/>
          <w:docGrid w:type="lines" w:linePitch="312" w:charSpace="0"/>
        </w:sectPr>
      </w:pPr>
    </w:p>
    <w:bookmarkEnd w:id="1"/>
    <w:p>
      <w:pPr>
        <w:pStyle w:val="98"/>
        <w:spacing w:before="156"/>
        <w:rPr>
          <w:rFonts w:ascii="Times New Roman" w:hAnsi="Times New Roman"/>
          <w:color w:val="auto"/>
          <w:highlight w:val="none"/>
        </w:rPr>
      </w:pPr>
      <w:bookmarkStart w:id="118" w:name="_Toc28313"/>
      <w:bookmarkStart w:id="119" w:name="_Toc66281277"/>
      <w:r>
        <w:rPr>
          <w:rFonts w:ascii="Times New Roman" w:hAnsi="Times New Roman"/>
          <w:color w:val="auto"/>
          <w:highlight w:val="none"/>
        </w:rPr>
        <w:t>3.环境现状调查与评价</w:t>
      </w:r>
      <w:bookmarkEnd w:id="118"/>
      <w:bookmarkEnd w:id="119"/>
    </w:p>
    <w:p>
      <w:pPr>
        <w:pStyle w:val="100"/>
        <w:spacing w:before="156"/>
        <w:rPr>
          <w:rFonts w:ascii="Times New Roman" w:hAnsi="Times New Roman"/>
          <w:color w:val="auto"/>
          <w:highlight w:val="none"/>
        </w:rPr>
      </w:pPr>
      <w:bookmarkStart w:id="120" w:name="_Toc66281278"/>
      <w:bookmarkStart w:id="121" w:name="_Toc18502"/>
      <w:r>
        <w:rPr>
          <w:rFonts w:ascii="Times New Roman" w:hAnsi="Times New Roman"/>
          <w:color w:val="auto"/>
          <w:highlight w:val="none"/>
        </w:rPr>
        <w:t>3.1自然环境现状</w:t>
      </w:r>
      <w:bookmarkEnd w:id="120"/>
      <w:bookmarkEnd w:id="121"/>
    </w:p>
    <w:p>
      <w:pPr>
        <w:pStyle w:val="101"/>
        <w:spacing w:before="78"/>
        <w:rPr>
          <w:rFonts w:ascii="Times New Roman" w:hAnsi="Times New Roman"/>
          <w:color w:val="auto"/>
          <w:highlight w:val="none"/>
        </w:rPr>
      </w:pPr>
      <w:r>
        <w:rPr>
          <w:rFonts w:ascii="Times New Roman" w:hAnsi="Times New Roman"/>
          <w:color w:val="auto"/>
          <w:highlight w:val="none"/>
        </w:rPr>
        <w:t>3.1.1地理位置</w:t>
      </w:r>
    </w:p>
    <w:p>
      <w:pPr>
        <w:pStyle w:val="99"/>
        <w:ind w:firstLine="480"/>
        <w:rPr>
          <w:color w:val="auto"/>
          <w:highlight w:val="none"/>
        </w:rPr>
      </w:pPr>
      <w:r>
        <w:rPr>
          <w:color w:val="auto"/>
          <w:highlight w:val="none"/>
        </w:rPr>
        <w:t>枣庄市位于山东省南部，东与临沂市接壤，西与济宁市为邻，北连孔孟之乡曲阜。枣庄市是山东省的南大门，地处苏、鲁、豫、皖交界和淮海经济区中心，是沿海开放与中西部开发相结合的战略要地，是国务院批准的开放城市，辖市中、峄城、山亭、台儿庄、薛城五区和滕州市。</w:t>
      </w:r>
    </w:p>
    <w:p>
      <w:pPr>
        <w:pStyle w:val="99"/>
        <w:ind w:firstLine="480"/>
        <w:rPr>
          <w:color w:val="auto"/>
          <w:highlight w:val="none"/>
        </w:rPr>
      </w:pPr>
      <w:r>
        <w:rPr>
          <w:color w:val="auto"/>
          <w:highlight w:val="none"/>
        </w:rPr>
        <w:t>峄城区地处枣庄市东南部，韩庄运河北岸，位于E117°23′～117°49′、N34°35′～34°51′之间。东与苍山县毗邻，西南与微山县接壤，北、西、南三面分别与本市的市中区、峄城区、台儿庄区相连。境内东西最长41km，南北最宽31km，总面积627 km</w:t>
      </w:r>
      <w:r>
        <w:rPr>
          <w:color w:val="auto"/>
          <w:highlight w:val="none"/>
          <w:vertAlign w:val="superscript"/>
        </w:rPr>
        <w:t>2</w:t>
      </w:r>
      <w:r>
        <w:rPr>
          <w:color w:val="auto"/>
          <w:highlight w:val="none"/>
        </w:rPr>
        <w:t>。区驻地位于辖区的北部。</w:t>
      </w:r>
    </w:p>
    <w:p>
      <w:pPr>
        <w:pStyle w:val="102"/>
        <w:ind w:firstLine="480"/>
        <w:rPr>
          <w:color w:val="auto"/>
          <w:highlight w:val="none"/>
        </w:rPr>
      </w:pPr>
      <w:r>
        <w:rPr>
          <w:color w:val="auto"/>
          <w:highlight w:val="none"/>
        </w:rPr>
        <w:t>本项目位于</w:t>
      </w:r>
      <w:r>
        <w:rPr>
          <w:rFonts w:hint="eastAsia"/>
          <w:color w:val="auto"/>
          <w:highlight w:val="none"/>
        </w:rPr>
        <w:t>枣庄市峄城区峨山镇大官庄村西</w:t>
      </w:r>
      <w:r>
        <w:rPr>
          <w:color w:val="auto"/>
          <w:highlight w:val="none"/>
        </w:rPr>
        <w:t>，具体地理位置图见图3.1-1。</w:t>
      </w:r>
    </w:p>
    <w:p>
      <w:pPr>
        <w:pStyle w:val="101"/>
        <w:spacing w:before="78"/>
        <w:rPr>
          <w:rFonts w:ascii="Times New Roman" w:hAnsi="Times New Roman"/>
          <w:color w:val="auto"/>
          <w:highlight w:val="none"/>
        </w:rPr>
      </w:pPr>
      <w:r>
        <w:rPr>
          <w:rFonts w:ascii="Times New Roman" w:hAnsi="Times New Roman"/>
          <w:color w:val="auto"/>
          <w:highlight w:val="none"/>
        </w:rPr>
        <w:t>3.1.2地形地貌</w:t>
      </w:r>
    </w:p>
    <w:p>
      <w:pPr>
        <w:spacing w:line="360" w:lineRule="auto"/>
        <w:ind w:firstLine="480" w:firstLineChars="200"/>
        <w:rPr>
          <w:color w:val="auto"/>
          <w:sz w:val="24"/>
          <w:szCs w:val="24"/>
          <w:highlight w:val="none"/>
        </w:rPr>
      </w:pPr>
      <w:r>
        <w:rPr>
          <w:color w:val="auto"/>
          <w:sz w:val="24"/>
          <w:szCs w:val="24"/>
          <w:highlight w:val="none"/>
        </w:rPr>
        <w:t>峄城区地处鲁中南山地丘陵与淮北平原的衔接带上，在地貌分类上既有丘陵，又有平原。在不同营造力的作用下，本区地貌在成因上形成三种类型：流水地貌、岩溶地貌、构造地貌。</w:t>
      </w:r>
    </w:p>
    <w:p>
      <w:pPr>
        <w:spacing w:line="360" w:lineRule="auto"/>
        <w:ind w:firstLine="480" w:firstLineChars="200"/>
        <w:rPr>
          <w:color w:val="auto"/>
          <w:sz w:val="24"/>
          <w:szCs w:val="24"/>
          <w:highlight w:val="none"/>
        </w:rPr>
      </w:pPr>
      <w:r>
        <w:rPr>
          <w:color w:val="auto"/>
          <w:sz w:val="24"/>
          <w:szCs w:val="24"/>
          <w:highlight w:val="none"/>
        </w:rPr>
        <w:t>流水地貌：此地貌是峄城区重要地貌类型。由于流水沿断裂强烈下切，丘陵解体，原有呈东西向排列的脉状丘陵，被切割成基座相连，呈现圆椎状或浑圆状丘陵。脉状丘陵尽管被流水切割而解体，但陵顶海拔高程大致相等，说明当初陵顶是在一个平面上，这个面就是鲁中南初期侵蚀面。流水地貌除流水侵蚀地貌还有流水堆积地貌。流水堆积地貌分布于丘陵坡麓、谷地和平原地带，是属于流水对丘陵的侵蚀，将侵蚀下的物质搬运到山麓以下低凹处堆积所致。流水堆积地貌在峄城区大面积的分布。</w:t>
      </w:r>
    </w:p>
    <w:p>
      <w:pPr>
        <w:spacing w:line="360" w:lineRule="auto"/>
        <w:ind w:firstLine="480" w:firstLineChars="200"/>
        <w:rPr>
          <w:color w:val="auto"/>
          <w:sz w:val="24"/>
          <w:szCs w:val="24"/>
          <w:highlight w:val="none"/>
        </w:rPr>
      </w:pPr>
      <w:r>
        <w:rPr>
          <w:color w:val="auto"/>
          <w:sz w:val="24"/>
          <w:szCs w:val="24"/>
          <w:highlight w:val="none"/>
        </w:rPr>
        <w:t>岩溶地貌：此地貌是流水对可溶性岩石溶蚀所致。峄城区石灰岩广泛出露，丘陵顶部几乎全部由石灰岩组成。石灰岩硬度大，但风化节理和构造节理发育，流水沿着节理面长期溶蚀，在石灰岩表面溶蚀成数量众多的溶沟，沟间形成石芽。溶沟宽10~30厘米，深30~50厘米，长度不一，也不连续。溶沟石芽属于地表岩溶地貌，因丘陵顶部石灰岩广泛分布，所以地表岩溶地貌分布很广，发育典型。丘顶部的石灰岩厚度不大，如青檀寺山顶的石灰岩厚度也不过50米，以下为页岩。就整个丘陵地带来说，地下岩溶地貌不发育。在页岩以下，还有一层石灰岩，因上面的页岩起到隔水层的作用，所以这一层石灰岩地下岩溶地貌发育不好，溶洞少见，或规模小而不典型。</w:t>
      </w:r>
    </w:p>
    <w:p>
      <w:pPr>
        <w:spacing w:line="360" w:lineRule="auto"/>
        <w:ind w:firstLine="480" w:firstLineChars="200"/>
        <w:rPr>
          <w:color w:val="auto"/>
          <w:sz w:val="24"/>
          <w:szCs w:val="24"/>
          <w:highlight w:val="none"/>
        </w:rPr>
      </w:pPr>
      <w:r>
        <w:rPr>
          <w:color w:val="auto"/>
          <w:sz w:val="24"/>
          <w:szCs w:val="24"/>
          <w:highlight w:val="none"/>
        </w:rPr>
        <w:t>构造地貌：此地貌分为低山丘陵、山前平原和洼地。</w:t>
      </w:r>
    </w:p>
    <w:p>
      <w:pPr>
        <w:spacing w:line="360" w:lineRule="auto"/>
        <w:ind w:firstLine="480" w:firstLineChars="200"/>
        <w:rPr>
          <w:color w:val="auto"/>
          <w:sz w:val="24"/>
          <w:szCs w:val="24"/>
          <w:highlight w:val="none"/>
        </w:rPr>
      </w:pPr>
      <w:r>
        <w:rPr>
          <w:rFonts w:ascii="宋体" w:hAnsi="宋体" w:cs="宋体"/>
          <w:color w:val="auto"/>
          <w:sz w:val="24"/>
          <w:szCs w:val="24"/>
          <w:highlight w:val="none"/>
        </w:rPr>
        <w:t>①</w:t>
      </w:r>
      <w:r>
        <w:rPr>
          <w:color w:val="auto"/>
          <w:sz w:val="24"/>
          <w:szCs w:val="24"/>
          <w:highlight w:val="none"/>
        </w:rPr>
        <w:t>低山丘陵。分布规律是北面一条带，中部一大块，从坡顶到坡脚划分为：山丘岭坡、梯田、近山台地。</w:t>
      </w:r>
    </w:p>
    <w:p>
      <w:pPr>
        <w:spacing w:line="360" w:lineRule="auto"/>
        <w:ind w:firstLine="480" w:firstLineChars="200"/>
        <w:rPr>
          <w:color w:val="auto"/>
          <w:sz w:val="24"/>
          <w:szCs w:val="24"/>
          <w:highlight w:val="none"/>
        </w:rPr>
      </w:pPr>
      <w:r>
        <w:rPr>
          <w:color w:val="auto"/>
          <w:sz w:val="24"/>
          <w:szCs w:val="24"/>
          <w:highlight w:val="none"/>
        </w:rPr>
        <w:t>山丘岭坡：此岭坡指山顶部位。按海拔高度可划分为两个层次。高层次的海拔为300米，低层次的海拔为200米。高层次山顶为坚硬的石灰岩组成，抗风化能力强，高高突起。全区108个山头中，海拔在300米上下的主要山头有：大马山（314.8米）、卧虎山（290米）、锅其山（301.4米）、坛山（275.8米）棚山（325.5米）、大明山（311米）文峰山（350.5米，为全区制高点）、寨山（331.7米）、黄崖山（332米）等。海拔200米左右的山头也为数不少，因顶部的石灰岩剥蚀殆尽，下层的页岩也极易受蚀剥去，所以高度降低。分布于主体丘陵外围的丘陵，如峨山（206米）、白山（224.4米）等。这些山顶因受蚀降低，坡度减小，多数成浑圆状。</w:t>
      </w:r>
    </w:p>
    <w:p>
      <w:pPr>
        <w:spacing w:line="360" w:lineRule="auto"/>
        <w:ind w:firstLine="480" w:firstLineChars="200"/>
        <w:rPr>
          <w:color w:val="auto"/>
          <w:sz w:val="24"/>
          <w:szCs w:val="24"/>
          <w:highlight w:val="none"/>
        </w:rPr>
      </w:pPr>
      <w:r>
        <w:rPr>
          <w:color w:val="auto"/>
          <w:sz w:val="24"/>
          <w:szCs w:val="24"/>
          <w:highlight w:val="none"/>
        </w:rPr>
        <w:t>梯田：指坡腰部位。海拔在300米高丘陵顶部为坚硬石灰岩，石灰岩崩塌，形成陡崖。陡岩以下为页岩。页岩受蚀，山坡后退，形成凹形坡腰。坡腰表层为一层残积坡积层。层厚10~30厘米。坡腰为凹形坡，坡度为20°~30°，不宜开垦耕种，但可修成梯田，植树造林。海拔在200米低山丘陵区，相对高度差减小，坡度减缓，坡腰坡度降至20°以下，可在这种低山丘陵缓坡造梯田。这种低丘陵缓坡地区在峄城区东部的萝藤、峨山、甘露沟及肖桥、大转湾村一带广泛分布。</w:t>
      </w:r>
    </w:p>
    <w:p>
      <w:pPr>
        <w:spacing w:line="360" w:lineRule="auto"/>
        <w:ind w:firstLine="480" w:firstLineChars="200"/>
        <w:rPr>
          <w:color w:val="auto"/>
          <w:sz w:val="24"/>
          <w:szCs w:val="24"/>
          <w:highlight w:val="none"/>
        </w:rPr>
      </w:pPr>
      <w:r>
        <w:rPr>
          <w:color w:val="auto"/>
          <w:sz w:val="24"/>
          <w:szCs w:val="24"/>
          <w:highlight w:val="none"/>
        </w:rPr>
        <w:t>近山台地：指山麓部位，本部位特点是坡面平缓，似如平台。成因主要是山坡受蚀平行后退，在丘陵底部边缘部位形成平台。平台之上堆积了一层坡积和洪积物，后被沟谷流水切割，表面起伏不平，边缘呈花边状，这种形状像裙衣，所以将这种山麓地带由坡积和洪积物组成的地表形态称为坡积裙。坡积裙出露广泛，在丘陵地带的山麓部位只要不受到某种原因侵蚀，都有分布。</w:t>
      </w:r>
    </w:p>
    <w:p>
      <w:pPr>
        <w:spacing w:line="360" w:lineRule="auto"/>
        <w:ind w:firstLine="480" w:firstLineChars="200"/>
        <w:rPr>
          <w:color w:val="auto"/>
          <w:sz w:val="24"/>
          <w:szCs w:val="24"/>
          <w:highlight w:val="none"/>
        </w:rPr>
      </w:pPr>
      <w:r>
        <w:rPr>
          <w:rFonts w:ascii="宋体" w:hAnsi="宋体" w:cs="宋体"/>
          <w:color w:val="auto"/>
          <w:sz w:val="24"/>
          <w:szCs w:val="24"/>
          <w:highlight w:val="none"/>
        </w:rPr>
        <w:t>②</w:t>
      </w:r>
      <w:r>
        <w:rPr>
          <w:color w:val="auto"/>
          <w:sz w:val="24"/>
          <w:szCs w:val="24"/>
          <w:highlight w:val="none"/>
        </w:rPr>
        <w:t>山前平原。分布于峄城区中部。被丘陵分割成若干片，海拔在40~66米之间。从所处部位划分为山间谷地、山前倾斜平原和低石土垅。</w:t>
      </w:r>
    </w:p>
    <w:p>
      <w:pPr>
        <w:spacing w:line="360" w:lineRule="auto"/>
        <w:ind w:firstLine="480" w:firstLineChars="200"/>
        <w:rPr>
          <w:color w:val="auto"/>
          <w:sz w:val="24"/>
          <w:szCs w:val="24"/>
          <w:highlight w:val="none"/>
        </w:rPr>
      </w:pPr>
      <w:r>
        <w:rPr>
          <w:color w:val="auto"/>
          <w:sz w:val="24"/>
          <w:szCs w:val="24"/>
          <w:highlight w:val="none"/>
        </w:rPr>
        <w:t>山间谷地：面积较大的为棠荫——王庄谷地。该谷地东西长15千米，西窄东宽，平均宽2千米，南北被低山丘陵所围绕。谷地平坦，海拔，西部为100米，东部为50米，谷底面微微向东倾斜。谷地成因属于断块凹陷。谷底中部土层厚10米，两侧逐渐减薄。</w:t>
      </w:r>
    </w:p>
    <w:p>
      <w:pPr>
        <w:spacing w:line="360" w:lineRule="auto"/>
        <w:ind w:firstLine="480" w:firstLineChars="200"/>
        <w:rPr>
          <w:color w:val="auto"/>
          <w:sz w:val="24"/>
          <w:szCs w:val="24"/>
          <w:highlight w:val="none"/>
        </w:rPr>
      </w:pPr>
      <w:r>
        <w:rPr>
          <w:color w:val="auto"/>
          <w:sz w:val="24"/>
          <w:szCs w:val="24"/>
          <w:highlight w:val="none"/>
        </w:rPr>
        <w:t>山前倾斜平原：分布面积最大，一片分布于东部丘陵南侧的广大平坦地区，另一分布于阴平、金陵寺一线以南到刘桥干渠。从成因上说，这两大片平原皆属于流水侵蚀所形成的剥蚀平原。其表面特征，地面微有起伏，隆起处基岩出露（称为低石土垅），低洼处覆盖有一定厚度的土层，约几十厘米到几米。</w:t>
      </w:r>
    </w:p>
    <w:p>
      <w:pPr>
        <w:spacing w:line="360" w:lineRule="auto"/>
        <w:ind w:firstLine="480" w:firstLineChars="200"/>
        <w:rPr>
          <w:color w:val="auto"/>
          <w:sz w:val="24"/>
          <w:szCs w:val="24"/>
          <w:highlight w:val="none"/>
        </w:rPr>
      </w:pPr>
      <w:r>
        <w:rPr>
          <w:rFonts w:ascii="宋体" w:hAnsi="宋体" w:cs="宋体"/>
          <w:color w:val="auto"/>
          <w:sz w:val="24"/>
          <w:szCs w:val="24"/>
          <w:highlight w:val="none"/>
        </w:rPr>
        <w:t>③</w:t>
      </w:r>
      <w:r>
        <w:rPr>
          <w:color w:val="auto"/>
          <w:sz w:val="24"/>
          <w:szCs w:val="24"/>
          <w:highlight w:val="none"/>
        </w:rPr>
        <w:t>洼地。分布于古邵镇南的运河一带以及底阁镇南部。地形低洼，海拔在30~40米之间。古邵镇杨官闸运河滩地的海拔29.5米，是本区最低点。新构造运动在本区的表现是由北向南的掀斜运动，对刘桥干渠一线属于掀斜运动的转轴线，线北为上升区，线南为下降区。所以在洼地范围内为沉降区，地表下沉并接受物质堆积。实际上，洼地已具备了堆积平原的性质，若进一步划分，洼地可分为交接洼地和河漫滩。交接洼地属于山前倾斜平原和洼地间的过渡区，位于刘桥干渠以南，曹庄、坊上一线以北。河漫滩位于运河一带，基本上归属于堆积平原。因为本部位已经受到黄河影响，成为黄泛区的一部分。</w:t>
      </w:r>
    </w:p>
    <w:p>
      <w:pPr>
        <w:spacing w:line="360" w:lineRule="auto"/>
        <w:ind w:firstLine="480" w:firstLineChars="200"/>
        <w:rPr>
          <w:color w:val="auto"/>
          <w:sz w:val="24"/>
          <w:szCs w:val="24"/>
          <w:highlight w:val="none"/>
        </w:rPr>
      </w:pPr>
      <w:r>
        <w:rPr>
          <w:rFonts w:hint="eastAsia"/>
          <w:color w:val="auto"/>
          <w:sz w:val="24"/>
          <w:szCs w:val="24"/>
          <w:highlight w:val="none"/>
        </w:rPr>
        <w:t>本项目处于山前平原地区，</w:t>
      </w:r>
      <w:r>
        <w:rPr>
          <w:color w:val="auto"/>
          <w:sz w:val="24"/>
          <w:szCs w:val="24"/>
          <w:highlight w:val="none"/>
        </w:rPr>
        <w:t>拟建场地整体地形上起伏较</w:t>
      </w:r>
      <w:r>
        <w:rPr>
          <w:rFonts w:hint="eastAsia"/>
          <w:color w:val="auto"/>
          <w:sz w:val="24"/>
          <w:szCs w:val="24"/>
          <w:highlight w:val="none"/>
        </w:rPr>
        <w:t>小</w:t>
      </w:r>
      <w:r>
        <w:rPr>
          <w:color w:val="auto"/>
          <w:sz w:val="24"/>
          <w:szCs w:val="24"/>
          <w:highlight w:val="none"/>
        </w:rPr>
        <w:t>。</w:t>
      </w:r>
    </w:p>
    <w:p>
      <w:pPr>
        <w:pStyle w:val="102"/>
        <w:ind w:firstLine="480"/>
        <w:rPr>
          <w:color w:val="auto"/>
          <w:highlight w:val="none"/>
        </w:rPr>
      </w:pPr>
      <w:r>
        <w:rPr>
          <w:color w:val="auto"/>
          <w:szCs w:val="24"/>
          <w:highlight w:val="none"/>
        </w:rPr>
        <w:t>枣庄市地貌见图3.1-2。</w:t>
      </w:r>
    </w:p>
    <w:p>
      <w:pPr>
        <w:pStyle w:val="101"/>
        <w:spacing w:before="78"/>
        <w:rPr>
          <w:rFonts w:ascii="Times New Roman" w:hAnsi="Times New Roman"/>
          <w:color w:val="auto"/>
          <w:highlight w:val="none"/>
        </w:rPr>
      </w:pPr>
      <w:r>
        <w:rPr>
          <w:rFonts w:ascii="Times New Roman" w:hAnsi="Times New Roman"/>
          <w:color w:val="auto"/>
          <w:highlight w:val="none"/>
        </w:rPr>
        <w:t>3.1.3地质</w:t>
      </w:r>
      <w:r>
        <w:rPr>
          <w:rFonts w:hint="eastAsia" w:ascii="Times New Roman" w:hAnsi="Times New Roman"/>
          <w:color w:val="auto"/>
          <w:highlight w:val="none"/>
        </w:rPr>
        <w:t>条件</w:t>
      </w:r>
    </w:p>
    <w:p>
      <w:pPr>
        <w:spacing w:line="360" w:lineRule="auto"/>
        <w:ind w:firstLine="480" w:firstLineChars="200"/>
        <w:rPr>
          <w:color w:val="auto"/>
          <w:sz w:val="24"/>
          <w:highlight w:val="none"/>
        </w:rPr>
      </w:pPr>
      <w:r>
        <w:rPr>
          <w:rFonts w:hint="eastAsia"/>
          <w:color w:val="auto"/>
          <w:sz w:val="24"/>
          <w:highlight w:val="none"/>
        </w:rPr>
        <w:t>地层属华北地层大区、鲁西地层分区，地层发育比较齐全。峄城主要为元古代-震旦纪（Z）土门群（Pt3T），岩性为含海绿石石英砂岩及较纯的石英砂岩、硅质条带灰岩及紫色页岩、石灰岩、结晶灰岩、含燧石结核白云质灰岩等。</w:t>
      </w:r>
    </w:p>
    <w:p>
      <w:pPr>
        <w:spacing w:line="360" w:lineRule="auto"/>
        <w:ind w:firstLine="480" w:firstLineChars="200"/>
        <w:rPr>
          <w:color w:val="auto"/>
          <w:sz w:val="24"/>
          <w:highlight w:val="none"/>
        </w:rPr>
      </w:pPr>
      <w:r>
        <w:rPr>
          <w:rFonts w:hint="eastAsia"/>
          <w:color w:val="auto"/>
          <w:sz w:val="24"/>
          <w:highlight w:val="none"/>
        </w:rPr>
        <w:t>大地构造属于中朝准地台鲁西中台隆鲁西断块，区域地质构造复杂。凹陷、褶皱主要有陶枣凹陷、滕州凹陷、枣庄向斜、羊庄向斜、艾湖向斜；断裂主要有近东西向的枣庄断裂、峄城断裂、铁佛沟断裂、凫山断裂、韩庄—四户断裂，近南北向的峄山断裂、化石沟断裂、红瓦屋断裂和东南向的长龙断裂和曹王墓断裂等。地质构造构成各水文地质单元边界，控制地层和地下水的分布，具有重要的水文地质意义。</w:t>
      </w:r>
    </w:p>
    <w:p>
      <w:pPr>
        <w:pStyle w:val="102"/>
        <w:ind w:firstLine="480"/>
        <w:rPr>
          <w:color w:val="auto"/>
          <w:highlight w:val="none"/>
        </w:rPr>
      </w:pPr>
      <w:r>
        <w:rPr>
          <w:color w:val="auto"/>
          <w:highlight w:val="none"/>
          <w:lang w:bidi="he-IL"/>
        </w:rPr>
        <w:t>项目所在区域地质见图3.1-3。</w:t>
      </w:r>
    </w:p>
    <w:p>
      <w:pPr>
        <w:pStyle w:val="101"/>
        <w:spacing w:before="78"/>
        <w:rPr>
          <w:rFonts w:ascii="Times New Roman" w:hAnsi="Times New Roman"/>
          <w:color w:val="auto"/>
          <w:highlight w:val="none"/>
        </w:rPr>
      </w:pPr>
      <w:r>
        <w:rPr>
          <w:rFonts w:ascii="Times New Roman" w:hAnsi="Times New Roman"/>
          <w:color w:val="auto"/>
          <w:highlight w:val="none"/>
        </w:rPr>
        <w:t>3.1.4水文</w:t>
      </w:r>
      <w:r>
        <w:rPr>
          <w:rFonts w:hint="eastAsia" w:ascii="Times New Roman" w:hAnsi="Times New Roman"/>
          <w:color w:val="auto"/>
          <w:highlight w:val="none"/>
        </w:rPr>
        <w:t>地质</w:t>
      </w:r>
    </w:p>
    <w:p>
      <w:pPr>
        <w:pStyle w:val="102"/>
        <w:ind w:firstLine="480"/>
        <w:rPr>
          <w:color w:val="auto"/>
          <w:highlight w:val="none"/>
        </w:rPr>
      </w:pPr>
      <w:r>
        <w:rPr>
          <w:rFonts w:hint="eastAsia"/>
          <w:color w:val="auto"/>
          <w:highlight w:val="none"/>
        </w:rPr>
        <w:t>根据山东省总体水文地质分区划分标准，枣庄市属于鲁西北平原松散岩类水文地质区冲积洪积平原淡水水文地亚区（Ⅰ1）和鲁中南中低山丘陵碳酸盐岩类为主水文地质区邹城－枣庄单斜断陷水文地质亚区（Ⅱ5）。地下水类型按储水空隙特征划分松散岩类孔隙水、碳酸盐岩类裂隙岩溶水和碎屑岩、岩浆岩裂隙水三大类。</w:t>
      </w:r>
    </w:p>
    <w:p>
      <w:pPr>
        <w:pStyle w:val="102"/>
        <w:ind w:firstLine="480"/>
        <w:rPr>
          <w:color w:val="auto"/>
          <w:highlight w:val="none"/>
        </w:rPr>
      </w:pPr>
      <w:r>
        <w:rPr>
          <w:rFonts w:hint="eastAsia"/>
          <w:color w:val="auto"/>
          <w:highlight w:val="none"/>
        </w:rPr>
        <w:t>地下水的补给来源，主要依靠大气降水，加之河道库塘渗透补给。平均补给模数为15.76万m</w:t>
      </w:r>
      <w:r>
        <w:rPr>
          <w:rFonts w:hint="eastAsia"/>
          <w:color w:val="auto"/>
          <w:highlight w:val="none"/>
          <w:vertAlign w:val="superscript"/>
        </w:rPr>
        <w:t>3</w:t>
      </w:r>
      <w:r>
        <w:rPr>
          <w:rFonts w:hint="eastAsia"/>
          <w:color w:val="auto"/>
          <w:highlight w:val="none"/>
        </w:rPr>
        <w:t>/km</w:t>
      </w:r>
      <w:r>
        <w:rPr>
          <w:rFonts w:hint="eastAsia"/>
          <w:color w:val="auto"/>
          <w:highlight w:val="none"/>
          <w:vertAlign w:val="superscript"/>
        </w:rPr>
        <w:t>2</w:t>
      </w:r>
      <w:r>
        <w:rPr>
          <w:rFonts w:hint="eastAsia"/>
          <w:color w:val="auto"/>
          <w:highlight w:val="none"/>
        </w:rPr>
        <w:t>。地下水的补给、贮存和运动，受降水、地表径流、排泄条件、地层、地质构造以及地貌类型的影响。</w:t>
      </w:r>
    </w:p>
    <w:p>
      <w:pPr>
        <w:pStyle w:val="102"/>
        <w:ind w:firstLine="480"/>
        <w:rPr>
          <w:color w:val="auto"/>
          <w:highlight w:val="none"/>
        </w:rPr>
      </w:pPr>
      <w:r>
        <w:rPr>
          <w:color w:val="auto"/>
          <w:highlight w:val="none"/>
        </w:rPr>
        <w:t>项目区域水文地质情况见图3.1-4。</w:t>
      </w:r>
    </w:p>
    <w:p>
      <w:pPr>
        <w:pStyle w:val="101"/>
        <w:spacing w:before="78"/>
        <w:rPr>
          <w:rFonts w:ascii="Times New Roman" w:hAnsi="Times New Roman"/>
          <w:color w:val="auto"/>
          <w:highlight w:val="none"/>
        </w:rPr>
      </w:pPr>
      <w:r>
        <w:rPr>
          <w:rFonts w:ascii="Times New Roman" w:hAnsi="Times New Roman"/>
          <w:color w:val="auto"/>
          <w:highlight w:val="none"/>
        </w:rPr>
        <w:t>3.1.5地表水系</w:t>
      </w:r>
    </w:p>
    <w:p>
      <w:pPr>
        <w:pStyle w:val="99"/>
        <w:ind w:firstLine="480"/>
        <w:rPr>
          <w:color w:val="auto"/>
          <w:highlight w:val="none"/>
        </w:rPr>
      </w:pPr>
      <w:r>
        <w:rPr>
          <w:rFonts w:hint="eastAsia"/>
          <w:color w:val="auto"/>
          <w:highlight w:val="none"/>
        </w:rPr>
        <w:t>峄城区河流多系雨源型季节性河流，属淮河流域运河水系，主要河流有峄城大沙河、涛沟河等。运河北岸支流以峄城大沙河为界，河西属南四湖湖东地区，河东属邳苍地区。地面径流方向总的是自北向南，各条河道多为季节性泄洪河道。</w:t>
      </w:r>
    </w:p>
    <w:p>
      <w:pPr>
        <w:pStyle w:val="99"/>
        <w:ind w:firstLine="480"/>
        <w:rPr>
          <w:color w:val="auto"/>
          <w:highlight w:val="none"/>
        </w:rPr>
      </w:pPr>
      <w:r>
        <w:rPr>
          <w:rFonts w:hint="eastAsia"/>
          <w:color w:val="auto"/>
          <w:highlight w:val="none"/>
        </w:rPr>
        <w:t>峄城区全部水系流入韩庄运河，运河流域面积为1828km</w:t>
      </w:r>
      <w:r>
        <w:rPr>
          <w:rFonts w:hint="eastAsia"/>
          <w:color w:val="auto"/>
          <w:highlight w:val="none"/>
          <w:vertAlign w:val="superscript"/>
        </w:rPr>
        <w:t>2</w:t>
      </w:r>
      <w:r>
        <w:rPr>
          <w:rFonts w:hint="eastAsia"/>
          <w:color w:val="auto"/>
          <w:highlight w:val="none"/>
        </w:rPr>
        <w:t>，占枣庄市总面积的 40.2%。境内主要河流有9条，总长114.5km，多数源于境内，其中韩庄运河和峄城大沙河为中型河流，另有引湖工程胜利渠和刘桥干渠。</w:t>
      </w:r>
    </w:p>
    <w:p>
      <w:pPr>
        <w:pStyle w:val="99"/>
        <w:ind w:firstLine="480"/>
        <w:rPr>
          <w:color w:val="auto"/>
          <w:highlight w:val="none"/>
        </w:rPr>
      </w:pPr>
      <w:r>
        <w:rPr>
          <w:rFonts w:hint="eastAsia"/>
          <w:color w:val="auto"/>
          <w:highlight w:val="none"/>
        </w:rPr>
        <w:t>峄城大沙河从城区穿过，是韩庄运河最大的支流，发源于枣庄东北部大鹰台，郭里集支流、齐村支流分别在峄城大沙河上游汇入，向南在大风口处入韩庄运河，境内全长13.5km，流域面积628km</w:t>
      </w:r>
      <w:r>
        <w:rPr>
          <w:rFonts w:hint="eastAsia"/>
          <w:color w:val="auto"/>
          <w:highlight w:val="none"/>
          <w:vertAlign w:val="superscript"/>
        </w:rPr>
        <w:t>2</w:t>
      </w:r>
      <w:r>
        <w:rPr>
          <w:rFonts w:hint="eastAsia"/>
          <w:color w:val="auto"/>
          <w:highlight w:val="none"/>
        </w:rPr>
        <w:t>。跃进河是峄城大沙河的五条主要支流之一，主河道全厂17km，发源于榴园镇，流入峄城大沙河，属于季节性河流，主要排泄讯期内山洪，是榴园镇防洪兼排涝河道，枯水期大部河道干涸。</w:t>
      </w:r>
    </w:p>
    <w:p>
      <w:pPr>
        <w:pStyle w:val="99"/>
        <w:ind w:firstLine="480"/>
        <w:rPr>
          <w:color w:val="auto"/>
          <w:highlight w:val="none"/>
        </w:rPr>
      </w:pPr>
      <w:r>
        <w:rPr>
          <w:rFonts w:hint="eastAsia"/>
          <w:color w:val="auto"/>
          <w:highlight w:val="none"/>
        </w:rPr>
        <w:t>涛沟河为山东、江苏两省三县（市）边界河道。发源地山东省苍山县新兴乡马庄以北地区，糖稀湖一带，流经杨堡、丰桥到邳县长沟村南入台儿庄区，经尚庄纳新沟河水，南流入中运河上游。该河是中运河上游主要支流之一，全长38km，台儿庄区13km，峄城区境内南起丰桥，北至杨堡子村北河右岸，共9.6km（村至唐庄近3km的左岸亦属于峄城区）。流域面积为603km</w:t>
      </w:r>
      <w:r>
        <w:rPr>
          <w:rFonts w:hint="eastAsia"/>
          <w:color w:val="auto"/>
          <w:highlight w:val="none"/>
          <w:vertAlign w:val="superscript"/>
        </w:rPr>
        <w:t>2</w:t>
      </w:r>
      <w:r>
        <w:rPr>
          <w:rFonts w:hint="eastAsia"/>
          <w:color w:val="auto"/>
          <w:highlight w:val="none"/>
        </w:rPr>
        <w:t>，其中苍山县129.74km</w:t>
      </w:r>
      <w:r>
        <w:rPr>
          <w:rFonts w:hint="eastAsia"/>
          <w:color w:val="auto"/>
          <w:highlight w:val="none"/>
          <w:vertAlign w:val="superscript"/>
        </w:rPr>
        <w:t>2</w:t>
      </w:r>
      <w:r>
        <w:rPr>
          <w:rFonts w:hint="eastAsia"/>
          <w:color w:val="auto"/>
          <w:highlight w:val="none"/>
        </w:rPr>
        <w:t>，台儿庄111.17km</w:t>
      </w:r>
      <w:r>
        <w:rPr>
          <w:rFonts w:hint="eastAsia"/>
          <w:color w:val="auto"/>
          <w:highlight w:val="none"/>
          <w:vertAlign w:val="superscript"/>
        </w:rPr>
        <w:t>2</w:t>
      </w:r>
      <w:r>
        <w:rPr>
          <w:rFonts w:hint="eastAsia"/>
          <w:color w:val="auto"/>
          <w:highlight w:val="none"/>
        </w:rPr>
        <w:t>，新沟河312.7km</w:t>
      </w:r>
      <w:r>
        <w:rPr>
          <w:rFonts w:hint="eastAsia"/>
          <w:color w:val="auto"/>
          <w:highlight w:val="none"/>
          <w:vertAlign w:val="superscript"/>
        </w:rPr>
        <w:t>2</w:t>
      </w:r>
      <w:r>
        <w:rPr>
          <w:rFonts w:hint="eastAsia"/>
          <w:color w:val="auto"/>
          <w:highlight w:val="none"/>
        </w:rPr>
        <w:t>，其余近 50km</w:t>
      </w:r>
      <w:r>
        <w:rPr>
          <w:rFonts w:hint="eastAsia"/>
          <w:color w:val="auto"/>
          <w:highlight w:val="none"/>
          <w:vertAlign w:val="superscript"/>
        </w:rPr>
        <w:t>2</w:t>
      </w:r>
      <w:r>
        <w:rPr>
          <w:rFonts w:hint="eastAsia"/>
          <w:color w:val="auto"/>
          <w:highlight w:val="none"/>
        </w:rPr>
        <w:t>为临徐公路东及陶沟河东岸区间流域。</w:t>
      </w:r>
    </w:p>
    <w:p>
      <w:pPr>
        <w:pStyle w:val="99"/>
        <w:ind w:firstLine="480"/>
        <w:rPr>
          <w:color w:val="auto"/>
          <w:highlight w:val="none"/>
        </w:rPr>
      </w:pPr>
      <w:r>
        <w:rPr>
          <w:rFonts w:hint="eastAsia"/>
          <w:color w:val="auto"/>
          <w:highlight w:val="none"/>
        </w:rPr>
        <w:t>新沟河是涛沟河右岸主要的一大支流，流域面积312.7km</w:t>
      </w:r>
      <w:r>
        <w:rPr>
          <w:rFonts w:hint="eastAsia"/>
          <w:color w:val="auto"/>
          <w:highlight w:val="none"/>
          <w:vertAlign w:val="superscript"/>
        </w:rPr>
        <w:t>2</w:t>
      </w:r>
      <w:r>
        <w:rPr>
          <w:rFonts w:hint="eastAsia"/>
          <w:color w:val="auto"/>
          <w:highlight w:val="none"/>
        </w:rPr>
        <w:t>，全长22km（峄城区境内长度为13.75km</w:t>
      </w:r>
      <w:r>
        <w:rPr>
          <w:rFonts w:hint="eastAsia"/>
          <w:color w:val="auto"/>
          <w:highlight w:val="none"/>
          <w:vertAlign w:val="superscript"/>
        </w:rPr>
        <w:t>2</w:t>
      </w:r>
      <w:r>
        <w:rPr>
          <w:rFonts w:hint="eastAsia"/>
          <w:color w:val="auto"/>
          <w:highlight w:val="none"/>
        </w:rPr>
        <w:t>，流域面积204km</w:t>
      </w:r>
      <w:r>
        <w:rPr>
          <w:rFonts w:hint="eastAsia"/>
          <w:color w:val="auto"/>
          <w:highlight w:val="none"/>
          <w:vertAlign w:val="superscript"/>
        </w:rPr>
        <w:t>2</w:t>
      </w:r>
      <w:r>
        <w:rPr>
          <w:rFonts w:hint="eastAsia"/>
          <w:color w:val="auto"/>
          <w:highlight w:val="none"/>
        </w:rPr>
        <w:t>）新沟河上游支流较多，既有左岸拉刀沟，中支萝藤乡，西支刘井河，再西有左庄河、城东截水沟，汇入王场新河于马庄入新沟河，再南到燕井，到尚庄入涛沟河。</w:t>
      </w:r>
    </w:p>
    <w:p>
      <w:pPr>
        <w:pStyle w:val="99"/>
        <w:ind w:firstLine="480"/>
        <w:rPr>
          <w:color w:val="auto"/>
          <w:szCs w:val="24"/>
          <w:highlight w:val="none"/>
        </w:rPr>
      </w:pPr>
      <w:r>
        <w:rPr>
          <w:color w:val="auto"/>
          <w:szCs w:val="24"/>
          <w:highlight w:val="none"/>
        </w:rPr>
        <w:t>项目所在区域地表水系见图3.1-5。</w:t>
      </w:r>
    </w:p>
    <w:p>
      <w:pPr>
        <w:pStyle w:val="101"/>
        <w:spacing w:before="78"/>
        <w:rPr>
          <w:color w:val="auto"/>
          <w:highlight w:val="none"/>
        </w:rPr>
      </w:pPr>
      <w:r>
        <w:rPr>
          <w:rFonts w:hint="eastAsia"/>
          <w:color w:val="auto"/>
          <w:highlight w:val="none"/>
        </w:rPr>
        <w:t>3</w:t>
      </w:r>
      <w:r>
        <w:rPr>
          <w:color w:val="auto"/>
          <w:highlight w:val="none"/>
        </w:rPr>
        <w:t>.1.6</w:t>
      </w:r>
      <w:r>
        <w:rPr>
          <w:rFonts w:hint="eastAsia"/>
          <w:color w:val="auto"/>
          <w:highlight w:val="none"/>
        </w:rPr>
        <w:t>饮用水水源地</w:t>
      </w:r>
    </w:p>
    <w:p>
      <w:pPr>
        <w:pStyle w:val="99"/>
        <w:ind w:firstLine="480"/>
        <w:rPr>
          <w:color w:val="auto"/>
          <w:szCs w:val="24"/>
          <w:highlight w:val="none"/>
        </w:rPr>
      </w:pPr>
      <w:r>
        <w:rPr>
          <w:rFonts w:hint="eastAsia"/>
          <w:color w:val="auto"/>
          <w:szCs w:val="24"/>
          <w:highlight w:val="none"/>
        </w:rPr>
        <w:t>根据《枣庄市饮用水水源保护管理办法》，枣庄市（除滕州市外）共有9处饮用水水源地，分别为：薛城区金河水源地，山亭区岩底水源地、东南庄水源地，市中区周村水库、丁庄水源地、渴口水源地，峄城区三里庄水源地、徐楼水源地，台儿庄区张庄水源地。</w:t>
      </w:r>
    </w:p>
    <w:p>
      <w:pPr>
        <w:pStyle w:val="99"/>
        <w:ind w:firstLine="480"/>
        <w:rPr>
          <w:color w:val="auto"/>
          <w:szCs w:val="24"/>
          <w:highlight w:val="none"/>
        </w:rPr>
      </w:pPr>
      <w:r>
        <w:rPr>
          <w:rFonts w:hint="eastAsia"/>
          <w:color w:val="auto"/>
          <w:szCs w:val="24"/>
          <w:highlight w:val="none"/>
        </w:rPr>
        <w:t>峄城区有三里庄水源地、徐楼水源地两个水源地，保护区划分范围具体是：</w:t>
      </w:r>
    </w:p>
    <w:p>
      <w:pPr>
        <w:pStyle w:val="99"/>
        <w:ind w:firstLine="480"/>
        <w:rPr>
          <w:color w:val="auto"/>
          <w:szCs w:val="24"/>
          <w:highlight w:val="none"/>
        </w:rPr>
      </w:pPr>
      <w:r>
        <w:rPr>
          <w:rFonts w:hint="eastAsia"/>
          <w:color w:val="auto"/>
          <w:szCs w:val="24"/>
          <w:highlight w:val="none"/>
        </w:rPr>
        <w:t>1、峄城区三里庄水源地</w:t>
      </w:r>
    </w:p>
    <w:p>
      <w:pPr>
        <w:pStyle w:val="99"/>
        <w:ind w:firstLine="480"/>
        <w:rPr>
          <w:color w:val="auto"/>
          <w:szCs w:val="24"/>
          <w:highlight w:val="none"/>
        </w:rPr>
      </w:pPr>
      <w:r>
        <w:rPr>
          <w:rFonts w:hint="eastAsia"/>
          <w:color w:val="auto"/>
          <w:szCs w:val="24"/>
          <w:highlight w:val="none"/>
        </w:rPr>
        <w:t>一级保护区：1号</w:t>
      </w:r>
      <w:r>
        <w:rPr>
          <w:rFonts w:hint="eastAsia"/>
          <w:color w:val="auto"/>
          <w:szCs w:val="24"/>
          <w:highlight w:val="none"/>
          <w:lang w:val="en-US" w:eastAsia="zh-CN"/>
        </w:rPr>
        <w:t>-</w:t>
      </w:r>
      <w:r>
        <w:rPr>
          <w:rFonts w:hint="eastAsia"/>
          <w:color w:val="auto"/>
          <w:szCs w:val="24"/>
          <w:highlight w:val="none"/>
        </w:rPr>
        <w:t>6号取水井半径70m的正方形区域；</w:t>
      </w:r>
    </w:p>
    <w:p>
      <w:pPr>
        <w:pStyle w:val="99"/>
        <w:ind w:firstLine="480"/>
        <w:rPr>
          <w:color w:val="auto"/>
          <w:szCs w:val="24"/>
          <w:highlight w:val="none"/>
        </w:rPr>
      </w:pPr>
      <w:r>
        <w:rPr>
          <w:rFonts w:hint="eastAsia"/>
          <w:color w:val="auto"/>
          <w:szCs w:val="24"/>
          <w:highlight w:val="none"/>
        </w:rPr>
        <w:t>二级保护区：东至1号井东210m，西至仙坛路，南至2号井南120m，北至承水东路南100m范围内的区域(一级保护区范围除外)。</w:t>
      </w:r>
    </w:p>
    <w:p>
      <w:pPr>
        <w:pStyle w:val="99"/>
        <w:ind w:firstLine="480"/>
        <w:rPr>
          <w:color w:val="auto"/>
          <w:szCs w:val="24"/>
          <w:highlight w:val="none"/>
        </w:rPr>
      </w:pPr>
      <w:r>
        <w:rPr>
          <w:rFonts w:hint="eastAsia"/>
          <w:color w:val="auto"/>
          <w:szCs w:val="24"/>
          <w:highlight w:val="none"/>
        </w:rPr>
        <w:t>2、峄城区徐楼水源地</w:t>
      </w:r>
    </w:p>
    <w:p>
      <w:pPr>
        <w:pStyle w:val="99"/>
        <w:ind w:firstLine="480"/>
        <w:rPr>
          <w:color w:val="auto"/>
          <w:szCs w:val="24"/>
          <w:highlight w:val="none"/>
        </w:rPr>
      </w:pPr>
      <w:r>
        <w:rPr>
          <w:rFonts w:hint="eastAsia"/>
          <w:color w:val="auto"/>
          <w:szCs w:val="24"/>
          <w:highlight w:val="none"/>
        </w:rPr>
        <w:t>一级保护区：取水井半径90m的正方形区域；</w:t>
      </w:r>
    </w:p>
    <w:p>
      <w:pPr>
        <w:pStyle w:val="99"/>
        <w:ind w:firstLine="480"/>
        <w:rPr>
          <w:color w:val="auto"/>
          <w:szCs w:val="24"/>
          <w:highlight w:val="none"/>
        </w:rPr>
      </w:pPr>
      <w:r>
        <w:rPr>
          <w:rFonts w:hint="eastAsia"/>
          <w:color w:val="auto"/>
          <w:szCs w:val="24"/>
          <w:highlight w:val="none"/>
        </w:rPr>
        <w:t>二级保护区：东至中兴大道，西至取水井西250m，南至取水井南130m，北至取水井北330m范围内的区域(一级保护区范围除外)。</w:t>
      </w:r>
    </w:p>
    <w:p>
      <w:pPr>
        <w:pStyle w:val="99"/>
        <w:ind w:firstLine="480"/>
        <w:rPr>
          <w:color w:val="auto"/>
          <w:szCs w:val="24"/>
          <w:highlight w:val="none"/>
        </w:rPr>
      </w:pPr>
      <w:r>
        <w:rPr>
          <w:rFonts w:hint="eastAsia"/>
          <w:color w:val="auto"/>
          <w:szCs w:val="24"/>
          <w:highlight w:val="none"/>
        </w:rPr>
        <w:t>项目</w:t>
      </w:r>
      <w:r>
        <w:rPr>
          <w:rFonts w:hint="eastAsia"/>
          <w:color w:val="auto"/>
          <w:szCs w:val="24"/>
          <w:highlight w:val="none"/>
          <w:lang w:val="en-US" w:eastAsia="zh-CN"/>
        </w:rPr>
        <w:t>距离最近的水源地位三里庄水源地，位于本项目西约5.3km，</w:t>
      </w:r>
      <w:r>
        <w:rPr>
          <w:rFonts w:hint="eastAsia"/>
          <w:color w:val="auto"/>
          <w:szCs w:val="24"/>
          <w:highlight w:val="none"/>
        </w:rPr>
        <w:t>与峄城区饮用水源地相对位置关系见图3.</w:t>
      </w:r>
      <w:r>
        <w:rPr>
          <w:color w:val="auto"/>
          <w:szCs w:val="24"/>
          <w:highlight w:val="none"/>
        </w:rPr>
        <w:t>1-6</w:t>
      </w:r>
      <w:r>
        <w:rPr>
          <w:rFonts w:hint="eastAsia"/>
          <w:color w:val="auto"/>
          <w:szCs w:val="24"/>
          <w:highlight w:val="none"/>
        </w:rPr>
        <w:t>。</w:t>
      </w:r>
    </w:p>
    <w:p>
      <w:pPr>
        <w:pStyle w:val="101"/>
        <w:spacing w:before="78"/>
        <w:rPr>
          <w:rFonts w:ascii="Times New Roman" w:hAnsi="Times New Roman"/>
          <w:color w:val="auto"/>
          <w:highlight w:val="none"/>
        </w:rPr>
      </w:pPr>
      <w:r>
        <w:rPr>
          <w:rFonts w:ascii="Times New Roman" w:hAnsi="Times New Roman"/>
          <w:color w:val="auto"/>
          <w:highlight w:val="none"/>
        </w:rPr>
        <w:t>3.1.7气候气象</w:t>
      </w:r>
    </w:p>
    <w:p>
      <w:pPr>
        <w:pStyle w:val="102"/>
        <w:ind w:firstLine="480"/>
        <w:rPr>
          <w:color w:val="auto"/>
          <w:highlight w:val="none"/>
        </w:rPr>
      </w:pPr>
      <w:r>
        <w:rPr>
          <w:rFonts w:hint="eastAsia"/>
          <w:color w:val="auto"/>
          <w:highlight w:val="none"/>
        </w:rPr>
        <w:t>峄城区的气候属暖温带季风性气候区。四季分明，季风明显，雨热同季。因受黄海气候的影响，东风较多，但大陆海洋性气候不够典型。全区年日照平均为2226.4h，以4、5月份日照时数最多，月平均可达216.5h。全区冬季最长，夏季次之，春季略长于秋季，具有冷热持续较长的特点。历年平均温度14.5℃，全区降水较为充沛，年平均降水量872.9毫米。其中，夏季占年降水量的64%，秋季占16.7%，冬季占4.1%，春季占14.5%。</w:t>
      </w:r>
    </w:p>
    <w:p>
      <w:pPr>
        <w:pStyle w:val="101"/>
        <w:spacing w:before="78"/>
        <w:rPr>
          <w:rFonts w:ascii="Times New Roman" w:hAnsi="Times New Roman"/>
          <w:color w:val="auto"/>
          <w:highlight w:val="none"/>
        </w:rPr>
      </w:pPr>
      <w:r>
        <w:rPr>
          <w:rFonts w:ascii="Times New Roman" w:hAnsi="Times New Roman"/>
          <w:color w:val="auto"/>
          <w:highlight w:val="none"/>
        </w:rPr>
        <w:t>3.1.8</w:t>
      </w:r>
      <w:r>
        <w:rPr>
          <w:rFonts w:hint="eastAsia" w:ascii="Times New Roman" w:hAnsi="Times New Roman"/>
          <w:color w:val="auto"/>
          <w:highlight w:val="none"/>
        </w:rPr>
        <w:t>地震</w:t>
      </w:r>
    </w:p>
    <w:p>
      <w:pPr>
        <w:pStyle w:val="102"/>
        <w:ind w:firstLine="480"/>
        <w:rPr>
          <w:color w:val="auto"/>
          <w:highlight w:val="none"/>
        </w:rPr>
      </w:pPr>
      <w:r>
        <w:rPr>
          <w:color w:val="auto"/>
          <w:highlight w:val="none"/>
        </w:rPr>
        <w:t>根据《中国地震参数区划图》，本区地震动参数：地震动峰值加速度为0.10g。因无应力聚集条件，历史上未发生过较大地震。</w:t>
      </w:r>
    </w:p>
    <w:p>
      <w:pPr>
        <w:pStyle w:val="101"/>
        <w:spacing w:before="78"/>
        <w:rPr>
          <w:rFonts w:ascii="Times New Roman" w:hAnsi="Times New Roman"/>
          <w:color w:val="auto"/>
          <w:highlight w:val="none"/>
        </w:rPr>
      </w:pPr>
      <w:r>
        <w:rPr>
          <w:rFonts w:ascii="Times New Roman" w:hAnsi="Times New Roman"/>
          <w:color w:val="auto"/>
          <w:highlight w:val="none"/>
        </w:rPr>
        <w:t>3.1.9矿产资源</w:t>
      </w:r>
    </w:p>
    <w:p>
      <w:pPr>
        <w:pStyle w:val="99"/>
        <w:ind w:firstLine="480"/>
        <w:rPr>
          <w:color w:val="auto"/>
          <w:highlight w:val="none"/>
        </w:rPr>
      </w:pPr>
      <w:r>
        <w:rPr>
          <w:rFonts w:hint="eastAsia"/>
          <w:color w:val="auto"/>
          <w:highlight w:val="none"/>
        </w:rPr>
        <w:t>水资源：峄城区水资源丰富，面广量大，历年平均降水量769.3mm，产水总量5.19亿m</w:t>
      </w:r>
      <w:r>
        <w:rPr>
          <w:rFonts w:hint="eastAsia"/>
          <w:color w:val="auto"/>
          <w:highlight w:val="none"/>
          <w:vertAlign w:val="superscript"/>
        </w:rPr>
        <w:t>3</w:t>
      </w:r>
      <w:r>
        <w:rPr>
          <w:rFonts w:hint="eastAsia"/>
          <w:color w:val="auto"/>
          <w:highlight w:val="none"/>
        </w:rPr>
        <w:t>。全区可利用水资源总量为1.72亿m</w:t>
      </w:r>
      <w:r>
        <w:rPr>
          <w:rFonts w:hint="eastAsia"/>
          <w:color w:val="auto"/>
          <w:highlight w:val="none"/>
          <w:vertAlign w:val="superscript"/>
        </w:rPr>
        <w:t>3</w:t>
      </w:r>
      <w:r>
        <w:rPr>
          <w:rFonts w:hint="eastAsia"/>
          <w:color w:val="auto"/>
          <w:highlight w:val="none"/>
        </w:rPr>
        <w:t>，其中地表水8194万m</w:t>
      </w:r>
      <w:r>
        <w:rPr>
          <w:rFonts w:hint="eastAsia"/>
          <w:color w:val="auto"/>
          <w:highlight w:val="none"/>
          <w:vertAlign w:val="superscript"/>
        </w:rPr>
        <w:t>3</w:t>
      </w:r>
      <w:r>
        <w:rPr>
          <w:rFonts w:hint="eastAsia"/>
          <w:color w:val="auto"/>
          <w:highlight w:val="none"/>
        </w:rPr>
        <w:t>，地下水9006万m</w:t>
      </w:r>
      <w:r>
        <w:rPr>
          <w:rFonts w:hint="eastAsia"/>
          <w:color w:val="auto"/>
          <w:highlight w:val="none"/>
          <w:vertAlign w:val="superscript"/>
        </w:rPr>
        <w:t>3</w:t>
      </w:r>
      <w:r>
        <w:rPr>
          <w:rFonts w:hint="eastAsia"/>
          <w:color w:val="auto"/>
          <w:highlight w:val="none"/>
        </w:rPr>
        <w:t>，水资源可利用量占总量的28%。地表径流是峄城区主要水资源，多年平均径流量1.795亿m</w:t>
      </w:r>
      <w:r>
        <w:rPr>
          <w:rFonts w:hint="eastAsia"/>
          <w:color w:val="auto"/>
          <w:highlight w:val="none"/>
          <w:vertAlign w:val="superscript"/>
        </w:rPr>
        <w:t>3</w:t>
      </w:r>
      <w:r>
        <w:rPr>
          <w:rFonts w:hint="eastAsia"/>
          <w:color w:val="auto"/>
          <w:highlight w:val="none"/>
        </w:rPr>
        <w:t>，占天然水资源总量的29.3%。</w:t>
      </w:r>
    </w:p>
    <w:p>
      <w:pPr>
        <w:pStyle w:val="99"/>
        <w:ind w:firstLine="480"/>
        <w:rPr>
          <w:color w:val="auto"/>
          <w:highlight w:val="none"/>
        </w:rPr>
      </w:pPr>
      <w:r>
        <w:rPr>
          <w:rFonts w:hint="eastAsia"/>
          <w:color w:val="auto"/>
          <w:highlight w:val="none"/>
        </w:rPr>
        <w:t>矿产资源：峄城区已发现矿种13种，具有开采价值8种，主要有煤炭、铁矿石、石膏、石灰岩、石英砂岩、页岩、白云岩、黏土等，其中石膏储量最为丰富，分布面积6km</w:t>
      </w:r>
      <w:r>
        <w:rPr>
          <w:rFonts w:hint="eastAsia"/>
          <w:color w:val="auto"/>
          <w:highlight w:val="none"/>
          <w:vertAlign w:val="superscript"/>
        </w:rPr>
        <w:t>2</w:t>
      </w:r>
      <w:r>
        <w:rPr>
          <w:rFonts w:hint="eastAsia"/>
          <w:color w:val="auto"/>
          <w:highlight w:val="none"/>
        </w:rPr>
        <w:t>，膏层深度1—14米，总储量约占全国探明储量的六分之一。</w:t>
      </w:r>
    </w:p>
    <w:p>
      <w:pPr>
        <w:pStyle w:val="99"/>
        <w:ind w:firstLine="480"/>
        <w:rPr>
          <w:color w:val="auto"/>
          <w:highlight w:val="none"/>
        </w:rPr>
      </w:pPr>
      <w:r>
        <w:rPr>
          <w:rFonts w:hint="eastAsia"/>
          <w:color w:val="auto"/>
          <w:highlight w:val="none"/>
        </w:rPr>
        <w:t>旅游资源：峄城区旅游资源丰富。建设了冠世榴园风景区、仙人洞民俗生态园、古运荷乡风景区等景区，初步形成了三大板块、一线三区的旅游发展格局。尤其是青檀寺风景区现已成为枣庄旅游的精品和亮点，年接待游客达60余万人次，年实现旅游综合收入7000余万元。</w:t>
      </w:r>
    </w:p>
    <w:p>
      <w:pPr>
        <w:pStyle w:val="99"/>
        <w:ind w:firstLine="480"/>
        <w:rPr>
          <w:color w:val="auto"/>
          <w:highlight w:val="none"/>
        </w:rPr>
      </w:pPr>
      <w:r>
        <w:rPr>
          <w:rFonts w:hint="eastAsia"/>
          <w:color w:val="auto"/>
          <w:highlight w:val="none"/>
        </w:rPr>
        <w:t>2002年山东省政府批准成立的石榴园省级自然保护区位于榴园镇境内，总面积4642hm</w:t>
      </w:r>
      <w:r>
        <w:rPr>
          <w:rFonts w:hint="eastAsia"/>
          <w:color w:val="auto"/>
          <w:highlight w:val="none"/>
          <w:vertAlign w:val="superscript"/>
        </w:rPr>
        <w:t>2</w:t>
      </w:r>
      <w:r>
        <w:rPr>
          <w:rFonts w:hint="eastAsia"/>
          <w:color w:val="auto"/>
          <w:highlight w:val="none"/>
        </w:rPr>
        <w:t>，其中林地面积2892hm</w:t>
      </w:r>
      <w:r>
        <w:rPr>
          <w:rFonts w:hint="eastAsia"/>
          <w:color w:val="auto"/>
          <w:highlight w:val="none"/>
          <w:vertAlign w:val="superscript"/>
        </w:rPr>
        <w:t>2</w:t>
      </w:r>
      <w:r>
        <w:rPr>
          <w:rFonts w:hint="eastAsia"/>
          <w:color w:val="auto"/>
          <w:highlight w:val="none"/>
        </w:rPr>
        <w:t>，河流、水库49.7hm</w:t>
      </w:r>
      <w:r>
        <w:rPr>
          <w:rFonts w:hint="eastAsia"/>
          <w:color w:val="auto"/>
          <w:highlight w:val="none"/>
          <w:vertAlign w:val="superscript"/>
        </w:rPr>
        <w:t>2</w:t>
      </w:r>
      <w:r>
        <w:rPr>
          <w:rFonts w:hint="eastAsia"/>
          <w:color w:val="auto"/>
          <w:highlight w:val="none"/>
        </w:rPr>
        <w:t>。</w:t>
      </w:r>
    </w:p>
    <w:p>
      <w:pPr>
        <w:pStyle w:val="99"/>
        <w:ind w:firstLine="480"/>
        <w:rPr>
          <w:color w:val="auto"/>
          <w:highlight w:val="none"/>
        </w:rPr>
      </w:pPr>
      <w:r>
        <w:rPr>
          <w:rFonts w:hint="eastAsia"/>
          <w:color w:val="auto"/>
          <w:highlight w:val="none"/>
        </w:rPr>
        <w:t>峄城区仙坛省级森林公园于1993年经省林业局批准建立，位于峄城区驻地，涉及榴园镇、坛山街道办事处、吴林街道办事处三个镇街，是一处集自然风景、生态园林、民俗宗教、人文历史及观光游览、休闲度假为一体的生态文化旅游区。主景区冠世榴园景区先后被评为省级自然保护区、世界基尼斯之最、首批全国农业旅游示范点、山东省文明景区、山东省十佳工农业旅游区、国家AAAA级旅游景区。</w:t>
      </w:r>
    </w:p>
    <w:p>
      <w:pPr>
        <w:pStyle w:val="99"/>
        <w:ind w:firstLine="480"/>
        <w:rPr>
          <w:color w:val="auto"/>
          <w:highlight w:val="none"/>
        </w:rPr>
      </w:pPr>
      <w:r>
        <w:rPr>
          <w:rFonts w:hint="eastAsia"/>
          <w:color w:val="auto"/>
          <w:highlight w:val="none"/>
        </w:rPr>
        <w:t>峄城古运荷乡省级湿地公园于2009年经省林业局批准建立，位于古邵镇境内，总面积1060hm</w:t>
      </w:r>
      <w:r>
        <w:rPr>
          <w:rFonts w:hint="eastAsia"/>
          <w:color w:val="auto"/>
          <w:highlight w:val="none"/>
          <w:vertAlign w:val="superscript"/>
        </w:rPr>
        <w:t>2</w:t>
      </w:r>
      <w:r>
        <w:rPr>
          <w:rFonts w:hint="eastAsia"/>
          <w:color w:val="auto"/>
          <w:highlight w:val="none"/>
        </w:rPr>
        <w:t>，集湿地生态保护、运河文化建设、农业观光、休闲度假于一体，形成独具特色的运河湿地文化旅游风景区。</w:t>
      </w:r>
    </w:p>
    <w:p>
      <w:pPr>
        <w:pStyle w:val="100"/>
        <w:spacing w:before="156"/>
        <w:rPr>
          <w:rFonts w:ascii="Times New Roman" w:hAnsi="Times New Roman"/>
          <w:color w:val="auto"/>
          <w:highlight w:val="none"/>
        </w:rPr>
      </w:pPr>
      <w:bookmarkStart w:id="122" w:name="_Toc28913"/>
      <w:bookmarkStart w:id="123" w:name="_Toc66281279"/>
      <w:r>
        <w:rPr>
          <w:rFonts w:ascii="Times New Roman" w:hAnsi="Times New Roman"/>
          <w:color w:val="auto"/>
          <w:highlight w:val="none"/>
        </w:rPr>
        <w:t>3.2区域相关规划</w:t>
      </w:r>
      <w:bookmarkEnd w:id="122"/>
      <w:bookmarkEnd w:id="123"/>
    </w:p>
    <w:p>
      <w:pPr>
        <w:pStyle w:val="101"/>
        <w:spacing w:before="78"/>
        <w:rPr>
          <w:rFonts w:ascii="Times New Roman" w:hAnsi="Times New Roman"/>
          <w:color w:val="auto"/>
          <w:highlight w:val="none"/>
        </w:rPr>
      </w:pPr>
      <w:r>
        <w:rPr>
          <w:rFonts w:ascii="Times New Roman" w:hAnsi="Times New Roman"/>
          <w:color w:val="auto"/>
          <w:highlight w:val="none"/>
        </w:rPr>
        <w:t>3.2.</w:t>
      </w:r>
      <w:r>
        <w:rPr>
          <w:rFonts w:hint="eastAsia" w:ascii="Times New Roman" w:hAnsi="Times New Roman"/>
          <w:color w:val="auto"/>
          <w:highlight w:val="none"/>
        </w:rPr>
        <w:t>1</w:t>
      </w:r>
      <w:r>
        <w:rPr>
          <w:rFonts w:ascii="Times New Roman" w:hAnsi="Times New Roman"/>
          <w:color w:val="auto"/>
          <w:highlight w:val="none"/>
        </w:rPr>
        <w:t>南水北调东线工程(山东段)</w:t>
      </w:r>
    </w:p>
    <w:p>
      <w:pPr>
        <w:autoSpaceDE w:val="0"/>
        <w:autoSpaceDN w:val="0"/>
        <w:adjustRightInd w:val="0"/>
        <w:spacing w:line="360" w:lineRule="auto"/>
        <w:ind w:firstLine="480" w:firstLineChars="200"/>
        <w:rPr>
          <w:color w:val="auto"/>
          <w:kern w:val="0"/>
          <w:sz w:val="24"/>
          <w:highlight w:val="none"/>
        </w:rPr>
      </w:pPr>
      <w:r>
        <w:rPr>
          <w:rFonts w:hint="eastAsia"/>
          <w:color w:val="auto"/>
          <w:kern w:val="0"/>
          <w:sz w:val="24"/>
          <w:highlight w:val="none"/>
        </w:rPr>
        <w:t>南水北调工程是事关国家可持续发展的特大型战略工程，国家规划南水北调分为东线、中线和西线三条工程线路。山东省属于东线工程，东线工程是解决我国北方地区水资源严重短缺问题的一个特大型基础设施项目，对实现地区经济和社会的可持续发展具有巨大的推动作用。南水北调东线山东干线工程在山东境内分为南北、东西两条输水干线，全长1191km，其中南北干线长487km，东西干线长704km（含利用原引黄济青部分工程和新建胶东地区引黄调水工程），在山东省形成“T”字型输水大动脉和现代水网大框架，规划多年平均年调江水量13.53亿m3。长江水经江苏境内六级泵站提水后，进入山东省界，再经山东境内七级泵站提水，从南四湖进入东平湖。东平湖是山东南水北调制高点，分两路分别向北穿黄河输送到聊城、德州，并具备向河北、天津应急供水的条件；另一路向东与胶东调水工程相衔接，给济南、淄博、滨州、东营、潍坊及青岛、烟台、威海市区供水。</w:t>
      </w:r>
    </w:p>
    <w:p>
      <w:pPr>
        <w:autoSpaceDE w:val="0"/>
        <w:autoSpaceDN w:val="0"/>
        <w:adjustRightInd w:val="0"/>
        <w:spacing w:line="360" w:lineRule="auto"/>
        <w:ind w:firstLine="480" w:firstLineChars="200"/>
        <w:rPr>
          <w:color w:val="auto"/>
          <w:kern w:val="0"/>
          <w:sz w:val="24"/>
          <w:highlight w:val="none"/>
        </w:rPr>
      </w:pPr>
      <w:r>
        <w:rPr>
          <w:rFonts w:hint="eastAsia"/>
          <w:color w:val="auto"/>
          <w:kern w:val="0"/>
          <w:sz w:val="24"/>
          <w:highlight w:val="none"/>
        </w:rPr>
        <w:t>《南水北调东线工程山东段水污染防治规划》中“水质保证方案”的总体思路是：实行治（污染治理）、用（污水资源）与保（河流生态恢复）并重的策略。即以每个小流域为控制对象，在综合采用工业结构调整、清洁生产、点源再提高工程、城市污水处理厂及其配套管网建设、面源污染治理、清淤疏浚等治污措施；因地制宜，充分利用闲置洼地及废弃河道，建设中水调蓄设施，合理规划污水回用工程，实现污水就地资源化，非汛期污水不再进入南水北调汇水干线，彻底解决污水出路，减少输水干线水质污染的风险；同时通过人工复氧、湿地建设等措施对河流生态恢复过程进行主动干预，使之尽快向提高自净能力、改善水质、恢复应有的生态功能的有利方向转变，从而确保各河流水质达标。</w:t>
      </w:r>
    </w:p>
    <w:p>
      <w:pPr>
        <w:autoSpaceDE w:val="0"/>
        <w:autoSpaceDN w:val="0"/>
        <w:adjustRightInd w:val="0"/>
        <w:spacing w:line="360" w:lineRule="auto"/>
        <w:ind w:firstLine="480" w:firstLineChars="200"/>
        <w:rPr>
          <w:color w:val="auto"/>
          <w:kern w:val="0"/>
          <w:sz w:val="24"/>
          <w:highlight w:val="none"/>
        </w:rPr>
      </w:pPr>
      <w:r>
        <w:rPr>
          <w:rFonts w:hint="eastAsia"/>
          <w:color w:val="auto"/>
          <w:kern w:val="0"/>
          <w:sz w:val="24"/>
          <w:highlight w:val="none"/>
        </w:rPr>
        <w:t>根据《流域水污染物综合排放标准第1部分：南四湖东平湖流域》（DB37/3416.1-2018），南四湖东平湖流域范围包括枣庄市、济宁市、泰安市、莱芜市、菏泽市5市全部区域。为满足南水北调东线工程调水水质要求，将南四湖、东平湖流域划分为下列三类控制区：a)核心保护区域：南四湖、东平湖大堤、南水北调东线工程干渠大堤和所流经其他湖泊大堤内的全部区域，没有大堤的区段以设计洪水位淹没线作为大堤位置；b)重点保护区域：核心保护区域沿汇水支流上溯15km的汇水区域；c)一般保护区域：除核心保护区域和重点保护区域以外的其他调水沿线汇水区域。</w:t>
      </w:r>
    </w:p>
    <w:p>
      <w:pPr>
        <w:autoSpaceDE w:val="0"/>
        <w:autoSpaceDN w:val="0"/>
        <w:adjustRightInd w:val="0"/>
        <w:spacing w:line="360" w:lineRule="auto"/>
        <w:ind w:firstLine="480" w:firstLineChars="200"/>
        <w:jc w:val="left"/>
        <w:rPr>
          <w:color w:val="auto"/>
          <w:kern w:val="0"/>
          <w:sz w:val="24"/>
          <w:highlight w:val="none"/>
        </w:rPr>
      </w:pPr>
      <w:r>
        <w:rPr>
          <w:rFonts w:hint="eastAsia"/>
          <w:color w:val="auto"/>
          <w:kern w:val="0"/>
          <w:sz w:val="24"/>
          <w:highlight w:val="none"/>
        </w:rPr>
        <w:t>本项目距韩庄运河（南水北调工程）最近直线距离约23.1km，属于南四湖东平湖流域范围一般保护区域。项目无生产废水，生活污水经化粪池收集后由环卫部门定期清运，不外排，对南水北调工程影响较小。</w:t>
      </w:r>
    </w:p>
    <w:p>
      <w:pPr>
        <w:pStyle w:val="99"/>
        <w:ind w:firstLine="480"/>
        <w:rPr>
          <w:color w:val="auto"/>
          <w:highlight w:val="none"/>
        </w:rPr>
      </w:pPr>
      <w:r>
        <w:rPr>
          <w:color w:val="auto"/>
          <w:highlight w:val="none"/>
        </w:rPr>
        <w:t>拟建项目与南水北调工程具体位置关系见图3.2-</w:t>
      </w:r>
      <w:r>
        <w:rPr>
          <w:rFonts w:hint="eastAsia"/>
          <w:color w:val="auto"/>
          <w:highlight w:val="none"/>
        </w:rPr>
        <w:t>1</w:t>
      </w:r>
      <w:r>
        <w:rPr>
          <w:color w:val="auto"/>
          <w:highlight w:val="none"/>
        </w:rPr>
        <w:t>。</w:t>
      </w:r>
    </w:p>
    <w:p>
      <w:pPr>
        <w:pStyle w:val="100"/>
        <w:spacing w:before="156"/>
        <w:rPr>
          <w:rFonts w:ascii="Times New Roman" w:hAnsi="Times New Roman"/>
          <w:color w:val="auto"/>
          <w:highlight w:val="none"/>
        </w:rPr>
      </w:pPr>
      <w:bookmarkStart w:id="124" w:name="_Toc66281280"/>
      <w:bookmarkStart w:id="125" w:name="_Toc25677"/>
      <w:r>
        <w:rPr>
          <w:rFonts w:ascii="Times New Roman" w:hAnsi="Times New Roman"/>
          <w:color w:val="auto"/>
          <w:highlight w:val="none"/>
        </w:rPr>
        <w:t>3.3环境空气质量现状</w:t>
      </w:r>
      <w:bookmarkEnd w:id="124"/>
      <w:bookmarkEnd w:id="125"/>
    </w:p>
    <w:p>
      <w:pPr>
        <w:keepNext/>
        <w:keepLines/>
        <w:spacing w:before="78" w:beforeLines="25" w:line="360" w:lineRule="auto"/>
        <w:outlineLvl w:val="2"/>
        <w:rPr>
          <w:rFonts w:eastAsia="黑体"/>
          <w:bCs/>
          <w:color w:val="auto"/>
          <w:sz w:val="24"/>
          <w:szCs w:val="32"/>
          <w:highlight w:val="none"/>
        </w:rPr>
      </w:pPr>
      <w:r>
        <w:rPr>
          <w:rFonts w:eastAsia="黑体"/>
          <w:bCs/>
          <w:color w:val="auto"/>
          <w:sz w:val="24"/>
          <w:szCs w:val="32"/>
          <w:highlight w:val="none"/>
        </w:rPr>
        <w:t>3.3.1项目所在区域达标判断</w:t>
      </w:r>
    </w:p>
    <w:p>
      <w:pPr>
        <w:pStyle w:val="99"/>
        <w:ind w:firstLine="482"/>
        <w:rPr>
          <w:b/>
          <w:bCs/>
          <w:color w:val="auto"/>
          <w:highlight w:val="none"/>
        </w:rPr>
      </w:pPr>
      <w:r>
        <w:rPr>
          <w:b/>
          <w:bCs/>
          <w:color w:val="auto"/>
          <w:highlight w:val="none"/>
        </w:rPr>
        <w:t>1、评价基准年筛选</w:t>
      </w:r>
    </w:p>
    <w:p>
      <w:pPr>
        <w:pStyle w:val="99"/>
        <w:ind w:firstLine="480"/>
        <w:rPr>
          <w:color w:val="auto"/>
          <w:highlight w:val="none"/>
        </w:rPr>
      </w:pPr>
      <w:r>
        <w:rPr>
          <w:color w:val="auto"/>
          <w:highlight w:val="none"/>
        </w:rPr>
        <w:t>根据项目所需环境空气质量现状、气象资料等数据的可获得性、数据质量、代表性等因素，选择20</w:t>
      </w:r>
      <w:r>
        <w:rPr>
          <w:rFonts w:hint="eastAsia"/>
          <w:color w:val="auto"/>
          <w:highlight w:val="none"/>
        </w:rPr>
        <w:t>2</w:t>
      </w:r>
      <w:r>
        <w:rPr>
          <w:rFonts w:hint="eastAsia"/>
          <w:color w:val="auto"/>
          <w:highlight w:val="none"/>
          <w:lang w:val="en-US" w:eastAsia="zh-CN"/>
        </w:rPr>
        <w:t>1</w:t>
      </w:r>
      <w:r>
        <w:rPr>
          <w:color w:val="auto"/>
          <w:highlight w:val="none"/>
        </w:rPr>
        <w:t>年作为评价基准年。</w:t>
      </w:r>
    </w:p>
    <w:p>
      <w:pPr>
        <w:pStyle w:val="99"/>
        <w:ind w:firstLine="482"/>
        <w:rPr>
          <w:b/>
          <w:bCs/>
          <w:color w:val="auto"/>
          <w:highlight w:val="none"/>
        </w:rPr>
      </w:pPr>
      <w:r>
        <w:rPr>
          <w:b/>
          <w:bCs/>
          <w:color w:val="auto"/>
          <w:highlight w:val="none"/>
        </w:rPr>
        <w:t>2、监测数据收集</w:t>
      </w:r>
    </w:p>
    <w:p>
      <w:pPr>
        <w:pStyle w:val="99"/>
        <w:ind w:firstLine="480"/>
        <w:rPr>
          <w:rFonts w:hint="eastAsia" w:eastAsia="宋体"/>
          <w:color w:val="auto"/>
          <w:highlight w:val="none"/>
          <w:lang w:eastAsia="zh-CN"/>
        </w:rPr>
      </w:pPr>
      <w:r>
        <w:rPr>
          <w:rFonts w:hint="eastAsia"/>
          <w:color w:val="auto"/>
          <w:highlight w:val="none"/>
        </w:rPr>
        <w:t>根据《环境影响评价技术导则 大气环境》(HJ2.2-2018)，环境空气质量现状调查与评价中规定，项目所在区域达标判定，优先选用国家或地方生态环境主管部门公开发布的评价基准年环境质量公告或环境质量报告中的数据或结论</w:t>
      </w:r>
      <w:r>
        <w:rPr>
          <w:rFonts w:hint="eastAsia"/>
          <w:color w:val="auto"/>
          <w:highlight w:val="none"/>
          <w:lang w:eastAsia="zh-CN"/>
        </w:rPr>
        <w:t>，</w:t>
      </w:r>
      <w:r>
        <w:rPr>
          <w:rStyle w:val="122"/>
          <w:rFonts w:hint="default" w:ascii="Times New Roman" w:hAnsi="Times New Roman" w:cs="Times New Roman"/>
          <w:color w:val="auto"/>
          <w:sz w:val="24"/>
          <w:szCs w:val="24"/>
          <w:highlight w:val="none"/>
        </w:rPr>
        <w:t>国家或地方生态环境主管部门未发布城市环境空气质量达标情况的，可按照</w:t>
      </w:r>
      <w:r>
        <w:rPr>
          <w:rStyle w:val="139"/>
          <w:rFonts w:hint="default" w:ascii="Times New Roman" w:hAnsi="Times New Roman" w:eastAsia="宋体" w:cs="Times New Roman"/>
          <w:color w:val="auto"/>
          <w:sz w:val="24"/>
          <w:szCs w:val="24"/>
          <w:highlight w:val="none"/>
        </w:rPr>
        <w:t>HJ663</w:t>
      </w:r>
      <w:r>
        <w:rPr>
          <w:rStyle w:val="122"/>
          <w:rFonts w:hint="default" w:ascii="Times New Roman" w:hAnsi="Times New Roman" w:cs="Times New Roman"/>
          <w:color w:val="auto"/>
          <w:sz w:val="24"/>
          <w:szCs w:val="24"/>
          <w:highlight w:val="none"/>
        </w:rPr>
        <w:t>中各评价项目的年评价指标进行判定。</w:t>
      </w:r>
    </w:p>
    <w:p>
      <w:pPr>
        <w:pStyle w:val="99"/>
        <w:ind w:firstLine="480"/>
        <w:rPr>
          <w:rFonts w:hint="eastAsia" w:eastAsia="宋体"/>
          <w:color w:val="auto"/>
          <w:highlight w:val="none"/>
          <w:lang w:eastAsia="zh-CN"/>
        </w:rPr>
      </w:pPr>
      <w:r>
        <w:rPr>
          <w:rFonts w:hint="eastAsia"/>
          <w:color w:val="auto"/>
          <w:highlight w:val="none"/>
        </w:rPr>
        <w:t>本次评价采用环境空气质量监测站点</w:t>
      </w:r>
      <w:r>
        <w:rPr>
          <w:rFonts w:hint="eastAsia"/>
          <w:color w:val="auto"/>
          <w:highlight w:val="none"/>
          <w:lang w:eastAsia="zh-CN"/>
        </w:rPr>
        <w:t>：</w:t>
      </w:r>
      <w:r>
        <w:rPr>
          <w:rFonts w:ascii="Times New Roman" w:hAnsi="Times New Roman" w:eastAsia="宋体"/>
          <w:color w:val="auto"/>
          <w:szCs w:val="21"/>
          <w:highlight w:val="none"/>
        </w:rPr>
        <w:t>峄城区政府</w:t>
      </w:r>
      <w:r>
        <w:rPr>
          <w:rFonts w:hint="eastAsia"/>
          <w:color w:val="auto"/>
          <w:szCs w:val="21"/>
          <w:highlight w:val="none"/>
          <w:lang w:val="en-US" w:eastAsia="zh-CN"/>
        </w:rPr>
        <w:t>站点的</w:t>
      </w:r>
      <w:r>
        <w:rPr>
          <w:rStyle w:val="122"/>
          <w:rFonts w:hint="default" w:ascii="Times New Roman" w:hAnsi="Times New Roman" w:cs="Times New Roman"/>
          <w:color w:val="auto"/>
          <w:sz w:val="24"/>
          <w:szCs w:val="24"/>
          <w:highlight w:val="none"/>
        </w:rPr>
        <w:t>各</w:t>
      </w:r>
      <w:r>
        <w:rPr>
          <w:rStyle w:val="122"/>
          <w:rFonts w:hint="eastAsia" w:cs="Times New Roman"/>
          <w:color w:val="auto"/>
          <w:sz w:val="24"/>
          <w:szCs w:val="24"/>
          <w:highlight w:val="none"/>
          <w:lang w:val="en-US" w:eastAsia="zh-CN"/>
        </w:rPr>
        <w:t>基本因子</w:t>
      </w:r>
      <w:r>
        <w:rPr>
          <w:rStyle w:val="122"/>
          <w:rFonts w:hint="default" w:ascii="Times New Roman" w:hAnsi="Times New Roman" w:cs="Times New Roman"/>
          <w:color w:val="auto"/>
          <w:sz w:val="24"/>
          <w:szCs w:val="24"/>
          <w:highlight w:val="none"/>
        </w:rPr>
        <w:t>年评价指标进行判定。</w:t>
      </w:r>
    </w:p>
    <w:p>
      <w:pPr>
        <w:pStyle w:val="99"/>
        <w:ind w:firstLine="482"/>
        <w:rPr>
          <w:b/>
          <w:bCs/>
          <w:color w:val="auto"/>
          <w:highlight w:val="none"/>
        </w:rPr>
      </w:pPr>
      <w:r>
        <w:rPr>
          <w:b/>
          <w:bCs/>
          <w:color w:val="auto"/>
          <w:highlight w:val="none"/>
        </w:rPr>
        <w:t>3、监测数据统计结果</w:t>
      </w:r>
    </w:p>
    <w:p>
      <w:pPr>
        <w:pStyle w:val="99"/>
        <w:ind w:firstLine="480"/>
        <w:rPr>
          <w:rFonts w:hint="eastAsia"/>
          <w:color w:val="auto"/>
          <w:highlight w:val="none"/>
        </w:rPr>
      </w:pPr>
      <w:r>
        <w:rPr>
          <w:rFonts w:hint="eastAsia"/>
          <w:color w:val="auto"/>
          <w:highlight w:val="none"/>
        </w:rPr>
        <w:t>202</w:t>
      </w:r>
      <w:r>
        <w:rPr>
          <w:rFonts w:hint="eastAsia"/>
          <w:color w:val="auto"/>
          <w:highlight w:val="none"/>
          <w:lang w:val="en-US" w:eastAsia="zh-CN"/>
        </w:rPr>
        <w:t>1</w:t>
      </w:r>
      <w:r>
        <w:rPr>
          <w:rFonts w:hint="eastAsia"/>
          <w:color w:val="auto"/>
          <w:highlight w:val="none"/>
        </w:rPr>
        <w:t>年，</w:t>
      </w:r>
      <w:r>
        <w:rPr>
          <w:rFonts w:hint="eastAsia"/>
          <w:color w:val="auto"/>
          <w:highlight w:val="none"/>
          <w:lang w:val="en-US" w:eastAsia="zh-CN"/>
        </w:rPr>
        <w:t>峄城区</w:t>
      </w:r>
      <w:r>
        <w:rPr>
          <w:rFonts w:hint="eastAsia"/>
          <w:color w:val="auto"/>
          <w:highlight w:val="none"/>
        </w:rPr>
        <w:t>大气监测统计结果见3.3-1。</w:t>
      </w:r>
    </w:p>
    <w:p>
      <w:pPr>
        <w:pStyle w:val="102"/>
        <w:ind w:firstLine="480"/>
        <w:jc w:val="center"/>
        <w:rPr>
          <w:rFonts w:eastAsia="黑体"/>
          <w:color w:val="auto"/>
          <w:szCs w:val="24"/>
          <w:highlight w:val="none"/>
        </w:rPr>
      </w:pPr>
      <w:r>
        <w:rPr>
          <w:rFonts w:eastAsia="黑体"/>
          <w:color w:val="auto"/>
          <w:szCs w:val="24"/>
          <w:highlight w:val="none"/>
        </w:rPr>
        <w:t>表</w:t>
      </w:r>
      <w:r>
        <w:rPr>
          <w:rFonts w:hint="eastAsia" w:eastAsia="黑体"/>
          <w:color w:val="auto"/>
          <w:szCs w:val="24"/>
          <w:highlight w:val="none"/>
        </w:rPr>
        <w:t>3.3-1</w:t>
      </w:r>
      <w:r>
        <w:rPr>
          <w:rFonts w:eastAsia="黑体"/>
          <w:bCs/>
          <w:color w:val="auto"/>
          <w:szCs w:val="24"/>
          <w:highlight w:val="none"/>
        </w:rPr>
        <w:t xml:space="preserve">  </w:t>
      </w:r>
      <w:r>
        <w:rPr>
          <w:rFonts w:hint="eastAsia" w:eastAsia="黑体"/>
          <w:bCs/>
          <w:color w:val="auto"/>
          <w:szCs w:val="24"/>
          <w:highlight w:val="none"/>
        </w:rPr>
        <w:t>202</w:t>
      </w:r>
      <w:r>
        <w:rPr>
          <w:rFonts w:hint="eastAsia" w:eastAsia="黑体"/>
          <w:bCs/>
          <w:color w:val="auto"/>
          <w:szCs w:val="24"/>
          <w:highlight w:val="none"/>
          <w:lang w:val="en-US" w:eastAsia="zh-CN"/>
        </w:rPr>
        <w:t>1年峄城区</w:t>
      </w:r>
      <w:r>
        <w:rPr>
          <w:rFonts w:hint="eastAsia" w:eastAsia="黑体"/>
          <w:bCs/>
          <w:color w:val="auto"/>
          <w:szCs w:val="24"/>
          <w:highlight w:val="none"/>
        </w:rPr>
        <w:t>大气监测统计结果一览</w:t>
      </w:r>
      <w:r>
        <w:rPr>
          <w:rFonts w:eastAsia="黑体"/>
          <w:color w:val="auto"/>
          <w:szCs w:val="24"/>
          <w:highlight w:val="none"/>
        </w:rPr>
        <w:t>表</w:t>
      </w:r>
    </w:p>
    <w:tbl>
      <w:tblPr>
        <w:tblStyle w:val="59"/>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30"/>
        <w:gridCol w:w="2235"/>
        <w:gridCol w:w="1281"/>
        <w:gridCol w:w="1833"/>
        <w:gridCol w:w="1518"/>
        <w:gridCol w:w="120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3" w:hRule="atLeast"/>
        </w:trPr>
        <w:tc>
          <w:tcPr>
            <w:tcW w:w="930" w:type="dxa"/>
            <w:tcBorders>
              <w:top w:val="single" w:color="auto" w:sz="12" w:space="0"/>
              <w:left w:val="nil"/>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污染物</w:t>
            </w:r>
          </w:p>
        </w:tc>
        <w:tc>
          <w:tcPr>
            <w:tcW w:w="2235" w:type="dxa"/>
            <w:tcBorders>
              <w:top w:val="single" w:color="auto" w:sz="1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年评价指标</w:t>
            </w:r>
          </w:p>
        </w:tc>
        <w:tc>
          <w:tcPr>
            <w:tcW w:w="1281" w:type="dxa"/>
            <w:tcBorders>
              <w:top w:val="single" w:color="auto" w:sz="1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现状浓度/(</w:t>
            </w:r>
            <w:r>
              <w:rPr>
                <w:rFonts w:ascii="Times New Roman" w:hAnsi="Times New Roman" w:eastAsia="宋体"/>
                <w:b/>
                <w:bCs/>
                <w:color w:val="auto"/>
                <w:szCs w:val="21"/>
                <w:highlight w:val="none"/>
                <w:shd w:val="clear" w:color="auto" w:fill="FFFFFF"/>
              </w:rPr>
              <w:t>μg/m</w:t>
            </w:r>
            <w:r>
              <w:rPr>
                <w:rFonts w:ascii="Times New Roman" w:hAnsi="Times New Roman" w:eastAsia="宋体"/>
                <w:b/>
                <w:bCs/>
                <w:color w:val="auto"/>
                <w:szCs w:val="21"/>
                <w:highlight w:val="none"/>
                <w:shd w:val="clear" w:color="auto" w:fill="FFFFFF"/>
                <w:vertAlign w:val="superscript"/>
              </w:rPr>
              <w:t>3</w:t>
            </w:r>
            <w:r>
              <w:rPr>
                <w:rFonts w:ascii="Times New Roman" w:hAnsi="Times New Roman" w:eastAsia="宋体"/>
                <w:b/>
                <w:bCs/>
                <w:color w:val="auto"/>
                <w:szCs w:val="21"/>
                <w:highlight w:val="none"/>
              </w:rPr>
              <w:t>)</w:t>
            </w:r>
          </w:p>
        </w:tc>
        <w:tc>
          <w:tcPr>
            <w:tcW w:w="1833" w:type="dxa"/>
            <w:tcBorders>
              <w:top w:val="single" w:color="auto" w:sz="1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标准值/（</w:t>
            </w:r>
            <w:r>
              <w:rPr>
                <w:rFonts w:ascii="Times New Roman" w:hAnsi="Times New Roman" w:eastAsia="宋体"/>
                <w:b/>
                <w:bCs/>
                <w:color w:val="auto"/>
                <w:szCs w:val="21"/>
                <w:highlight w:val="none"/>
                <w:shd w:val="clear" w:color="auto" w:fill="FFFFFF"/>
              </w:rPr>
              <w:t>μg/m</w:t>
            </w:r>
            <w:r>
              <w:rPr>
                <w:rFonts w:ascii="Times New Roman" w:hAnsi="Times New Roman" w:eastAsia="宋体"/>
                <w:b/>
                <w:bCs/>
                <w:color w:val="auto"/>
                <w:szCs w:val="21"/>
                <w:highlight w:val="none"/>
                <w:shd w:val="clear" w:color="auto" w:fill="FFFFFF"/>
                <w:vertAlign w:val="superscript"/>
              </w:rPr>
              <w:t>3</w:t>
            </w:r>
            <w:r>
              <w:rPr>
                <w:rFonts w:ascii="Times New Roman" w:hAnsi="Times New Roman" w:eastAsia="宋体"/>
                <w:b/>
                <w:bCs/>
                <w:color w:val="auto"/>
                <w:szCs w:val="21"/>
                <w:highlight w:val="none"/>
              </w:rPr>
              <w:t>）</w:t>
            </w:r>
          </w:p>
        </w:tc>
        <w:tc>
          <w:tcPr>
            <w:tcW w:w="1518" w:type="dxa"/>
            <w:tcBorders>
              <w:top w:val="single" w:color="auto" w:sz="1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占标率/%</w:t>
            </w:r>
          </w:p>
        </w:tc>
        <w:tc>
          <w:tcPr>
            <w:tcW w:w="1206" w:type="dxa"/>
            <w:tcBorders>
              <w:top w:val="single" w:color="auto" w:sz="12" w:space="0"/>
              <w:left w:val="single" w:color="auto" w:sz="2" w:space="0"/>
              <w:bottom w:val="single" w:color="auto" w:sz="2"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达标情况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3" w:hRule="atLeast"/>
        </w:trPr>
        <w:tc>
          <w:tcPr>
            <w:tcW w:w="930" w:type="dxa"/>
            <w:vMerge w:val="restart"/>
            <w:tcBorders>
              <w:top w:val="single" w:color="auto" w:sz="2" w:space="0"/>
              <w:left w:val="nil"/>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ascii="Times New Roman" w:hAnsi="Times New Roman" w:eastAsia="宋体"/>
                <w:color w:val="auto"/>
                <w:szCs w:val="21"/>
                <w:highlight w:val="none"/>
              </w:rPr>
              <w:t>SO</w:t>
            </w:r>
            <w:r>
              <w:rPr>
                <w:rFonts w:ascii="Times New Roman" w:hAnsi="Times New Roman" w:eastAsia="宋体"/>
                <w:color w:val="auto"/>
                <w:szCs w:val="21"/>
                <w:highlight w:val="none"/>
                <w:vertAlign w:val="subscript"/>
              </w:rPr>
              <w:t>2</w:t>
            </w:r>
          </w:p>
        </w:tc>
        <w:tc>
          <w:tcPr>
            <w:tcW w:w="223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ascii="Times New Roman" w:hAnsi="Times New Roman" w:eastAsia="宋体"/>
                <w:color w:val="auto"/>
                <w:szCs w:val="21"/>
                <w:highlight w:val="none"/>
              </w:rPr>
              <w:t>年平均质量浓度</w:t>
            </w:r>
          </w:p>
        </w:tc>
        <w:tc>
          <w:tcPr>
            <w:tcW w:w="1281"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12.2</w:t>
            </w:r>
          </w:p>
        </w:tc>
        <w:tc>
          <w:tcPr>
            <w:tcW w:w="183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60</w:t>
            </w:r>
          </w:p>
        </w:tc>
        <w:tc>
          <w:tcPr>
            <w:tcW w:w="1518"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20.33</w:t>
            </w:r>
          </w:p>
        </w:tc>
        <w:tc>
          <w:tcPr>
            <w:tcW w:w="1206" w:type="dxa"/>
            <w:tcBorders>
              <w:top w:val="single" w:color="auto" w:sz="2" w:space="0"/>
              <w:left w:val="single" w:color="auto" w:sz="2" w:space="0"/>
              <w:bottom w:val="single" w:color="auto" w:sz="2"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达标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3" w:hRule="atLeast"/>
        </w:trPr>
        <w:tc>
          <w:tcPr>
            <w:tcW w:w="930" w:type="dxa"/>
            <w:vMerge w:val="continue"/>
            <w:tcBorders>
              <w:top w:val="single" w:color="auto" w:sz="2" w:space="0"/>
              <w:left w:val="nil"/>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ascii="Times New Roman" w:hAnsi="Times New Roman" w:eastAsia="宋体"/>
                <w:color w:val="auto"/>
                <w:spacing w:val="-6"/>
                <w:szCs w:val="21"/>
                <w:highlight w:val="none"/>
              </w:rPr>
              <w:t>第98百分位数日平均</w:t>
            </w:r>
          </w:p>
        </w:tc>
        <w:tc>
          <w:tcPr>
            <w:tcW w:w="1281"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31.09</w:t>
            </w:r>
          </w:p>
        </w:tc>
        <w:tc>
          <w:tcPr>
            <w:tcW w:w="183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150</w:t>
            </w:r>
          </w:p>
        </w:tc>
        <w:tc>
          <w:tcPr>
            <w:tcW w:w="1518"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20.73</w:t>
            </w:r>
          </w:p>
        </w:tc>
        <w:tc>
          <w:tcPr>
            <w:tcW w:w="1206" w:type="dxa"/>
            <w:tcBorders>
              <w:top w:val="single" w:color="auto" w:sz="2" w:space="0"/>
              <w:left w:val="single" w:color="auto" w:sz="2" w:space="0"/>
              <w:bottom w:val="single" w:color="auto" w:sz="2"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达标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3" w:hRule="atLeast"/>
        </w:trPr>
        <w:tc>
          <w:tcPr>
            <w:tcW w:w="930" w:type="dxa"/>
            <w:vMerge w:val="restart"/>
            <w:tcBorders>
              <w:top w:val="single" w:color="auto" w:sz="2" w:space="0"/>
              <w:left w:val="nil"/>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ascii="Times New Roman" w:hAnsi="Times New Roman" w:eastAsia="宋体"/>
                <w:color w:val="auto"/>
                <w:szCs w:val="21"/>
                <w:highlight w:val="none"/>
              </w:rPr>
              <w:t>NO</w:t>
            </w:r>
            <w:r>
              <w:rPr>
                <w:rFonts w:ascii="Times New Roman" w:hAnsi="Times New Roman" w:eastAsia="宋体"/>
                <w:color w:val="auto"/>
                <w:szCs w:val="21"/>
                <w:highlight w:val="none"/>
                <w:vertAlign w:val="subscript"/>
              </w:rPr>
              <w:t>2</w:t>
            </w:r>
          </w:p>
        </w:tc>
        <w:tc>
          <w:tcPr>
            <w:tcW w:w="223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ascii="Times New Roman" w:hAnsi="Times New Roman" w:eastAsia="宋体"/>
                <w:color w:val="auto"/>
                <w:szCs w:val="21"/>
                <w:highlight w:val="none"/>
              </w:rPr>
              <w:t>年平均质量浓度</w:t>
            </w:r>
          </w:p>
        </w:tc>
        <w:tc>
          <w:tcPr>
            <w:tcW w:w="1281"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27.45</w:t>
            </w:r>
          </w:p>
        </w:tc>
        <w:tc>
          <w:tcPr>
            <w:tcW w:w="183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40</w:t>
            </w:r>
          </w:p>
        </w:tc>
        <w:tc>
          <w:tcPr>
            <w:tcW w:w="1518"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68.62</w:t>
            </w:r>
          </w:p>
        </w:tc>
        <w:tc>
          <w:tcPr>
            <w:tcW w:w="1206" w:type="dxa"/>
            <w:tcBorders>
              <w:top w:val="single" w:color="auto" w:sz="2" w:space="0"/>
              <w:left w:val="single" w:color="auto" w:sz="2" w:space="0"/>
              <w:bottom w:val="single" w:color="auto" w:sz="2"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达标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3" w:hRule="atLeast"/>
        </w:trPr>
        <w:tc>
          <w:tcPr>
            <w:tcW w:w="930" w:type="dxa"/>
            <w:vMerge w:val="continue"/>
            <w:tcBorders>
              <w:top w:val="single" w:color="auto" w:sz="2" w:space="0"/>
              <w:left w:val="nil"/>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ascii="Times New Roman" w:hAnsi="Times New Roman" w:eastAsia="宋体"/>
                <w:color w:val="auto"/>
                <w:spacing w:val="-6"/>
                <w:szCs w:val="21"/>
                <w:highlight w:val="none"/>
              </w:rPr>
              <w:t>第98百分位数日平均</w:t>
            </w:r>
          </w:p>
        </w:tc>
        <w:tc>
          <w:tcPr>
            <w:tcW w:w="1281"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69.25</w:t>
            </w:r>
          </w:p>
        </w:tc>
        <w:tc>
          <w:tcPr>
            <w:tcW w:w="183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80</w:t>
            </w:r>
          </w:p>
        </w:tc>
        <w:tc>
          <w:tcPr>
            <w:tcW w:w="1518"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86.56</w:t>
            </w:r>
          </w:p>
        </w:tc>
        <w:tc>
          <w:tcPr>
            <w:tcW w:w="1206" w:type="dxa"/>
            <w:tcBorders>
              <w:top w:val="single" w:color="auto" w:sz="2" w:space="0"/>
              <w:left w:val="single" w:color="auto" w:sz="2" w:space="0"/>
              <w:bottom w:val="single" w:color="auto" w:sz="2"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达标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3" w:hRule="atLeast"/>
        </w:trPr>
        <w:tc>
          <w:tcPr>
            <w:tcW w:w="930" w:type="dxa"/>
            <w:vMerge w:val="restart"/>
            <w:tcBorders>
              <w:top w:val="single" w:color="auto" w:sz="2" w:space="0"/>
              <w:left w:val="nil"/>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ascii="Times New Roman" w:hAnsi="Times New Roman" w:eastAsia="宋体"/>
                <w:color w:val="auto"/>
                <w:szCs w:val="21"/>
                <w:highlight w:val="none"/>
              </w:rPr>
              <w:t>PM</w:t>
            </w:r>
            <w:r>
              <w:rPr>
                <w:rFonts w:ascii="Times New Roman" w:hAnsi="Times New Roman" w:eastAsia="宋体"/>
                <w:color w:val="auto"/>
                <w:szCs w:val="21"/>
                <w:highlight w:val="none"/>
                <w:vertAlign w:val="subscript"/>
              </w:rPr>
              <w:t>10</w:t>
            </w:r>
          </w:p>
        </w:tc>
        <w:tc>
          <w:tcPr>
            <w:tcW w:w="223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ascii="Times New Roman" w:hAnsi="Times New Roman" w:eastAsia="宋体"/>
                <w:color w:val="auto"/>
                <w:szCs w:val="21"/>
                <w:highlight w:val="none"/>
              </w:rPr>
              <w:t>年平均质量浓度</w:t>
            </w:r>
          </w:p>
        </w:tc>
        <w:tc>
          <w:tcPr>
            <w:tcW w:w="1281"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100.34</w:t>
            </w:r>
          </w:p>
        </w:tc>
        <w:tc>
          <w:tcPr>
            <w:tcW w:w="183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70</w:t>
            </w:r>
          </w:p>
        </w:tc>
        <w:tc>
          <w:tcPr>
            <w:tcW w:w="1518"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143.34</w:t>
            </w:r>
          </w:p>
        </w:tc>
        <w:tc>
          <w:tcPr>
            <w:tcW w:w="1206" w:type="dxa"/>
            <w:tcBorders>
              <w:top w:val="single" w:color="auto" w:sz="2" w:space="0"/>
              <w:left w:val="single" w:color="auto" w:sz="2" w:space="0"/>
              <w:bottom w:val="single" w:color="auto" w:sz="2"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不达标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3" w:hRule="atLeast"/>
        </w:trPr>
        <w:tc>
          <w:tcPr>
            <w:tcW w:w="930" w:type="dxa"/>
            <w:vMerge w:val="continue"/>
            <w:tcBorders>
              <w:top w:val="single" w:color="auto" w:sz="2" w:space="0"/>
              <w:left w:val="nil"/>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ascii="Times New Roman" w:hAnsi="Times New Roman" w:eastAsia="宋体"/>
                <w:color w:val="auto"/>
                <w:spacing w:val="-6"/>
                <w:szCs w:val="21"/>
                <w:highlight w:val="none"/>
              </w:rPr>
              <w:t>第95百分位数日平均</w:t>
            </w:r>
          </w:p>
        </w:tc>
        <w:tc>
          <w:tcPr>
            <w:tcW w:w="1281"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223.17</w:t>
            </w:r>
          </w:p>
        </w:tc>
        <w:tc>
          <w:tcPr>
            <w:tcW w:w="183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150</w:t>
            </w:r>
          </w:p>
        </w:tc>
        <w:tc>
          <w:tcPr>
            <w:tcW w:w="1518"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148.78</w:t>
            </w:r>
          </w:p>
        </w:tc>
        <w:tc>
          <w:tcPr>
            <w:tcW w:w="1206" w:type="dxa"/>
            <w:tcBorders>
              <w:top w:val="single" w:color="auto" w:sz="2" w:space="0"/>
              <w:left w:val="single" w:color="auto" w:sz="2" w:space="0"/>
              <w:bottom w:val="single" w:color="auto" w:sz="2"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不达标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3" w:hRule="atLeast"/>
        </w:trPr>
        <w:tc>
          <w:tcPr>
            <w:tcW w:w="930" w:type="dxa"/>
            <w:vMerge w:val="restart"/>
            <w:tcBorders>
              <w:top w:val="single" w:color="auto" w:sz="2" w:space="0"/>
              <w:left w:val="nil"/>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ascii="Times New Roman" w:hAnsi="Times New Roman" w:eastAsia="宋体"/>
                <w:color w:val="auto"/>
                <w:szCs w:val="21"/>
                <w:highlight w:val="none"/>
              </w:rPr>
              <w:t>PM</w:t>
            </w:r>
            <w:r>
              <w:rPr>
                <w:rFonts w:ascii="Times New Roman" w:hAnsi="Times New Roman" w:eastAsia="宋体"/>
                <w:color w:val="auto"/>
                <w:szCs w:val="21"/>
                <w:highlight w:val="none"/>
                <w:vertAlign w:val="subscript"/>
              </w:rPr>
              <w:t>2.5</w:t>
            </w:r>
          </w:p>
        </w:tc>
        <w:tc>
          <w:tcPr>
            <w:tcW w:w="223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ascii="Times New Roman" w:hAnsi="Times New Roman" w:eastAsia="宋体"/>
                <w:color w:val="auto"/>
                <w:szCs w:val="21"/>
                <w:highlight w:val="none"/>
              </w:rPr>
              <w:t>年平均质量浓度</w:t>
            </w:r>
          </w:p>
        </w:tc>
        <w:tc>
          <w:tcPr>
            <w:tcW w:w="1281"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44.73</w:t>
            </w:r>
          </w:p>
        </w:tc>
        <w:tc>
          <w:tcPr>
            <w:tcW w:w="183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35</w:t>
            </w:r>
          </w:p>
        </w:tc>
        <w:tc>
          <w:tcPr>
            <w:tcW w:w="1518"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127.8</w:t>
            </w:r>
          </w:p>
        </w:tc>
        <w:tc>
          <w:tcPr>
            <w:tcW w:w="1206" w:type="dxa"/>
            <w:tcBorders>
              <w:top w:val="single" w:color="auto" w:sz="2" w:space="0"/>
              <w:left w:val="single" w:color="auto" w:sz="2" w:space="0"/>
              <w:bottom w:val="single" w:color="auto" w:sz="2"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不达标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3" w:hRule="atLeast"/>
        </w:trPr>
        <w:tc>
          <w:tcPr>
            <w:tcW w:w="930" w:type="dxa"/>
            <w:vMerge w:val="continue"/>
            <w:tcBorders>
              <w:top w:val="single" w:color="auto" w:sz="2" w:space="0"/>
              <w:left w:val="nil"/>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ascii="Times New Roman" w:hAnsi="Times New Roman" w:eastAsia="宋体"/>
                <w:color w:val="auto"/>
                <w:spacing w:val="-6"/>
                <w:szCs w:val="21"/>
                <w:highlight w:val="none"/>
              </w:rPr>
              <w:t>第95百分位数日平均</w:t>
            </w:r>
          </w:p>
        </w:tc>
        <w:tc>
          <w:tcPr>
            <w:tcW w:w="1281"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113.79</w:t>
            </w:r>
          </w:p>
        </w:tc>
        <w:tc>
          <w:tcPr>
            <w:tcW w:w="183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75</w:t>
            </w:r>
          </w:p>
        </w:tc>
        <w:tc>
          <w:tcPr>
            <w:tcW w:w="1518"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151.72</w:t>
            </w:r>
          </w:p>
        </w:tc>
        <w:tc>
          <w:tcPr>
            <w:tcW w:w="1206" w:type="dxa"/>
            <w:tcBorders>
              <w:top w:val="single" w:color="auto" w:sz="2" w:space="0"/>
              <w:left w:val="single" w:color="auto" w:sz="2" w:space="0"/>
              <w:bottom w:val="single" w:color="auto" w:sz="2"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不达标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3" w:hRule="atLeast"/>
        </w:trPr>
        <w:tc>
          <w:tcPr>
            <w:tcW w:w="930" w:type="dxa"/>
            <w:tcBorders>
              <w:top w:val="single" w:color="auto" w:sz="2" w:space="0"/>
              <w:left w:val="nil"/>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ascii="Times New Roman" w:hAnsi="Times New Roman" w:eastAsia="宋体"/>
                <w:color w:val="auto"/>
                <w:szCs w:val="21"/>
                <w:highlight w:val="none"/>
              </w:rPr>
              <w:t>CO</w:t>
            </w:r>
          </w:p>
        </w:tc>
        <w:tc>
          <w:tcPr>
            <w:tcW w:w="223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pacing w:val="-6"/>
                <w:szCs w:val="21"/>
                <w:highlight w:val="none"/>
              </w:rPr>
            </w:pPr>
            <w:r>
              <w:rPr>
                <w:rFonts w:ascii="Times New Roman" w:hAnsi="Times New Roman" w:eastAsia="宋体"/>
                <w:color w:val="auto"/>
                <w:spacing w:val="-6"/>
                <w:szCs w:val="21"/>
                <w:highlight w:val="none"/>
              </w:rPr>
              <w:t>第95百分位数日平均</w:t>
            </w:r>
          </w:p>
        </w:tc>
        <w:tc>
          <w:tcPr>
            <w:tcW w:w="1281"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1.1</w:t>
            </w:r>
          </w:p>
        </w:tc>
        <w:tc>
          <w:tcPr>
            <w:tcW w:w="183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4000</w:t>
            </w:r>
          </w:p>
        </w:tc>
        <w:tc>
          <w:tcPr>
            <w:tcW w:w="1518"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0.03</w:t>
            </w:r>
          </w:p>
        </w:tc>
        <w:tc>
          <w:tcPr>
            <w:tcW w:w="1206" w:type="dxa"/>
            <w:tcBorders>
              <w:top w:val="single" w:color="auto" w:sz="2" w:space="0"/>
              <w:left w:val="single" w:color="auto" w:sz="2" w:space="0"/>
              <w:bottom w:val="single" w:color="auto" w:sz="2"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达标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3" w:hRule="atLeast"/>
        </w:trPr>
        <w:tc>
          <w:tcPr>
            <w:tcW w:w="930" w:type="dxa"/>
            <w:tcBorders>
              <w:top w:val="single" w:color="auto" w:sz="2" w:space="0"/>
              <w:left w:val="nil"/>
              <w:bottom w:val="single" w:color="auto" w:sz="1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ascii="Times New Roman" w:hAnsi="Times New Roman" w:eastAsia="宋体"/>
                <w:color w:val="auto"/>
                <w:szCs w:val="21"/>
                <w:highlight w:val="none"/>
              </w:rPr>
              <w:t>O</w:t>
            </w:r>
            <w:r>
              <w:rPr>
                <w:rFonts w:ascii="Times New Roman" w:hAnsi="Times New Roman" w:eastAsia="宋体"/>
                <w:color w:val="auto"/>
                <w:szCs w:val="21"/>
                <w:highlight w:val="none"/>
                <w:vertAlign w:val="subscript"/>
              </w:rPr>
              <w:t>3</w:t>
            </w:r>
          </w:p>
        </w:tc>
        <w:tc>
          <w:tcPr>
            <w:tcW w:w="2235" w:type="dxa"/>
            <w:tcBorders>
              <w:top w:val="single" w:color="auto" w:sz="2" w:space="0"/>
              <w:left w:val="single" w:color="auto" w:sz="2" w:space="0"/>
              <w:bottom w:val="single" w:color="auto" w:sz="1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ascii="Times New Roman" w:hAnsi="Times New Roman" w:eastAsia="宋体"/>
                <w:color w:val="auto"/>
                <w:spacing w:val="-6"/>
                <w:szCs w:val="21"/>
                <w:highlight w:val="none"/>
              </w:rPr>
            </w:pPr>
            <w:r>
              <w:rPr>
                <w:rFonts w:ascii="Times New Roman" w:hAnsi="Times New Roman" w:eastAsia="宋体"/>
                <w:color w:val="auto"/>
                <w:spacing w:val="-6"/>
                <w:szCs w:val="21"/>
                <w:highlight w:val="none"/>
              </w:rPr>
              <w:t>最大8小时滑动平均值的第90百分位数</w:t>
            </w:r>
          </w:p>
        </w:tc>
        <w:tc>
          <w:tcPr>
            <w:tcW w:w="1281" w:type="dxa"/>
            <w:tcBorders>
              <w:top w:val="single" w:color="auto" w:sz="2" w:space="0"/>
              <w:left w:val="single" w:color="auto" w:sz="2" w:space="0"/>
              <w:bottom w:val="single" w:color="auto" w:sz="1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120.79</w:t>
            </w:r>
          </w:p>
        </w:tc>
        <w:tc>
          <w:tcPr>
            <w:tcW w:w="1833" w:type="dxa"/>
            <w:tcBorders>
              <w:top w:val="single" w:color="auto" w:sz="2" w:space="0"/>
              <w:left w:val="single" w:color="auto" w:sz="2" w:space="0"/>
              <w:bottom w:val="single" w:color="auto" w:sz="1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160</w:t>
            </w:r>
          </w:p>
        </w:tc>
        <w:tc>
          <w:tcPr>
            <w:tcW w:w="1518" w:type="dxa"/>
            <w:tcBorders>
              <w:top w:val="single" w:color="auto" w:sz="2" w:space="0"/>
              <w:left w:val="single" w:color="auto" w:sz="2" w:space="0"/>
              <w:bottom w:val="single" w:color="auto" w:sz="1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75.49</w:t>
            </w:r>
          </w:p>
        </w:tc>
        <w:tc>
          <w:tcPr>
            <w:tcW w:w="1206" w:type="dxa"/>
            <w:tcBorders>
              <w:top w:val="single" w:color="auto" w:sz="2" w:space="0"/>
              <w:left w:val="single" w:color="auto" w:sz="2" w:space="0"/>
              <w:bottom w:val="single" w:color="auto" w:sz="12"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达标</w:t>
            </w:r>
          </w:p>
        </w:tc>
      </w:tr>
    </w:tbl>
    <w:p>
      <w:pPr>
        <w:pStyle w:val="99"/>
        <w:ind w:firstLine="482"/>
        <w:rPr>
          <w:b/>
          <w:bCs/>
          <w:color w:val="auto"/>
          <w:highlight w:val="none"/>
        </w:rPr>
      </w:pPr>
      <w:r>
        <w:rPr>
          <w:b/>
          <w:bCs/>
          <w:color w:val="auto"/>
          <w:highlight w:val="none"/>
        </w:rPr>
        <w:t>4、达标区判定结果</w:t>
      </w:r>
    </w:p>
    <w:p>
      <w:pPr>
        <w:pStyle w:val="99"/>
        <w:ind w:firstLine="48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rPr>
        <w:t>峄城区政府2021年PM</w:t>
      </w:r>
      <w:r>
        <w:rPr>
          <w:rFonts w:hint="eastAsia" w:ascii="Times New Roman" w:hAnsi="Times New Roman" w:eastAsia="宋体" w:cs="Times New Roman"/>
          <w:color w:val="auto"/>
          <w:sz w:val="24"/>
          <w:szCs w:val="24"/>
          <w:highlight w:val="none"/>
          <w:vertAlign w:val="subscript"/>
        </w:rPr>
        <w:t>10</w:t>
      </w:r>
      <w:r>
        <w:rPr>
          <w:rFonts w:hint="eastAsia" w:ascii="Times New Roman" w:hAnsi="Times New Roman" w:eastAsia="宋体" w:cs="Times New Roman"/>
          <w:color w:val="auto"/>
          <w:sz w:val="24"/>
          <w:szCs w:val="24"/>
          <w:highlight w:val="none"/>
        </w:rPr>
        <w:t>、PM</w:t>
      </w:r>
      <w:r>
        <w:rPr>
          <w:rFonts w:hint="eastAsia" w:ascii="Times New Roman" w:hAnsi="Times New Roman" w:eastAsia="宋体" w:cs="Times New Roman"/>
          <w:color w:val="auto"/>
          <w:sz w:val="24"/>
          <w:szCs w:val="24"/>
          <w:highlight w:val="none"/>
          <w:vertAlign w:val="subscript"/>
        </w:rPr>
        <w:t>2.5</w:t>
      </w:r>
      <w:r>
        <w:rPr>
          <w:rFonts w:hint="eastAsia" w:ascii="Times New Roman" w:hAnsi="Times New Roman" w:eastAsia="宋体" w:cs="Times New Roman"/>
          <w:color w:val="auto"/>
          <w:sz w:val="24"/>
          <w:szCs w:val="24"/>
          <w:highlight w:val="none"/>
        </w:rPr>
        <w:t>年均浓度超标，PM</w:t>
      </w:r>
      <w:r>
        <w:rPr>
          <w:rFonts w:hint="eastAsia" w:ascii="Times New Roman" w:hAnsi="Times New Roman" w:eastAsia="宋体" w:cs="Times New Roman"/>
          <w:color w:val="auto"/>
          <w:sz w:val="24"/>
          <w:szCs w:val="24"/>
          <w:highlight w:val="none"/>
          <w:vertAlign w:val="subscript"/>
        </w:rPr>
        <w:t>10</w:t>
      </w:r>
      <w:r>
        <w:rPr>
          <w:rFonts w:hint="eastAsia" w:ascii="Times New Roman" w:hAnsi="Times New Roman" w:eastAsia="宋体" w:cs="Times New Roman"/>
          <w:color w:val="auto"/>
          <w:sz w:val="24"/>
          <w:szCs w:val="24"/>
          <w:highlight w:val="none"/>
        </w:rPr>
        <w:t>、PM</w:t>
      </w:r>
      <w:r>
        <w:rPr>
          <w:rFonts w:hint="eastAsia" w:ascii="Times New Roman" w:hAnsi="Times New Roman" w:eastAsia="宋体" w:cs="Times New Roman"/>
          <w:color w:val="auto"/>
          <w:sz w:val="24"/>
          <w:szCs w:val="24"/>
          <w:highlight w:val="none"/>
          <w:vertAlign w:val="subscript"/>
        </w:rPr>
        <w:t>2.5</w:t>
      </w:r>
      <w:r>
        <w:rPr>
          <w:rFonts w:hint="eastAsia" w:ascii="Times New Roman" w:hAnsi="Times New Roman" w:eastAsia="宋体" w:cs="Times New Roman"/>
          <w:color w:val="auto"/>
          <w:sz w:val="24"/>
          <w:szCs w:val="24"/>
          <w:highlight w:val="none"/>
        </w:rPr>
        <w:t>相应24小时百分位数平均浓度超标，因此判定本项目位于环境空气质量</w:t>
      </w:r>
      <w:r>
        <w:rPr>
          <w:rFonts w:hint="eastAsia" w:ascii="Times New Roman" w:hAnsi="Times New Roman" w:eastAsia="宋体" w:cs="Times New Roman"/>
          <w:b/>
          <w:bCs/>
          <w:color w:val="auto"/>
          <w:sz w:val="24"/>
          <w:szCs w:val="24"/>
          <w:highlight w:val="none"/>
        </w:rPr>
        <w:t>不达标区</w:t>
      </w:r>
      <w:r>
        <w:rPr>
          <w:rFonts w:hint="eastAsia" w:cs="Times New Roman"/>
          <w:color w:val="auto"/>
          <w:sz w:val="24"/>
          <w:szCs w:val="24"/>
          <w:highlight w:val="none"/>
          <w:lang w:eastAsia="zh-CN"/>
        </w:rPr>
        <w:t>。</w:t>
      </w:r>
    </w:p>
    <w:p>
      <w:pPr>
        <w:pStyle w:val="99"/>
        <w:ind w:firstLine="482"/>
        <w:rPr>
          <w:b/>
          <w:bCs/>
          <w:color w:val="auto"/>
          <w:highlight w:val="none"/>
        </w:rPr>
      </w:pPr>
      <w:r>
        <w:rPr>
          <w:b/>
          <w:bCs/>
          <w:color w:val="auto"/>
          <w:highlight w:val="none"/>
        </w:rPr>
        <w:t>5、区域环境质量改善措施</w:t>
      </w:r>
    </w:p>
    <w:p>
      <w:pPr>
        <w:pStyle w:val="99"/>
        <w:ind w:firstLine="480"/>
        <w:rPr>
          <w:color w:val="auto"/>
          <w:szCs w:val="24"/>
          <w:highlight w:val="none"/>
        </w:rPr>
      </w:pPr>
      <w:r>
        <w:rPr>
          <w:rFonts w:hint="eastAsia" w:ascii="Times New Roman" w:hAnsi="Times New Roman" w:eastAsia="宋体" w:cs="Times New Roman"/>
          <w:color w:val="auto"/>
          <w:sz w:val="24"/>
          <w:szCs w:val="24"/>
          <w:highlight w:val="none"/>
        </w:rPr>
        <w:t>为进一步改善当地环境质量，枣庄市政府制定了《枣庄市“十四五”生态环境保护规划》，根据该规划，当地将持续推进大气污染防治攻坚行动，以细颗粒物和臭氧协同控制为主线，加快补齐臭氧治理短板，强化多污染协同控制和区域协同治理。协同开展PM</w:t>
      </w:r>
      <w:r>
        <w:rPr>
          <w:rFonts w:hint="eastAsia" w:ascii="Times New Roman" w:hAnsi="Times New Roman" w:eastAsia="宋体" w:cs="Times New Roman"/>
          <w:color w:val="auto"/>
          <w:sz w:val="24"/>
          <w:szCs w:val="24"/>
          <w:highlight w:val="none"/>
          <w:vertAlign w:val="subscript"/>
        </w:rPr>
        <w:t>2.5</w:t>
      </w:r>
      <w:r>
        <w:rPr>
          <w:rFonts w:hint="eastAsia" w:ascii="Times New Roman" w:hAnsi="Times New Roman" w:eastAsia="宋体" w:cs="Times New Roman"/>
          <w:color w:val="auto"/>
          <w:sz w:val="24"/>
          <w:szCs w:val="24"/>
          <w:highlight w:val="none"/>
        </w:rPr>
        <w:t>和O</w:t>
      </w:r>
      <w:r>
        <w:rPr>
          <w:rFonts w:hint="eastAsia" w:ascii="Times New Roman" w:hAnsi="Times New Roman" w:eastAsia="宋体" w:cs="Times New Roman"/>
          <w:color w:val="auto"/>
          <w:sz w:val="24"/>
          <w:szCs w:val="24"/>
          <w:highlight w:val="none"/>
          <w:vertAlign w:val="subscript"/>
        </w:rPr>
        <w:t>3</w:t>
      </w:r>
      <w:r>
        <w:rPr>
          <w:rFonts w:hint="eastAsia" w:ascii="Times New Roman" w:hAnsi="Times New Roman" w:eastAsia="宋体" w:cs="Times New Roman"/>
          <w:color w:val="auto"/>
          <w:sz w:val="24"/>
          <w:szCs w:val="24"/>
          <w:highlight w:val="none"/>
        </w:rPr>
        <w:t>污染防治，在夏季以化工、工业涂装、包装印刷等行业为主，重点监管氮氧化物、甲苯、二甲苯等PM</w:t>
      </w:r>
      <w:r>
        <w:rPr>
          <w:rFonts w:hint="eastAsia" w:ascii="Times New Roman" w:hAnsi="Times New Roman" w:eastAsia="宋体" w:cs="Times New Roman"/>
          <w:color w:val="auto"/>
          <w:sz w:val="24"/>
          <w:szCs w:val="24"/>
          <w:highlight w:val="none"/>
          <w:vertAlign w:val="subscript"/>
        </w:rPr>
        <w:t>2.5</w:t>
      </w:r>
      <w:r>
        <w:rPr>
          <w:rFonts w:hint="eastAsia" w:ascii="Times New Roman" w:hAnsi="Times New Roman" w:eastAsia="宋体" w:cs="Times New Roman"/>
          <w:color w:val="auto"/>
          <w:sz w:val="24"/>
          <w:szCs w:val="24"/>
          <w:highlight w:val="none"/>
        </w:rPr>
        <w:t>和O</w:t>
      </w:r>
      <w:r>
        <w:rPr>
          <w:rFonts w:hint="eastAsia" w:ascii="Times New Roman" w:hAnsi="Times New Roman" w:eastAsia="宋体" w:cs="Times New Roman"/>
          <w:color w:val="auto"/>
          <w:sz w:val="24"/>
          <w:szCs w:val="24"/>
          <w:highlight w:val="none"/>
          <w:vertAlign w:val="subscript"/>
        </w:rPr>
        <w:t>3</w:t>
      </w:r>
      <w:r>
        <w:rPr>
          <w:rFonts w:hint="eastAsia" w:ascii="Times New Roman" w:hAnsi="Times New Roman" w:eastAsia="宋体" w:cs="Times New Roman"/>
          <w:color w:val="auto"/>
          <w:sz w:val="24"/>
          <w:szCs w:val="24"/>
          <w:highlight w:val="none"/>
        </w:rPr>
        <w:t>前体物排放；在秋冬季以移动源、燃煤污染管控为主，重点监管不利扩散条件下颗粒物、氮氧化物、二氧化硫、氨排放。优化重污染天气应对体系，修订完善重污染天气应急预案，动态更新应急减排清单，组织企业制定“一厂一策”减排方案。实施重点行业NOx等污染物深度治理，积极开展焦化、水泥行业超低排放改造，推进玻璃、陶瓷、铸造、铁合金等行业污染深度治理。大力推进重点行业VOCs治理，化工、包装印刷、工业涂装等重点行业建立完善源头替代、过程管控和末端治理的VOCs全过程控制体系。推进扬尘精细化管控，全面加强各类施工工地、道路、工业企业料场堆场、露天矿山和港口码头扬尘精细化管控。</w:t>
      </w:r>
    </w:p>
    <w:p>
      <w:pPr>
        <w:pStyle w:val="102"/>
        <w:ind w:firstLine="480"/>
        <w:rPr>
          <w:color w:val="auto"/>
          <w:highlight w:val="none"/>
        </w:rPr>
      </w:pPr>
      <w:r>
        <w:rPr>
          <w:color w:val="auto"/>
          <w:szCs w:val="24"/>
          <w:highlight w:val="none"/>
        </w:rPr>
        <w:t>通过落实上述一系列大气污染治理措施后，区域环境空气质量将得以改善。</w:t>
      </w:r>
    </w:p>
    <w:p>
      <w:pPr>
        <w:keepNext/>
        <w:keepLines/>
        <w:spacing w:before="78" w:beforeLines="25" w:line="360" w:lineRule="auto"/>
        <w:outlineLvl w:val="2"/>
        <w:rPr>
          <w:rFonts w:eastAsia="黑体"/>
          <w:bCs/>
          <w:color w:val="auto"/>
          <w:sz w:val="24"/>
          <w:szCs w:val="32"/>
          <w:highlight w:val="none"/>
        </w:rPr>
      </w:pPr>
      <w:r>
        <w:rPr>
          <w:rFonts w:eastAsia="黑体"/>
          <w:bCs/>
          <w:color w:val="auto"/>
          <w:sz w:val="24"/>
          <w:szCs w:val="32"/>
          <w:highlight w:val="none"/>
        </w:rPr>
        <w:t>3.3.2特征因子现状监测</w:t>
      </w:r>
    </w:p>
    <w:p>
      <w:pPr>
        <w:spacing w:line="360" w:lineRule="auto"/>
        <w:ind w:firstLine="480" w:firstLineChars="200"/>
        <w:rPr>
          <w:color w:val="auto"/>
          <w:sz w:val="24"/>
          <w:highlight w:val="none"/>
        </w:rPr>
      </w:pPr>
      <w:r>
        <w:rPr>
          <w:color w:val="auto"/>
          <w:sz w:val="24"/>
          <w:highlight w:val="none"/>
        </w:rPr>
        <w:t>本次评价委托了</w:t>
      </w:r>
      <w:r>
        <w:rPr>
          <w:rFonts w:hint="eastAsia"/>
          <w:color w:val="auto"/>
          <w:sz w:val="24"/>
          <w:highlight w:val="none"/>
        </w:rPr>
        <w:t>山东宜维检测有限公司</w:t>
      </w:r>
      <w:r>
        <w:rPr>
          <w:color w:val="auto"/>
          <w:sz w:val="24"/>
          <w:highlight w:val="none"/>
        </w:rPr>
        <w:t>于2022年</w:t>
      </w:r>
      <w:r>
        <w:rPr>
          <w:rFonts w:hint="eastAsia"/>
          <w:color w:val="auto"/>
          <w:sz w:val="24"/>
          <w:highlight w:val="none"/>
        </w:rPr>
        <w:t>7</w:t>
      </w:r>
      <w:r>
        <w:rPr>
          <w:color w:val="auto"/>
          <w:sz w:val="24"/>
          <w:highlight w:val="none"/>
        </w:rPr>
        <w:t>月</w:t>
      </w:r>
      <w:r>
        <w:rPr>
          <w:rFonts w:hint="eastAsia"/>
          <w:color w:val="auto"/>
          <w:sz w:val="24"/>
          <w:highlight w:val="none"/>
          <w:lang w:eastAsia="zh-CN"/>
        </w:rPr>
        <w:t>、</w:t>
      </w:r>
      <w:r>
        <w:rPr>
          <w:rFonts w:hint="eastAsia"/>
          <w:color w:val="auto"/>
          <w:sz w:val="24"/>
          <w:highlight w:val="none"/>
          <w:lang w:val="en-US" w:eastAsia="zh-CN"/>
        </w:rPr>
        <w:t>2022年12月</w:t>
      </w:r>
      <w:r>
        <w:rPr>
          <w:color w:val="auto"/>
          <w:sz w:val="24"/>
          <w:highlight w:val="none"/>
        </w:rPr>
        <w:t>对项目区域环境空气特征因子质量现状进行了监测</w:t>
      </w:r>
      <w:r>
        <w:rPr>
          <w:rFonts w:hint="eastAsia"/>
          <w:color w:val="auto"/>
          <w:sz w:val="24"/>
          <w:highlight w:val="none"/>
        </w:rPr>
        <w:t>。</w:t>
      </w:r>
    </w:p>
    <w:p>
      <w:pPr>
        <w:spacing w:line="360" w:lineRule="auto"/>
        <w:ind w:firstLine="482" w:firstLineChars="200"/>
        <w:rPr>
          <w:b/>
          <w:bCs/>
          <w:color w:val="auto"/>
          <w:sz w:val="24"/>
          <w:highlight w:val="none"/>
        </w:rPr>
      </w:pPr>
      <w:r>
        <w:rPr>
          <w:b/>
          <w:bCs/>
          <w:color w:val="auto"/>
          <w:sz w:val="24"/>
          <w:highlight w:val="none"/>
        </w:rPr>
        <w:t>1、监测点位布设</w:t>
      </w:r>
    </w:p>
    <w:p>
      <w:pPr>
        <w:pStyle w:val="102"/>
        <w:ind w:firstLine="480"/>
        <w:rPr>
          <w:color w:val="auto"/>
          <w:highlight w:val="none"/>
        </w:rPr>
      </w:pPr>
      <w:r>
        <w:rPr>
          <w:color w:val="auto"/>
          <w:szCs w:val="24"/>
          <w:highlight w:val="none"/>
        </w:rPr>
        <w:t>根据《环境影响评价技术导则 大气环境》(HJ 2.2-2018)，考虑拟建项目所在地的主导风向和周围环境状况，同时考虑项目大气污染物排放情况，以及以功能区为主兼顾均匀性布点原则，</w:t>
      </w:r>
      <w:r>
        <w:rPr>
          <w:color w:val="auto"/>
          <w:highlight w:val="none"/>
        </w:rPr>
        <w:t>本次评价在项目拟建厂区内设置1个大气监测点进行项目特征因子</w:t>
      </w:r>
      <w:r>
        <w:rPr>
          <w:rFonts w:hint="eastAsia"/>
          <w:bCs/>
          <w:color w:val="auto"/>
          <w:highlight w:val="none"/>
        </w:rPr>
        <w:t>TSP、VOCs</w:t>
      </w:r>
      <w:r>
        <w:rPr>
          <w:rFonts w:hint="eastAsia"/>
          <w:color w:val="auto"/>
          <w:highlight w:val="none"/>
          <w:lang w:eastAsia="zh-CN"/>
        </w:rPr>
        <w:t>（</w:t>
      </w:r>
      <w:r>
        <w:rPr>
          <w:rFonts w:hint="eastAsia"/>
          <w:color w:val="auto"/>
          <w:highlight w:val="none"/>
          <w:lang w:val="en-US" w:eastAsia="zh-CN"/>
        </w:rPr>
        <w:t>以非甲烷总烃计</w:t>
      </w:r>
      <w:r>
        <w:rPr>
          <w:rFonts w:hint="eastAsia"/>
          <w:color w:val="auto"/>
          <w:highlight w:val="none"/>
          <w:lang w:eastAsia="zh-CN"/>
        </w:rPr>
        <w:t>）</w:t>
      </w:r>
      <w:r>
        <w:rPr>
          <w:color w:val="auto"/>
          <w:highlight w:val="none"/>
        </w:rPr>
        <w:t>的监测</w:t>
      </w:r>
      <w:r>
        <w:rPr>
          <w:rFonts w:hint="eastAsia"/>
          <w:color w:val="auto"/>
          <w:highlight w:val="none"/>
          <w:lang w:eastAsia="zh-CN"/>
        </w:rPr>
        <w:t>，</w:t>
      </w:r>
      <w:r>
        <w:rPr>
          <w:rFonts w:hint="eastAsia"/>
          <w:color w:val="auto"/>
          <w:highlight w:val="none"/>
          <w:lang w:val="en-US" w:eastAsia="zh-CN"/>
        </w:rPr>
        <w:t>在敏感点大官庄村设置</w:t>
      </w:r>
      <w:r>
        <w:rPr>
          <w:color w:val="auto"/>
          <w:highlight w:val="none"/>
        </w:rPr>
        <w:t>1个大气监测点进</w:t>
      </w:r>
      <w:r>
        <w:rPr>
          <w:rFonts w:ascii="Times New Roman" w:hAnsi="Times New Roman" w:eastAsia="宋体" w:cs="Times New Roman"/>
          <w:color w:val="auto"/>
          <w:szCs w:val="24"/>
          <w:highlight w:val="none"/>
        </w:rPr>
        <w:t>行项目特征因子</w:t>
      </w:r>
      <w:r>
        <w:rPr>
          <w:rFonts w:hint="eastAsia" w:ascii="Times New Roman" w:hAnsi="Times New Roman" w:eastAsia="宋体" w:cs="Times New Roman"/>
          <w:color w:val="auto"/>
          <w:szCs w:val="24"/>
          <w:highlight w:val="none"/>
        </w:rPr>
        <w:t>臭气浓度</w:t>
      </w:r>
      <w:r>
        <w:rPr>
          <w:rFonts w:hint="eastAsia" w:ascii="Times New Roman" w:hAnsi="Times New Roman" w:eastAsia="宋体" w:cs="Times New Roman"/>
          <w:color w:val="auto"/>
          <w:szCs w:val="24"/>
          <w:highlight w:val="none"/>
          <w:lang w:val="en-US" w:eastAsia="zh-CN"/>
        </w:rPr>
        <w:t>的监测</w:t>
      </w:r>
      <w:r>
        <w:rPr>
          <w:rFonts w:hint="eastAsia" w:ascii="Times New Roman" w:hAnsi="Times New Roman" w:eastAsia="宋体" w:cs="Times New Roman"/>
          <w:color w:val="auto"/>
          <w:szCs w:val="24"/>
          <w:highlight w:val="none"/>
          <w:lang w:eastAsia="zh-CN"/>
        </w:rPr>
        <w:t>，</w:t>
      </w:r>
      <w:r>
        <w:rPr>
          <w:rFonts w:ascii="Times New Roman" w:hAnsi="Times New Roman" w:eastAsia="宋体" w:cs="Times New Roman"/>
          <w:color w:val="auto"/>
          <w:szCs w:val="24"/>
          <w:highlight w:val="none"/>
        </w:rPr>
        <w:t>监测布点见图3.3-1。</w:t>
      </w:r>
    </w:p>
    <w:p>
      <w:pPr>
        <w:spacing w:line="360" w:lineRule="auto"/>
        <w:ind w:firstLine="482" w:firstLineChars="200"/>
        <w:rPr>
          <w:b/>
          <w:color w:val="auto"/>
          <w:sz w:val="24"/>
          <w:highlight w:val="none"/>
        </w:rPr>
      </w:pPr>
      <w:r>
        <w:rPr>
          <w:b/>
          <w:color w:val="auto"/>
          <w:sz w:val="24"/>
          <w:highlight w:val="none"/>
        </w:rPr>
        <w:t>2、监测项目</w:t>
      </w:r>
    </w:p>
    <w:p>
      <w:pPr>
        <w:pStyle w:val="99"/>
        <w:ind w:firstLine="480"/>
        <w:rPr>
          <w:color w:val="auto"/>
          <w:highlight w:val="none"/>
          <w:lang w:val="zh-CN" w:bidi="zh-CN"/>
        </w:rPr>
      </w:pPr>
      <w:r>
        <w:rPr>
          <w:rFonts w:hint="eastAsia"/>
          <w:bCs/>
          <w:color w:val="auto"/>
          <w:highlight w:val="none"/>
        </w:rPr>
        <w:t>TSP、VOCs</w:t>
      </w:r>
      <w:r>
        <w:rPr>
          <w:rFonts w:hint="eastAsia"/>
          <w:color w:val="auto"/>
          <w:highlight w:val="none"/>
          <w:lang w:eastAsia="zh-CN"/>
        </w:rPr>
        <w:t>（</w:t>
      </w:r>
      <w:r>
        <w:rPr>
          <w:rFonts w:hint="eastAsia"/>
          <w:color w:val="auto"/>
          <w:highlight w:val="none"/>
          <w:lang w:val="en-US" w:eastAsia="zh-CN"/>
        </w:rPr>
        <w:t>以非甲烷总烃计</w:t>
      </w:r>
      <w:r>
        <w:rPr>
          <w:rFonts w:hint="eastAsia"/>
          <w:color w:val="auto"/>
          <w:highlight w:val="none"/>
          <w:lang w:eastAsia="zh-CN"/>
        </w:rPr>
        <w:t>）、</w:t>
      </w:r>
      <w:r>
        <w:rPr>
          <w:rFonts w:hint="eastAsia"/>
          <w:color w:val="auto"/>
          <w:highlight w:val="none"/>
          <w:lang w:val="en-US" w:eastAsia="zh-CN"/>
        </w:rPr>
        <w:t>臭气浓度</w:t>
      </w:r>
      <w:r>
        <w:rPr>
          <w:color w:val="auto"/>
          <w:highlight w:val="none"/>
        </w:rPr>
        <w:t>共</w:t>
      </w:r>
      <w:r>
        <w:rPr>
          <w:rFonts w:hint="eastAsia"/>
          <w:color w:val="auto"/>
          <w:highlight w:val="none"/>
          <w:lang w:val="en-US" w:eastAsia="zh-CN"/>
        </w:rPr>
        <w:t>3</w:t>
      </w:r>
      <w:r>
        <w:rPr>
          <w:color w:val="auto"/>
          <w:highlight w:val="none"/>
        </w:rPr>
        <w:t>项指</w:t>
      </w:r>
      <w:r>
        <w:rPr>
          <w:color w:val="auto"/>
          <w:highlight w:val="none"/>
          <w:lang w:val="zh-CN" w:bidi="zh-CN"/>
        </w:rPr>
        <w:t>标，同步观测风向、风速、气温、气压、总云量、低云量等</w:t>
      </w:r>
      <w:r>
        <w:rPr>
          <w:rFonts w:hint="eastAsia" w:hAnsi="宋体"/>
          <w:color w:val="auto"/>
          <w:szCs w:val="18"/>
          <w:highlight w:val="none"/>
        </w:rPr>
        <w:t>气象要素的</w:t>
      </w:r>
      <w:r>
        <w:rPr>
          <w:color w:val="auto"/>
          <w:highlight w:val="none"/>
          <w:lang w:val="zh-CN" w:bidi="zh-CN"/>
        </w:rPr>
        <w:t>参数。</w:t>
      </w:r>
    </w:p>
    <w:p>
      <w:pPr>
        <w:spacing w:line="360" w:lineRule="auto"/>
        <w:ind w:firstLine="482" w:firstLineChars="200"/>
        <w:rPr>
          <w:b/>
          <w:color w:val="auto"/>
          <w:sz w:val="24"/>
          <w:highlight w:val="none"/>
        </w:rPr>
      </w:pPr>
      <w:r>
        <w:rPr>
          <w:b/>
          <w:color w:val="auto"/>
          <w:sz w:val="24"/>
          <w:highlight w:val="none"/>
        </w:rPr>
        <w:t>3、监测单位、监测时间、频次</w:t>
      </w:r>
    </w:p>
    <w:p>
      <w:pPr>
        <w:pStyle w:val="102"/>
        <w:ind w:firstLine="480"/>
        <w:rPr>
          <w:color w:val="auto"/>
          <w:highlight w:val="none"/>
        </w:rPr>
      </w:pPr>
      <w:r>
        <w:rPr>
          <w:rFonts w:hint="eastAsia"/>
          <w:bCs/>
          <w:color w:val="auto"/>
          <w:highlight w:val="none"/>
        </w:rPr>
        <w:t>TSP、VOCs</w:t>
      </w:r>
      <w:r>
        <w:rPr>
          <w:rFonts w:hint="eastAsia"/>
          <w:color w:val="auto"/>
          <w:highlight w:val="none"/>
          <w:lang w:eastAsia="zh-CN"/>
        </w:rPr>
        <w:t>（</w:t>
      </w:r>
      <w:r>
        <w:rPr>
          <w:rFonts w:hint="eastAsia"/>
          <w:color w:val="auto"/>
          <w:highlight w:val="none"/>
          <w:lang w:val="en-US" w:eastAsia="zh-CN"/>
        </w:rPr>
        <w:t>以非甲烷总烃计</w:t>
      </w:r>
      <w:r>
        <w:rPr>
          <w:rFonts w:hint="eastAsia"/>
          <w:color w:val="auto"/>
          <w:highlight w:val="none"/>
          <w:lang w:eastAsia="zh-CN"/>
        </w:rPr>
        <w:t>）</w:t>
      </w:r>
      <w:r>
        <w:rPr>
          <w:rFonts w:hint="eastAsia"/>
          <w:color w:val="auto"/>
          <w:highlight w:val="none"/>
        </w:rPr>
        <w:t>采样监测</w:t>
      </w:r>
      <w:r>
        <w:rPr>
          <w:color w:val="auto"/>
          <w:highlight w:val="none"/>
        </w:rPr>
        <w:t>时间为2022年</w:t>
      </w:r>
      <w:r>
        <w:rPr>
          <w:rFonts w:hint="eastAsia"/>
          <w:color w:val="auto"/>
          <w:highlight w:val="none"/>
        </w:rPr>
        <w:t>7</w:t>
      </w:r>
      <w:r>
        <w:rPr>
          <w:color w:val="auto"/>
          <w:highlight w:val="none"/>
        </w:rPr>
        <w:t>月</w:t>
      </w:r>
      <w:r>
        <w:rPr>
          <w:rFonts w:hint="eastAsia"/>
          <w:color w:val="auto"/>
          <w:highlight w:val="none"/>
        </w:rPr>
        <w:t>8</w:t>
      </w:r>
      <w:r>
        <w:rPr>
          <w:color w:val="auto"/>
          <w:highlight w:val="none"/>
        </w:rPr>
        <w:t>日～</w:t>
      </w:r>
      <w:r>
        <w:rPr>
          <w:rFonts w:hint="eastAsia"/>
          <w:color w:val="auto"/>
          <w:highlight w:val="none"/>
        </w:rPr>
        <w:t>7</w:t>
      </w:r>
      <w:r>
        <w:rPr>
          <w:color w:val="auto"/>
          <w:highlight w:val="none"/>
        </w:rPr>
        <w:t>月</w:t>
      </w:r>
      <w:r>
        <w:rPr>
          <w:rFonts w:hint="eastAsia"/>
          <w:color w:val="auto"/>
          <w:highlight w:val="none"/>
        </w:rPr>
        <w:t>15</w:t>
      </w:r>
      <w:r>
        <w:rPr>
          <w:color w:val="auto"/>
          <w:highlight w:val="none"/>
        </w:rPr>
        <w:t>日，连续监测7天，</w:t>
      </w:r>
      <w:r>
        <w:rPr>
          <w:rFonts w:hint="eastAsia"/>
          <w:color w:val="auto"/>
          <w:highlight w:val="none"/>
        </w:rPr>
        <w:t>小时值</w:t>
      </w:r>
      <w:r>
        <w:rPr>
          <w:color w:val="auto"/>
          <w:highlight w:val="none"/>
        </w:rPr>
        <w:t>每天采样4次。</w:t>
      </w:r>
    </w:p>
    <w:p>
      <w:pPr>
        <w:pStyle w:val="102"/>
        <w:ind w:firstLine="480"/>
        <w:rPr>
          <w:color w:val="auto"/>
          <w:highlight w:val="none"/>
        </w:rPr>
      </w:pPr>
      <w:r>
        <w:rPr>
          <w:rFonts w:hint="eastAsia"/>
          <w:color w:val="auto"/>
          <w:highlight w:val="none"/>
          <w:lang w:val="en-US" w:eastAsia="zh-CN"/>
        </w:rPr>
        <w:t>臭气浓度</w:t>
      </w:r>
      <w:r>
        <w:rPr>
          <w:rFonts w:hint="eastAsia"/>
          <w:color w:val="auto"/>
          <w:highlight w:val="none"/>
        </w:rPr>
        <w:t>采样监测</w:t>
      </w:r>
      <w:r>
        <w:rPr>
          <w:color w:val="auto"/>
          <w:highlight w:val="none"/>
        </w:rPr>
        <w:t>时间为2022年</w:t>
      </w:r>
      <w:r>
        <w:rPr>
          <w:rFonts w:hint="eastAsia"/>
          <w:color w:val="auto"/>
          <w:highlight w:val="none"/>
          <w:lang w:val="en-US" w:eastAsia="zh-CN"/>
        </w:rPr>
        <w:t>12</w:t>
      </w:r>
      <w:r>
        <w:rPr>
          <w:color w:val="auto"/>
          <w:highlight w:val="none"/>
        </w:rPr>
        <w:t>月</w:t>
      </w:r>
      <w:r>
        <w:rPr>
          <w:rFonts w:hint="eastAsia"/>
          <w:color w:val="auto"/>
          <w:highlight w:val="none"/>
          <w:lang w:val="en-US" w:eastAsia="zh-CN"/>
        </w:rPr>
        <w:t>2</w:t>
      </w:r>
      <w:r>
        <w:rPr>
          <w:color w:val="auto"/>
          <w:highlight w:val="none"/>
        </w:rPr>
        <w:t>日～</w:t>
      </w:r>
      <w:r>
        <w:rPr>
          <w:rFonts w:hint="eastAsia"/>
          <w:color w:val="auto"/>
          <w:highlight w:val="none"/>
          <w:lang w:val="en-US" w:eastAsia="zh-CN"/>
        </w:rPr>
        <w:t>12</w:t>
      </w:r>
      <w:r>
        <w:rPr>
          <w:color w:val="auto"/>
          <w:highlight w:val="none"/>
        </w:rPr>
        <w:t>月</w:t>
      </w:r>
      <w:r>
        <w:rPr>
          <w:rFonts w:hint="eastAsia"/>
          <w:color w:val="auto"/>
          <w:highlight w:val="none"/>
          <w:lang w:val="en-US" w:eastAsia="zh-CN"/>
        </w:rPr>
        <w:t>4</w:t>
      </w:r>
      <w:r>
        <w:rPr>
          <w:color w:val="auto"/>
          <w:highlight w:val="none"/>
        </w:rPr>
        <w:t>日，连续监测</w:t>
      </w:r>
      <w:r>
        <w:rPr>
          <w:rFonts w:hint="eastAsia"/>
          <w:color w:val="auto"/>
          <w:highlight w:val="none"/>
          <w:lang w:val="en-US" w:eastAsia="zh-CN"/>
        </w:rPr>
        <w:t>3</w:t>
      </w:r>
      <w:r>
        <w:rPr>
          <w:color w:val="auto"/>
          <w:highlight w:val="none"/>
        </w:rPr>
        <w:t>天，</w:t>
      </w:r>
      <w:r>
        <w:rPr>
          <w:rFonts w:hint="eastAsia"/>
          <w:color w:val="auto"/>
          <w:highlight w:val="none"/>
        </w:rPr>
        <w:t>小时值</w:t>
      </w:r>
      <w:r>
        <w:rPr>
          <w:color w:val="auto"/>
          <w:highlight w:val="none"/>
        </w:rPr>
        <w:t>每天采样4次。</w:t>
      </w:r>
    </w:p>
    <w:p>
      <w:pPr>
        <w:pStyle w:val="102"/>
        <w:ind w:firstLine="480"/>
        <w:rPr>
          <w:color w:val="auto"/>
          <w:highlight w:val="none"/>
        </w:rPr>
      </w:pPr>
      <w:r>
        <w:rPr>
          <w:color w:val="auto"/>
          <w:highlight w:val="none"/>
        </w:rPr>
        <w:t>监测期间气象参数见表3.3-</w:t>
      </w:r>
      <w:r>
        <w:rPr>
          <w:rFonts w:hint="eastAsia"/>
          <w:color w:val="auto"/>
          <w:highlight w:val="none"/>
        </w:rPr>
        <w:t>2</w:t>
      </w:r>
      <w:r>
        <w:rPr>
          <w:color w:val="auto"/>
          <w:highlight w:val="none"/>
        </w:rPr>
        <w:t>。</w:t>
      </w:r>
    </w:p>
    <w:p>
      <w:pPr>
        <w:pStyle w:val="103"/>
        <w:rPr>
          <w:rFonts w:ascii="Times New Roman" w:hAnsi="Times New Roman"/>
          <w:color w:val="auto"/>
          <w:highlight w:val="none"/>
        </w:rPr>
      </w:pPr>
      <w:r>
        <w:rPr>
          <w:rFonts w:ascii="Times New Roman" w:hAnsi="Times New Roman"/>
          <w:color w:val="auto"/>
          <w:highlight w:val="none"/>
        </w:rPr>
        <w:t>表3.3-</w:t>
      </w:r>
      <w:r>
        <w:rPr>
          <w:rFonts w:hint="eastAsia" w:ascii="Times New Roman" w:hAnsi="Times New Roman"/>
          <w:color w:val="auto"/>
          <w:highlight w:val="none"/>
        </w:rPr>
        <w:t>2</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1</w:t>
      </w:r>
      <w:r>
        <w:rPr>
          <w:rFonts w:hint="eastAsia" w:ascii="Times New Roman" w:hAnsi="Times New Roman"/>
          <w:color w:val="auto"/>
          <w:highlight w:val="none"/>
          <w:lang w:eastAsia="zh-CN"/>
        </w:rPr>
        <w:t>）</w:t>
      </w:r>
      <w:r>
        <w:rPr>
          <w:rFonts w:ascii="Times New Roman" w:hAnsi="Times New Roman"/>
          <w:color w:val="auto"/>
          <w:highlight w:val="none"/>
        </w:rPr>
        <w:t xml:space="preserve">  监测期间气象参数表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13"/>
        <w:gridCol w:w="842"/>
        <w:gridCol w:w="1123"/>
        <w:gridCol w:w="1123"/>
        <w:gridCol w:w="1123"/>
        <w:gridCol w:w="1123"/>
        <w:gridCol w:w="1123"/>
        <w:gridCol w:w="10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2" w:type="pct"/>
            <w:tcBorders>
              <w:tl2br w:val="nil"/>
              <w:tr2bl w:val="nil"/>
            </w:tcBorders>
            <w:tcMar>
              <w:left w:w="28" w:type="dxa"/>
              <w:right w:w="28" w:type="dxa"/>
            </w:tcMar>
            <w:vAlign w:val="center"/>
          </w:tcPr>
          <w:p>
            <w:pPr>
              <w:spacing w:line="260" w:lineRule="exact"/>
              <w:jc w:val="center"/>
              <w:rPr>
                <w:color w:val="auto"/>
                <w:szCs w:val="21"/>
                <w:highlight w:val="none"/>
              </w:rPr>
            </w:pPr>
            <w:r>
              <w:rPr>
                <w:color w:val="auto"/>
                <w:szCs w:val="21"/>
                <w:highlight w:val="none"/>
              </w:rPr>
              <w:t>采样日期</w:t>
            </w:r>
          </w:p>
        </w:tc>
        <w:tc>
          <w:tcPr>
            <w:tcW w:w="476" w:type="pct"/>
            <w:tcBorders>
              <w:tl2br w:val="nil"/>
              <w:tr2bl w:val="nil"/>
            </w:tcBorders>
            <w:tcMar>
              <w:left w:w="28" w:type="dxa"/>
              <w:right w:w="28" w:type="dxa"/>
            </w:tcMar>
            <w:vAlign w:val="center"/>
          </w:tcPr>
          <w:p>
            <w:pPr>
              <w:spacing w:line="260" w:lineRule="exact"/>
              <w:jc w:val="center"/>
              <w:rPr>
                <w:color w:val="auto"/>
                <w:szCs w:val="21"/>
                <w:highlight w:val="none"/>
              </w:rPr>
            </w:pPr>
            <w:r>
              <w:rPr>
                <w:color w:val="auto"/>
                <w:szCs w:val="21"/>
                <w:highlight w:val="none"/>
              </w:rPr>
              <w:t>时间</w:t>
            </w:r>
          </w:p>
        </w:tc>
        <w:tc>
          <w:tcPr>
            <w:tcW w:w="635" w:type="pct"/>
            <w:tcBorders>
              <w:tl2br w:val="nil"/>
              <w:tr2bl w:val="nil"/>
            </w:tcBorders>
            <w:tcMar>
              <w:left w:w="28" w:type="dxa"/>
              <w:right w:w="28" w:type="dxa"/>
            </w:tcMar>
            <w:vAlign w:val="center"/>
          </w:tcPr>
          <w:p>
            <w:pPr>
              <w:widowControl/>
              <w:spacing w:line="260" w:lineRule="exact"/>
              <w:jc w:val="center"/>
              <w:rPr>
                <w:color w:val="auto"/>
                <w:szCs w:val="21"/>
                <w:highlight w:val="none"/>
              </w:rPr>
            </w:pPr>
            <w:r>
              <w:rPr>
                <w:color w:val="auto"/>
                <w:szCs w:val="21"/>
                <w:highlight w:val="none"/>
              </w:rPr>
              <w:t>风向</w:t>
            </w:r>
          </w:p>
        </w:tc>
        <w:tc>
          <w:tcPr>
            <w:tcW w:w="635" w:type="pct"/>
            <w:tcBorders>
              <w:tl2br w:val="nil"/>
              <w:tr2bl w:val="nil"/>
            </w:tcBorders>
            <w:tcMar>
              <w:left w:w="28" w:type="dxa"/>
              <w:right w:w="28" w:type="dxa"/>
            </w:tcMar>
            <w:vAlign w:val="center"/>
          </w:tcPr>
          <w:p>
            <w:pPr>
              <w:widowControl/>
              <w:spacing w:line="260" w:lineRule="exact"/>
              <w:jc w:val="center"/>
              <w:rPr>
                <w:color w:val="auto"/>
                <w:szCs w:val="21"/>
                <w:highlight w:val="none"/>
              </w:rPr>
            </w:pPr>
            <w:r>
              <w:rPr>
                <w:color w:val="auto"/>
                <w:szCs w:val="21"/>
                <w:highlight w:val="none"/>
              </w:rPr>
              <w:t>风速（m/s）</w:t>
            </w:r>
          </w:p>
        </w:tc>
        <w:tc>
          <w:tcPr>
            <w:tcW w:w="635" w:type="pct"/>
            <w:tcBorders>
              <w:tl2br w:val="nil"/>
              <w:tr2bl w:val="nil"/>
            </w:tcBorders>
            <w:tcMar>
              <w:left w:w="28" w:type="dxa"/>
              <w:right w:w="28" w:type="dxa"/>
            </w:tcMar>
            <w:vAlign w:val="center"/>
          </w:tcPr>
          <w:p>
            <w:pPr>
              <w:widowControl/>
              <w:spacing w:line="260" w:lineRule="exact"/>
              <w:jc w:val="center"/>
              <w:rPr>
                <w:color w:val="auto"/>
                <w:szCs w:val="21"/>
                <w:highlight w:val="none"/>
              </w:rPr>
            </w:pPr>
            <w:r>
              <w:rPr>
                <w:color w:val="auto"/>
                <w:szCs w:val="21"/>
                <w:highlight w:val="none"/>
              </w:rPr>
              <w:t>气温（℃）</w:t>
            </w:r>
          </w:p>
        </w:tc>
        <w:tc>
          <w:tcPr>
            <w:tcW w:w="635" w:type="pct"/>
            <w:tcBorders>
              <w:tl2br w:val="nil"/>
              <w:tr2bl w:val="nil"/>
            </w:tcBorders>
            <w:tcMar>
              <w:left w:w="28" w:type="dxa"/>
              <w:right w:w="28" w:type="dxa"/>
            </w:tcMar>
            <w:vAlign w:val="center"/>
          </w:tcPr>
          <w:p>
            <w:pPr>
              <w:widowControl/>
              <w:spacing w:line="260" w:lineRule="exact"/>
              <w:jc w:val="center"/>
              <w:rPr>
                <w:color w:val="auto"/>
                <w:szCs w:val="21"/>
                <w:highlight w:val="none"/>
              </w:rPr>
            </w:pPr>
            <w:r>
              <w:rPr>
                <w:color w:val="auto"/>
                <w:szCs w:val="21"/>
                <w:highlight w:val="none"/>
              </w:rPr>
              <w:t>气压（kPa）</w:t>
            </w:r>
          </w:p>
        </w:tc>
        <w:tc>
          <w:tcPr>
            <w:tcW w:w="635" w:type="pct"/>
            <w:tcBorders>
              <w:tl2br w:val="nil"/>
              <w:tr2bl w:val="nil"/>
            </w:tcBorders>
            <w:tcMar>
              <w:left w:w="28" w:type="dxa"/>
              <w:right w:w="28" w:type="dxa"/>
            </w:tcMar>
            <w:vAlign w:val="center"/>
          </w:tcPr>
          <w:p>
            <w:pPr>
              <w:widowControl/>
              <w:spacing w:line="260" w:lineRule="exact"/>
              <w:jc w:val="center"/>
              <w:rPr>
                <w:color w:val="auto"/>
                <w:szCs w:val="21"/>
                <w:highlight w:val="none"/>
              </w:rPr>
            </w:pPr>
            <w:r>
              <w:rPr>
                <w:color w:val="auto"/>
                <w:szCs w:val="21"/>
                <w:highlight w:val="none"/>
              </w:rPr>
              <w:t>低云量</w:t>
            </w:r>
          </w:p>
        </w:tc>
        <w:tc>
          <w:tcPr>
            <w:tcW w:w="603" w:type="pct"/>
            <w:tcBorders>
              <w:tl2br w:val="nil"/>
              <w:tr2bl w:val="nil"/>
            </w:tcBorders>
            <w:tcMar>
              <w:left w:w="28" w:type="dxa"/>
              <w:right w:w="28" w:type="dxa"/>
            </w:tcMar>
            <w:vAlign w:val="center"/>
          </w:tcPr>
          <w:p>
            <w:pPr>
              <w:widowControl/>
              <w:spacing w:line="260" w:lineRule="exact"/>
              <w:jc w:val="center"/>
              <w:rPr>
                <w:color w:val="auto"/>
                <w:szCs w:val="21"/>
                <w:highlight w:val="none"/>
              </w:rPr>
            </w:pPr>
            <w:r>
              <w:rPr>
                <w:color w:val="auto"/>
                <w:szCs w:val="21"/>
                <w:highlight w:val="none"/>
              </w:rPr>
              <w:t>总云量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2" w:type="pct"/>
            <w:tcBorders>
              <w:tl2br w:val="nil"/>
              <w:tr2bl w:val="nil"/>
            </w:tcBorders>
            <w:tcMar>
              <w:left w:w="28" w:type="dxa"/>
              <w:right w:w="28" w:type="dxa"/>
            </w:tcMar>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2022.7.8</w:t>
            </w:r>
          </w:p>
        </w:tc>
        <w:tc>
          <w:tcPr>
            <w:tcW w:w="476" w:type="pct"/>
            <w:tcBorders>
              <w:tl2br w:val="nil"/>
              <w:tr2bl w:val="nil"/>
            </w:tcBorders>
            <w:tcMar>
              <w:left w:w="28" w:type="dxa"/>
              <w:right w:w="28" w:type="dxa"/>
            </w:tcMar>
            <w:vAlign w:val="center"/>
          </w:tcPr>
          <w:p>
            <w:pPr>
              <w:widowControl/>
              <w:jc w:val="center"/>
              <w:textAlignment w:val="center"/>
              <w:rPr>
                <w:color w:val="auto"/>
                <w:szCs w:val="21"/>
                <w:highlight w:val="none"/>
              </w:rPr>
            </w:pPr>
            <w:r>
              <w:rPr>
                <w:rFonts w:hint="eastAsia" w:hAnsi="宋体" w:cs="宋体"/>
                <w:bCs/>
                <w:color w:val="auto"/>
                <w:szCs w:val="21"/>
                <w:highlight w:val="none"/>
              </w:rPr>
              <w:t>19:46</w:t>
            </w:r>
          </w:p>
        </w:tc>
        <w:tc>
          <w:tcPr>
            <w:tcW w:w="635" w:type="pct"/>
            <w:tcBorders>
              <w:tl2br w:val="nil"/>
              <w:tr2bl w:val="nil"/>
            </w:tcBorders>
            <w:tcMar>
              <w:left w:w="28" w:type="dxa"/>
              <w:right w:w="28" w:type="dxa"/>
            </w:tcMar>
            <w:vAlign w:val="center"/>
          </w:tcPr>
          <w:p>
            <w:pPr>
              <w:spacing w:line="320" w:lineRule="exact"/>
              <w:jc w:val="center"/>
              <w:rPr>
                <w:color w:val="auto"/>
                <w:highlight w:val="none"/>
              </w:rPr>
            </w:pPr>
            <w:r>
              <w:rPr>
                <w:rFonts w:hint="eastAsia" w:hAnsi="宋体" w:cs="宋体"/>
                <w:bCs/>
                <w:color w:val="auto"/>
                <w:szCs w:val="21"/>
                <w:highlight w:val="none"/>
              </w:rPr>
              <w:t>SW</w:t>
            </w:r>
          </w:p>
        </w:tc>
        <w:tc>
          <w:tcPr>
            <w:tcW w:w="635" w:type="pct"/>
            <w:tcBorders>
              <w:tl2br w:val="nil"/>
              <w:tr2bl w:val="nil"/>
            </w:tcBorders>
            <w:tcMar>
              <w:left w:w="28" w:type="dxa"/>
              <w:right w:w="28" w:type="dxa"/>
            </w:tcMar>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1.2</w:t>
            </w:r>
          </w:p>
        </w:tc>
        <w:tc>
          <w:tcPr>
            <w:tcW w:w="635" w:type="pct"/>
            <w:tcBorders>
              <w:tl2br w:val="nil"/>
              <w:tr2bl w:val="nil"/>
            </w:tcBorders>
            <w:tcMar>
              <w:left w:w="28" w:type="dxa"/>
              <w:right w:w="28" w:type="dxa"/>
            </w:tcMar>
            <w:vAlign w:val="center"/>
          </w:tcPr>
          <w:p>
            <w:pPr>
              <w:widowControl/>
              <w:jc w:val="center"/>
              <w:textAlignment w:val="center"/>
              <w:rPr>
                <w:rFonts w:hAnsi="宋体" w:cs="宋体"/>
                <w:bCs/>
                <w:color w:val="auto"/>
                <w:szCs w:val="21"/>
                <w:highlight w:val="none"/>
              </w:rPr>
            </w:pPr>
            <w:r>
              <w:rPr>
                <w:rFonts w:hint="eastAsia" w:hAnsi="宋体" w:cs="宋体"/>
                <w:bCs/>
                <w:color w:val="auto"/>
                <w:szCs w:val="21"/>
                <w:highlight w:val="none"/>
              </w:rPr>
              <w:t>30.2</w:t>
            </w:r>
          </w:p>
        </w:tc>
        <w:tc>
          <w:tcPr>
            <w:tcW w:w="635" w:type="pct"/>
            <w:tcBorders>
              <w:tl2br w:val="nil"/>
              <w:tr2bl w:val="nil"/>
            </w:tcBorders>
            <w:tcMar>
              <w:left w:w="28" w:type="dxa"/>
              <w:right w:w="28" w:type="dxa"/>
            </w:tcMar>
            <w:vAlign w:val="center"/>
          </w:tcPr>
          <w:p>
            <w:pPr>
              <w:widowControl/>
              <w:jc w:val="center"/>
              <w:textAlignment w:val="center"/>
              <w:rPr>
                <w:rFonts w:hAnsi="宋体" w:cs="宋体"/>
                <w:bCs/>
                <w:color w:val="auto"/>
                <w:szCs w:val="21"/>
                <w:highlight w:val="none"/>
              </w:rPr>
            </w:pPr>
            <w:r>
              <w:rPr>
                <w:rFonts w:hint="eastAsia" w:hAnsi="宋体" w:cs="宋体"/>
                <w:bCs/>
                <w:color w:val="auto"/>
                <w:szCs w:val="21"/>
                <w:highlight w:val="none"/>
              </w:rPr>
              <w:t>99.8</w:t>
            </w:r>
          </w:p>
        </w:tc>
        <w:tc>
          <w:tcPr>
            <w:tcW w:w="635" w:type="pct"/>
            <w:tcBorders>
              <w:tl2br w:val="nil"/>
              <w:tr2bl w:val="nil"/>
            </w:tcBorders>
            <w:tcMar>
              <w:left w:w="28" w:type="dxa"/>
              <w:right w:w="28" w:type="dxa"/>
            </w:tcMar>
            <w:vAlign w:val="center"/>
          </w:tcPr>
          <w:p>
            <w:pPr>
              <w:widowControl/>
              <w:jc w:val="center"/>
              <w:textAlignment w:val="center"/>
              <w:rPr>
                <w:rFonts w:hAnsi="宋体" w:cs="宋体"/>
                <w:bCs/>
                <w:color w:val="auto"/>
                <w:szCs w:val="21"/>
                <w:highlight w:val="none"/>
              </w:rPr>
            </w:pPr>
            <w:r>
              <w:rPr>
                <w:rFonts w:hint="eastAsia" w:hAnsi="宋体" w:cs="宋体"/>
                <w:bCs/>
                <w:color w:val="auto"/>
                <w:szCs w:val="21"/>
                <w:highlight w:val="none"/>
              </w:rPr>
              <w:t>1</w:t>
            </w:r>
          </w:p>
        </w:tc>
        <w:tc>
          <w:tcPr>
            <w:tcW w:w="603" w:type="pct"/>
            <w:tcBorders>
              <w:tl2br w:val="nil"/>
              <w:tr2bl w:val="nil"/>
            </w:tcBorders>
            <w:tcMar>
              <w:left w:w="28" w:type="dxa"/>
              <w:right w:w="28" w:type="dxa"/>
            </w:tcMar>
            <w:vAlign w:val="center"/>
          </w:tcPr>
          <w:p>
            <w:pPr>
              <w:widowControl/>
              <w:jc w:val="center"/>
              <w:textAlignment w:val="center"/>
              <w:rPr>
                <w:rFonts w:hAnsi="宋体" w:cs="宋体"/>
                <w:bCs/>
                <w:color w:val="auto"/>
                <w:szCs w:val="21"/>
                <w:highlight w:val="none"/>
              </w:rPr>
            </w:pPr>
            <w:r>
              <w:rPr>
                <w:rFonts w:hint="eastAsia" w:hAnsi="宋体" w:cs="宋体"/>
                <w:bCs/>
                <w:color w:val="auto"/>
                <w:szCs w:val="21"/>
                <w:highlight w:val="none"/>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2" w:type="pct"/>
            <w:tcBorders>
              <w:tl2br w:val="nil"/>
              <w:tr2bl w:val="nil"/>
            </w:tcBorders>
            <w:tcMar>
              <w:left w:w="28" w:type="dxa"/>
              <w:right w:w="28" w:type="dxa"/>
            </w:tcMar>
            <w:vAlign w:val="center"/>
          </w:tcPr>
          <w:p>
            <w:pPr>
              <w:widowControl/>
              <w:jc w:val="center"/>
              <w:textAlignment w:val="center"/>
              <w:rPr>
                <w:rFonts w:hAnsi="宋体" w:cs="宋体"/>
                <w:bCs/>
                <w:color w:val="auto"/>
                <w:szCs w:val="21"/>
                <w:highlight w:val="none"/>
              </w:rPr>
            </w:pPr>
            <w:r>
              <w:rPr>
                <w:rFonts w:hint="eastAsia" w:hAnsi="宋体" w:cs="宋体"/>
                <w:bCs/>
                <w:color w:val="auto"/>
                <w:szCs w:val="21"/>
                <w:highlight w:val="none"/>
              </w:rPr>
              <w:t>2022.7.9</w:t>
            </w:r>
          </w:p>
        </w:tc>
        <w:tc>
          <w:tcPr>
            <w:tcW w:w="476" w:type="pct"/>
            <w:tcBorders>
              <w:tl2br w:val="nil"/>
              <w:tr2bl w:val="nil"/>
            </w:tcBorders>
            <w:tcMar>
              <w:left w:w="28" w:type="dxa"/>
              <w:right w:w="28" w:type="dxa"/>
            </w:tcMar>
            <w:vAlign w:val="center"/>
          </w:tcPr>
          <w:p>
            <w:pPr>
              <w:widowControl/>
              <w:jc w:val="center"/>
              <w:textAlignment w:val="center"/>
              <w:rPr>
                <w:color w:val="auto"/>
                <w:szCs w:val="21"/>
                <w:highlight w:val="none"/>
              </w:rPr>
            </w:pPr>
            <w:r>
              <w:rPr>
                <w:rFonts w:hint="eastAsia" w:hAnsi="宋体" w:cs="宋体"/>
                <w:bCs/>
                <w:color w:val="auto"/>
                <w:szCs w:val="21"/>
                <w:highlight w:val="none"/>
              </w:rPr>
              <w:t>19:43</w:t>
            </w:r>
          </w:p>
        </w:tc>
        <w:tc>
          <w:tcPr>
            <w:tcW w:w="635" w:type="pct"/>
            <w:tcBorders>
              <w:tl2br w:val="nil"/>
              <w:tr2bl w:val="nil"/>
            </w:tcBorders>
            <w:tcMar>
              <w:left w:w="28" w:type="dxa"/>
              <w:right w:w="28" w:type="dxa"/>
            </w:tcMar>
            <w:vAlign w:val="center"/>
          </w:tcPr>
          <w:p>
            <w:pPr>
              <w:spacing w:line="320" w:lineRule="exact"/>
              <w:jc w:val="center"/>
              <w:rPr>
                <w:color w:val="auto"/>
                <w:highlight w:val="none"/>
              </w:rPr>
            </w:pPr>
            <w:r>
              <w:rPr>
                <w:rFonts w:hint="eastAsia" w:hAnsi="宋体" w:cs="宋体"/>
                <w:bCs/>
                <w:color w:val="auto"/>
                <w:szCs w:val="21"/>
                <w:highlight w:val="none"/>
              </w:rPr>
              <w:t>N</w:t>
            </w:r>
          </w:p>
        </w:tc>
        <w:tc>
          <w:tcPr>
            <w:tcW w:w="635" w:type="pct"/>
            <w:tcBorders>
              <w:tl2br w:val="nil"/>
              <w:tr2bl w:val="nil"/>
            </w:tcBorders>
            <w:tcMar>
              <w:left w:w="28" w:type="dxa"/>
              <w:right w:w="28" w:type="dxa"/>
            </w:tcMar>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2.0</w:t>
            </w:r>
          </w:p>
        </w:tc>
        <w:tc>
          <w:tcPr>
            <w:tcW w:w="635" w:type="pct"/>
            <w:tcBorders>
              <w:tl2br w:val="nil"/>
              <w:tr2bl w:val="nil"/>
            </w:tcBorders>
            <w:tcMar>
              <w:left w:w="28" w:type="dxa"/>
              <w:right w:w="28" w:type="dxa"/>
            </w:tcMar>
            <w:vAlign w:val="center"/>
          </w:tcPr>
          <w:p>
            <w:pPr>
              <w:widowControl/>
              <w:jc w:val="center"/>
              <w:textAlignment w:val="center"/>
              <w:rPr>
                <w:rFonts w:hAnsi="宋体" w:cs="宋体"/>
                <w:bCs/>
                <w:color w:val="auto"/>
                <w:szCs w:val="21"/>
                <w:highlight w:val="none"/>
              </w:rPr>
            </w:pPr>
            <w:r>
              <w:rPr>
                <w:rFonts w:hint="eastAsia" w:hAnsi="宋体" w:cs="宋体"/>
                <w:bCs/>
                <w:color w:val="auto"/>
                <w:szCs w:val="21"/>
                <w:highlight w:val="none"/>
              </w:rPr>
              <w:t>31.0</w:t>
            </w:r>
          </w:p>
        </w:tc>
        <w:tc>
          <w:tcPr>
            <w:tcW w:w="635" w:type="pct"/>
            <w:tcBorders>
              <w:tl2br w:val="nil"/>
              <w:tr2bl w:val="nil"/>
            </w:tcBorders>
            <w:tcMar>
              <w:left w:w="28" w:type="dxa"/>
              <w:right w:w="28" w:type="dxa"/>
            </w:tcMar>
            <w:vAlign w:val="center"/>
          </w:tcPr>
          <w:p>
            <w:pPr>
              <w:widowControl/>
              <w:jc w:val="center"/>
              <w:textAlignment w:val="center"/>
              <w:rPr>
                <w:rFonts w:hAnsi="宋体" w:cs="宋体"/>
                <w:bCs/>
                <w:color w:val="auto"/>
                <w:szCs w:val="21"/>
                <w:highlight w:val="none"/>
              </w:rPr>
            </w:pPr>
            <w:r>
              <w:rPr>
                <w:rFonts w:hint="eastAsia" w:hAnsi="宋体" w:cs="宋体"/>
                <w:bCs/>
                <w:color w:val="auto"/>
                <w:szCs w:val="21"/>
                <w:highlight w:val="none"/>
              </w:rPr>
              <w:t>99.5</w:t>
            </w:r>
          </w:p>
        </w:tc>
        <w:tc>
          <w:tcPr>
            <w:tcW w:w="635" w:type="pct"/>
            <w:tcBorders>
              <w:tl2br w:val="nil"/>
              <w:tr2bl w:val="nil"/>
            </w:tcBorders>
            <w:tcMar>
              <w:left w:w="28" w:type="dxa"/>
              <w:right w:w="28" w:type="dxa"/>
            </w:tcMar>
            <w:vAlign w:val="center"/>
          </w:tcPr>
          <w:p>
            <w:pPr>
              <w:widowControl/>
              <w:jc w:val="center"/>
              <w:textAlignment w:val="center"/>
              <w:rPr>
                <w:rFonts w:hAnsi="宋体" w:cs="宋体"/>
                <w:bCs/>
                <w:color w:val="auto"/>
                <w:szCs w:val="21"/>
                <w:highlight w:val="none"/>
              </w:rPr>
            </w:pPr>
            <w:r>
              <w:rPr>
                <w:rFonts w:hint="eastAsia" w:hAnsi="宋体" w:cs="宋体"/>
                <w:bCs/>
                <w:color w:val="auto"/>
                <w:szCs w:val="21"/>
                <w:highlight w:val="none"/>
              </w:rPr>
              <w:t>4</w:t>
            </w:r>
          </w:p>
        </w:tc>
        <w:tc>
          <w:tcPr>
            <w:tcW w:w="603" w:type="pct"/>
            <w:tcBorders>
              <w:tl2br w:val="nil"/>
              <w:tr2bl w:val="nil"/>
            </w:tcBorders>
            <w:tcMar>
              <w:left w:w="28" w:type="dxa"/>
              <w:right w:w="28" w:type="dxa"/>
            </w:tcMar>
            <w:vAlign w:val="center"/>
          </w:tcPr>
          <w:p>
            <w:pPr>
              <w:widowControl/>
              <w:jc w:val="center"/>
              <w:textAlignment w:val="center"/>
              <w:rPr>
                <w:rFonts w:hAnsi="宋体" w:cs="宋体"/>
                <w:bCs/>
                <w:color w:val="auto"/>
                <w:szCs w:val="21"/>
                <w:highlight w:val="none"/>
              </w:rPr>
            </w:pPr>
            <w:r>
              <w:rPr>
                <w:rFonts w:hint="eastAsia" w:hAnsi="宋体" w:cs="宋体"/>
                <w:bCs/>
                <w:color w:val="auto"/>
                <w:szCs w:val="21"/>
                <w:highlight w:val="none"/>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2" w:type="pct"/>
            <w:tcBorders>
              <w:tl2br w:val="nil"/>
              <w:tr2bl w:val="nil"/>
            </w:tcBorders>
            <w:tcMar>
              <w:left w:w="28" w:type="dxa"/>
              <w:right w:w="28" w:type="dxa"/>
            </w:tcMar>
            <w:vAlign w:val="center"/>
          </w:tcPr>
          <w:p>
            <w:pPr>
              <w:widowControl/>
              <w:jc w:val="center"/>
              <w:textAlignment w:val="center"/>
              <w:rPr>
                <w:rFonts w:hAnsi="宋体" w:cs="宋体"/>
                <w:bCs/>
                <w:color w:val="auto"/>
                <w:szCs w:val="21"/>
                <w:highlight w:val="none"/>
              </w:rPr>
            </w:pPr>
            <w:r>
              <w:rPr>
                <w:rFonts w:hint="eastAsia" w:hAnsi="宋体" w:cs="宋体"/>
                <w:bCs/>
                <w:color w:val="auto"/>
                <w:szCs w:val="21"/>
                <w:highlight w:val="none"/>
              </w:rPr>
              <w:t>2022.7.10</w:t>
            </w:r>
          </w:p>
        </w:tc>
        <w:tc>
          <w:tcPr>
            <w:tcW w:w="476" w:type="pct"/>
            <w:tcBorders>
              <w:tl2br w:val="nil"/>
              <w:tr2bl w:val="nil"/>
            </w:tcBorders>
            <w:tcMar>
              <w:left w:w="28" w:type="dxa"/>
              <w:right w:w="28" w:type="dxa"/>
            </w:tcMar>
            <w:vAlign w:val="center"/>
          </w:tcPr>
          <w:p>
            <w:pPr>
              <w:widowControl/>
              <w:jc w:val="center"/>
              <w:textAlignment w:val="center"/>
              <w:rPr>
                <w:color w:val="auto"/>
                <w:szCs w:val="21"/>
                <w:highlight w:val="none"/>
              </w:rPr>
            </w:pPr>
            <w:r>
              <w:rPr>
                <w:rFonts w:hint="eastAsia" w:hAnsi="宋体" w:cs="宋体"/>
                <w:bCs/>
                <w:color w:val="auto"/>
                <w:szCs w:val="21"/>
                <w:highlight w:val="none"/>
              </w:rPr>
              <w:t>19:54</w:t>
            </w:r>
          </w:p>
        </w:tc>
        <w:tc>
          <w:tcPr>
            <w:tcW w:w="635" w:type="pct"/>
            <w:tcBorders>
              <w:tl2br w:val="nil"/>
              <w:tr2bl w:val="nil"/>
            </w:tcBorders>
            <w:tcMar>
              <w:left w:w="28" w:type="dxa"/>
              <w:right w:w="28" w:type="dxa"/>
            </w:tcMar>
            <w:vAlign w:val="center"/>
          </w:tcPr>
          <w:p>
            <w:pPr>
              <w:spacing w:line="320" w:lineRule="exact"/>
              <w:jc w:val="center"/>
              <w:rPr>
                <w:color w:val="auto"/>
                <w:szCs w:val="21"/>
                <w:highlight w:val="none"/>
              </w:rPr>
            </w:pPr>
            <w:r>
              <w:rPr>
                <w:rFonts w:hint="eastAsia" w:hAnsi="宋体" w:cs="宋体"/>
                <w:bCs/>
                <w:color w:val="auto"/>
                <w:szCs w:val="21"/>
                <w:highlight w:val="none"/>
              </w:rPr>
              <w:t>NW</w:t>
            </w:r>
          </w:p>
        </w:tc>
        <w:tc>
          <w:tcPr>
            <w:tcW w:w="635" w:type="pct"/>
            <w:tcBorders>
              <w:tl2br w:val="nil"/>
              <w:tr2bl w:val="nil"/>
            </w:tcBorders>
            <w:tcMar>
              <w:left w:w="28" w:type="dxa"/>
              <w:right w:w="28" w:type="dxa"/>
            </w:tcMar>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0.8</w:t>
            </w:r>
          </w:p>
        </w:tc>
        <w:tc>
          <w:tcPr>
            <w:tcW w:w="635" w:type="pct"/>
            <w:tcBorders>
              <w:tl2br w:val="nil"/>
              <w:tr2bl w:val="nil"/>
            </w:tcBorders>
            <w:tcMar>
              <w:left w:w="28" w:type="dxa"/>
              <w:right w:w="28" w:type="dxa"/>
            </w:tcMar>
            <w:vAlign w:val="center"/>
          </w:tcPr>
          <w:p>
            <w:pPr>
              <w:widowControl/>
              <w:jc w:val="center"/>
              <w:textAlignment w:val="center"/>
              <w:rPr>
                <w:rFonts w:hAnsi="宋体" w:cs="宋体"/>
                <w:bCs/>
                <w:color w:val="auto"/>
                <w:szCs w:val="21"/>
                <w:highlight w:val="none"/>
              </w:rPr>
            </w:pPr>
            <w:r>
              <w:rPr>
                <w:rFonts w:hint="eastAsia" w:hAnsi="宋体" w:cs="宋体"/>
                <w:bCs/>
                <w:color w:val="auto"/>
                <w:szCs w:val="21"/>
                <w:highlight w:val="none"/>
              </w:rPr>
              <w:t>29.7</w:t>
            </w:r>
          </w:p>
        </w:tc>
        <w:tc>
          <w:tcPr>
            <w:tcW w:w="635" w:type="pct"/>
            <w:tcBorders>
              <w:tl2br w:val="nil"/>
              <w:tr2bl w:val="nil"/>
            </w:tcBorders>
            <w:tcMar>
              <w:left w:w="28" w:type="dxa"/>
              <w:right w:w="28" w:type="dxa"/>
            </w:tcMar>
            <w:vAlign w:val="center"/>
          </w:tcPr>
          <w:p>
            <w:pPr>
              <w:widowControl/>
              <w:jc w:val="center"/>
              <w:textAlignment w:val="center"/>
              <w:rPr>
                <w:rFonts w:hAnsi="宋体" w:cs="宋体"/>
                <w:bCs/>
                <w:color w:val="auto"/>
                <w:szCs w:val="21"/>
                <w:highlight w:val="none"/>
              </w:rPr>
            </w:pPr>
            <w:r>
              <w:rPr>
                <w:rFonts w:hint="eastAsia" w:hAnsi="宋体" w:cs="宋体"/>
                <w:bCs/>
                <w:color w:val="auto"/>
                <w:szCs w:val="21"/>
                <w:highlight w:val="none"/>
              </w:rPr>
              <w:t>99.7</w:t>
            </w:r>
          </w:p>
        </w:tc>
        <w:tc>
          <w:tcPr>
            <w:tcW w:w="635" w:type="pct"/>
            <w:tcBorders>
              <w:tl2br w:val="nil"/>
              <w:tr2bl w:val="nil"/>
            </w:tcBorders>
            <w:tcMar>
              <w:left w:w="28" w:type="dxa"/>
              <w:right w:w="28" w:type="dxa"/>
            </w:tcMar>
            <w:vAlign w:val="center"/>
          </w:tcPr>
          <w:p>
            <w:pPr>
              <w:widowControl/>
              <w:jc w:val="center"/>
              <w:textAlignment w:val="center"/>
              <w:rPr>
                <w:rFonts w:hAnsi="宋体" w:cs="宋体"/>
                <w:bCs/>
                <w:color w:val="auto"/>
                <w:szCs w:val="21"/>
                <w:highlight w:val="none"/>
              </w:rPr>
            </w:pPr>
            <w:r>
              <w:rPr>
                <w:rFonts w:hint="eastAsia" w:hAnsi="宋体" w:cs="宋体"/>
                <w:bCs/>
                <w:color w:val="auto"/>
                <w:szCs w:val="21"/>
                <w:highlight w:val="none"/>
              </w:rPr>
              <w:t>5</w:t>
            </w:r>
          </w:p>
        </w:tc>
        <w:tc>
          <w:tcPr>
            <w:tcW w:w="603" w:type="pct"/>
            <w:tcBorders>
              <w:tl2br w:val="nil"/>
              <w:tr2bl w:val="nil"/>
            </w:tcBorders>
            <w:tcMar>
              <w:left w:w="28" w:type="dxa"/>
              <w:right w:w="28" w:type="dxa"/>
            </w:tcMar>
            <w:vAlign w:val="center"/>
          </w:tcPr>
          <w:p>
            <w:pPr>
              <w:widowControl/>
              <w:jc w:val="center"/>
              <w:textAlignment w:val="center"/>
              <w:rPr>
                <w:rFonts w:hAnsi="宋体" w:cs="宋体"/>
                <w:bCs/>
                <w:color w:val="auto"/>
                <w:szCs w:val="21"/>
                <w:highlight w:val="none"/>
              </w:rPr>
            </w:pPr>
            <w:r>
              <w:rPr>
                <w:rFonts w:hint="eastAsia" w:hAnsi="宋体" w:cs="宋体"/>
                <w:bCs/>
                <w:color w:val="auto"/>
                <w:szCs w:val="21"/>
                <w:highlight w:val="none"/>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2" w:type="pct"/>
            <w:tcBorders>
              <w:tl2br w:val="nil"/>
              <w:tr2bl w:val="nil"/>
            </w:tcBorders>
            <w:tcMar>
              <w:left w:w="28" w:type="dxa"/>
              <w:right w:w="28" w:type="dxa"/>
            </w:tcMar>
            <w:vAlign w:val="center"/>
          </w:tcPr>
          <w:p>
            <w:pPr>
              <w:widowControl/>
              <w:jc w:val="center"/>
              <w:textAlignment w:val="center"/>
              <w:rPr>
                <w:rFonts w:hAnsi="宋体" w:cs="宋体"/>
                <w:bCs/>
                <w:color w:val="auto"/>
                <w:szCs w:val="21"/>
                <w:highlight w:val="none"/>
              </w:rPr>
            </w:pPr>
            <w:r>
              <w:rPr>
                <w:rFonts w:hint="eastAsia" w:hAnsi="宋体" w:cs="宋体"/>
                <w:bCs/>
                <w:color w:val="auto"/>
                <w:szCs w:val="21"/>
                <w:highlight w:val="none"/>
              </w:rPr>
              <w:t>2022.7.11</w:t>
            </w:r>
          </w:p>
        </w:tc>
        <w:tc>
          <w:tcPr>
            <w:tcW w:w="476" w:type="pct"/>
            <w:tcBorders>
              <w:tl2br w:val="nil"/>
              <w:tr2bl w:val="nil"/>
            </w:tcBorders>
            <w:tcMar>
              <w:left w:w="28" w:type="dxa"/>
              <w:right w:w="28" w:type="dxa"/>
            </w:tcMar>
            <w:vAlign w:val="center"/>
          </w:tcPr>
          <w:p>
            <w:pPr>
              <w:widowControl/>
              <w:jc w:val="center"/>
              <w:textAlignment w:val="center"/>
              <w:rPr>
                <w:color w:val="auto"/>
                <w:szCs w:val="21"/>
                <w:highlight w:val="none"/>
              </w:rPr>
            </w:pPr>
            <w:r>
              <w:rPr>
                <w:rFonts w:hint="eastAsia" w:hAnsi="宋体" w:cs="宋体"/>
                <w:bCs/>
                <w:color w:val="auto"/>
                <w:szCs w:val="21"/>
                <w:highlight w:val="none"/>
              </w:rPr>
              <w:t>19:53</w:t>
            </w:r>
          </w:p>
        </w:tc>
        <w:tc>
          <w:tcPr>
            <w:tcW w:w="635" w:type="pct"/>
            <w:tcBorders>
              <w:tl2br w:val="nil"/>
              <w:tr2bl w:val="nil"/>
            </w:tcBorders>
            <w:tcMar>
              <w:left w:w="28" w:type="dxa"/>
              <w:right w:w="28" w:type="dxa"/>
            </w:tcMar>
            <w:vAlign w:val="center"/>
          </w:tcPr>
          <w:p>
            <w:pPr>
              <w:spacing w:line="320" w:lineRule="exact"/>
              <w:jc w:val="center"/>
              <w:rPr>
                <w:color w:val="auto"/>
                <w:szCs w:val="21"/>
                <w:highlight w:val="none"/>
              </w:rPr>
            </w:pPr>
            <w:r>
              <w:rPr>
                <w:rFonts w:hint="eastAsia" w:hAnsi="宋体" w:cs="宋体"/>
                <w:bCs/>
                <w:color w:val="auto"/>
                <w:szCs w:val="21"/>
                <w:highlight w:val="none"/>
              </w:rPr>
              <w:t>E</w:t>
            </w:r>
          </w:p>
        </w:tc>
        <w:tc>
          <w:tcPr>
            <w:tcW w:w="635" w:type="pct"/>
            <w:tcBorders>
              <w:tl2br w:val="nil"/>
              <w:tr2bl w:val="nil"/>
            </w:tcBorders>
            <w:tcMar>
              <w:left w:w="28" w:type="dxa"/>
              <w:right w:w="28" w:type="dxa"/>
            </w:tcMar>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1.3</w:t>
            </w:r>
          </w:p>
        </w:tc>
        <w:tc>
          <w:tcPr>
            <w:tcW w:w="635" w:type="pct"/>
            <w:tcBorders>
              <w:tl2br w:val="nil"/>
              <w:tr2bl w:val="nil"/>
            </w:tcBorders>
            <w:tcMar>
              <w:left w:w="28" w:type="dxa"/>
              <w:right w:w="28" w:type="dxa"/>
            </w:tcMar>
            <w:vAlign w:val="center"/>
          </w:tcPr>
          <w:p>
            <w:pPr>
              <w:widowControl/>
              <w:jc w:val="center"/>
              <w:textAlignment w:val="center"/>
              <w:rPr>
                <w:rFonts w:hAnsi="宋体" w:cs="宋体"/>
                <w:bCs/>
                <w:color w:val="auto"/>
                <w:szCs w:val="21"/>
                <w:highlight w:val="none"/>
              </w:rPr>
            </w:pPr>
            <w:r>
              <w:rPr>
                <w:rFonts w:hint="eastAsia" w:hAnsi="宋体" w:cs="宋体"/>
                <w:bCs/>
                <w:color w:val="auto"/>
                <w:szCs w:val="21"/>
                <w:highlight w:val="none"/>
              </w:rPr>
              <w:t>28.3</w:t>
            </w:r>
          </w:p>
        </w:tc>
        <w:tc>
          <w:tcPr>
            <w:tcW w:w="635" w:type="pct"/>
            <w:tcBorders>
              <w:tl2br w:val="nil"/>
              <w:tr2bl w:val="nil"/>
            </w:tcBorders>
            <w:tcMar>
              <w:left w:w="28" w:type="dxa"/>
              <w:right w:w="28" w:type="dxa"/>
            </w:tcMar>
            <w:vAlign w:val="center"/>
          </w:tcPr>
          <w:p>
            <w:pPr>
              <w:widowControl/>
              <w:jc w:val="center"/>
              <w:textAlignment w:val="center"/>
              <w:rPr>
                <w:rFonts w:hAnsi="宋体" w:cs="宋体"/>
                <w:bCs/>
                <w:color w:val="auto"/>
                <w:szCs w:val="21"/>
                <w:highlight w:val="none"/>
              </w:rPr>
            </w:pPr>
            <w:r>
              <w:rPr>
                <w:rFonts w:hint="eastAsia" w:hAnsi="宋体" w:cs="宋体"/>
                <w:bCs/>
                <w:color w:val="auto"/>
                <w:szCs w:val="21"/>
                <w:highlight w:val="none"/>
              </w:rPr>
              <w:t>99.7</w:t>
            </w:r>
          </w:p>
        </w:tc>
        <w:tc>
          <w:tcPr>
            <w:tcW w:w="635" w:type="pct"/>
            <w:tcBorders>
              <w:tl2br w:val="nil"/>
              <w:tr2bl w:val="nil"/>
            </w:tcBorders>
            <w:tcMar>
              <w:left w:w="28" w:type="dxa"/>
              <w:right w:w="28" w:type="dxa"/>
            </w:tcMar>
            <w:vAlign w:val="center"/>
          </w:tcPr>
          <w:p>
            <w:pPr>
              <w:widowControl/>
              <w:jc w:val="center"/>
              <w:textAlignment w:val="center"/>
              <w:rPr>
                <w:rFonts w:hAnsi="宋体" w:cs="宋体"/>
                <w:bCs/>
                <w:color w:val="auto"/>
                <w:szCs w:val="21"/>
                <w:highlight w:val="none"/>
              </w:rPr>
            </w:pPr>
            <w:r>
              <w:rPr>
                <w:rFonts w:hint="eastAsia" w:hAnsi="宋体" w:cs="宋体"/>
                <w:bCs/>
                <w:color w:val="auto"/>
                <w:szCs w:val="21"/>
                <w:highlight w:val="none"/>
              </w:rPr>
              <w:t>5</w:t>
            </w:r>
          </w:p>
        </w:tc>
        <w:tc>
          <w:tcPr>
            <w:tcW w:w="603" w:type="pct"/>
            <w:tcBorders>
              <w:tl2br w:val="nil"/>
              <w:tr2bl w:val="nil"/>
            </w:tcBorders>
            <w:tcMar>
              <w:left w:w="28" w:type="dxa"/>
              <w:right w:w="28" w:type="dxa"/>
            </w:tcMar>
            <w:vAlign w:val="center"/>
          </w:tcPr>
          <w:p>
            <w:pPr>
              <w:widowControl/>
              <w:jc w:val="center"/>
              <w:textAlignment w:val="center"/>
              <w:rPr>
                <w:rFonts w:hAnsi="宋体" w:cs="宋体"/>
                <w:bCs/>
                <w:color w:val="auto"/>
                <w:szCs w:val="21"/>
                <w:highlight w:val="none"/>
              </w:rPr>
            </w:pPr>
            <w:r>
              <w:rPr>
                <w:rFonts w:hint="eastAsia" w:hAnsi="宋体" w:cs="宋体"/>
                <w:bCs/>
                <w:color w:val="auto"/>
                <w:szCs w:val="21"/>
                <w:highlight w:val="none"/>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2" w:type="pct"/>
            <w:tcBorders>
              <w:tl2br w:val="nil"/>
              <w:tr2bl w:val="nil"/>
            </w:tcBorders>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2022.7.12</w:t>
            </w:r>
          </w:p>
        </w:tc>
        <w:tc>
          <w:tcPr>
            <w:tcW w:w="476" w:type="pct"/>
            <w:tcBorders>
              <w:tl2br w:val="nil"/>
              <w:tr2bl w:val="nil"/>
            </w:tcBorders>
            <w:vAlign w:val="center"/>
          </w:tcPr>
          <w:p>
            <w:pPr>
              <w:widowControl/>
              <w:jc w:val="center"/>
              <w:textAlignment w:val="center"/>
              <w:rPr>
                <w:color w:val="auto"/>
                <w:szCs w:val="21"/>
                <w:highlight w:val="none"/>
              </w:rPr>
            </w:pPr>
            <w:r>
              <w:rPr>
                <w:rFonts w:hint="eastAsia" w:hAnsi="宋体" w:cs="宋体"/>
                <w:bCs/>
                <w:color w:val="auto"/>
                <w:szCs w:val="21"/>
                <w:highlight w:val="none"/>
              </w:rPr>
              <w:t>19:59</w:t>
            </w:r>
          </w:p>
        </w:tc>
        <w:tc>
          <w:tcPr>
            <w:tcW w:w="635" w:type="pct"/>
            <w:tcBorders>
              <w:tl2br w:val="nil"/>
              <w:tr2bl w:val="nil"/>
            </w:tcBorders>
            <w:vAlign w:val="center"/>
          </w:tcPr>
          <w:p>
            <w:pPr>
              <w:spacing w:line="320" w:lineRule="exact"/>
              <w:jc w:val="center"/>
              <w:rPr>
                <w:color w:val="auto"/>
                <w:szCs w:val="21"/>
                <w:highlight w:val="none"/>
              </w:rPr>
            </w:pPr>
            <w:r>
              <w:rPr>
                <w:rFonts w:hint="eastAsia" w:hAnsi="宋体" w:cs="宋体"/>
                <w:bCs/>
                <w:color w:val="auto"/>
                <w:szCs w:val="21"/>
                <w:highlight w:val="none"/>
              </w:rPr>
              <w:t>NW</w:t>
            </w:r>
          </w:p>
        </w:tc>
        <w:tc>
          <w:tcPr>
            <w:tcW w:w="635" w:type="pct"/>
            <w:tcBorders>
              <w:tl2br w:val="nil"/>
              <w:tr2bl w:val="nil"/>
            </w:tcBorders>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0.9</w:t>
            </w:r>
          </w:p>
        </w:tc>
        <w:tc>
          <w:tcPr>
            <w:tcW w:w="635" w:type="pct"/>
            <w:tcBorders>
              <w:tl2br w:val="nil"/>
              <w:tr2bl w:val="nil"/>
            </w:tcBorders>
            <w:vAlign w:val="center"/>
          </w:tcPr>
          <w:p>
            <w:pPr>
              <w:widowControl/>
              <w:jc w:val="center"/>
              <w:textAlignment w:val="center"/>
              <w:rPr>
                <w:rFonts w:hAnsi="宋体" w:cs="宋体"/>
                <w:bCs/>
                <w:color w:val="auto"/>
                <w:szCs w:val="21"/>
                <w:highlight w:val="none"/>
              </w:rPr>
            </w:pPr>
            <w:r>
              <w:rPr>
                <w:rFonts w:hint="eastAsia" w:hAnsi="宋体" w:cs="宋体"/>
                <w:bCs/>
                <w:color w:val="auto"/>
                <w:szCs w:val="21"/>
                <w:highlight w:val="none"/>
              </w:rPr>
              <w:t>29.4</w:t>
            </w:r>
          </w:p>
        </w:tc>
        <w:tc>
          <w:tcPr>
            <w:tcW w:w="635" w:type="pct"/>
            <w:tcBorders>
              <w:tl2br w:val="nil"/>
              <w:tr2bl w:val="nil"/>
            </w:tcBorders>
            <w:vAlign w:val="center"/>
          </w:tcPr>
          <w:p>
            <w:pPr>
              <w:widowControl/>
              <w:jc w:val="center"/>
              <w:textAlignment w:val="center"/>
              <w:rPr>
                <w:rFonts w:hAnsi="宋体" w:cs="宋体"/>
                <w:bCs/>
                <w:color w:val="auto"/>
                <w:szCs w:val="21"/>
                <w:highlight w:val="none"/>
              </w:rPr>
            </w:pPr>
            <w:r>
              <w:rPr>
                <w:rFonts w:hint="eastAsia" w:hAnsi="宋体" w:cs="宋体"/>
                <w:bCs/>
                <w:color w:val="auto"/>
                <w:szCs w:val="21"/>
                <w:highlight w:val="none"/>
              </w:rPr>
              <w:t>99.7</w:t>
            </w:r>
          </w:p>
        </w:tc>
        <w:tc>
          <w:tcPr>
            <w:tcW w:w="635" w:type="pct"/>
            <w:tcBorders>
              <w:tl2br w:val="nil"/>
              <w:tr2bl w:val="nil"/>
            </w:tcBorders>
            <w:tcMar>
              <w:left w:w="28" w:type="dxa"/>
              <w:right w:w="28" w:type="dxa"/>
            </w:tcMar>
            <w:vAlign w:val="center"/>
          </w:tcPr>
          <w:p>
            <w:pPr>
              <w:widowControl/>
              <w:jc w:val="center"/>
              <w:textAlignment w:val="center"/>
              <w:rPr>
                <w:rFonts w:hAnsi="宋体" w:cs="宋体"/>
                <w:bCs/>
                <w:color w:val="auto"/>
                <w:szCs w:val="21"/>
                <w:highlight w:val="none"/>
              </w:rPr>
            </w:pPr>
            <w:r>
              <w:rPr>
                <w:rFonts w:hint="eastAsia" w:hAnsi="宋体" w:cs="宋体"/>
                <w:bCs/>
                <w:color w:val="auto"/>
                <w:szCs w:val="21"/>
                <w:highlight w:val="none"/>
              </w:rPr>
              <w:t>6</w:t>
            </w:r>
          </w:p>
        </w:tc>
        <w:tc>
          <w:tcPr>
            <w:tcW w:w="603" w:type="pct"/>
            <w:tcBorders>
              <w:tl2br w:val="nil"/>
              <w:tr2bl w:val="nil"/>
            </w:tcBorders>
            <w:tcMar>
              <w:left w:w="28" w:type="dxa"/>
              <w:right w:w="28" w:type="dxa"/>
            </w:tcMar>
            <w:vAlign w:val="center"/>
          </w:tcPr>
          <w:p>
            <w:pPr>
              <w:widowControl/>
              <w:jc w:val="center"/>
              <w:textAlignment w:val="center"/>
              <w:rPr>
                <w:rFonts w:hAnsi="宋体" w:cs="宋体"/>
                <w:bCs/>
                <w:color w:val="auto"/>
                <w:szCs w:val="21"/>
                <w:highlight w:val="none"/>
              </w:rPr>
            </w:pPr>
            <w:r>
              <w:rPr>
                <w:rFonts w:hint="eastAsia" w:hAnsi="宋体" w:cs="宋体"/>
                <w:bCs/>
                <w:color w:val="auto"/>
                <w:szCs w:val="21"/>
                <w:highlight w:val="none"/>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2" w:type="pct"/>
            <w:tcBorders>
              <w:tl2br w:val="nil"/>
              <w:tr2bl w:val="nil"/>
            </w:tcBorders>
            <w:vAlign w:val="center"/>
          </w:tcPr>
          <w:p>
            <w:pPr>
              <w:widowControl/>
              <w:jc w:val="center"/>
              <w:textAlignment w:val="center"/>
              <w:rPr>
                <w:rFonts w:hAnsi="宋体" w:cs="宋体"/>
                <w:bCs/>
                <w:color w:val="auto"/>
                <w:szCs w:val="21"/>
                <w:highlight w:val="none"/>
              </w:rPr>
            </w:pPr>
            <w:r>
              <w:rPr>
                <w:rFonts w:hint="eastAsia" w:hAnsi="宋体" w:cs="宋体"/>
                <w:bCs/>
                <w:color w:val="auto"/>
                <w:szCs w:val="21"/>
                <w:highlight w:val="none"/>
              </w:rPr>
              <w:t>2022.7.13</w:t>
            </w:r>
          </w:p>
        </w:tc>
        <w:tc>
          <w:tcPr>
            <w:tcW w:w="476" w:type="pct"/>
            <w:tcBorders>
              <w:tl2br w:val="nil"/>
              <w:tr2bl w:val="nil"/>
            </w:tcBorders>
            <w:vAlign w:val="center"/>
          </w:tcPr>
          <w:p>
            <w:pPr>
              <w:widowControl/>
              <w:jc w:val="center"/>
              <w:textAlignment w:val="center"/>
              <w:rPr>
                <w:color w:val="auto"/>
                <w:szCs w:val="21"/>
                <w:highlight w:val="none"/>
              </w:rPr>
            </w:pPr>
            <w:r>
              <w:rPr>
                <w:rFonts w:hint="eastAsia" w:hAnsi="宋体" w:cs="宋体"/>
                <w:bCs/>
                <w:color w:val="auto"/>
                <w:szCs w:val="21"/>
                <w:highlight w:val="none"/>
              </w:rPr>
              <w:t>19:56</w:t>
            </w:r>
          </w:p>
        </w:tc>
        <w:tc>
          <w:tcPr>
            <w:tcW w:w="635" w:type="pct"/>
            <w:tcBorders>
              <w:tl2br w:val="nil"/>
              <w:tr2bl w:val="nil"/>
            </w:tcBorders>
            <w:vAlign w:val="center"/>
          </w:tcPr>
          <w:p>
            <w:pPr>
              <w:spacing w:line="320" w:lineRule="exact"/>
              <w:jc w:val="center"/>
              <w:rPr>
                <w:color w:val="auto"/>
                <w:szCs w:val="21"/>
                <w:highlight w:val="none"/>
              </w:rPr>
            </w:pPr>
            <w:r>
              <w:rPr>
                <w:rFonts w:hint="eastAsia" w:hAnsi="宋体" w:cs="宋体"/>
                <w:bCs/>
                <w:color w:val="auto"/>
                <w:szCs w:val="21"/>
                <w:highlight w:val="none"/>
              </w:rPr>
              <w:t>N</w:t>
            </w:r>
          </w:p>
        </w:tc>
        <w:tc>
          <w:tcPr>
            <w:tcW w:w="635" w:type="pct"/>
            <w:tcBorders>
              <w:tl2br w:val="nil"/>
              <w:tr2bl w:val="nil"/>
            </w:tcBorders>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1.1</w:t>
            </w:r>
          </w:p>
        </w:tc>
        <w:tc>
          <w:tcPr>
            <w:tcW w:w="635" w:type="pct"/>
            <w:tcBorders>
              <w:tl2br w:val="nil"/>
              <w:tr2bl w:val="nil"/>
            </w:tcBorders>
            <w:vAlign w:val="center"/>
          </w:tcPr>
          <w:p>
            <w:pPr>
              <w:widowControl/>
              <w:jc w:val="center"/>
              <w:textAlignment w:val="center"/>
              <w:rPr>
                <w:rFonts w:hAnsi="宋体" w:cs="宋体"/>
                <w:bCs/>
                <w:color w:val="auto"/>
                <w:szCs w:val="21"/>
                <w:highlight w:val="none"/>
              </w:rPr>
            </w:pPr>
            <w:r>
              <w:rPr>
                <w:rFonts w:hint="eastAsia" w:hAnsi="宋体" w:cs="宋体"/>
                <w:bCs/>
                <w:color w:val="auto"/>
                <w:szCs w:val="21"/>
                <w:highlight w:val="none"/>
              </w:rPr>
              <w:t>30.8</w:t>
            </w:r>
          </w:p>
        </w:tc>
        <w:tc>
          <w:tcPr>
            <w:tcW w:w="635" w:type="pct"/>
            <w:tcBorders>
              <w:tl2br w:val="nil"/>
              <w:tr2bl w:val="nil"/>
            </w:tcBorders>
            <w:vAlign w:val="center"/>
          </w:tcPr>
          <w:p>
            <w:pPr>
              <w:widowControl/>
              <w:jc w:val="center"/>
              <w:textAlignment w:val="center"/>
              <w:rPr>
                <w:rFonts w:hAnsi="宋体" w:cs="宋体"/>
                <w:bCs/>
                <w:color w:val="auto"/>
                <w:szCs w:val="21"/>
                <w:highlight w:val="none"/>
              </w:rPr>
            </w:pPr>
            <w:r>
              <w:rPr>
                <w:rFonts w:hint="eastAsia" w:hAnsi="宋体" w:cs="宋体"/>
                <w:bCs/>
                <w:color w:val="auto"/>
                <w:szCs w:val="21"/>
                <w:highlight w:val="none"/>
              </w:rPr>
              <w:t>99.6</w:t>
            </w:r>
          </w:p>
        </w:tc>
        <w:tc>
          <w:tcPr>
            <w:tcW w:w="635" w:type="pct"/>
            <w:tcBorders>
              <w:tl2br w:val="nil"/>
              <w:tr2bl w:val="nil"/>
            </w:tcBorders>
            <w:tcMar>
              <w:left w:w="28" w:type="dxa"/>
              <w:right w:w="28" w:type="dxa"/>
            </w:tcMar>
            <w:vAlign w:val="center"/>
          </w:tcPr>
          <w:p>
            <w:pPr>
              <w:widowControl/>
              <w:jc w:val="center"/>
              <w:textAlignment w:val="center"/>
              <w:rPr>
                <w:rFonts w:hAnsi="宋体" w:cs="宋体"/>
                <w:bCs/>
                <w:color w:val="auto"/>
                <w:szCs w:val="21"/>
                <w:highlight w:val="none"/>
              </w:rPr>
            </w:pPr>
            <w:r>
              <w:rPr>
                <w:rFonts w:hint="eastAsia" w:hAnsi="宋体" w:cs="宋体"/>
                <w:bCs/>
                <w:color w:val="auto"/>
                <w:szCs w:val="21"/>
                <w:highlight w:val="none"/>
              </w:rPr>
              <w:t>3</w:t>
            </w:r>
          </w:p>
        </w:tc>
        <w:tc>
          <w:tcPr>
            <w:tcW w:w="603" w:type="pct"/>
            <w:tcBorders>
              <w:tl2br w:val="nil"/>
              <w:tr2bl w:val="nil"/>
            </w:tcBorders>
            <w:tcMar>
              <w:left w:w="28" w:type="dxa"/>
              <w:right w:w="28" w:type="dxa"/>
            </w:tcMar>
            <w:vAlign w:val="center"/>
          </w:tcPr>
          <w:p>
            <w:pPr>
              <w:widowControl/>
              <w:jc w:val="center"/>
              <w:textAlignment w:val="center"/>
              <w:rPr>
                <w:rFonts w:hAnsi="宋体" w:cs="宋体"/>
                <w:bCs/>
                <w:color w:val="auto"/>
                <w:szCs w:val="21"/>
                <w:highlight w:val="none"/>
              </w:rPr>
            </w:pPr>
            <w:r>
              <w:rPr>
                <w:rFonts w:hint="eastAsia" w:hAnsi="宋体" w:cs="宋体"/>
                <w:bCs/>
                <w:color w:val="auto"/>
                <w:szCs w:val="21"/>
                <w:highlight w:val="none"/>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2" w:type="pct"/>
            <w:tcBorders>
              <w:tl2br w:val="nil"/>
              <w:tr2bl w:val="nil"/>
            </w:tcBorders>
            <w:vAlign w:val="center"/>
          </w:tcPr>
          <w:p>
            <w:pPr>
              <w:widowControl/>
              <w:jc w:val="center"/>
              <w:textAlignment w:val="center"/>
              <w:rPr>
                <w:rFonts w:hAnsi="宋体" w:cs="宋体"/>
                <w:bCs/>
                <w:color w:val="auto"/>
                <w:szCs w:val="21"/>
                <w:highlight w:val="none"/>
              </w:rPr>
            </w:pPr>
            <w:r>
              <w:rPr>
                <w:rFonts w:hint="eastAsia" w:hAnsi="宋体" w:cs="宋体"/>
                <w:bCs/>
                <w:color w:val="auto"/>
                <w:szCs w:val="21"/>
                <w:highlight w:val="none"/>
              </w:rPr>
              <w:t>2022.7.14</w:t>
            </w:r>
          </w:p>
        </w:tc>
        <w:tc>
          <w:tcPr>
            <w:tcW w:w="476" w:type="pct"/>
            <w:tcBorders>
              <w:tl2br w:val="nil"/>
              <w:tr2bl w:val="nil"/>
            </w:tcBorders>
            <w:vAlign w:val="center"/>
          </w:tcPr>
          <w:p>
            <w:pPr>
              <w:widowControl/>
              <w:jc w:val="center"/>
              <w:textAlignment w:val="center"/>
              <w:rPr>
                <w:color w:val="auto"/>
                <w:szCs w:val="21"/>
                <w:highlight w:val="none"/>
              </w:rPr>
            </w:pPr>
            <w:r>
              <w:rPr>
                <w:rFonts w:hint="eastAsia" w:hAnsi="宋体" w:cs="宋体"/>
                <w:bCs/>
                <w:color w:val="auto"/>
                <w:szCs w:val="21"/>
                <w:highlight w:val="none"/>
              </w:rPr>
              <w:t>19:57</w:t>
            </w:r>
          </w:p>
        </w:tc>
        <w:tc>
          <w:tcPr>
            <w:tcW w:w="635" w:type="pct"/>
            <w:tcBorders>
              <w:tl2br w:val="nil"/>
              <w:tr2bl w:val="nil"/>
            </w:tcBorders>
            <w:vAlign w:val="center"/>
          </w:tcPr>
          <w:p>
            <w:pPr>
              <w:spacing w:line="320" w:lineRule="exact"/>
              <w:jc w:val="center"/>
              <w:rPr>
                <w:color w:val="auto"/>
                <w:szCs w:val="21"/>
                <w:highlight w:val="none"/>
              </w:rPr>
            </w:pPr>
            <w:r>
              <w:rPr>
                <w:rFonts w:hint="eastAsia" w:hAnsi="宋体" w:cs="宋体"/>
                <w:bCs/>
                <w:color w:val="auto"/>
                <w:szCs w:val="21"/>
                <w:highlight w:val="none"/>
              </w:rPr>
              <w:t>E</w:t>
            </w:r>
          </w:p>
        </w:tc>
        <w:tc>
          <w:tcPr>
            <w:tcW w:w="635" w:type="pct"/>
            <w:tcBorders>
              <w:tl2br w:val="nil"/>
              <w:tr2bl w:val="nil"/>
            </w:tcBorders>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0.7</w:t>
            </w:r>
          </w:p>
        </w:tc>
        <w:tc>
          <w:tcPr>
            <w:tcW w:w="635" w:type="pct"/>
            <w:tcBorders>
              <w:tl2br w:val="nil"/>
              <w:tr2bl w:val="nil"/>
            </w:tcBorders>
            <w:vAlign w:val="center"/>
          </w:tcPr>
          <w:p>
            <w:pPr>
              <w:widowControl/>
              <w:jc w:val="center"/>
              <w:textAlignment w:val="center"/>
              <w:rPr>
                <w:rFonts w:hAnsi="宋体" w:cs="宋体"/>
                <w:bCs/>
                <w:color w:val="auto"/>
                <w:szCs w:val="21"/>
                <w:highlight w:val="none"/>
              </w:rPr>
            </w:pPr>
            <w:r>
              <w:rPr>
                <w:rFonts w:hint="eastAsia" w:hAnsi="宋体" w:cs="宋体"/>
                <w:bCs/>
                <w:color w:val="auto"/>
                <w:szCs w:val="21"/>
                <w:highlight w:val="none"/>
              </w:rPr>
              <w:t>28.2</w:t>
            </w:r>
          </w:p>
        </w:tc>
        <w:tc>
          <w:tcPr>
            <w:tcW w:w="635" w:type="pct"/>
            <w:tcBorders>
              <w:tl2br w:val="nil"/>
              <w:tr2bl w:val="nil"/>
            </w:tcBorders>
            <w:vAlign w:val="center"/>
          </w:tcPr>
          <w:p>
            <w:pPr>
              <w:widowControl/>
              <w:jc w:val="center"/>
              <w:textAlignment w:val="center"/>
              <w:rPr>
                <w:rFonts w:hAnsi="宋体" w:cs="宋体"/>
                <w:bCs/>
                <w:color w:val="auto"/>
                <w:szCs w:val="21"/>
                <w:highlight w:val="none"/>
              </w:rPr>
            </w:pPr>
            <w:r>
              <w:rPr>
                <w:rFonts w:hint="eastAsia" w:hAnsi="宋体" w:cs="宋体"/>
                <w:bCs/>
                <w:color w:val="auto"/>
                <w:szCs w:val="21"/>
                <w:highlight w:val="none"/>
              </w:rPr>
              <w:t>99.7</w:t>
            </w:r>
          </w:p>
        </w:tc>
        <w:tc>
          <w:tcPr>
            <w:tcW w:w="635" w:type="pct"/>
            <w:tcBorders>
              <w:tl2br w:val="nil"/>
              <w:tr2bl w:val="nil"/>
            </w:tcBorders>
            <w:tcMar>
              <w:left w:w="28" w:type="dxa"/>
              <w:right w:w="28" w:type="dxa"/>
            </w:tcMar>
            <w:vAlign w:val="center"/>
          </w:tcPr>
          <w:p>
            <w:pPr>
              <w:widowControl/>
              <w:jc w:val="center"/>
              <w:textAlignment w:val="center"/>
              <w:rPr>
                <w:rFonts w:hAnsi="宋体" w:cs="宋体"/>
                <w:bCs/>
                <w:color w:val="auto"/>
                <w:szCs w:val="21"/>
                <w:highlight w:val="none"/>
              </w:rPr>
            </w:pPr>
            <w:r>
              <w:rPr>
                <w:rFonts w:hint="eastAsia" w:hAnsi="宋体" w:cs="宋体"/>
                <w:bCs/>
                <w:color w:val="auto"/>
                <w:szCs w:val="21"/>
                <w:highlight w:val="none"/>
              </w:rPr>
              <w:t>4</w:t>
            </w:r>
          </w:p>
        </w:tc>
        <w:tc>
          <w:tcPr>
            <w:tcW w:w="603" w:type="pct"/>
            <w:tcBorders>
              <w:tl2br w:val="nil"/>
              <w:tr2bl w:val="nil"/>
            </w:tcBorders>
            <w:tcMar>
              <w:left w:w="28" w:type="dxa"/>
              <w:right w:w="28" w:type="dxa"/>
            </w:tcMar>
            <w:vAlign w:val="center"/>
          </w:tcPr>
          <w:p>
            <w:pPr>
              <w:widowControl/>
              <w:jc w:val="center"/>
              <w:textAlignment w:val="center"/>
              <w:rPr>
                <w:rFonts w:hAnsi="宋体" w:cs="宋体"/>
                <w:bCs/>
                <w:color w:val="auto"/>
                <w:szCs w:val="21"/>
                <w:highlight w:val="none"/>
              </w:rPr>
            </w:pPr>
            <w:r>
              <w:rPr>
                <w:rFonts w:hint="eastAsia" w:hAnsi="宋体" w:cs="宋体"/>
                <w:bCs/>
                <w:color w:val="auto"/>
                <w:szCs w:val="21"/>
                <w:highlight w:val="none"/>
              </w:rPr>
              <w:t>7</w:t>
            </w:r>
          </w:p>
        </w:tc>
      </w:tr>
    </w:tbl>
    <w:p>
      <w:pPr>
        <w:pStyle w:val="103"/>
        <w:rPr>
          <w:b/>
          <w:color w:val="auto"/>
          <w:sz w:val="24"/>
          <w:highlight w:val="none"/>
        </w:rPr>
      </w:pPr>
      <w:bookmarkStart w:id="126" w:name="_Hlk74057618"/>
      <w:r>
        <w:rPr>
          <w:rFonts w:ascii="Times New Roman" w:hAnsi="Times New Roman"/>
          <w:color w:val="auto"/>
          <w:highlight w:val="none"/>
        </w:rPr>
        <w:t>表3.3-</w:t>
      </w:r>
      <w:r>
        <w:rPr>
          <w:rFonts w:hint="eastAsia" w:ascii="Times New Roman" w:hAnsi="Times New Roman"/>
          <w:color w:val="auto"/>
          <w:highlight w:val="none"/>
        </w:rPr>
        <w:t>2</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2</w:t>
      </w:r>
      <w:r>
        <w:rPr>
          <w:rFonts w:hint="eastAsia" w:ascii="Times New Roman" w:hAnsi="Times New Roman"/>
          <w:color w:val="auto"/>
          <w:highlight w:val="none"/>
          <w:lang w:eastAsia="zh-CN"/>
        </w:rPr>
        <w:t>）</w:t>
      </w:r>
      <w:r>
        <w:rPr>
          <w:rFonts w:ascii="Times New Roman" w:hAnsi="Times New Roman"/>
          <w:color w:val="auto"/>
          <w:highlight w:val="none"/>
        </w:rPr>
        <w:t xml:space="preserve">  监测期间气象参数表</w:t>
      </w:r>
    </w:p>
    <w:tbl>
      <w:tblPr>
        <w:tblStyle w:val="5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5"/>
        <w:gridCol w:w="1073"/>
        <w:gridCol w:w="1043"/>
        <w:gridCol w:w="1221"/>
        <w:gridCol w:w="654"/>
        <w:gridCol w:w="1109"/>
        <w:gridCol w:w="855"/>
        <w:gridCol w:w="891"/>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8" w:type="pct"/>
            <w:tcBorders>
              <w:top w:val="single" w:color="auto" w:sz="12" w:space="0"/>
              <w:left w:val="nil"/>
            </w:tcBorders>
            <w:noWrap w:val="0"/>
            <w:vAlign w:val="center"/>
          </w:tcPr>
          <w:p>
            <w:pPr>
              <w:widowControl/>
              <w:jc w:val="center"/>
              <w:textAlignment w:val="center"/>
              <w:rPr>
                <w:rFonts w:hint="eastAsia" w:ascii="Times New Roman" w:hAnsi="宋体" w:eastAsia="宋体" w:cs="宋体"/>
                <w:bCs/>
                <w:color w:val="auto"/>
                <w:szCs w:val="21"/>
                <w:highlight w:val="none"/>
              </w:rPr>
            </w:pPr>
            <w:r>
              <w:rPr>
                <w:rFonts w:hint="eastAsia" w:ascii="Times New Roman" w:hAnsi="宋体" w:eastAsia="宋体" w:cs="宋体"/>
                <w:bCs/>
                <w:color w:val="auto"/>
                <w:szCs w:val="21"/>
                <w:highlight w:val="none"/>
              </w:rPr>
              <w:t>采样日期</w:t>
            </w:r>
          </w:p>
        </w:tc>
        <w:tc>
          <w:tcPr>
            <w:tcW w:w="596" w:type="pct"/>
            <w:tcBorders>
              <w:top w:val="single" w:color="auto" w:sz="12" w:space="0"/>
            </w:tcBorders>
            <w:noWrap w:val="0"/>
            <w:vAlign w:val="center"/>
          </w:tcPr>
          <w:p>
            <w:pPr>
              <w:widowControl/>
              <w:jc w:val="center"/>
              <w:textAlignment w:val="center"/>
              <w:rPr>
                <w:rFonts w:hint="eastAsia" w:ascii="Times New Roman" w:hAnsi="宋体" w:eastAsia="宋体" w:cs="宋体"/>
                <w:bCs/>
                <w:color w:val="auto"/>
                <w:szCs w:val="21"/>
                <w:highlight w:val="none"/>
              </w:rPr>
            </w:pPr>
            <w:r>
              <w:rPr>
                <w:rFonts w:hint="eastAsia" w:ascii="Times New Roman" w:hAnsi="宋体" w:eastAsia="宋体" w:cs="宋体"/>
                <w:bCs/>
                <w:color w:val="auto"/>
                <w:szCs w:val="21"/>
                <w:highlight w:val="none"/>
              </w:rPr>
              <w:t>采样时间</w:t>
            </w:r>
          </w:p>
        </w:tc>
        <w:tc>
          <w:tcPr>
            <w:tcW w:w="579" w:type="pct"/>
            <w:tcBorders>
              <w:top w:val="single" w:color="auto" w:sz="12" w:space="0"/>
            </w:tcBorders>
            <w:noWrap w:val="0"/>
            <w:vAlign w:val="center"/>
          </w:tcPr>
          <w:p>
            <w:pPr>
              <w:widowControl/>
              <w:jc w:val="center"/>
              <w:textAlignment w:val="center"/>
              <w:rPr>
                <w:rFonts w:hint="eastAsia" w:ascii="Times New Roman" w:hAnsi="宋体" w:eastAsia="宋体" w:cs="宋体"/>
                <w:bCs/>
                <w:color w:val="auto"/>
                <w:szCs w:val="21"/>
                <w:highlight w:val="none"/>
              </w:rPr>
            </w:pPr>
            <w:r>
              <w:rPr>
                <w:rFonts w:hint="eastAsia" w:ascii="Times New Roman" w:hAnsi="宋体" w:eastAsia="宋体" w:cs="宋体"/>
                <w:bCs/>
                <w:color w:val="auto"/>
                <w:szCs w:val="21"/>
                <w:highlight w:val="none"/>
              </w:rPr>
              <w:t>气温（℃)</w:t>
            </w:r>
          </w:p>
        </w:tc>
        <w:tc>
          <w:tcPr>
            <w:tcW w:w="678" w:type="pct"/>
            <w:tcBorders>
              <w:top w:val="single" w:color="auto" w:sz="12" w:space="0"/>
            </w:tcBorders>
            <w:noWrap w:val="0"/>
            <w:vAlign w:val="center"/>
          </w:tcPr>
          <w:p>
            <w:pPr>
              <w:widowControl/>
              <w:jc w:val="center"/>
              <w:textAlignment w:val="center"/>
              <w:rPr>
                <w:rFonts w:hint="eastAsia" w:ascii="Times New Roman" w:hAnsi="宋体" w:eastAsia="宋体" w:cs="宋体"/>
                <w:bCs/>
                <w:color w:val="auto"/>
                <w:szCs w:val="21"/>
                <w:highlight w:val="none"/>
              </w:rPr>
            </w:pPr>
            <w:r>
              <w:rPr>
                <w:rFonts w:hint="eastAsia" w:ascii="Times New Roman" w:hAnsi="宋体" w:eastAsia="宋体" w:cs="宋体"/>
                <w:bCs/>
                <w:color w:val="auto"/>
                <w:szCs w:val="21"/>
                <w:highlight w:val="none"/>
              </w:rPr>
              <w:t>气压（</w:t>
            </w:r>
            <w:r>
              <w:rPr>
                <w:rFonts w:hint="eastAsia" w:ascii="Times New Roman" w:hAnsi="宋体" w:eastAsia="宋体" w:cs="宋体"/>
                <w:bCs/>
                <w:color w:val="auto"/>
                <w:szCs w:val="21"/>
                <w:highlight w:val="none"/>
                <w:lang w:val="en-US" w:eastAsia="zh-CN"/>
              </w:rPr>
              <w:t>k</w:t>
            </w:r>
            <w:r>
              <w:rPr>
                <w:rFonts w:hint="eastAsia" w:ascii="Times New Roman" w:hAnsi="宋体" w:eastAsia="宋体" w:cs="宋体"/>
                <w:bCs/>
                <w:color w:val="auto"/>
                <w:szCs w:val="21"/>
                <w:highlight w:val="none"/>
              </w:rPr>
              <w:t>Pa）</w:t>
            </w:r>
          </w:p>
        </w:tc>
        <w:tc>
          <w:tcPr>
            <w:tcW w:w="363" w:type="pct"/>
            <w:tcBorders>
              <w:top w:val="single" w:color="auto" w:sz="12" w:space="0"/>
            </w:tcBorders>
            <w:noWrap w:val="0"/>
            <w:vAlign w:val="center"/>
          </w:tcPr>
          <w:p>
            <w:pPr>
              <w:widowControl/>
              <w:jc w:val="center"/>
              <w:textAlignment w:val="center"/>
              <w:rPr>
                <w:rFonts w:hint="eastAsia" w:ascii="Times New Roman" w:hAnsi="宋体" w:eastAsia="宋体" w:cs="宋体"/>
                <w:bCs/>
                <w:color w:val="auto"/>
                <w:szCs w:val="21"/>
                <w:highlight w:val="none"/>
              </w:rPr>
            </w:pPr>
            <w:r>
              <w:rPr>
                <w:rFonts w:hint="eastAsia" w:ascii="Times New Roman" w:hAnsi="宋体" w:eastAsia="宋体" w:cs="宋体"/>
                <w:bCs/>
                <w:color w:val="auto"/>
                <w:szCs w:val="21"/>
                <w:highlight w:val="none"/>
              </w:rPr>
              <w:t>风向</w:t>
            </w:r>
          </w:p>
        </w:tc>
        <w:tc>
          <w:tcPr>
            <w:tcW w:w="616" w:type="pct"/>
            <w:tcBorders>
              <w:top w:val="single" w:color="auto" w:sz="12" w:space="0"/>
            </w:tcBorders>
            <w:noWrap w:val="0"/>
            <w:vAlign w:val="center"/>
          </w:tcPr>
          <w:p>
            <w:pPr>
              <w:widowControl/>
              <w:jc w:val="center"/>
              <w:textAlignment w:val="center"/>
              <w:rPr>
                <w:rFonts w:hint="eastAsia" w:ascii="Times New Roman" w:hAnsi="宋体" w:eastAsia="宋体" w:cs="宋体"/>
                <w:bCs/>
                <w:color w:val="auto"/>
                <w:szCs w:val="21"/>
                <w:highlight w:val="none"/>
              </w:rPr>
            </w:pPr>
            <w:r>
              <w:rPr>
                <w:rFonts w:hint="eastAsia" w:ascii="Times New Roman" w:hAnsi="宋体" w:eastAsia="宋体" w:cs="宋体"/>
                <w:bCs/>
                <w:color w:val="auto"/>
                <w:szCs w:val="21"/>
                <w:highlight w:val="none"/>
              </w:rPr>
              <w:t>风速（m/s）</w:t>
            </w:r>
          </w:p>
        </w:tc>
        <w:tc>
          <w:tcPr>
            <w:tcW w:w="475" w:type="pct"/>
            <w:tcBorders>
              <w:top w:val="single" w:color="auto" w:sz="12" w:space="0"/>
            </w:tcBorders>
            <w:noWrap w:val="0"/>
            <w:vAlign w:val="center"/>
          </w:tcPr>
          <w:p>
            <w:pPr>
              <w:widowControl/>
              <w:jc w:val="center"/>
              <w:textAlignment w:val="center"/>
              <w:rPr>
                <w:rFonts w:hint="eastAsia"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总云量</w:t>
            </w:r>
          </w:p>
        </w:tc>
        <w:tc>
          <w:tcPr>
            <w:tcW w:w="495" w:type="pct"/>
            <w:tcBorders>
              <w:top w:val="single" w:color="auto" w:sz="12" w:space="0"/>
            </w:tcBorders>
            <w:noWrap w:val="0"/>
            <w:vAlign w:val="center"/>
          </w:tcPr>
          <w:p>
            <w:pPr>
              <w:widowControl/>
              <w:jc w:val="center"/>
              <w:textAlignment w:val="center"/>
              <w:rPr>
                <w:rFonts w:hint="eastAsia"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低云量</w:t>
            </w:r>
          </w:p>
        </w:tc>
        <w:tc>
          <w:tcPr>
            <w:tcW w:w="587" w:type="pct"/>
            <w:tcBorders>
              <w:top w:val="single" w:color="auto" w:sz="12" w:space="0"/>
              <w:right w:val="nil"/>
            </w:tcBorders>
            <w:noWrap w:val="0"/>
            <w:vAlign w:val="center"/>
          </w:tcPr>
          <w:p>
            <w:pPr>
              <w:widowControl/>
              <w:jc w:val="center"/>
              <w:textAlignment w:val="center"/>
              <w:rPr>
                <w:rFonts w:hint="eastAsia"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rPr>
              <w:t>天气状况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8" w:type="pct"/>
            <w:vMerge w:val="restart"/>
            <w:tcBorders>
              <w:left w:val="nil"/>
            </w:tcBorders>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2022.12.2</w:t>
            </w:r>
          </w:p>
        </w:tc>
        <w:tc>
          <w:tcPr>
            <w:tcW w:w="596"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13:46</w:t>
            </w:r>
          </w:p>
        </w:tc>
        <w:tc>
          <w:tcPr>
            <w:tcW w:w="579"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4.0</w:t>
            </w:r>
          </w:p>
        </w:tc>
        <w:tc>
          <w:tcPr>
            <w:tcW w:w="678"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101.6</w:t>
            </w:r>
          </w:p>
        </w:tc>
        <w:tc>
          <w:tcPr>
            <w:tcW w:w="363"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S</w:t>
            </w:r>
          </w:p>
        </w:tc>
        <w:tc>
          <w:tcPr>
            <w:tcW w:w="616"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2.6</w:t>
            </w:r>
          </w:p>
        </w:tc>
        <w:tc>
          <w:tcPr>
            <w:tcW w:w="475"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3</w:t>
            </w:r>
          </w:p>
        </w:tc>
        <w:tc>
          <w:tcPr>
            <w:tcW w:w="495"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2</w:t>
            </w:r>
          </w:p>
        </w:tc>
        <w:tc>
          <w:tcPr>
            <w:tcW w:w="587" w:type="pct"/>
            <w:tcBorders>
              <w:right w:val="nil"/>
            </w:tcBorders>
            <w:noWrap w:val="0"/>
            <w:vAlign w:val="center"/>
          </w:tcPr>
          <w:p>
            <w:pPr>
              <w:widowControl/>
              <w:jc w:val="center"/>
              <w:textAlignment w:val="center"/>
              <w:rPr>
                <w:rFonts w:hint="eastAsia"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8" w:type="pct"/>
            <w:vMerge w:val="continue"/>
            <w:tcBorders>
              <w:left w:val="nil"/>
            </w:tcBorders>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p>
        </w:tc>
        <w:tc>
          <w:tcPr>
            <w:tcW w:w="596"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19:56</w:t>
            </w:r>
          </w:p>
        </w:tc>
        <w:tc>
          <w:tcPr>
            <w:tcW w:w="579"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2.1</w:t>
            </w:r>
          </w:p>
        </w:tc>
        <w:tc>
          <w:tcPr>
            <w:tcW w:w="678"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101.7</w:t>
            </w:r>
          </w:p>
        </w:tc>
        <w:tc>
          <w:tcPr>
            <w:tcW w:w="363"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SE</w:t>
            </w:r>
          </w:p>
        </w:tc>
        <w:tc>
          <w:tcPr>
            <w:tcW w:w="616"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0.8</w:t>
            </w:r>
          </w:p>
        </w:tc>
        <w:tc>
          <w:tcPr>
            <w:tcW w:w="475"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2</w:t>
            </w:r>
          </w:p>
        </w:tc>
        <w:tc>
          <w:tcPr>
            <w:tcW w:w="495"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0</w:t>
            </w:r>
          </w:p>
        </w:tc>
        <w:tc>
          <w:tcPr>
            <w:tcW w:w="587" w:type="pct"/>
            <w:tcBorders>
              <w:right w:val="nil"/>
            </w:tcBorders>
            <w:noWrap w:val="0"/>
            <w:vAlign w:val="center"/>
          </w:tcPr>
          <w:p>
            <w:pPr>
              <w:widowControl/>
              <w:jc w:val="center"/>
              <w:textAlignment w:val="center"/>
              <w:rPr>
                <w:rFonts w:hint="eastAsia"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8" w:type="pct"/>
            <w:vMerge w:val="restart"/>
            <w:tcBorders>
              <w:left w:val="nil"/>
            </w:tcBorders>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2022.12.3</w:t>
            </w:r>
          </w:p>
        </w:tc>
        <w:tc>
          <w:tcPr>
            <w:tcW w:w="596"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1:54</w:t>
            </w:r>
          </w:p>
        </w:tc>
        <w:tc>
          <w:tcPr>
            <w:tcW w:w="579"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-1.2</w:t>
            </w:r>
          </w:p>
        </w:tc>
        <w:tc>
          <w:tcPr>
            <w:tcW w:w="678"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101.8</w:t>
            </w:r>
          </w:p>
        </w:tc>
        <w:tc>
          <w:tcPr>
            <w:tcW w:w="363"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SE</w:t>
            </w:r>
          </w:p>
        </w:tc>
        <w:tc>
          <w:tcPr>
            <w:tcW w:w="616"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1.3</w:t>
            </w:r>
          </w:p>
        </w:tc>
        <w:tc>
          <w:tcPr>
            <w:tcW w:w="475"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0</w:t>
            </w:r>
          </w:p>
        </w:tc>
        <w:tc>
          <w:tcPr>
            <w:tcW w:w="495"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0</w:t>
            </w:r>
          </w:p>
        </w:tc>
        <w:tc>
          <w:tcPr>
            <w:tcW w:w="587" w:type="pct"/>
            <w:tcBorders>
              <w:right w:val="nil"/>
            </w:tcBorders>
            <w:noWrap w:val="0"/>
            <w:vAlign w:val="center"/>
          </w:tcPr>
          <w:p>
            <w:pPr>
              <w:widowControl/>
              <w:jc w:val="center"/>
              <w:textAlignment w:val="center"/>
              <w:rPr>
                <w:rFonts w:hint="eastAsia"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8" w:type="pct"/>
            <w:vMerge w:val="continue"/>
            <w:tcBorders>
              <w:left w:val="nil"/>
            </w:tcBorders>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p>
        </w:tc>
        <w:tc>
          <w:tcPr>
            <w:tcW w:w="596"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7:51</w:t>
            </w:r>
          </w:p>
        </w:tc>
        <w:tc>
          <w:tcPr>
            <w:tcW w:w="579"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0.3</w:t>
            </w:r>
          </w:p>
        </w:tc>
        <w:tc>
          <w:tcPr>
            <w:tcW w:w="678"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101.8</w:t>
            </w:r>
          </w:p>
        </w:tc>
        <w:tc>
          <w:tcPr>
            <w:tcW w:w="363"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NE</w:t>
            </w:r>
          </w:p>
        </w:tc>
        <w:tc>
          <w:tcPr>
            <w:tcW w:w="616"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1.0</w:t>
            </w:r>
          </w:p>
        </w:tc>
        <w:tc>
          <w:tcPr>
            <w:tcW w:w="475"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8</w:t>
            </w:r>
          </w:p>
        </w:tc>
        <w:tc>
          <w:tcPr>
            <w:tcW w:w="495"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6</w:t>
            </w:r>
          </w:p>
        </w:tc>
        <w:tc>
          <w:tcPr>
            <w:tcW w:w="587" w:type="pct"/>
            <w:tcBorders>
              <w:right w:val="nil"/>
            </w:tcBorders>
            <w:noWrap w:val="0"/>
            <w:vAlign w:val="center"/>
          </w:tcPr>
          <w:p>
            <w:pPr>
              <w:widowControl/>
              <w:jc w:val="center"/>
              <w:textAlignment w:val="center"/>
              <w:rPr>
                <w:rFonts w:hint="eastAsia"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8" w:type="pct"/>
            <w:vMerge w:val="continue"/>
            <w:tcBorders>
              <w:left w:val="nil"/>
            </w:tcBorders>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p>
        </w:tc>
        <w:tc>
          <w:tcPr>
            <w:tcW w:w="596"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13:51</w:t>
            </w:r>
          </w:p>
        </w:tc>
        <w:tc>
          <w:tcPr>
            <w:tcW w:w="579"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6.2</w:t>
            </w:r>
          </w:p>
        </w:tc>
        <w:tc>
          <w:tcPr>
            <w:tcW w:w="678"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101.5</w:t>
            </w:r>
          </w:p>
        </w:tc>
        <w:tc>
          <w:tcPr>
            <w:tcW w:w="363"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SE</w:t>
            </w:r>
          </w:p>
        </w:tc>
        <w:tc>
          <w:tcPr>
            <w:tcW w:w="616"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2.2</w:t>
            </w:r>
          </w:p>
        </w:tc>
        <w:tc>
          <w:tcPr>
            <w:tcW w:w="475"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7</w:t>
            </w:r>
          </w:p>
        </w:tc>
        <w:tc>
          <w:tcPr>
            <w:tcW w:w="495"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4</w:t>
            </w:r>
          </w:p>
        </w:tc>
        <w:tc>
          <w:tcPr>
            <w:tcW w:w="587" w:type="pct"/>
            <w:tcBorders>
              <w:right w:val="nil"/>
            </w:tcBorders>
            <w:noWrap w:val="0"/>
            <w:vAlign w:val="center"/>
          </w:tcPr>
          <w:p>
            <w:pPr>
              <w:widowControl/>
              <w:jc w:val="center"/>
              <w:textAlignment w:val="center"/>
              <w:rPr>
                <w:rFonts w:hint="eastAsia"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8" w:type="pct"/>
            <w:vMerge w:val="continue"/>
            <w:tcBorders>
              <w:left w:val="nil"/>
            </w:tcBorders>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p>
        </w:tc>
        <w:tc>
          <w:tcPr>
            <w:tcW w:w="596"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19:51</w:t>
            </w:r>
          </w:p>
        </w:tc>
        <w:tc>
          <w:tcPr>
            <w:tcW w:w="579"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4.7</w:t>
            </w:r>
          </w:p>
        </w:tc>
        <w:tc>
          <w:tcPr>
            <w:tcW w:w="678"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101.5</w:t>
            </w:r>
          </w:p>
        </w:tc>
        <w:tc>
          <w:tcPr>
            <w:tcW w:w="363"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E</w:t>
            </w:r>
          </w:p>
        </w:tc>
        <w:tc>
          <w:tcPr>
            <w:tcW w:w="616"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1.3</w:t>
            </w:r>
          </w:p>
        </w:tc>
        <w:tc>
          <w:tcPr>
            <w:tcW w:w="475"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8</w:t>
            </w:r>
          </w:p>
        </w:tc>
        <w:tc>
          <w:tcPr>
            <w:tcW w:w="495"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2</w:t>
            </w:r>
          </w:p>
        </w:tc>
        <w:tc>
          <w:tcPr>
            <w:tcW w:w="587" w:type="pct"/>
            <w:tcBorders>
              <w:right w:val="nil"/>
            </w:tcBorders>
            <w:noWrap w:val="0"/>
            <w:vAlign w:val="center"/>
          </w:tcPr>
          <w:p>
            <w:pPr>
              <w:widowControl/>
              <w:jc w:val="center"/>
              <w:textAlignment w:val="center"/>
              <w:rPr>
                <w:rFonts w:hint="eastAsia"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8" w:type="pct"/>
            <w:vMerge w:val="restart"/>
            <w:tcBorders>
              <w:left w:val="nil"/>
            </w:tcBorders>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2022.12.4</w:t>
            </w:r>
          </w:p>
        </w:tc>
        <w:tc>
          <w:tcPr>
            <w:tcW w:w="596"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1:51</w:t>
            </w:r>
          </w:p>
        </w:tc>
        <w:tc>
          <w:tcPr>
            <w:tcW w:w="579"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0.8</w:t>
            </w:r>
          </w:p>
        </w:tc>
        <w:tc>
          <w:tcPr>
            <w:tcW w:w="678"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101.7</w:t>
            </w:r>
          </w:p>
        </w:tc>
        <w:tc>
          <w:tcPr>
            <w:tcW w:w="363"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E</w:t>
            </w:r>
          </w:p>
        </w:tc>
        <w:tc>
          <w:tcPr>
            <w:tcW w:w="616"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1.6</w:t>
            </w:r>
          </w:p>
        </w:tc>
        <w:tc>
          <w:tcPr>
            <w:tcW w:w="475"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7</w:t>
            </w:r>
          </w:p>
        </w:tc>
        <w:tc>
          <w:tcPr>
            <w:tcW w:w="495" w:type="pct"/>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0</w:t>
            </w:r>
          </w:p>
        </w:tc>
        <w:tc>
          <w:tcPr>
            <w:tcW w:w="587" w:type="pct"/>
            <w:tcBorders>
              <w:right w:val="nil"/>
            </w:tcBorders>
            <w:noWrap w:val="0"/>
            <w:vAlign w:val="center"/>
          </w:tcPr>
          <w:p>
            <w:pPr>
              <w:widowControl/>
              <w:jc w:val="center"/>
              <w:textAlignment w:val="center"/>
              <w:rPr>
                <w:rFonts w:hint="eastAsia"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8" w:type="pct"/>
            <w:vMerge w:val="continue"/>
            <w:tcBorders>
              <w:left w:val="nil"/>
              <w:bottom w:val="single" w:color="auto" w:sz="12" w:space="0"/>
            </w:tcBorders>
            <w:noWrap w:val="0"/>
            <w:vAlign w:val="center"/>
          </w:tcPr>
          <w:p>
            <w:pPr>
              <w:widowControl/>
              <w:jc w:val="center"/>
              <w:textAlignment w:val="center"/>
              <w:rPr>
                <w:rFonts w:hint="eastAsia" w:ascii="Times New Roman" w:hAnsi="宋体" w:eastAsia="宋体" w:cs="宋体"/>
                <w:bCs/>
                <w:color w:val="auto"/>
                <w:szCs w:val="21"/>
                <w:highlight w:val="none"/>
                <w:lang w:val="en-US" w:eastAsia="zh-CN"/>
              </w:rPr>
            </w:pPr>
          </w:p>
        </w:tc>
        <w:tc>
          <w:tcPr>
            <w:tcW w:w="596" w:type="pct"/>
            <w:tcBorders>
              <w:bottom w:val="single" w:color="auto" w:sz="12" w:space="0"/>
            </w:tcBorders>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8:03</w:t>
            </w:r>
          </w:p>
        </w:tc>
        <w:tc>
          <w:tcPr>
            <w:tcW w:w="579" w:type="pct"/>
            <w:tcBorders>
              <w:bottom w:val="single" w:color="auto" w:sz="12" w:space="0"/>
            </w:tcBorders>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1.1</w:t>
            </w:r>
          </w:p>
        </w:tc>
        <w:tc>
          <w:tcPr>
            <w:tcW w:w="678" w:type="pct"/>
            <w:tcBorders>
              <w:bottom w:val="single" w:color="auto" w:sz="12" w:space="0"/>
            </w:tcBorders>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101.7</w:t>
            </w:r>
          </w:p>
        </w:tc>
        <w:tc>
          <w:tcPr>
            <w:tcW w:w="363" w:type="pct"/>
            <w:tcBorders>
              <w:bottom w:val="single" w:color="auto" w:sz="12" w:space="0"/>
            </w:tcBorders>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NE</w:t>
            </w:r>
          </w:p>
        </w:tc>
        <w:tc>
          <w:tcPr>
            <w:tcW w:w="616" w:type="pct"/>
            <w:tcBorders>
              <w:bottom w:val="single" w:color="auto" w:sz="12" w:space="0"/>
            </w:tcBorders>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2.7</w:t>
            </w:r>
          </w:p>
        </w:tc>
        <w:tc>
          <w:tcPr>
            <w:tcW w:w="475" w:type="pct"/>
            <w:tcBorders>
              <w:bottom w:val="single" w:color="auto" w:sz="12" w:space="0"/>
            </w:tcBorders>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6</w:t>
            </w:r>
          </w:p>
        </w:tc>
        <w:tc>
          <w:tcPr>
            <w:tcW w:w="495" w:type="pct"/>
            <w:tcBorders>
              <w:bottom w:val="single" w:color="auto" w:sz="12" w:space="0"/>
            </w:tcBorders>
            <w:noWrap w:val="0"/>
            <w:vAlign w:val="center"/>
          </w:tcPr>
          <w:p>
            <w:pPr>
              <w:widowControl/>
              <w:jc w:val="center"/>
              <w:textAlignment w:val="center"/>
              <w:rPr>
                <w:rFonts w:hint="default"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3</w:t>
            </w:r>
          </w:p>
        </w:tc>
        <w:tc>
          <w:tcPr>
            <w:tcW w:w="587" w:type="pct"/>
            <w:tcBorders>
              <w:bottom w:val="single" w:color="auto" w:sz="12" w:space="0"/>
              <w:right w:val="nil"/>
            </w:tcBorders>
            <w:noWrap w:val="0"/>
            <w:vAlign w:val="center"/>
          </w:tcPr>
          <w:p>
            <w:pPr>
              <w:widowControl/>
              <w:jc w:val="center"/>
              <w:textAlignment w:val="center"/>
              <w:rPr>
                <w:rFonts w:hint="eastAsia" w:ascii="Times New Roman" w:hAnsi="宋体" w:eastAsia="宋体" w:cs="宋体"/>
                <w:bCs/>
                <w:color w:val="auto"/>
                <w:szCs w:val="21"/>
                <w:highlight w:val="none"/>
                <w:lang w:val="en-US" w:eastAsia="zh-CN"/>
              </w:rPr>
            </w:pPr>
            <w:r>
              <w:rPr>
                <w:rFonts w:hint="eastAsia" w:ascii="Times New Roman" w:hAnsi="宋体" w:eastAsia="宋体" w:cs="宋体"/>
                <w:bCs/>
                <w:color w:val="auto"/>
                <w:szCs w:val="21"/>
                <w:highlight w:val="none"/>
                <w:lang w:val="en-US" w:eastAsia="zh-CN"/>
              </w:rPr>
              <w:t>多云</w:t>
            </w:r>
          </w:p>
        </w:tc>
      </w:tr>
    </w:tbl>
    <w:p>
      <w:pPr>
        <w:spacing w:line="360" w:lineRule="auto"/>
        <w:ind w:firstLine="542" w:firstLineChars="225"/>
        <w:rPr>
          <w:b/>
          <w:color w:val="auto"/>
          <w:sz w:val="24"/>
          <w:highlight w:val="none"/>
        </w:rPr>
      </w:pPr>
      <w:r>
        <w:rPr>
          <w:b/>
          <w:color w:val="auto"/>
          <w:sz w:val="24"/>
          <w:highlight w:val="none"/>
        </w:rPr>
        <w:t>4、监测分析方法</w:t>
      </w:r>
    </w:p>
    <w:p>
      <w:pPr>
        <w:pStyle w:val="162"/>
        <w:rPr>
          <w:rFonts w:cs="Times New Roman"/>
          <w:color w:val="auto"/>
          <w:highlight w:val="none"/>
        </w:rPr>
      </w:pPr>
      <w:r>
        <w:rPr>
          <w:rFonts w:cs="Times New Roman"/>
          <w:color w:val="auto"/>
          <w:highlight w:val="none"/>
        </w:rPr>
        <w:t>采样及分析方法按照国家生态环境部颁发的相关环境空气污染因子测定方法及《空气和废气监测方法(第四版)》等有关规定执行。环境空气质量监测分析方法见表3.3-</w:t>
      </w:r>
      <w:r>
        <w:rPr>
          <w:rFonts w:hint="eastAsia" w:cs="Times New Roman"/>
          <w:color w:val="auto"/>
          <w:highlight w:val="none"/>
        </w:rPr>
        <w:t>3</w:t>
      </w:r>
      <w:r>
        <w:rPr>
          <w:rFonts w:cs="Times New Roman"/>
          <w:color w:val="auto"/>
          <w:highlight w:val="none"/>
        </w:rPr>
        <w:t>。</w:t>
      </w:r>
    </w:p>
    <w:p>
      <w:pPr>
        <w:spacing w:before="31" w:beforeLines="10" w:line="360" w:lineRule="auto"/>
        <w:jc w:val="center"/>
        <w:rPr>
          <w:rFonts w:eastAsia="黑体"/>
          <w:bCs/>
          <w:color w:val="auto"/>
          <w:sz w:val="24"/>
          <w:highlight w:val="none"/>
        </w:rPr>
      </w:pPr>
      <w:r>
        <w:rPr>
          <w:rFonts w:eastAsia="黑体"/>
          <w:bCs/>
          <w:color w:val="auto"/>
          <w:sz w:val="24"/>
          <w:highlight w:val="none"/>
        </w:rPr>
        <w:t>表3.3-</w:t>
      </w:r>
      <w:r>
        <w:rPr>
          <w:rFonts w:hint="eastAsia" w:eastAsia="黑体"/>
          <w:bCs/>
          <w:color w:val="auto"/>
          <w:sz w:val="24"/>
          <w:highlight w:val="none"/>
        </w:rPr>
        <w:t>3</w:t>
      </w:r>
      <w:r>
        <w:rPr>
          <w:rFonts w:eastAsia="黑体"/>
          <w:bCs/>
          <w:color w:val="auto"/>
          <w:sz w:val="24"/>
          <w:highlight w:val="none"/>
        </w:rPr>
        <w:t xml:space="preserve">    环境空气现状检测采样及分析方法一览表</w:t>
      </w:r>
    </w:p>
    <w:tbl>
      <w:tblPr>
        <w:tblStyle w:val="59"/>
        <w:tblW w:w="884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2449"/>
        <w:gridCol w:w="1830"/>
        <w:gridCol w:w="1628"/>
        <w:gridCol w:w="16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8" w:type="dxa"/>
            <w:tcMar>
              <w:top w:w="28" w:type="dxa"/>
              <w:left w:w="28" w:type="dxa"/>
              <w:bottom w:w="28" w:type="dxa"/>
              <w:right w:w="28" w:type="dxa"/>
            </w:tcMar>
            <w:vAlign w:val="center"/>
          </w:tcPr>
          <w:p>
            <w:pPr>
              <w:pStyle w:val="105"/>
              <w:rPr>
                <w:color w:val="auto"/>
                <w:szCs w:val="21"/>
                <w:highlight w:val="none"/>
              </w:rPr>
            </w:pPr>
            <w:r>
              <w:rPr>
                <w:color w:val="auto"/>
                <w:szCs w:val="21"/>
                <w:highlight w:val="none"/>
              </w:rPr>
              <w:t>项目</w:t>
            </w:r>
          </w:p>
        </w:tc>
        <w:tc>
          <w:tcPr>
            <w:tcW w:w="2449" w:type="dxa"/>
            <w:tcMar>
              <w:top w:w="28" w:type="dxa"/>
              <w:left w:w="28" w:type="dxa"/>
              <w:bottom w:w="28" w:type="dxa"/>
              <w:right w:w="28" w:type="dxa"/>
            </w:tcMar>
            <w:vAlign w:val="center"/>
          </w:tcPr>
          <w:p>
            <w:pPr>
              <w:pStyle w:val="105"/>
              <w:rPr>
                <w:color w:val="auto"/>
                <w:szCs w:val="21"/>
                <w:highlight w:val="none"/>
              </w:rPr>
            </w:pPr>
            <w:r>
              <w:rPr>
                <w:color w:val="auto"/>
                <w:szCs w:val="21"/>
                <w:highlight w:val="none"/>
              </w:rPr>
              <w:t>分析方法</w:t>
            </w:r>
          </w:p>
        </w:tc>
        <w:tc>
          <w:tcPr>
            <w:tcW w:w="1830" w:type="dxa"/>
            <w:vAlign w:val="center"/>
          </w:tcPr>
          <w:p>
            <w:pPr>
              <w:pStyle w:val="105"/>
              <w:rPr>
                <w:color w:val="auto"/>
                <w:szCs w:val="21"/>
                <w:highlight w:val="none"/>
              </w:rPr>
            </w:pPr>
            <w:r>
              <w:rPr>
                <w:color w:val="auto"/>
                <w:szCs w:val="21"/>
                <w:highlight w:val="none"/>
              </w:rPr>
              <w:t>方法依据</w:t>
            </w:r>
          </w:p>
        </w:tc>
        <w:tc>
          <w:tcPr>
            <w:tcW w:w="1628" w:type="dxa"/>
            <w:tcMar>
              <w:top w:w="28" w:type="dxa"/>
              <w:left w:w="28" w:type="dxa"/>
              <w:bottom w:w="28" w:type="dxa"/>
              <w:right w:w="28" w:type="dxa"/>
            </w:tcMar>
            <w:vAlign w:val="center"/>
          </w:tcPr>
          <w:p>
            <w:pPr>
              <w:pStyle w:val="105"/>
              <w:rPr>
                <w:color w:val="auto"/>
                <w:szCs w:val="21"/>
                <w:highlight w:val="none"/>
              </w:rPr>
            </w:pPr>
            <w:r>
              <w:rPr>
                <w:color w:val="auto"/>
                <w:szCs w:val="21"/>
                <w:highlight w:val="none"/>
              </w:rPr>
              <w:t>检出限（mg/m</w:t>
            </w:r>
            <w:r>
              <w:rPr>
                <w:color w:val="auto"/>
                <w:szCs w:val="21"/>
                <w:highlight w:val="none"/>
                <w:vertAlign w:val="superscript"/>
              </w:rPr>
              <w:t>3</w:t>
            </w:r>
            <w:r>
              <w:rPr>
                <w:color w:val="auto"/>
                <w:szCs w:val="21"/>
                <w:highlight w:val="none"/>
              </w:rPr>
              <w:t>）</w:t>
            </w:r>
          </w:p>
        </w:tc>
        <w:tc>
          <w:tcPr>
            <w:tcW w:w="1658" w:type="dxa"/>
            <w:tcMar>
              <w:top w:w="28" w:type="dxa"/>
              <w:left w:w="28" w:type="dxa"/>
              <w:bottom w:w="28" w:type="dxa"/>
              <w:right w:w="28" w:type="dxa"/>
            </w:tcMar>
            <w:vAlign w:val="center"/>
          </w:tcPr>
          <w:p>
            <w:pPr>
              <w:pStyle w:val="105"/>
              <w:rPr>
                <w:color w:val="auto"/>
                <w:szCs w:val="21"/>
                <w:highlight w:val="none"/>
              </w:rPr>
            </w:pPr>
            <w:r>
              <w:rPr>
                <w:color w:val="auto"/>
                <w:szCs w:val="21"/>
                <w:highlight w:val="none"/>
              </w:rPr>
              <w:t>检测分析设备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8" w:type="dxa"/>
            <w:tcMar>
              <w:top w:w="28" w:type="dxa"/>
              <w:left w:w="28" w:type="dxa"/>
              <w:bottom w:w="28" w:type="dxa"/>
              <w:right w:w="28" w:type="dxa"/>
            </w:tcMar>
            <w:vAlign w:val="center"/>
          </w:tcPr>
          <w:p>
            <w:pPr>
              <w:pStyle w:val="105"/>
              <w:rPr>
                <w:color w:val="auto"/>
                <w:szCs w:val="21"/>
                <w:highlight w:val="none"/>
              </w:rPr>
            </w:pPr>
            <w:r>
              <w:rPr>
                <w:color w:val="auto"/>
                <w:szCs w:val="21"/>
                <w:highlight w:val="none"/>
              </w:rPr>
              <w:t>VOCs</w:t>
            </w:r>
            <w:r>
              <w:rPr>
                <w:rFonts w:hint="eastAsia"/>
                <w:color w:val="auto"/>
                <w:highlight w:val="none"/>
              </w:rPr>
              <w:t>（以非甲烷总烃计）</w:t>
            </w:r>
          </w:p>
        </w:tc>
        <w:tc>
          <w:tcPr>
            <w:tcW w:w="2449" w:type="dxa"/>
            <w:tcMar>
              <w:top w:w="28" w:type="dxa"/>
              <w:left w:w="28" w:type="dxa"/>
              <w:bottom w:w="28" w:type="dxa"/>
              <w:right w:w="28" w:type="dxa"/>
            </w:tcMar>
            <w:vAlign w:val="center"/>
          </w:tcPr>
          <w:p>
            <w:pPr>
              <w:pStyle w:val="105"/>
              <w:rPr>
                <w:color w:val="auto"/>
                <w:szCs w:val="21"/>
                <w:highlight w:val="none"/>
              </w:rPr>
            </w:pPr>
            <w:r>
              <w:rPr>
                <w:rFonts w:hint="eastAsia" w:hAnsi="宋体" w:cs="宋体"/>
                <w:color w:val="auto"/>
                <w:szCs w:val="21"/>
                <w:highlight w:val="none"/>
              </w:rPr>
              <w:t>气相色谱法</w:t>
            </w:r>
          </w:p>
        </w:tc>
        <w:tc>
          <w:tcPr>
            <w:tcW w:w="1830" w:type="dxa"/>
            <w:vAlign w:val="center"/>
          </w:tcPr>
          <w:p>
            <w:pPr>
              <w:pStyle w:val="105"/>
              <w:rPr>
                <w:color w:val="auto"/>
                <w:szCs w:val="21"/>
                <w:highlight w:val="none"/>
              </w:rPr>
            </w:pPr>
            <w:r>
              <w:rPr>
                <w:color w:val="auto"/>
                <w:szCs w:val="21"/>
                <w:highlight w:val="none"/>
              </w:rPr>
              <w:t>HJ 604-2017</w:t>
            </w:r>
          </w:p>
        </w:tc>
        <w:tc>
          <w:tcPr>
            <w:tcW w:w="1628" w:type="dxa"/>
            <w:tcMar>
              <w:top w:w="28" w:type="dxa"/>
              <w:left w:w="28" w:type="dxa"/>
              <w:bottom w:w="28" w:type="dxa"/>
              <w:right w:w="28" w:type="dxa"/>
            </w:tcMar>
            <w:vAlign w:val="center"/>
          </w:tcPr>
          <w:p>
            <w:pPr>
              <w:pStyle w:val="105"/>
              <w:rPr>
                <w:color w:val="auto"/>
                <w:szCs w:val="21"/>
                <w:highlight w:val="none"/>
              </w:rPr>
            </w:pPr>
            <w:r>
              <w:rPr>
                <w:color w:val="auto"/>
                <w:szCs w:val="21"/>
                <w:highlight w:val="none"/>
              </w:rPr>
              <w:t>0.</w:t>
            </w:r>
            <w:r>
              <w:rPr>
                <w:rFonts w:hint="eastAsia"/>
                <w:color w:val="auto"/>
                <w:szCs w:val="21"/>
                <w:highlight w:val="none"/>
              </w:rPr>
              <w:t>07</w:t>
            </w:r>
          </w:p>
        </w:tc>
        <w:tc>
          <w:tcPr>
            <w:tcW w:w="1658" w:type="dxa"/>
            <w:tcMar>
              <w:top w:w="28" w:type="dxa"/>
              <w:left w:w="28" w:type="dxa"/>
              <w:bottom w:w="28" w:type="dxa"/>
              <w:right w:w="28" w:type="dxa"/>
            </w:tcMar>
            <w:vAlign w:val="center"/>
          </w:tcPr>
          <w:p>
            <w:pPr>
              <w:pStyle w:val="105"/>
              <w:rPr>
                <w:color w:val="auto"/>
                <w:szCs w:val="21"/>
                <w:highlight w:val="none"/>
              </w:rPr>
            </w:pPr>
            <w:r>
              <w:rPr>
                <w:rFonts w:hint="eastAsia"/>
                <w:color w:val="auto"/>
                <w:szCs w:val="21"/>
                <w:highlight w:val="none"/>
              </w:rPr>
              <w:t>气相色谱仪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8" w:type="dxa"/>
            <w:tcMar>
              <w:top w:w="28" w:type="dxa"/>
              <w:left w:w="28" w:type="dxa"/>
              <w:bottom w:w="28" w:type="dxa"/>
              <w:right w:w="28" w:type="dxa"/>
            </w:tcMar>
            <w:vAlign w:val="center"/>
          </w:tcPr>
          <w:p>
            <w:pPr>
              <w:pStyle w:val="105"/>
              <w:rPr>
                <w:color w:val="auto"/>
                <w:szCs w:val="21"/>
                <w:highlight w:val="none"/>
              </w:rPr>
            </w:pPr>
            <w:r>
              <w:rPr>
                <w:rFonts w:hint="eastAsia"/>
                <w:color w:val="auto"/>
                <w:szCs w:val="21"/>
                <w:highlight w:val="none"/>
              </w:rPr>
              <w:t>TSP</w:t>
            </w:r>
          </w:p>
        </w:tc>
        <w:tc>
          <w:tcPr>
            <w:tcW w:w="2449" w:type="dxa"/>
            <w:tcMar>
              <w:top w:w="28" w:type="dxa"/>
              <w:left w:w="28" w:type="dxa"/>
              <w:bottom w:w="28" w:type="dxa"/>
              <w:right w:w="28" w:type="dxa"/>
            </w:tcMar>
            <w:vAlign w:val="center"/>
          </w:tcPr>
          <w:p>
            <w:pPr>
              <w:pStyle w:val="105"/>
              <w:rPr>
                <w:color w:val="auto"/>
                <w:szCs w:val="21"/>
                <w:highlight w:val="none"/>
              </w:rPr>
            </w:pPr>
            <w:r>
              <w:rPr>
                <w:color w:val="auto"/>
                <w:szCs w:val="21"/>
                <w:highlight w:val="none"/>
              </w:rPr>
              <w:t>重量法</w:t>
            </w:r>
          </w:p>
        </w:tc>
        <w:tc>
          <w:tcPr>
            <w:tcW w:w="1830" w:type="dxa"/>
            <w:vAlign w:val="center"/>
          </w:tcPr>
          <w:p>
            <w:pPr>
              <w:pStyle w:val="105"/>
              <w:rPr>
                <w:color w:val="auto"/>
                <w:szCs w:val="21"/>
                <w:highlight w:val="none"/>
              </w:rPr>
            </w:pPr>
            <w:r>
              <w:rPr>
                <w:color w:val="auto"/>
                <w:szCs w:val="21"/>
                <w:highlight w:val="none"/>
              </w:rPr>
              <w:t>GB/T15432-1995</w:t>
            </w:r>
          </w:p>
          <w:p>
            <w:pPr>
              <w:pStyle w:val="105"/>
              <w:rPr>
                <w:color w:val="auto"/>
                <w:szCs w:val="21"/>
                <w:highlight w:val="none"/>
              </w:rPr>
            </w:pPr>
            <w:r>
              <w:rPr>
                <w:color w:val="auto"/>
                <w:szCs w:val="21"/>
                <w:highlight w:val="none"/>
              </w:rPr>
              <w:t>及修改单</w:t>
            </w:r>
          </w:p>
        </w:tc>
        <w:tc>
          <w:tcPr>
            <w:tcW w:w="1628" w:type="dxa"/>
            <w:tcMar>
              <w:top w:w="28" w:type="dxa"/>
              <w:left w:w="28" w:type="dxa"/>
              <w:bottom w:w="28" w:type="dxa"/>
              <w:right w:w="28" w:type="dxa"/>
            </w:tcMar>
            <w:vAlign w:val="center"/>
          </w:tcPr>
          <w:p>
            <w:pPr>
              <w:pStyle w:val="105"/>
              <w:rPr>
                <w:color w:val="auto"/>
                <w:szCs w:val="21"/>
                <w:highlight w:val="none"/>
              </w:rPr>
            </w:pPr>
            <w:r>
              <w:rPr>
                <w:color w:val="auto"/>
                <w:szCs w:val="21"/>
                <w:highlight w:val="none"/>
              </w:rPr>
              <w:t>0.001</w:t>
            </w:r>
          </w:p>
        </w:tc>
        <w:tc>
          <w:tcPr>
            <w:tcW w:w="1658" w:type="dxa"/>
            <w:tcMar>
              <w:top w:w="28" w:type="dxa"/>
              <w:left w:w="28" w:type="dxa"/>
              <w:bottom w:w="28" w:type="dxa"/>
              <w:right w:w="28" w:type="dxa"/>
            </w:tcMar>
            <w:vAlign w:val="center"/>
          </w:tcPr>
          <w:p>
            <w:pPr>
              <w:pStyle w:val="105"/>
              <w:rPr>
                <w:color w:val="auto"/>
                <w:szCs w:val="21"/>
                <w:highlight w:val="none"/>
              </w:rPr>
            </w:pPr>
            <w:r>
              <w:rPr>
                <w:rFonts w:hint="eastAsia"/>
                <w:color w:val="auto"/>
                <w:szCs w:val="21"/>
                <w:highlight w:val="none"/>
              </w:rPr>
              <w:t>分析天平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8" w:type="dxa"/>
            <w:tcMar>
              <w:top w:w="28" w:type="dxa"/>
              <w:left w:w="28" w:type="dxa"/>
              <w:bottom w:w="28" w:type="dxa"/>
              <w:right w:w="28" w:type="dxa"/>
            </w:tcMar>
            <w:vAlign w:val="center"/>
          </w:tcPr>
          <w:p>
            <w:pPr>
              <w:pStyle w:val="105"/>
              <w:rPr>
                <w:rFonts w:hint="default" w:eastAsia="宋体"/>
                <w:color w:val="auto"/>
                <w:szCs w:val="21"/>
                <w:highlight w:val="none"/>
                <w:lang w:val="en-US" w:eastAsia="zh-CN"/>
              </w:rPr>
            </w:pPr>
            <w:r>
              <w:rPr>
                <w:rFonts w:hint="eastAsia"/>
                <w:color w:val="auto"/>
                <w:szCs w:val="21"/>
                <w:highlight w:val="none"/>
                <w:lang w:val="en-US" w:eastAsia="zh-CN"/>
              </w:rPr>
              <w:t>臭气浓度</w:t>
            </w:r>
          </w:p>
        </w:tc>
        <w:tc>
          <w:tcPr>
            <w:tcW w:w="2449" w:type="dxa"/>
            <w:tcMar>
              <w:top w:w="28" w:type="dxa"/>
              <w:left w:w="28" w:type="dxa"/>
              <w:bottom w:w="28" w:type="dxa"/>
              <w:right w:w="28" w:type="dxa"/>
            </w:tcMar>
            <w:vAlign w:val="center"/>
          </w:tcPr>
          <w:p>
            <w:pPr>
              <w:pStyle w:val="105"/>
              <w:rPr>
                <w:color w:val="auto"/>
                <w:szCs w:val="21"/>
                <w:highlight w:val="none"/>
              </w:rPr>
            </w:pPr>
            <w:r>
              <w:rPr>
                <w:rFonts w:hint="eastAsia"/>
                <w:color w:val="auto"/>
                <w:szCs w:val="21"/>
                <w:highlight w:val="none"/>
              </w:rPr>
              <w:t>三点比较式臭袋法</w:t>
            </w:r>
          </w:p>
        </w:tc>
        <w:tc>
          <w:tcPr>
            <w:tcW w:w="1830" w:type="dxa"/>
            <w:vAlign w:val="center"/>
          </w:tcPr>
          <w:p>
            <w:pPr>
              <w:pStyle w:val="105"/>
              <w:rPr>
                <w:color w:val="auto"/>
                <w:szCs w:val="21"/>
                <w:highlight w:val="none"/>
              </w:rPr>
            </w:pPr>
            <w:r>
              <w:rPr>
                <w:rFonts w:hint="eastAsia"/>
                <w:color w:val="auto"/>
                <w:szCs w:val="21"/>
                <w:highlight w:val="none"/>
              </w:rPr>
              <w:t>GB/T14675-1993</w:t>
            </w:r>
          </w:p>
        </w:tc>
        <w:tc>
          <w:tcPr>
            <w:tcW w:w="1628" w:type="dxa"/>
            <w:tcMar>
              <w:top w:w="28" w:type="dxa"/>
              <w:left w:w="28" w:type="dxa"/>
              <w:bottom w:w="28" w:type="dxa"/>
              <w:right w:w="28" w:type="dxa"/>
            </w:tcMar>
            <w:vAlign w:val="center"/>
          </w:tcPr>
          <w:p>
            <w:pPr>
              <w:pStyle w:val="105"/>
              <w:rPr>
                <w:color w:val="auto"/>
                <w:szCs w:val="21"/>
                <w:highlight w:val="none"/>
              </w:rPr>
            </w:pPr>
            <w:r>
              <w:rPr>
                <w:rFonts w:hint="eastAsia" w:hAnsi="宋体" w:cs="宋体"/>
                <w:color w:val="auto"/>
                <w:sz w:val="21"/>
                <w:szCs w:val="21"/>
              </w:rPr>
              <w:t>/</w:t>
            </w:r>
          </w:p>
        </w:tc>
        <w:tc>
          <w:tcPr>
            <w:tcW w:w="1658" w:type="dxa"/>
            <w:tcMar>
              <w:top w:w="28" w:type="dxa"/>
              <w:left w:w="28" w:type="dxa"/>
              <w:bottom w:w="28" w:type="dxa"/>
              <w:right w:w="28" w:type="dxa"/>
            </w:tcMar>
            <w:vAlign w:val="center"/>
          </w:tcPr>
          <w:p>
            <w:pPr>
              <w:pStyle w:val="105"/>
              <w:rPr>
                <w:rFonts w:hint="eastAsia"/>
                <w:color w:val="auto"/>
                <w:szCs w:val="21"/>
                <w:highlight w:val="none"/>
              </w:rPr>
            </w:pPr>
            <w:r>
              <w:rPr>
                <w:rFonts w:hint="eastAsia" w:hAnsi="宋体" w:cs="宋体"/>
                <w:color w:val="auto"/>
                <w:sz w:val="21"/>
                <w:szCs w:val="21"/>
              </w:rPr>
              <w:t>/</w:t>
            </w:r>
          </w:p>
        </w:tc>
      </w:tr>
    </w:tbl>
    <w:p>
      <w:pPr>
        <w:spacing w:line="360" w:lineRule="auto"/>
        <w:ind w:firstLine="482"/>
        <w:rPr>
          <w:b/>
          <w:color w:val="auto"/>
          <w:sz w:val="24"/>
          <w:highlight w:val="none"/>
        </w:rPr>
      </w:pPr>
      <w:r>
        <w:rPr>
          <w:b/>
          <w:color w:val="auto"/>
          <w:sz w:val="24"/>
          <w:highlight w:val="none"/>
        </w:rPr>
        <w:t>5、监测结果</w:t>
      </w:r>
    </w:p>
    <w:p>
      <w:pPr>
        <w:spacing w:line="360" w:lineRule="auto"/>
        <w:ind w:firstLine="480"/>
        <w:rPr>
          <w:color w:val="auto"/>
          <w:sz w:val="24"/>
          <w:highlight w:val="none"/>
        </w:rPr>
      </w:pPr>
      <w:r>
        <w:rPr>
          <w:color w:val="auto"/>
          <w:sz w:val="24"/>
          <w:highlight w:val="none"/>
        </w:rPr>
        <w:t>监测结果见表3.3-</w:t>
      </w:r>
      <w:r>
        <w:rPr>
          <w:rFonts w:hint="eastAsia"/>
          <w:color w:val="auto"/>
          <w:sz w:val="24"/>
          <w:highlight w:val="none"/>
        </w:rPr>
        <w:t>4</w:t>
      </w:r>
      <w:r>
        <w:rPr>
          <w:color w:val="auto"/>
          <w:sz w:val="24"/>
          <w:highlight w:val="none"/>
        </w:rPr>
        <w:t>。</w:t>
      </w:r>
    </w:p>
    <w:p>
      <w:pPr>
        <w:spacing w:line="360" w:lineRule="auto"/>
        <w:ind w:firstLine="2040" w:firstLineChars="850"/>
        <w:rPr>
          <w:rFonts w:eastAsia="黑体"/>
          <w:bCs/>
          <w:color w:val="auto"/>
          <w:kern w:val="24"/>
          <w:sz w:val="24"/>
          <w:highlight w:val="none"/>
        </w:rPr>
      </w:pPr>
      <w:r>
        <w:rPr>
          <w:rFonts w:eastAsia="黑体"/>
          <w:bCs/>
          <w:color w:val="auto"/>
          <w:kern w:val="24"/>
          <w:sz w:val="24"/>
          <w:highlight w:val="none"/>
        </w:rPr>
        <w:t>表3.3-</w:t>
      </w:r>
      <w:r>
        <w:rPr>
          <w:rFonts w:hint="eastAsia" w:eastAsia="黑体"/>
          <w:bCs/>
          <w:color w:val="auto"/>
          <w:kern w:val="24"/>
          <w:sz w:val="24"/>
          <w:highlight w:val="none"/>
        </w:rPr>
        <w:t>4</w:t>
      </w:r>
      <w:r>
        <w:rPr>
          <w:rFonts w:eastAsia="黑体"/>
          <w:bCs/>
          <w:color w:val="auto"/>
          <w:kern w:val="24"/>
          <w:sz w:val="24"/>
          <w:highlight w:val="none"/>
        </w:rPr>
        <w:t xml:space="preserve">  特征污染因子现状监测结果表</w:t>
      </w:r>
      <w:r>
        <w:rPr>
          <w:rFonts w:hint="eastAsia" w:eastAsia="黑体"/>
          <w:bCs/>
          <w:color w:val="auto"/>
          <w:kern w:val="24"/>
          <w:sz w:val="24"/>
          <w:highlight w:val="none"/>
        </w:rPr>
        <w:t xml:space="preserve">   单位（mg/m</w:t>
      </w:r>
      <w:r>
        <w:rPr>
          <w:rFonts w:hint="eastAsia" w:eastAsia="黑体"/>
          <w:bCs/>
          <w:color w:val="auto"/>
          <w:kern w:val="24"/>
          <w:sz w:val="24"/>
          <w:highlight w:val="none"/>
          <w:vertAlign w:val="superscript"/>
        </w:rPr>
        <w:t>3</w:t>
      </w:r>
      <w:r>
        <w:rPr>
          <w:rFonts w:hint="eastAsia" w:eastAsia="黑体"/>
          <w:bCs/>
          <w:color w:val="auto"/>
          <w:kern w:val="24"/>
          <w:sz w:val="24"/>
          <w:highlight w:val="none"/>
        </w:rPr>
        <w:t>）</w:t>
      </w:r>
    </w:p>
    <w:tbl>
      <w:tblPr>
        <w:tblStyle w:val="59"/>
        <w:tblpPr w:leftFromText="180" w:rightFromText="180" w:vertAnchor="text" w:tblpY="1"/>
        <w:tblOverlap w:val="never"/>
        <w:tblW w:w="527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34"/>
        <w:gridCol w:w="2185"/>
        <w:gridCol w:w="1194"/>
        <w:gridCol w:w="1237"/>
        <w:gridCol w:w="1141"/>
        <w:gridCol w:w="1213"/>
        <w:gridCol w:w="119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57" w:type="pct"/>
            <w:vMerge w:val="restart"/>
            <w:tcMar>
              <w:left w:w="11" w:type="dxa"/>
              <w:right w:w="11" w:type="dxa"/>
            </w:tcMar>
            <w:vAlign w:val="center"/>
          </w:tcPr>
          <w:p>
            <w:pPr>
              <w:spacing w:line="240" w:lineRule="exact"/>
              <w:ind w:left="-63" w:leftChars="-30" w:right="-63" w:rightChars="-30"/>
              <w:jc w:val="center"/>
              <w:rPr>
                <w:color w:val="auto"/>
                <w:szCs w:val="21"/>
                <w:highlight w:val="none"/>
              </w:rPr>
            </w:pPr>
            <w:r>
              <w:rPr>
                <w:color w:val="auto"/>
                <w:szCs w:val="21"/>
                <w:highlight w:val="none"/>
              </w:rPr>
              <w:t>监测项目</w:t>
            </w:r>
          </w:p>
        </w:tc>
        <w:tc>
          <w:tcPr>
            <w:tcW w:w="1162" w:type="pct"/>
            <w:tcMar>
              <w:left w:w="11" w:type="dxa"/>
              <w:right w:w="11" w:type="dxa"/>
            </w:tcMar>
            <w:vAlign w:val="center"/>
          </w:tcPr>
          <w:p>
            <w:pPr>
              <w:spacing w:line="240" w:lineRule="exact"/>
              <w:ind w:left="-63" w:leftChars="-30" w:right="-63" w:rightChars="-30"/>
              <w:jc w:val="center"/>
              <w:rPr>
                <w:color w:val="auto"/>
                <w:szCs w:val="21"/>
                <w:highlight w:val="none"/>
              </w:rPr>
            </w:pPr>
            <w:r>
              <w:rPr>
                <w:color w:val="auto"/>
                <w:szCs w:val="21"/>
                <w:highlight w:val="none"/>
              </w:rPr>
              <w:t>监测点位</w:t>
            </w:r>
          </w:p>
        </w:tc>
        <w:tc>
          <w:tcPr>
            <w:tcW w:w="2545" w:type="pct"/>
            <w:gridSpan w:val="4"/>
            <w:vAlign w:val="center"/>
          </w:tcPr>
          <w:p>
            <w:pPr>
              <w:spacing w:line="240" w:lineRule="exact"/>
              <w:ind w:left="-63" w:leftChars="-30" w:right="-63" w:rightChars="-30"/>
              <w:jc w:val="center"/>
              <w:rPr>
                <w:color w:val="auto"/>
                <w:szCs w:val="21"/>
                <w:highlight w:val="none"/>
              </w:rPr>
            </w:pPr>
            <w:r>
              <w:rPr>
                <w:rFonts w:hint="eastAsia"/>
                <w:color w:val="auto"/>
                <w:szCs w:val="21"/>
                <w:highlight w:val="none"/>
              </w:rPr>
              <w:t>小时值</w:t>
            </w:r>
          </w:p>
        </w:tc>
        <w:tc>
          <w:tcPr>
            <w:tcW w:w="635" w:type="pct"/>
            <w:vMerge w:val="restart"/>
            <w:vAlign w:val="center"/>
          </w:tcPr>
          <w:p>
            <w:pPr>
              <w:spacing w:line="240" w:lineRule="exact"/>
              <w:ind w:left="-63" w:leftChars="-30" w:right="-63" w:rightChars="-30"/>
              <w:jc w:val="center"/>
              <w:rPr>
                <w:color w:val="auto"/>
                <w:szCs w:val="21"/>
                <w:highlight w:val="none"/>
              </w:rPr>
            </w:pPr>
            <w:r>
              <w:rPr>
                <w:rFonts w:hint="eastAsia"/>
                <w:color w:val="auto"/>
                <w:szCs w:val="21"/>
                <w:highlight w:val="none"/>
              </w:rPr>
              <w:t>日均值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57" w:type="pct"/>
            <w:vMerge w:val="continue"/>
            <w:tcMar>
              <w:left w:w="11" w:type="dxa"/>
              <w:right w:w="11" w:type="dxa"/>
            </w:tcMar>
            <w:vAlign w:val="center"/>
          </w:tcPr>
          <w:p>
            <w:pPr>
              <w:spacing w:line="240" w:lineRule="exact"/>
              <w:ind w:left="-63" w:leftChars="-30" w:right="-63" w:rightChars="-30"/>
              <w:jc w:val="center"/>
              <w:rPr>
                <w:color w:val="auto"/>
                <w:szCs w:val="21"/>
                <w:highlight w:val="none"/>
              </w:rPr>
            </w:pPr>
          </w:p>
        </w:tc>
        <w:tc>
          <w:tcPr>
            <w:tcW w:w="1162" w:type="pct"/>
            <w:tcMar>
              <w:left w:w="11" w:type="dxa"/>
              <w:right w:w="11" w:type="dxa"/>
            </w:tcMar>
            <w:vAlign w:val="center"/>
          </w:tcPr>
          <w:p>
            <w:pPr>
              <w:spacing w:line="240" w:lineRule="exact"/>
              <w:ind w:left="-63" w:leftChars="-30" w:right="-63" w:rightChars="-30"/>
              <w:jc w:val="center"/>
              <w:rPr>
                <w:color w:val="auto"/>
                <w:szCs w:val="21"/>
                <w:highlight w:val="none"/>
              </w:rPr>
            </w:pPr>
            <w:r>
              <w:rPr>
                <w:color w:val="auto"/>
                <w:szCs w:val="21"/>
                <w:highlight w:val="none"/>
              </w:rPr>
              <w:t>采样时间</w:t>
            </w:r>
          </w:p>
        </w:tc>
        <w:tc>
          <w:tcPr>
            <w:tcW w:w="635" w:type="pct"/>
            <w:tcMar>
              <w:left w:w="11" w:type="dxa"/>
              <w:right w:w="11" w:type="dxa"/>
            </w:tcMar>
            <w:vAlign w:val="center"/>
          </w:tcPr>
          <w:p>
            <w:pPr>
              <w:spacing w:line="240" w:lineRule="exact"/>
              <w:ind w:left="-63" w:leftChars="-30" w:right="-63" w:rightChars="-30"/>
              <w:jc w:val="center"/>
              <w:rPr>
                <w:color w:val="auto"/>
                <w:szCs w:val="21"/>
                <w:highlight w:val="none"/>
              </w:rPr>
            </w:pPr>
            <w:r>
              <w:rPr>
                <w:color w:val="auto"/>
                <w:szCs w:val="21"/>
                <w:highlight w:val="none"/>
              </w:rPr>
              <w:t>02:00</w:t>
            </w:r>
          </w:p>
        </w:tc>
        <w:tc>
          <w:tcPr>
            <w:tcW w:w="658" w:type="pct"/>
            <w:tcMar>
              <w:left w:w="11" w:type="dxa"/>
              <w:right w:w="11" w:type="dxa"/>
            </w:tcMar>
            <w:vAlign w:val="center"/>
          </w:tcPr>
          <w:p>
            <w:pPr>
              <w:spacing w:line="240" w:lineRule="exact"/>
              <w:ind w:left="-63" w:leftChars="-30" w:right="-63" w:rightChars="-30"/>
              <w:jc w:val="center"/>
              <w:rPr>
                <w:color w:val="auto"/>
                <w:szCs w:val="21"/>
                <w:highlight w:val="none"/>
              </w:rPr>
            </w:pPr>
            <w:r>
              <w:rPr>
                <w:color w:val="auto"/>
                <w:szCs w:val="21"/>
                <w:highlight w:val="none"/>
              </w:rPr>
              <w:t>08:00</w:t>
            </w:r>
          </w:p>
        </w:tc>
        <w:tc>
          <w:tcPr>
            <w:tcW w:w="607" w:type="pct"/>
            <w:tcMar>
              <w:left w:w="11" w:type="dxa"/>
              <w:right w:w="11" w:type="dxa"/>
            </w:tcMar>
            <w:vAlign w:val="center"/>
          </w:tcPr>
          <w:p>
            <w:pPr>
              <w:spacing w:line="240" w:lineRule="exact"/>
              <w:ind w:left="-63" w:leftChars="-30" w:right="-63" w:rightChars="-30"/>
              <w:jc w:val="center"/>
              <w:rPr>
                <w:color w:val="auto"/>
                <w:szCs w:val="21"/>
                <w:highlight w:val="none"/>
              </w:rPr>
            </w:pPr>
            <w:r>
              <w:rPr>
                <w:color w:val="auto"/>
                <w:szCs w:val="21"/>
                <w:highlight w:val="none"/>
              </w:rPr>
              <w:t>14:00</w:t>
            </w:r>
          </w:p>
        </w:tc>
        <w:tc>
          <w:tcPr>
            <w:tcW w:w="644" w:type="pct"/>
            <w:tcMar>
              <w:left w:w="11" w:type="dxa"/>
              <w:right w:w="11" w:type="dxa"/>
            </w:tcMar>
            <w:vAlign w:val="center"/>
          </w:tcPr>
          <w:p>
            <w:pPr>
              <w:spacing w:line="240" w:lineRule="exact"/>
              <w:ind w:left="-63" w:leftChars="-30" w:right="-63" w:rightChars="-30"/>
              <w:jc w:val="center"/>
              <w:rPr>
                <w:color w:val="auto"/>
                <w:szCs w:val="21"/>
                <w:highlight w:val="none"/>
              </w:rPr>
            </w:pPr>
            <w:r>
              <w:rPr>
                <w:color w:val="auto"/>
                <w:szCs w:val="21"/>
                <w:highlight w:val="none"/>
              </w:rPr>
              <w:t>20:00</w:t>
            </w:r>
          </w:p>
        </w:tc>
        <w:tc>
          <w:tcPr>
            <w:tcW w:w="635" w:type="pct"/>
            <w:vMerge w:val="continue"/>
            <w:tcMar>
              <w:left w:w="11" w:type="dxa"/>
              <w:right w:w="11" w:type="dxa"/>
            </w:tcMar>
            <w:vAlign w:val="center"/>
          </w:tcPr>
          <w:p>
            <w:pPr>
              <w:spacing w:line="240" w:lineRule="exact"/>
              <w:ind w:left="-63" w:leftChars="-30" w:right="-63" w:rightChars="-30"/>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57" w:type="pct"/>
            <w:vMerge w:val="restart"/>
            <w:tcMar>
              <w:left w:w="11" w:type="dxa"/>
              <w:right w:w="11" w:type="dxa"/>
            </w:tcMar>
            <w:vAlign w:val="center"/>
          </w:tcPr>
          <w:p>
            <w:pPr>
              <w:spacing w:line="240" w:lineRule="exact"/>
              <w:ind w:left="-63" w:leftChars="-30" w:right="-63" w:rightChars="-30"/>
              <w:jc w:val="center"/>
              <w:rPr>
                <w:color w:val="auto"/>
                <w:szCs w:val="21"/>
                <w:highlight w:val="none"/>
              </w:rPr>
            </w:pPr>
            <w:r>
              <w:rPr>
                <w:rFonts w:hint="eastAsia" w:ascii="Times New Roman" w:hAnsi="Times New Roman" w:cs="Times New Roman"/>
                <w:color w:val="auto"/>
                <w:szCs w:val="21"/>
                <w:highlight w:val="none"/>
              </w:rPr>
              <w:t>VOCs（以非甲烷总烃计）</w:t>
            </w:r>
          </w:p>
        </w:tc>
        <w:tc>
          <w:tcPr>
            <w:tcW w:w="1162" w:type="pct"/>
            <w:tcMar>
              <w:left w:w="11" w:type="dxa"/>
              <w:right w:w="11" w:type="dxa"/>
            </w:tcMar>
            <w:vAlign w:val="center"/>
          </w:tcPr>
          <w:p>
            <w:pPr>
              <w:spacing w:line="320" w:lineRule="exact"/>
              <w:jc w:val="center"/>
              <w:rPr>
                <w:color w:val="auto"/>
                <w:highlight w:val="none"/>
              </w:rPr>
            </w:pPr>
            <w:r>
              <w:rPr>
                <w:rFonts w:hint="eastAsia" w:hAnsi="宋体" w:cs="宋体"/>
                <w:bCs/>
                <w:color w:val="auto"/>
                <w:szCs w:val="21"/>
                <w:highlight w:val="none"/>
              </w:rPr>
              <w:t>2022.7.8</w:t>
            </w:r>
          </w:p>
        </w:tc>
        <w:tc>
          <w:tcPr>
            <w:tcW w:w="635" w:type="pct"/>
            <w:tcMar>
              <w:left w:w="11" w:type="dxa"/>
              <w:right w:w="11" w:type="dxa"/>
            </w:tcMar>
            <w:vAlign w:val="center"/>
          </w:tcPr>
          <w:p>
            <w:pPr>
              <w:pStyle w:val="105"/>
              <w:rPr>
                <w:rFonts w:eastAsia="等线"/>
                <w:bCs/>
                <w:color w:val="auto"/>
                <w:szCs w:val="21"/>
                <w:highlight w:val="none"/>
              </w:rPr>
            </w:pPr>
            <w:r>
              <w:rPr>
                <w:rFonts w:hint="eastAsia" w:eastAsia="等线"/>
                <w:bCs/>
                <w:color w:val="auto"/>
                <w:szCs w:val="21"/>
                <w:highlight w:val="none"/>
              </w:rPr>
              <w:t>/</w:t>
            </w:r>
          </w:p>
        </w:tc>
        <w:tc>
          <w:tcPr>
            <w:tcW w:w="658" w:type="pct"/>
            <w:tcMar>
              <w:left w:w="11" w:type="dxa"/>
              <w:right w:w="11" w:type="dxa"/>
            </w:tcMar>
            <w:vAlign w:val="center"/>
          </w:tcPr>
          <w:p>
            <w:pPr>
              <w:pStyle w:val="105"/>
              <w:rPr>
                <w:rFonts w:eastAsia="等线"/>
                <w:bCs/>
                <w:color w:val="auto"/>
                <w:szCs w:val="21"/>
                <w:highlight w:val="none"/>
              </w:rPr>
            </w:pPr>
            <w:r>
              <w:rPr>
                <w:rFonts w:hint="eastAsia" w:eastAsia="等线"/>
                <w:bCs/>
                <w:color w:val="auto"/>
                <w:szCs w:val="21"/>
                <w:highlight w:val="none"/>
              </w:rPr>
              <w:t>/</w:t>
            </w:r>
          </w:p>
        </w:tc>
        <w:tc>
          <w:tcPr>
            <w:tcW w:w="607" w:type="pct"/>
            <w:tcMar>
              <w:left w:w="11" w:type="dxa"/>
              <w:right w:w="11" w:type="dxa"/>
            </w:tcMar>
            <w:vAlign w:val="center"/>
          </w:tcPr>
          <w:p>
            <w:pPr>
              <w:pStyle w:val="105"/>
              <w:rPr>
                <w:rFonts w:eastAsia="等线"/>
                <w:bCs/>
                <w:color w:val="auto"/>
                <w:szCs w:val="21"/>
                <w:highlight w:val="none"/>
              </w:rPr>
            </w:pPr>
            <w:r>
              <w:rPr>
                <w:rFonts w:hint="eastAsia" w:eastAsia="等线"/>
                <w:bCs/>
                <w:color w:val="auto"/>
                <w:szCs w:val="21"/>
                <w:highlight w:val="none"/>
              </w:rPr>
              <w:t>/</w:t>
            </w:r>
          </w:p>
        </w:tc>
        <w:tc>
          <w:tcPr>
            <w:tcW w:w="644" w:type="pct"/>
            <w:tcMar>
              <w:left w:w="11" w:type="dxa"/>
              <w:right w:w="11" w:type="dxa"/>
            </w:tcMar>
            <w:vAlign w:val="center"/>
          </w:tcPr>
          <w:p>
            <w:pPr>
              <w:pStyle w:val="105"/>
              <w:rPr>
                <w:rFonts w:eastAsia="等线"/>
                <w:bCs/>
                <w:color w:val="auto"/>
                <w:szCs w:val="21"/>
                <w:highlight w:val="none"/>
              </w:rPr>
            </w:pPr>
            <w:r>
              <w:rPr>
                <w:rFonts w:hint="eastAsia" w:eastAsia="等线"/>
                <w:bCs/>
                <w:color w:val="auto"/>
                <w:szCs w:val="21"/>
                <w:highlight w:val="none"/>
              </w:rPr>
              <w:t>0.66</w:t>
            </w:r>
          </w:p>
        </w:tc>
        <w:tc>
          <w:tcPr>
            <w:tcW w:w="635" w:type="pct"/>
            <w:tcMar>
              <w:left w:w="11" w:type="dxa"/>
              <w:right w:w="11" w:type="dxa"/>
            </w:tcMar>
            <w:vAlign w:val="center"/>
          </w:tcPr>
          <w:p>
            <w:pPr>
              <w:pStyle w:val="105"/>
              <w:rPr>
                <w:rFonts w:eastAsia="等线"/>
                <w:bCs/>
                <w:color w:val="auto"/>
                <w:szCs w:val="21"/>
                <w:highlight w:val="none"/>
              </w:rPr>
            </w:pPr>
            <w:r>
              <w:rPr>
                <w:rFonts w:hint="eastAsia" w:eastAsia="等线"/>
                <w:bCs/>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57" w:type="pct"/>
            <w:vMerge w:val="continue"/>
            <w:tcMar>
              <w:left w:w="11" w:type="dxa"/>
              <w:right w:w="11" w:type="dxa"/>
            </w:tcMar>
            <w:vAlign w:val="center"/>
          </w:tcPr>
          <w:p>
            <w:pPr>
              <w:spacing w:line="240" w:lineRule="exact"/>
              <w:ind w:left="-63" w:leftChars="-30" w:right="-63" w:rightChars="-30"/>
              <w:jc w:val="center"/>
              <w:rPr>
                <w:color w:val="auto"/>
                <w:szCs w:val="21"/>
                <w:highlight w:val="none"/>
              </w:rPr>
            </w:pPr>
          </w:p>
        </w:tc>
        <w:tc>
          <w:tcPr>
            <w:tcW w:w="1162" w:type="pct"/>
            <w:tcMar>
              <w:left w:w="11" w:type="dxa"/>
              <w:right w:w="11" w:type="dxa"/>
            </w:tcMar>
            <w:vAlign w:val="center"/>
          </w:tcPr>
          <w:p>
            <w:pPr>
              <w:widowControl/>
              <w:jc w:val="center"/>
              <w:textAlignment w:val="center"/>
              <w:rPr>
                <w:color w:val="auto"/>
                <w:szCs w:val="21"/>
                <w:highlight w:val="none"/>
              </w:rPr>
            </w:pPr>
            <w:r>
              <w:rPr>
                <w:rFonts w:hint="eastAsia" w:hAnsi="宋体" w:cs="宋体"/>
                <w:bCs/>
                <w:color w:val="auto"/>
                <w:szCs w:val="21"/>
                <w:highlight w:val="none"/>
              </w:rPr>
              <w:t>2022.7.9</w:t>
            </w:r>
          </w:p>
        </w:tc>
        <w:tc>
          <w:tcPr>
            <w:tcW w:w="635" w:type="pct"/>
            <w:tcMar>
              <w:left w:w="11" w:type="dxa"/>
              <w:right w:w="11" w:type="dxa"/>
            </w:tcMar>
            <w:vAlign w:val="center"/>
          </w:tcPr>
          <w:p>
            <w:pPr>
              <w:pStyle w:val="105"/>
              <w:rPr>
                <w:rFonts w:eastAsia="等线"/>
                <w:bCs/>
                <w:color w:val="auto"/>
                <w:szCs w:val="21"/>
                <w:highlight w:val="none"/>
              </w:rPr>
            </w:pPr>
            <w:r>
              <w:rPr>
                <w:rFonts w:hint="eastAsia" w:eastAsia="等线"/>
                <w:bCs/>
                <w:color w:val="auto"/>
                <w:szCs w:val="21"/>
                <w:highlight w:val="none"/>
              </w:rPr>
              <w:t>0.62</w:t>
            </w:r>
          </w:p>
        </w:tc>
        <w:tc>
          <w:tcPr>
            <w:tcW w:w="658" w:type="pct"/>
            <w:tcMar>
              <w:left w:w="11" w:type="dxa"/>
              <w:right w:w="11" w:type="dxa"/>
            </w:tcMar>
            <w:vAlign w:val="center"/>
          </w:tcPr>
          <w:p>
            <w:pPr>
              <w:pStyle w:val="105"/>
              <w:rPr>
                <w:rFonts w:eastAsia="等线"/>
                <w:bCs/>
                <w:color w:val="auto"/>
                <w:szCs w:val="21"/>
                <w:highlight w:val="none"/>
              </w:rPr>
            </w:pPr>
            <w:r>
              <w:rPr>
                <w:rFonts w:hint="eastAsia" w:eastAsia="等线"/>
                <w:bCs/>
                <w:color w:val="auto"/>
                <w:szCs w:val="21"/>
                <w:highlight w:val="none"/>
              </w:rPr>
              <w:t>0.77</w:t>
            </w:r>
          </w:p>
        </w:tc>
        <w:tc>
          <w:tcPr>
            <w:tcW w:w="607" w:type="pct"/>
            <w:tcMar>
              <w:left w:w="11" w:type="dxa"/>
              <w:right w:w="11" w:type="dxa"/>
            </w:tcMar>
            <w:vAlign w:val="center"/>
          </w:tcPr>
          <w:p>
            <w:pPr>
              <w:pStyle w:val="105"/>
              <w:rPr>
                <w:rFonts w:eastAsia="等线"/>
                <w:bCs/>
                <w:color w:val="auto"/>
                <w:szCs w:val="21"/>
                <w:highlight w:val="none"/>
              </w:rPr>
            </w:pPr>
            <w:r>
              <w:rPr>
                <w:rFonts w:hint="eastAsia" w:eastAsia="等线"/>
                <w:bCs/>
                <w:color w:val="auto"/>
                <w:szCs w:val="21"/>
                <w:highlight w:val="none"/>
              </w:rPr>
              <w:t>0.73</w:t>
            </w:r>
          </w:p>
        </w:tc>
        <w:tc>
          <w:tcPr>
            <w:tcW w:w="644" w:type="pct"/>
            <w:tcMar>
              <w:left w:w="11" w:type="dxa"/>
              <w:right w:w="11" w:type="dxa"/>
            </w:tcMar>
            <w:vAlign w:val="center"/>
          </w:tcPr>
          <w:p>
            <w:pPr>
              <w:pStyle w:val="105"/>
              <w:rPr>
                <w:rFonts w:eastAsia="等线"/>
                <w:bCs/>
                <w:color w:val="auto"/>
                <w:szCs w:val="21"/>
                <w:highlight w:val="none"/>
              </w:rPr>
            </w:pPr>
            <w:r>
              <w:rPr>
                <w:rFonts w:hint="eastAsia" w:eastAsia="等线"/>
                <w:bCs/>
                <w:color w:val="auto"/>
                <w:szCs w:val="21"/>
                <w:highlight w:val="none"/>
              </w:rPr>
              <w:t>0.72</w:t>
            </w:r>
          </w:p>
        </w:tc>
        <w:tc>
          <w:tcPr>
            <w:tcW w:w="635" w:type="pct"/>
            <w:tcMar>
              <w:left w:w="11" w:type="dxa"/>
              <w:right w:w="11" w:type="dxa"/>
            </w:tcMar>
            <w:vAlign w:val="center"/>
          </w:tcPr>
          <w:p>
            <w:pPr>
              <w:pStyle w:val="105"/>
              <w:rPr>
                <w:rFonts w:eastAsia="等线"/>
                <w:bCs/>
                <w:color w:val="auto"/>
                <w:szCs w:val="21"/>
                <w:highlight w:val="none"/>
              </w:rPr>
            </w:pPr>
            <w:r>
              <w:rPr>
                <w:rFonts w:hint="eastAsia" w:eastAsia="等线"/>
                <w:bCs/>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57" w:type="pct"/>
            <w:vMerge w:val="continue"/>
            <w:tcMar>
              <w:left w:w="11" w:type="dxa"/>
              <w:right w:w="11" w:type="dxa"/>
            </w:tcMar>
            <w:vAlign w:val="center"/>
          </w:tcPr>
          <w:p>
            <w:pPr>
              <w:spacing w:line="240" w:lineRule="exact"/>
              <w:ind w:left="-63" w:leftChars="-30" w:right="-63" w:rightChars="-30"/>
              <w:jc w:val="center"/>
              <w:rPr>
                <w:color w:val="auto"/>
                <w:szCs w:val="21"/>
                <w:highlight w:val="none"/>
              </w:rPr>
            </w:pPr>
          </w:p>
        </w:tc>
        <w:tc>
          <w:tcPr>
            <w:tcW w:w="1162" w:type="pct"/>
            <w:tcMar>
              <w:left w:w="11" w:type="dxa"/>
              <w:right w:w="11" w:type="dxa"/>
            </w:tcMar>
            <w:vAlign w:val="center"/>
          </w:tcPr>
          <w:p>
            <w:pPr>
              <w:widowControl/>
              <w:jc w:val="center"/>
              <w:textAlignment w:val="center"/>
              <w:rPr>
                <w:color w:val="auto"/>
                <w:highlight w:val="none"/>
              </w:rPr>
            </w:pPr>
            <w:r>
              <w:rPr>
                <w:rFonts w:hint="eastAsia" w:hAnsi="宋体" w:cs="宋体"/>
                <w:bCs/>
                <w:color w:val="auto"/>
                <w:szCs w:val="21"/>
                <w:highlight w:val="none"/>
              </w:rPr>
              <w:t>2022.7.10</w:t>
            </w:r>
          </w:p>
        </w:tc>
        <w:tc>
          <w:tcPr>
            <w:tcW w:w="635" w:type="pct"/>
            <w:tcMar>
              <w:left w:w="11" w:type="dxa"/>
              <w:right w:w="11" w:type="dxa"/>
            </w:tcMar>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0.62</w:t>
            </w:r>
          </w:p>
        </w:tc>
        <w:tc>
          <w:tcPr>
            <w:tcW w:w="658" w:type="pct"/>
            <w:tcMar>
              <w:left w:w="11" w:type="dxa"/>
              <w:right w:w="11" w:type="dxa"/>
            </w:tcMar>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0.74</w:t>
            </w:r>
          </w:p>
        </w:tc>
        <w:tc>
          <w:tcPr>
            <w:tcW w:w="607" w:type="pct"/>
            <w:tcMar>
              <w:left w:w="11" w:type="dxa"/>
              <w:right w:w="11" w:type="dxa"/>
            </w:tcMar>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0.74</w:t>
            </w:r>
          </w:p>
        </w:tc>
        <w:tc>
          <w:tcPr>
            <w:tcW w:w="644" w:type="pct"/>
            <w:tcMar>
              <w:left w:w="11" w:type="dxa"/>
              <w:right w:w="11" w:type="dxa"/>
            </w:tcMar>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0.70</w:t>
            </w:r>
          </w:p>
        </w:tc>
        <w:tc>
          <w:tcPr>
            <w:tcW w:w="635" w:type="pct"/>
            <w:tcMar>
              <w:left w:w="11" w:type="dxa"/>
              <w:right w:w="11" w:type="dxa"/>
            </w:tcMar>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57" w:type="pct"/>
            <w:vMerge w:val="continue"/>
            <w:tcMar>
              <w:left w:w="11" w:type="dxa"/>
              <w:right w:w="11" w:type="dxa"/>
            </w:tcMar>
            <w:vAlign w:val="center"/>
          </w:tcPr>
          <w:p>
            <w:pPr>
              <w:spacing w:line="240" w:lineRule="exact"/>
              <w:ind w:left="-63" w:leftChars="-30" w:right="-63" w:rightChars="-30"/>
              <w:jc w:val="center"/>
              <w:rPr>
                <w:color w:val="auto"/>
                <w:szCs w:val="21"/>
                <w:highlight w:val="none"/>
              </w:rPr>
            </w:pPr>
          </w:p>
        </w:tc>
        <w:tc>
          <w:tcPr>
            <w:tcW w:w="1162" w:type="pct"/>
            <w:tcMar>
              <w:left w:w="11" w:type="dxa"/>
              <w:right w:w="11" w:type="dxa"/>
            </w:tcMar>
            <w:vAlign w:val="center"/>
          </w:tcPr>
          <w:p>
            <w:pPr>
              <w:widowControl/>
              <w:jc w:val="center"/>
              <w:textAlignment w:val="center"/>
              <w:rPr>
                <w:color w:val="auto"/>
                <w:highlight w:val="none"/>
              </w:rPr>
            </w:pPr>
            <w:r>
              <w:rPr>
                <w:rFonts w:hint="eastAsia" w:hAnsi="宋体" w:cs="宋体"/>
                <w:bCs/>
                <w:color w:val="auto"/>
                <w:szCs w:val="21"/>
                <w:highlight w:val="none"/>
              </w:rPr>
              <w:t>2022.7.11</w:t>
            </w:r>
          </w:p>
        </w:tc>
        <w:tc>
          <w:tcPr>
            <w:tcW w:w="635" w:type="pct"/>
            <w:tcMar>
              <w:left w:w="11" w:type="dxa"/>
              <w:right w:w="11" w:type="dxa"/>
            </w:tcMar>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0.66</w:t>
            </w:r>
          </w:p>
        </w:tc>
        <w:tc>
          <w:tcPr>
            <w:tcW w:w="658" w:type="pct"/>
            <w:tcMar>
              <w:left w:w="11" w:type="dxa"/>
              <w:right w:w="11" w:type="dxa"/>
            </w:tcMar>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0.80</w:t>
            </w:r>
          </w:p>
        </w:tc>
        <w:tc>
          <w:tcPr>
            <w:tcW w:w="607" w:type="pct"/>
            <w:tcMar>
              <w:left w:w="11" w:type="dxa"/>
              <w:right w:w="11" w:type="dxa"/>
            </w:tcMar>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0.83</w:t>
            </w:r>
          </w:p>
        </w:tc>
        <w:tc>
          <w:tcPr>
            <w:tcW w:w="644" w:type="pct"/>
            <w:tcMar>
              <w:left w:w="11" w:type="dxa"/>
              <w:right w:w="11" w:type="dxa"/>
            </w:tcMar>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0.63</w:t>
            </w:r>
          </w:p>
        </w:tc>
        <w:tc>
          <w:tcPr>
            <w:tcW w:w="635" w:type="pct"/>
            <w:tcMar>
              <w:left w:w="11" w:type="dxa"/>
              <w:right w:w="11" w:type="dxa"/>
            </w:tcMar>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57" w:type="pct"/>
            <w:vMerge w:val="continue"/>
            <w:tcMar>
              <w:left w:w="11" w:type="dxa"/>
              <w:right w:w="11" w:type="dxa"/>
            </w:tcMar>
            <w:vAlign w:val="center"/>
          </w:tcPr>
          <w:p>
            <w:pPr>
              <w:spacing w:line="240" w:lineRule="exact"/>
              <w:ind w:left="-63" w:leftChars="-30" w:right="-63" w:rightChars="-30"/>
              <w:jc w:val="center"/>
              <w:rPr>
                <w:color w:val="auto"/>
                <w:szCs w:val="21"/>
                <w:highlight w:val="none"/>
              </w:rPr>
            </w:pPr>
          </w:p>
        </w:tc>
        <w:tc>
          <w:tcPr>
            <w:tcW w:w="1162" w:type="pct"/>
            <w:tcMar>
              <w:left w:w="11" w:type="dxa"/>
              <w:right w:w="11" w:type="dxa"/>
            </w:tcMar>
            <w:vAlign w:val="center"/>
          </w:tcPr>
          <w:p>
            <w:pPr>
              <w:spacing w:line="320" w:lineRule="exact"/>
              <w:jc w:val="center"/>
              <w:rPr>
                <w:color w:val="auto"/>
                <w:highlight w:val="none"/>
              </w:rPr>
            </w:pPr>
            <w:r>
              <w:rPr>
                <w:rFonts w:hint="eastAsia" w:hAnsi="宋体" w:cs="宋体"/>
                <w:bCs/>
                <w:color w:val="auto"/>
                <w:szCs w:val="21"/>
                <w:highlight w:val="none"/>
              </w:rPr>
              <w:t>2022.7.12</w:t>
            </w:r>
          </w:p>
        </w:tc>
        <w:tc>
          <w:tcPr>
            <w:tcW w:w="635" w:type="pct"/>
            <w:tcMar>
              <w:left w:w="11" w:type="dxa"/>
              <w:right w:w="11" w:type="dxa"/>
            </w:tcMar>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0.61</w:t>
            </w:r>
          </w:p>
        </w:tc>
        <w:tc>
          <w:tcPr>
            <w:tcW w:w="658" w:type="pct"/>
            <w:tcMar>
              <w:left w:w="11" w:type="dxa"/>
              <w:right w:w="11" w:type="dxa"/>
            </w:tcMar>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0.71</w:t>
            </w:r>
          </w:p>
        </w:tc>
        <w:tc>
          <w:tcPr>
            <w:tcW w:w="607" w:type="pct"/>
            <w:tcMar>
              <w:left w:w="11" w:type="dxa"/>
              <w:right w:w="11" w:type="dxa"/>
            </w:tcMar>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0.71</w:t>
            </w:r>
          </w:p>
        </w:tc>
        <w:tc>
          <w:tcPr>
            <w:tcW w:w="644" w:type="pct"/>
            <w:tcMar>
              <w:left w:w="11" w:type="dxa"/>
              <w:right w:w="11" w:type="dxa"/>
            </w:tcMar>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0.63</w:t>
            </w:r>
          </w:p>
        </w:tc>
        <w:tc>
          <w:tcPr>
            <w:tcW w:w="635" w:type="pct"/>
            <w:tcMar>
              <w:left w:w="11" w:type="dxa"/>
              <w:right w:w="11" w:type="dxa"/>
            </w:tcMar>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57" w:type="pct"/>
            <w:vMerge w:val="continue"/>
            <w:tcMar>
              <w:left w:w="11" w:type="dxa"/>
              <w:right w:w="11" w:type="dxa"/>
            </w:tcMar>
            <w:vAlign w:val="center"/>
          </w:tcPr>
          <w:p>
            <w:pPr>
              <w:spacing w:line="240" w:lineRule="exact"/>
              <w:ind w:left="-63" w:leftChars="-30" w:right="-63" w:rightChars="-30"/>
              <w:jc w:val="center"/>
              <w:rPr>
                <w:color w:val="auto"/>
                <w:szCs w:val="21"/>
                <w:highlight w:val="none"/>
              </w:rPr>
            </w:pPr>
          </w:p>
        </w:tc>
        <w:tc>
          <w:tcPr>
            <w:tcW w:w="1162" w:type="pct"/>
            <w:tcMar>
              <w:left w:w="11" w:type="dxa"/>
              <w:right w:w="11" w:type="dxa"/>
            </w:tcMar>
            <w:vAlign w:val="center"/>
          </w:tcPr>
          <w:p>
            <w:pPr>
              <w:widowControl/>
              <w:jc w:val="center"/>
              <w:textAlignment w:val="center"/>
              <w:rPr>
                <w:color w:val="auto"/>
                <w:highlight w:val="none"/>
              </w:rPr>
            </w:pPr>
            <w:r>
              <w:rPr>
                <w:rFonts w:hint="eastAsia" w:hAnsi="宋体" w:cs="宋体"/>
                <w:bCs/>
                <w:color w:val="auto"/>
                <w:szCs w:val="21"/>
                <w:highlight w:val="none"/>
              </w:rPr>
              <w:t>2022.7.13</w:t>
            </w:r>
          </w:p>
        </w:tc>
        <w:tc>
          <w:tcPr>
            <w:tcW w:w="635" w:type="pct"/>
            <w:tcMar>
              <w:left w:w="11" w:type="dxa"/>
              <w:right w:w="11" w:type="dxa"/>
            </w:tcMar>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0.59</w:t>
            </w:r>
          </w:p>
        </w:tc>
        <w:tc>
          <w:tcPr>
            <w:tcW w:w="658" w:type="pct"/>
            <w:tcMar>
              <w:left w:w="11" w:type="dxa"/>
              <w:right w:w="11" w:type="dxa"/>
            </w:tcMar>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0.69</w:t>
            </w:r>
          </w:p>
        </w:tc>
        <w:tc>
          <w:tcPr>
            <w:tcW w:w="607" w:type="pct"/>
            <w:tcMar>
              <w:left w:w="11" w:type="dxa"/>
              <w:right w:w="11" w:type="dxa"/>
            </w:tcMar>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0.74</w:t>
            </w:r>
          </w:p>
        </w:tc>
        <w:tc>
          <w:tcPr>
            <w:tcW w:w="644" w:type="pct"/>
            <w:tcMar>
              <w:left w:w="11" w:type="dxa"/>
              <w:right w:w="11" w:type="dxa"/>
            </w:tcMar>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0.66</w:t>
            </w:r>
          </w:p>
        </w:tc>
        <w:tc>
          <w:tcPr>
            <w:tcW w:w="635" w:type="pct"/>
            <w:tcMar>
              <w:left w:w="11" w:type="dxa"/>
              <w:right w:w="11" w:type="dxa"/>
            </w:tcMar>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57" w:type="pct"/>
            <w:vMerge w:val="continue"/>
            <w:tcMar>
              <w:left w:w="11" w:type="dxa"/>
              <w:right w:w="11" w:type="dxa"/>
            </w:tcMar>
            <w:vAlign w:val="center"/>
          </w:tcPr>
          <w:p>
            <w:pPr>
              <w:spacing w:line="240" w:lineRule="exact"/>
              <w:ind w:left="-63" w:leftChars="-30" w:right="-63" w:rightChars="-30"/>
              <w:jc w:val="center"/>
              <w:rPr>
                <w:color w:val="auto"/>
                <w:szCs w:val="21"/>
                <w:highlight w:val="none"/>
              </w:rPr>
            </w:pPr>
          </w:p>
        </w:tc>
        <w:tc>
          <w:tcPr>
            <w:tcW w:w="1162" w:type="pct"/>
            <w:tcMar>
              <w:left w:w="11" w:type="dxa"/>
              <w:right w:w="11" w:type="dxa"/>
            </w:tcMar>
            <w:vAlign w:val="center"/>
          </w:tcPr>
          <w:p>
            <w:pPr>
              <w:widowControl/>
              <w:jc w:val="center"/>
              <w:textAlignment w:val="center"/>
              <w:rPr>
                <w:color w:val="auto"/>
                <w:highlight w:val="none"/>
              </w:rPr>
            </w:pPr>
            <w:r>
              <w:rPr>
                <w:rFonts w:hint="eastAsia" w:hAnsi="宋体" w:cs="宋体"/>
                <w:bCs/>
                <w:color w:val="auto"/>
                <w:szCs w:val="21"/>
                <w:highlight w:val="none"/>
              </w:rPr>
              <w:t>2022.7.14</w:t>
            </w:r>
          </w:p>
        </w:tc>
        <w:tc>
          <w:tcPr>
            <w:tcW w:w="635" w:type="pct"/>
            <w:tcMar>
              <w:left w:w="11" w:type="dxa"/>
              <w:right w:w="11" w:type="dxa"/>
            </w:tcMar>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0.61</w:t>
            </w:r>
          </w:p>
        </w:tc>
        <w:tc>
          <w:tcPr>
            <w:tcW w:w="658" w:type="pct"/>
            <w:tcMar>
              <w:left w:w="11" w:type="dxa"/>
              <w:right w:w="11" w:type="dxa"/>
            </w:tcMar>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0.73</w:t>
            </w:r>
          </w:p>
        </w:tc>
        <w:tc>
          <w:tcPr>
            <w:tcW w:w="607" w:type="pct"/>
            <w:tcMar>
              <w:left w:w="11" w:type="dxa"/>
              <w:right w:w="11" w:type="dxa"/>
            </w:tcMar>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0.76</w:t>
            </w:r>
          </w:p>
        </w:tc>
        <w:tc>
          <w:tcPr>
            <w:tcW w:w="644" w:type="pct"/>
            <w:tcMar>
              <w:left w:w="11" w:type="dxa"/>
              <w:right w:w="11" w:type="dxa"/>
            </w:tcMar>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0.72</w:t>
            </w:r>
          </w:p>
        </w:tc>
        <w:tc>
          <w:tcPr>
            <w:tcW w:w="635" w:type="pct"/>
            <w:tcMar>
              <w:left w:w="11" w:type="dxa"/>
              <w:right w:w="11" w:type="dxa"/>
            </w:tcMar>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57" w:type="pct"/>
            <w:vMerge w:val="continue"/>
            <w:tcMar>
              <w:left w:w="11" w:type="dxa"/>
              <w:right w:w="11" w:type="dxa"/>
            </w:tcMar>
            <w:vAlign w:val="center"/>
          </w:tcPr>
          <w:p>
            <w:pPr>
              <w:spacing w:line="240" w:lineRule="exact"/>
              <w:ind w:left="-63" w:leftChars="-30" w:right="-63" w:rightChars="-30"/>
              <w:jc w:val="center"/>
              <w:rPr>
                <w:color w:val="auto"/>
                <w:szCs w:val="21"/>
                <w:highlight w:val="none"/>
              </w:rPr>
            </w:pPr>
          </w:p>
        </w:tc>
        <w:tc>
          <w:tcPr>
            <w:tcW w:w="1162" w:type="pct"/>
            <w:tcMar>
              <w:left w:w="11" w:type="dxa"/>
              <w:right w:w="11" w:type="dxa"/>
            </w:tcMar>
            <w:vAlign w:val="center"/>
          </w:tcPr>
          <w:p>
            <w:pPr>
              <w:spacing w:line="320" w:lineRule="exact"/>
              <w:jc w:val="center"/>
              <w:rPr>
                <w:color w:val="auto"/>
                <w:highlight w:val="none"/>
              </w:rPr>
            </w:pPr>
            <w:r>
              <w:rPr>
                <w:rFonts w:hint="eastAsia" w:hAnsi="宋体" w:cs="宋体"/>
                <w:bCs/>
                <w:color w:val="auto"/>
                <w:szCs w:val="21"/>
                <w:highlight w:val="none"/>
              </w:rPr>
              <w:t>2022.7.15</w:t>
            </w:r>
          </w:p>
        </w:tc>
        <w:tc>
          <w:tcPr>
            <w:tcW w:w="635" w:type="pct"/>
            <w:tcMar>
              <w:left w:w="11" w:type="dxa"/>
              <w:right w:w="11" w:type="dxa"/>
            </w:tcMar>
            <w:vAlign w:val="center"/>
          </w:tcPr>
          <w:p>
            <w:pPr>
              <w:spacing w:line="320" w:lineRule="exact"/>
              <w:jc w:val="center"/>
              <w:rPr>
                <w:rFonts w:ascii="宋体" w:hAnsi="宋体" w:cs="宋体"/>
                <w:bCs/>
                <w:color w:val="auto"/>
                <w:szCs w:val="21"/>
                <w:highlight w:val="none"/>
              </w:rPr>
            </w:pPr>
            <w:r>
              <w:rPr>
                <w:rFonts w:hint="eastAsia" w:hAnsi="宋体" w:cs="宋体"/>
                <w:bCs/>
                <w:color w:val="auto"/>
                <w:szCs w:val="21"/>
                <w:highlight w:val="none"/>
              </w:rPr>
              <w:t>0.68</w:t>
            </w:r>
          </w:p>
        </w:tc>
        <w:tc>
          <w:tcPr>
            <w:tcW w:w="658" w:type="pct"/>
            <w:tcMar>
              <w:left w:w="11" w:type="dxa"/>
              <w:right w:w="11" w:type="dxa"/>
            </w:tcMar>
            <w:vAlign w:val="center"/>
          </w:tcPr>
          <w:p>
            <w:pPr>
              <w:spacing w:line="320" w:lineRule="exact"/>
              <w:jc w:val="center"/>
              <w:rPr>
                <w:rFonts w:ascii="宋体" w:hAnsi="宋体" w:cs="宋体"/>
                <w:bCs/>
                <w:color w:val="auto"/>
                <w:szCs w:val="21"/>
                <w:highlight w:val="none"/>
              </w:rPr>
            </w:pPr>
            <w:r>
              <w:rPr>
                <w:rFonts w:hint="eastAsia" w:hAnsi="宋体" w:cs="宋体"/>
                <w:bCs/>
                <w:color w:val="auto"/>
                <w:szCs w:val="21"/>
                <w:highlight w:val="none"/>
              </w:rPr>
              <w:t>0.74</w:t>
            </w:r>
          </w:p>
        </w:tc>
        <w:tc>
          <w:tcPr>
            <w:tcW w:w="607" w:type="pct"/>
            <w:tcMar>
              <w:left w:w="11" w:type="dxa"/>
              <w:right w:w="11" w:type="dxa"/>
            </w:tcMar>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0.77</w:t>
            </w:r>
          </w:p>
        </w:tc>
        <w:tc>
          <w:tcPr>
            <w:tcW w:w="644" w:type="pct"/>
            <w:tcMar>
              <w:left w:w="11" w:type="dxa"/>
              <w:right w:w="11" w:type="dxa"/>
            </w:tcMar>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w:t>
            </w:r>
          </w:p>
        </w:tc>
        <w:tc>
          <w:tcPr>
            <w:tcW w:w="635" w:type="pct"/>
            <w:tcMar>
              <w:left w:w="11" w:type="dxa"/>
              <w:right w:w="11" w:type="dxa"/>
            </w:tcMar>
            <w:vAlign w:val="center"/>
          </w:tcPr>
          <w:p>
            <w:pPr>
              <w:spacing w:line="320" w:lineRule="exact"/>
              <w:jc w:val="center"/>
              <w:rPr>
                <w:rFonts w:hAnsi="宋体" w:cs="宋体"/>
                <w:bCs/>
                <w:color w:val="auto"/>
                <w:szCs w:val="21"/>
                <w:highlight w:val="none"/>
              </w:rPr>
            </w:pPr>
            <w:r>
              <w:rPr>
                <w:rFonts w:hint="eastAsia" w:hAnsi="宋体" w:cs="宋体"/>
                <w:bCs/>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57" w:type="pct"/>
            <w:vMerge w:val="restart"/>
            <w:tcMar>
              <w:left w:w="11" w:type="dxa"/>
              <w:right w:w="11" w:type="dxa"/>
            </w:tcMar>
            <w:vAlign w:val="center"/>
          </w:tcPr>
          <w:p>
            <w:pPr>
              <w:spacing w:line="240" w:lineRule="exact"/>
              <w:ind w:left="-63" w:leftChars="-30" w:right="-63" w:rightChars="-30"/>
              <w:jc w:val="center"/>
              <w:rPr>
                <w:color w:val="auto"/>
                <w:szCs w:val="21"/>
                <w:highlight w:val="none"/>
              </w:rPr>
            </w:pPr>
            <w:r>
              <w:rPr>
                <w:rFonts w:hint="eastAsia"/>
                <w:color w:val="auto"/>
                <w:szCs w:val="21"/>
                <w:highlight w:val="none"/>
              </w:rPr>
              <w:t>TSP</w:t>
            </w:r>
          </w:p>
        </w:tc>
        <w:tc>
          <w:tcPr>
            <w:tcW w:w="1162" w:type="pct"/>
            <w:tcMar>
              <w:left w:w="11" w:type="dxa"/>
              <w:right w:w="11" w:type="dxa"/>
            </w:tcMar>
            <w:vAlign w:val="center"/>
          </w:tcPr>
          <w:p>
            <w:pPr>
              <w:spacing w:line="320" w:lineRule="exact"/>
              <w:jc w:val="center"/>
              <w:rPr>
                <w:color w:val="auto"/>
                <w:highlight w:val="none"/>
              </w:rPr>
            </w:pPr>
            <w:r>
              <w:rPr>
                <w:rFonts w:hint="eastAsia" w:hAnsi="宋体" w:cs="宋体"/>
                <w:bCs/>
                <w:color w:val="auto"/>
                <w:szCs w:val="21"/>
                <w:highlight w:val="none"/>
              </w:rPr>
              <w:t>2022.7.8</w:t>
            </w:r>
          </w:p>
        </w:tc>
        <w:tc>
          <w:tcPr>
            <w:tcW w:w="2545" w:type="pct"/>
            <w:gridSpan w:val="4"/>
            <w:tcMar>
              <w:left w:w="11" w:type="dxa"/>
              <w:right w:w="11" w:type="dxa"/>
            </w:tcMar>
            <w:vAlign w:val="center"/>
          </w:tcPr>
          <w:p>
            <w:pPr>
              <w:jc w:val="center"/>
              <w:rPr>
                <w:color w:val="auto"/>
                <w:highlight w:val="none"/>
              </w:rPr>
            </w:pPr>
            <w:r>
              <w:rPr>
                <w:rFonts w:hint="eastAsia"/>
                <w:color w:val="auto"/>
                <w:highlight w:val="none"/>
              </w:rPr>
              <w:t>/</w:t>
            </w:r>
          </w:p>
        </w:tc>
        <w:tc>
          <w:tcPr>
            <w:tcW w:w="635" w:type="pct"/>
            <w:tcMar>
              <w:left w:w="11" w:type="dxa"/>
              <w:right w:w="11" w:type="dxa"/>
            </w:tcMar>
            <w:vAlign w:val="center"/>
          </w:tcPr>
          <w:p>
            <w:pPr>
              <w:jc w:val="center"/>
              <w:rPr>
                <w:color w:val="auto"/>
                <w:highlight w:val="none"/>
              </w:rPr>
            </w:pPr>
            <w:r>
              <w:rPr>
                <w:rFonts w:hint="eastAsia"/>
                <w:color w:val="auto"/>
                <w:highlight w:val="none"/>
              </w:rPr>
              <w:t>0</w:t>
            </w:r>
            <w:r>
              <w:rPr>
                <w:color w:val="auto"/>
                <w:highlight w:val="none"/>
              </w:rPr>
              <w:t>.</w:t>
            </w:r>
            <w:r>
              <w:rPr>
                <w:rFonts w:hint="eastAsia"/>
                <w:color w:val="auto"/>
                <w:highlight w:val="none"/>
              </w:rPr>
              <w:t>150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57" w:type="pct"/>
            <w:vMerge w:val="continue"/>
            <w:tcMar>
              <w:left w:w="11" w:type="dxa"/>
              <w:right w:w="11" w:type="dxa"/>
            </w:tcMar>
            <w:vAlign w:val="center"/>
          </w:tcPr>
          <w:p>
            <w:pPr>
              <w:spacing w:line="240" w:lineRule="exact"/>
              <w:ind w:left="-63" w:leftChars="-30" w:right="-63" w:rightChars="-30"/>
              <w:jc w:val="center"/>
              <w:rPr>
                <w:color w:val="auto"/>
                <w:szCs w:val="21"/>
                <w:highlight w:val="none"/>
              </w:rPr>
            </w:pPr>
          </w:p>
        </w:tc>
        <w:tc>
          <w:tcPr>
            <w:tcW w:w="1162" w:type="pct"/>
            <w:tcMar>
              <w:left w:w="11" w:type="dxa"/>
              <w:right w:w="11" w:type="dxa"/>
            </w:tcMar>
            <w:vAlign w:val="center"/>
          </w:tcPr>
          <w:p>
            <w:pPr>
              <w:widowControl/>
              <w:jc w:val="center"/>
              <w:textAlignment w:val="center"/>
              <w:rPr>
                <w:color w:val="auto"/>
                <w:highlight w:val="none"/>
              </w:rPr>
            </w:pPr>
            <w:r>
              <w:rPr>
                <w:rFonts w:hint="eastAsia" w:hAnsi="宋体" w:cs="宋体"/>
                <w:bCs/>
                <w:color w:val="auto"/>
                <w:szCs w:val="21"/>
                <w:highlight w:val="none"/>
              </w:rPr>
              <w:t>2022.7.9</w:t>
            </w:r>
          </w:p>
        </w:tc>
        <w:tc>
          <w:tcPr>
            <w:tcW w:w="2545" w:type="pct"/>
            <w:gridSpan w:val="4"/>
            <w:tcMar>
              <w:left w:w="11" w:type="dxa"/>
              <w:right w:w="11" w:type="dxa"/>
            </w:tcMar>
            <w:vAlign w:val="center"/>
          </w:tcPr>
          <w:p>
            <w:pPr>
              <w:jc w:val="center"/>
              <w:rPr>
                <w:color w:val="auto"/>
                <w:highlight w:val="none"/>
              </w:rPr>
            </w:pPr>
            <w:r>
              <w:rPr>
                <w:rFonts w:hint="eastAsia"/>
                <w:color w:val="auto"/>
                <w:highlight w:val="none"/>
              </w:rPr>
              <w:t>/</w:t>
            </w:r>
          </w:p>
        </w:tc>
        <w:tc>
          <w:tcPr>
            <w:tcW w:w="635" w:type="pct"/>
            <w:tcMar>
              <w:left w:w="11" w:type="dxa"/>
              <w:right w:w="11" w:type="dxa"/>
            </w:tcMar>
            <w:vAlign w:val="center"/>
          </w:tcPr>
          <w:p>
            <w:pPr>
              <w:jc w:val="center"/>
              <w:rPr>
                <w:color w:val="auto"/>
                <w:highlight w:val="none"/>
              </w:rPr>
            </w:pPr>
            <w:r>
              <w:rPr>
                <w:rFonts w:hint="eastAsia"/>
                <w:color w:val="auto"/>
                <w:highlight w:val="none"/>
              </w:rPr>
              <w:t>0</w:t>
            </w:r>
            <w:r>
              <w:rPr>
                <w:color w:val="auto"/>
                <w:highlight w:val="none"/>
              </w:rPr>
              <w:t>.</w:t>
            </w:r>
            <w:r>
              <w:rPr>
                <w:rFonts w:hint="eastAsia"/>
                <w:color w:val="auto"/>
                <w:highlight w:val="none"/>
              </w:rPr>
              <w:t>187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57" w:type="pct"/>
            <w:vMerge w:val="continue"/>
            <w:tcMar>
              <w:left w:w="11" w:type="dxa"/>
              <w:right w:w="11" w:type="dxa"/>
            </w:tcMar>
            <w:vAlign w:val="center"/>
          </w:tcPr>
          <w:p>
            <w:pPr>
              <w:spacing w:line="240" w:lineRule="exact"/>
              <w:ind w:left="-63" w:leftChars="-30" w:right="-63" w:rightChars="-30"/>
              <w:jc w:val="center"/>
              <w:rPr>
                <w:color w:val="auto"/>
                <w:szCs w:val="21"/>
                <w:highlight w:val="none"/>
              </w:rPr>
            </w:pPr>
          </w:p>
        </w:tc>
        <w:tc>
          <w:tcPr>
            <w:tcW w:w="1162" w:type="pct"/>
            <w:tcMar>
              <w:left w:w="11" w:type="dxa"/>
              <w:right w:w="11" w:type="dxa"/>
            </w:tcMar>
            <w:vAlign w:val="center"/>
          </w:tcPr>
          <w:p>
            <w:pPr>
              <w:widowControl/>
              <w:jc w:val="center"/>
              <w:textAlignment w:val="center"/>
              <w:rPr>
                <w:color w:val="auto"/>
                <w:highlight w:val="none"/>
              </w:rPr>
            </w:pPr>
            <w:r>
              <w:rPr>
                <w:rFonts w:hint="eastAsia" w:hAnsi="宋体" w:cs="宋体"/>
                <w:bCs/>
                <w:color w:val="auto"/>
                <w:szCs w:val="21"/>
                <w:highlight w:val="none"/>
              </w:rPr>
              <w:t>2022.7.10</w:t>
            </w:r>
          </w:p>
        </w:tc>
        <w:tc>
          <w:tcPr>
            <w:tcW w:w="2545" w:type="pct"/>
            <w:gridSpan w:val="4"/>
            <w:tcMar>
              <w:left w:w="11" w:type="dxa"/>
              <w:right w:w="11" w:type="dxa"/>
            </w:tcMar>
            <w:vAlign w:val="center"/>
          </w:tcPr>
          <w:p>
            <w:pPr>
              <w:jc w:val="center"/>
              <w:rPr>
                <w:color w:val="auto"/>
                <w:highlight w:val="none"/>
              </w:rPr>
            </w:pPr>
            <w:r>
              <w:rPr>
                <w:rFonts w:hint="eastAsia"/>
                <w:color w:val="auto"/>
                <w:highlight w:val="none"/>
              </w:rPr>
              <w:t>/</w:t>
            </w:r>
          </w:p>
        </w:tc>
        <w:tc>
          <w:tcPr>
            <w:tcW w:w="635" w:type="pct"/>
            <w:tcMar>
              <w:left w:w="11" w:type="dxa"/>
              <w:right w:w="11" w:type="dxa"/>
            </w:tcMar>
            <w:vAlign w:val="center"/>
          </w:tcPr>
          <w:p>
            <w:pPr>
              <w:jc w:val="center"/>
              <w:rPr>
                <w:color w:val="auto"/>
                <w:highlight w:val="none"/>
              </w:rPr>
            </w:pPr>
            <w:r>
              <w:rPr>
                <w:rFonts w:hint="eastAsia"/>
                <w:color w:val="auto"/>
                <w:highlight w:val="none"/>
              </w:rPr>
              <w:t>0</w:t>
            </w:r>
            <w:r>
              <w:rPr>
                <w:color w:val="auto"/>
                <w:highlight w:val="none"/>
              </w:rPr>
              <w:t>.</w:t>
            </w:r>
            <w:r>
              <w:rPr>
                <w:rFonts w:hint="eastAsia"/>
                <w:color w:val="auto"/>
                <w:highlight w:val="none"/>
              </w:rPr>
              <w:t>238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57" w:type="pct"/>
            <w:vMerge w:val="continue"/>
            <w:tcMar>
              <w:left w:w="11" w:type="dxa"/>
              <w:right w:w="11" w:type="dxa"/>
            </w:tcMar>
            <w:vAlign w:val="center"/>
          </w:tcPr>
          <w:p>
            <w:pPr>
              <w:spacing w:line="240" w:lineRule="exact"/>
              <w:ind w:left="-63" w:leftChars="-30" w:right="-63" w:rightChars="-30"/>
              <w:jc w:val="center"/>
              <w:rPr>
                <w:color w:val="auto"/>
                <w:szCs w:val="21"/>
                <w:highlight w:val="none"/>
              </w:rPr>
            </w:pPr>
          </w:p>
        </w:tc>
        <w:tc>
          <w:tcPr>
            <w:tcW w:w="1162" w:type="pct"/>
            <w:tcMar>
              <w:left w:w="11" w:type="dxa"/>
              <w:right w:w="11" w:type="dxa"/>
            </w:tcMar>
            <w:vAlign w:val="center"/>
          </w:tcPr>
          <w:p>
            <w:pPr>
              <w:widowControl/>
              <w:jc w:val="center"/>
              <w:textAlignment w:val="center"/>
              <w:rPr>
                <w:color w:val="auto"/>
                <w:highlight w:val="none"/>
              </w:rPr>
            </w:pPr>
            <w:r>
              <w:rPr>
                <w:rFonts w:hint="eastAsia" w:hAnsi="宋体" w:cs="宋体"/>
                <w:bCs/>
                <w:color w:val="auto"/>
                <w:szCs w:val="21"/>
                <w:highlight w:val="none"/>
              </w:rPr>
              <w:t>2022.7.11</w:t>
            </w:r>
          </w:p>
        </w:tc>
        <w:tc>
          <w:tcPr>
            <w:tcW w:w="2545" w:type="pct"/>
            <w:gridSpan w:val="4"/>
            <w:tcMar>
              <w:left w:w="11" w:type="dxa"/>
              <w:right w:w="11" w:type="dxa"/>
            </w:tcMar>
            <w:vAlign w:val="center"/>
          </w:tcPr>
          <w:p>
            <w:pPr>
              <w:jc w:val="center"/>
              <w:rPr>
                <w:color w:val="auto"/>
                <w:highlight w:val="none"/>
              </w:rPr>
            </w:pPr>
            <w:r>
              <w:rPr>
                <w:rFonts w:hint="eastAsia"/>
                <w:color w:val="auto"/>
                <w:highlight w:val="none"/>
              </w:rPr>
              <w:t>/</w:t>
            </w:r>
          </w:p>
        </w:tc>
        <w:tc>
          <w:tcPr>
            <w:tcW w:w="635" w:type="pct"/>
            <w:tcMar>
              <w:left w:w="11" w:type="dxa"/>
              <w:right w:w="11" w:type="dxa"/>
            </w:tcMar>
            <w:vAlign w:val="center"/>
          </w:tcPr>
          <w:p>
            <w:pPr>
              <w:jc w:val="center"/>
              <w:rPr>
                <w:color w:val="auto"/>
                <w:highlight w:val="none"/>
              </w:rPr>
            </w:pPr>
            <w:r>
              <w:rPr>
                <w:rFonts w:hint="eastAsia"/>
                <w:color w:val="auto"/>
                <w:highlight w:val="none"/>
              </w:rPr>
              <w:t>0</w:t>
            </w:r>
            <w:r>
              <w:rPr>
                <w:color w:val="auto"/>
                <w:highlight w:val="none"/>
              </w:rPr>
              <w:t>.2</w:t>
            </w:r>
            <w:r>
              <w:rPr>
                <w:rFonts w:hint="eastAsia"/>
                <w:color w:val="auto"/>
                <w:highlight w:val="none"/>
              </w:rPr>
              <w:t>18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57" w:type="pct"/>
            <w:vMerge w:val="continue"/>
            <w:tcMar>
              <w:left w:w="11" w:type="dxa"/>
              <w:right w:w="11" w:type="dxa"/>
            </w:tcMar>
            <w:vAlign w:val="center"/>
          </w:tcPr>
          <w:p>
            <w:pPr>
              <w:spacing w:line="240" w:lineRule="exact"/>
              <w:ind w:left="-63" w:leftChars="-30" w:right="-63" w:rightChars="-30"/>
              <w:jc w:val="center"/>
              <w:rPr>
                <w:color w:val="auto"/>
                <w:szCs w:val="21"/>
                <w:highlight w:val="none"/>
              </w:rPr>
            </w:pPr>
          </w:p>
        </w:tc>
        <w:tc>
          <w:tcPr>
            <w:tcW w:w="1162" w:type="pct"/>
            <w:tcMar>
              <w:left w:w="11" w:type="dxa"/>
              <w:right w:w="11" w:type="dxa"/>
            </w:tcMar>
            <w:vAlign w:val="center"/>
          </w:tcPr>
          <w:p>
            <w:pPr>
              <w:spacing w:line="320" w:lineRule="exact"/>
              <w:jc w:val="center"/>
              <w:rPr>
                <w:color w:val="auto"/>
                <w:highlight w:val="none"/>
              </w:rPr>
            </w:pPr>
            <w:r>
              <w:rPr>
                <w:rFonts w:hint="eastAsia" w:hAnsi="宋体" w:cs="宋体"/>
                <w:bCs/>
                <w:color w:val="auto"/>
                <w:szCs w:val="21"/>
                <w:highlight w:val="none"/>
              </w:rPr>
              <w:t>2022.7.12</w:t>
            </w:r>
          </w:p>
        </w:tc>
        <w:tc>
          <w:tcPr>
            <w:tcW w:w="2545" w:type="pct"/>
            <w:gridSpan w:val="4"/>
            <w:tcMar>
              <w:left w:w="11" w:type="dxa"/>
              <w:right w:w="11" w:type="dxa"/>
            </w:tcMar>
            <w:vAlign w:val="center"/>
          </w:tcPr>
          <w:p>
            <w:pPr>
              <w:jc w:val="center"/>
              <w:rPr>
                <w:color w:val="auto"/>
                <w:highlight w:val="none"/>
              </w:rPr>
            </w:pPr>
            <w:r>
              <w:rPr>
                <w:rFonts w:hint="eastAsia"/>
                <w:color w:val="auto"/>
                <w:highlight w:val="none"/>
              </w:rPr>
              <w:t>/</w:t>
            </w:r>
          </w:p>
        </w:tc>
        <w:tc>
          <w:tcPr>
            <w:tcW w:w="635" w:type="pct"/>
            <w:tcMar>
              <w:left w:w="11" w:type="dxa"/>
              <w:right w:w="11" w:type="dxa"/>
            </w:tcMar>
            <w:vAlign w:val="center"/>
          </w:tcPr>
          <w:p>
            <w:pPr>
              <w:jc w:val="center"/>
              <w:rPr>
                <w:color w:val="auto"/>
                <w:highlight w:val="none"/>
              </w:rPr>
            </w:pPr>
            <w:r>
              <w:rPr>
                <w:rFonts w:hint="eastAsia"/>
                <w:color w:val="auto"/>
                <w:highlight w:val="none"/>
              </w:rPr>
              <w:t>0</w:t>
            </w:r>
            <w:r>
              <w:rPr>
                <w:color w:val="auto"/>
                <w:highlight w:val="none"/>
              </w:rPr>
              <w:t>.2</w:t>
            </w:r>
            <w:r>
              <w:rPr>
                <w:rFonts w:hint="eastAsia"/>
                <w:color w:val="auto"/>
                <w:highlight w:val="none"/>
              </w:rPr>
              <w:t>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57" w:type="pct"/>
            <w:vMerge w:val="continue"/>
            <w:tcMar>
              <w:left w:w="11" w:type="dxa"/>
              <w:right w:w="11" w:type="dxa"/>
            </w:tcMar>
            <w:vAlign w:val="center"/>
          </w:tcPr>
          <w:p>
            <w:pPr>
              <w:spacing w:line="240" w:lineRule="exact"/>
              <w:ind w:left="-63" w:leftChars="-30" w:right="-63" w:rightChars="-30"/>
              <w:jc w:val="center"/>
              <w:rPr>
                <w:color w:val="auto"/>
                <w:szCs w:val="21"/>
                <w:highlight w:val="none"/>
              </w:rPr>
            </w:pPr>
          </w:p>
        </w:tc>
        <w:tc>
          <w:tcPr>
            <w:tcW w:w="1162" w:type="pct"/>
            <w:tcMar>
              <w:left w:w="11" w:type="dxa"/>
              <w:right w:w="11" w:type="dxa"/>
            </w:tcMar>
            <w:vAlign w:val="center"/>
          </w:tcPr>
          <w:p>
            <w:pPr>
              <w:widowControl/>
              <w:jc w:val="center"/>
              <w:textAlignment w:val="center"/>
              <w:rPr>
                <w:color w:val="auto"/>
                <w:highlight w:val="none"/>
              </w:rPr>
            </w:pPr>
            <w:r>
              <w:rPr>
                <w:rFonts w:hint="eastAsia" w:hAnsi="宋体" w:cs="宋体"/>
                <w:bCs/>
                <w:color w:val="auto"/>
                <w:szCs w:val="21"/>
                <w:highlight w:val="none"/>
              </w:rPr>
              <w:t>2022.7.13</w:t>
            </w:r>
          </w:p>
        </w:tc>
        <w:tc>
          <w:tcPr>
            <w:tcW w:w="2545" w:type="pct"/>
            <w:gridSpan w:val="4"/>
            <w:tcMar>
              <w:left w:w="11" w:type="dxa"/>
              <w:right w:w="11" w:type="dxa"/>
            </w:tcMar>
            <w:vAlign w:val="center"/>
          </w:tcPr>
          <w:p>
            <w:pPr>
              <w:jc w:val="center"/>
              <w:rPr>
                <w:color w:val="auto"/>
                <w:highlight w:val="none"/>
              </w:rPr>
            </w:pPr>
            <w:r>
              <w:rPr>
                <w:rFonts w:hint="eastAsia"/>
                <w:color w:val="auto"/>
                <w:highlight w:val="none"/>
              </w:rPr>
              <w:t>/</w:t>
            </w:r>
          </w:p>
        </w:tc>
        <w:tc>
          <w:tcPr>
            <w:tcW w:w="635" w:type="pct"/>
            <w:tcMar>
              <w:left w:w="11" w:type="dxa"/>
              <w:right w:w="11" w:type="dxa"/>
            </w:tcMar>
            <w:vAlign w:val="center"/>
          </w:tcPr>
          <w:p>
            <w:pPr>
              <w:jc w:val="center"/>
              <w:rPr>
                <w:color w:val="auto"/>
                <w:highlight w:val="none"/>
              </w:rPr>
            </w:pPr>
            <w:r>
              <w:rPr>
                <w:rFonts w:hint="eastAsia"/>
                <w:color w:val="auto"/>
                <w:highlight w:val="none"/>
              </w:rPr>
              <w:t>0</w:t>
            </w:r>
            <w:r>
              <w:rPr>
                <w:color w:val="auto"/>
                <w:highlight w:val="none"/>
              </w:rPr>
              <w:t>.</w:t>
            </w:r>
            <w:r>
              <w:rPr>
                <w:rFonts w:hint="eastAsia"/>
                <w:color w:val="auto"/>
                <w:highlight w:val="none"/>
              </w:rPr>
              <w:t>248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57" w:type="pct"/>
            <w:vMerge w:val="continue"/>
            <w:tcMar>
              <w:left w:w="11" w:type="dxa"/>
              <w:right w:w="11" w:type="dxa"/>
            </w:tcMar>
            <w:vAlign w:val="center"/>
          </w:tcPr>
          <w:p>
            <w:pPr>
              <w:spacing w:line="240" w:lineRule="exact"/>
              <w:ind w:left="-63" w:leftChars="-30" w:right="-63" w:rightChars="-30"/>
              <w:jc w:val="center"/>
              <w:rPr>
                <w:color w:val="auto"/>
                <w:szCs w:val="21"/>
                <w:highlight w:val="none"/>
              </w:rPr>
            </w:pPr>
          </w:p>
        </w:tc>
        <w:tc>
          <w:tcPr>
            <w:tcW w:w="1162" w:type="pct"/>
            <w:tcMar>
              <w:left w:w="11" w:type="dxa"/>
              <w:right w:w="11" w:type="dxa"/>
            </w:tcMar>
            <w:vAlign w:val="center"/>
          </w:tcPr>
          <w:p>
            <w:pPr>
              <w:widowControl/>
              <w:jc w:val="center"/>
              <w:textAlignment w:val="center"/>
              <w:rPr>
                <w:color w:val="auto"/>
                <w:highlight w:val="none"/>
              </w:rPr>
            </w:pPr>
            <w:r>
              <w:rPr>
                <w:rFonts w:hint="eastAsia" w:hAnsi="宋体" w:cs="宋体"/>
                <w:bCs/>
                <w:color w:val="auto"/>
                <w:szCs w:val="21"/>
                <w:highlight w:val="none"/>
              </w:rPr>
              <w:t>2022.7.14</w:t>
            </w:r>
          </w:p>
        </w:tc>
        <w:tc>
          <w:tcPr>
            <w:tcW w:w="2545" w:type="pct"/>
            <w:gridSpan w:val="4"/>
            <w:tcMar>
              <w:left w:w="11" w:type="dxa"/>
              <w:right w:w="11" w:type="dxa"/>
            </w:tcMar>
            <w:vAlign w:val="center"/>
          </w:tcPr>
          <w:p>
            <w:pPr>
              <w:jc w:val="center"/>
              <w:rPr>
                <w:color w:val="auto"/>
                <w:highlight w:val="none"/>
              </w:rPr>
            </w:pPr>
            <w:r>
              <w:rPr>
                <w:rFonts w:hint="eastAsia"/>
                <w:color w:val="auto"/>
                <w:highlight w:val="none"/>
              </w:rPr>
              <w:t>/</w:t>
            </w:r>
          </w:p>
        </w:tc>
        <w:tc>
          <w:tcPr>
            <w:tcW w:w="635" w:type="pct"/>
            <w:tcMar>
              <w:left w:w="11" w:type="dxa"/>
              <w:right w:w="11" w:type="dxa"/>
            </w:tcMar>
            <w:vAlign w:val="center"/>
          </w:tcPr>
          <w:p>
            <w:pPr>
              <w:jc w:val="center"/>
              <w:rPr>
                <w:color w:val="auto"/>
                <w:highlight w:val="none"/>
              </w:rPr>
            </w:pPr>
            <w:r>
              <w:rPr>
                <w:rFonts w:hint="eastAsia"/>
                <w:color w:val="auto"/>
                <w:highlight w:val="none"/>
              </w:rPr>
              <w:t>0</w:t>
            </w:r>
            <w:r>
              <w:rPr>
                <w:color w:val="auto"/>
                <w:highlight w:val="none"/>
              </w:rPr>
              <w:t>.1</w:t>
            </w:r>
            <w:r>
              <w:rPr>
                <w:rFonts w:hint="eastAsia"/>
                <w:color w:val="auto"/>
                <w:highlight w:val="none"/>
              </w:rPr>
              <w:t>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57" w:type="pct"/>
            <w:vMerge w:val="restart"/>
            <w:tcMar>
              <w:left w:w="11" w:type="dxa"/>
              <w:right w:w="11" w:type="dxa"/>
            </w:tcMar>
            <w:vAlign w:val="center"/>
          </w:tcPr>
          <w:p>
            <w:pPr>
              <w:spacing w:line="240" w:lineRule="exact"/>
              <w:ind w:left="-63" w:leftChars="-30" w:right="-63" w:rightChars="-30"/>
              <w:jc w:val="center"/>
              <w:rPr>
                <w:rFonts w:hint="default" w:eastAsia="宋体"/>
                <w:color w:val="auto"/>
                <w:szCs w:val="21"/>
                <w:highlight w:val="none"/>
                <w:lang w:val="en-US" w:eastAsia="zh-CN"/>
              </w:rPr>
            </w:pPr>
            <w:r>
              <w:rPr>
                <w:rFonts w:hint="eastAsia"/>
                <w:color w:val="auto"/>
                <w:szCs w:val="21"/>
                <w:highlight w:val="none"/>
                <w:lang w:val="en-US" w:eastAsia="zh-CN"/>
              </w:rPr>
              <w:t>臭气浓度</w:t>
            </w:r>
          </w:p>
        </w:tc>
        <w:tc>
          <w:tcPr>
            <w:tcW w:w="1162" w:type="pct"/>
            <w:tcMar>
              <w:left w:w="11" w:type="dxa"/>
              <w:right w:w="11" w:type="dxa"/>
            </w:tcMar>
            <w:vAlign w:val="center"/>
          </w:tcPr>
          <w:p>
            <w:pPr>
              <w:keepNext w:val="0"/>
              <w:keepLines w:val="0"/>
              <w:widowControl/>
              <w:suppressLineNumbers w:val="0"/>
              <w:jc w:val="center"/>
              <w:textAlignment w:val="center"/>
              <w:rPr>
                <w:rFonts w:hint="eastAsia" w:hAnsi="宋体" w:cs="宋体"/>
                <w:bCs/>
                <w:color w:val="auto"/>
                <w:szCs w:val="21"/>
                <w:highlight w:val="none"/>
              </w:rPr>
            </w:pPr>
            <w:r>
              <w:rPr>
                <w:rFonts w:hint="eastAsia" w:hAnsi="宋体" w:eastAsia="宋体" w:cs="宋体"/>
                <w:bCs/>
                <w:color w:val="auto"/>
                <w:sz w:val="21"/>
                <w:szCs w:val="21"/>
                <w:lang w:val="en-US" w:eastAsia="zh-CN"/>
              </w:rPr>
              <w:t>2022.12.2</w:t>
            </w:r>
          </w:p>
        </w:tc>
        <w:tc>
          <w:tcPr>
            <w:tcW w:w="635" w:type="pct"/>
            <w:tcMar>
              <w:left w:w="11" w:type="dxa"/>
              <w:right w:w="11" w:type="dxa"/>
            </w:tcMar>
            <w:vAlign w:val="center"/>
          </w:tcPr>
          <w:p>
            <w:pPr>
              <w:spacing w:line="320" w:lineRule="exact"/>
              <w:jc w:val="center"/>
              <w:rPr>
                <w:rFonts w:hint="eastAsia"/>
                <w:color w:val="auto"/>
                <w:highlight w:val="none"/>
              </w:rPr>
            </w:pPr>
            <w:r>
              <w:rPr>
                <w:rFonts w:hint="eastAsia" w:hAnsi="宋体" w:cs="宋体"/>
                <w:color w:val="auto"/>
                <w:sz w:val="21"/>
                <w:szCs w:val="21"/>
                <w:lang w:val="en-US" w:eastAsia="zh-CN"/>
              </w:rPr>
              <w:t>/</w:t>
            </w:r>
          </w:p>
        </w:tc>
        <w:tc>
          <w:tcPr>
            <w:tcW w:w="658" w:type="pct"/>
            <w:tcMar>
              <w:left w:w="11" w:type="dxa"/>
              <w:right w:w="11" w:type="dxa"/>
            </w:tcMar>
            <w:vAlign w:val="center"/>
          </w:tcPr>
          <w:p>
            <w:pPr>
              <w:spacing w:line="320" w:lineRule="exact"/>
              <w:jc w:val="center"/>
              <w:rPr>
                <w:rFonts w:hint="eastAsia"/>
                <w:color w:val="auto"/>
                <w:highlight w:val="none"/>
              </w:rPr>
            </w:pPr>
            <w:r>
              <w:rPr>
                <w:rFonts w:hint="eastAsia" w:hAnsi="宋体" w:cs="宋体"/>
                <w:color w:val="auto"/>
                <w:sz w:val="21"/>
                <w:szCs w:val="21"/>
                <w:lang w:val="en-US" w:eastAsia="zh-CN"/>
              </w:rPr>
              <w:t>/</w:t>
            </w:r>
          </w:p>
        </w:tc>
        <w:tc>
          <w:tcPr>
            <w:tcW w:w="607" w:type="pct"/>
            <w:tcMar>
              <w:left w:w="11" w:type="dxa"/>
              <w:right w:w="11" w:type="dxa"/>
            </w:tcMar>
            <w:vAlign w:val="center"/>
          </w:tcPr>
          <w:p>
            <w:pPr>
              <w:spacing w:line="320" w:lineRule="exact"/>
              <w:jc w:val="center"/>
              <w:rPr>
                <w:rFonts w:hint="eastAsia"/>
                <w:color w:val="auto"/>
                <w:highlight w:val="none"/>
              </w:rPr>
            </w:pPr>
            <w:r>
              <w:rPr>
                <w:rFonts w:hint="eastAsia" w:hAnsi="宋体" w:cs="宋体"/>
                <w:color w:val="auto"/>
                <w:sz w:val="21"/>
                <w:szCs w:val="21"/>
                <w:lang w:val="en-US" w:eastAsia="zh-CN"/>
              </w:rPr>
              <w:t>＜10</w:t>
            </w:r>
          </w:p>
        </w:tc>
        <w:tc>
          <w:tcPr>
            <w:tcW w:w="644" w:type="pct"/>
            <w:tcMar>
              <w:left w:w="11" w:type="dxa"/>
              <w:right w:w="11" w:type="dxa"/>
            </w:tcMar>
            <w:vAlign w:val="center"/>
          </w:tcPr>
          <w:p>
            <w:pPr>
              <w:spacing w:line="320" w:lineRule="exact"/>
              <w:jc w:val="center"/>
              <w:rPr>
                <w:rFonts w:hint="eastAsia"/>
                <w:color w:val="auto"/>
                <w:highlight w:val="none"/>
              </w:rPr>
            </w:pPr>
            <w:r>
              <w:rPr>
                <w:rFonts w:hint="eastAsia" w:hAnsi="宋体" w:cs="宋体"/>
                <w:color w:val="auto"/>
                <w:sz w:val="21"/>
                <w:szCs w:val="21"/>
                <w:lang w:val="en-US" w:eastAsia="zh-CN"/>
              </w:rPr>
              <w:t>＜10</w:t>
            </w:r>
          </w:p>
        </w:tc>
        <w:tc>
          <w:tcPr>
            <w:tcW w:w="635" w:type="pct"/>
            <w:tcMar>
              <w:left w:w="11" w:type="dxa"/>
              <w:right w:w="11" w:type="dxa"/>
            </w:tcMar>
            <w:vAlign w:val="center"/>
          </w:tcPr>
          <w:p>
            <w:pPr>
              <w:jc w:val="center"/>
              <w:rPr>
                <w:rFonts w:hint="eastAsia"/>
                <w:color w:val="auto"/>
                <w:highlight w:val="none"/>
              </w:rPr>
            </w:pPr>
            <w:r>
              <w:rPr>
                <w:rFonts w:hint="eastAsia" w:hAnsi="宋体" w:cs="宋体"/>
                <w:bCs/>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57" w:type="pct"/>
            <w:vMerge w:val="continue"/>
            <w:tcMar>
              <w:left w:w="11" w:type="dxa"/>
              <w:right w:w="11" w:type="dxa"/>
            </w:tcMar>
            <w:vAlign w:val="center"/>
          </w:tcPr>
          <w:p>
            <w:pPr>
              <w:spacing w:line="240" w:lineRule="exact"/>
              <w:ind w:left="-63" w:leftChars="-30" w:right="-63" w:rightChars="-30"/>
              <w:jc w:val="center"/>
              <w:rPr>
                <w:color w:val="auto"/>
                <w:szCs w:val="21"/>
                <w:highlight w:val="none"/>
              </w:rPr>
            </w:pPr>
          </w:p>
        </w:tc>
        <w:tc>
          <w:tcPr>
            <w:tcW w:w="1162" w:type="pct"/>
            <w:tcMar>
              <w:left w:w="11" w:type="dxa"/>
              <w:right w:w="11" w:type="dxa"/>
            </w:tcMar>
            <w:vAlign w:val="center"/>
          </w:tcPr>
          <w:p>
            <w:pPr>
              <w:keepNext w:val="0"/>
              <w:keepLines w:val="0"/>
              <w:widowControl/>
              <w:suppressLineNumbers w:val="0"/>
              <w:jc w:val="center"/>
              <w:textAlignment w:val="center"/>
              <w:rPr>
                <w:rFonts w:hint="eastAsia" w:hAnsi="宋体" w:cs="宋体"/>
                <w:bCs/>
                <w:color w:val="auto"/>
                <w:szCs w:val="21"/>
                <w:highlight w:val="none"/>
              </w:rPr>
            </w:pPr>
            <w:r>
              <w:rPr>
                <w:rFonts w:hint="eastAsia" w:hAnsi="宋体" w:eastAsia="宋体" w:cs="宋体"/>
                <w:bCs/>
                <w:color w:val="auto"/>
                <w:sz w:val="21"/>
                <w:szCs w:val="21"/>
                <w:lang w:val="en-US" w:eastAsia="zh-CN"/>
              </w:rPr>
              <w:t>2022.12.3</w:t>
            </w:r>
          </w:p>
        </w:tc>
        <w:tc>
          <w:tcPr>
            <w:tcW w:w="635" w:type="pct"/>
            <w:tcMar>
              <w:left w:w="11" w:type="dxa"/>
              <w:right w:w="11" w:type="dxa"/>
            </w:tcMar>
            <w:vAlign w:val="center"/>
          </w:tcPr>
          <w:p>
            <w:pPr>
              <w:spacing w:line="320" w:lineRule="exact"/>
              <w:jc w:val="center"/>
              <w:rPr>
                <w:rFonts w:hint="eastAsia"/>
                <w:color w:val="auto"/>
                <w:highlight w:val="none"/>
              </w:rPr>
            </w:pPr>
            <w:r>
              <w:rPr>
                <w:rFonts w:hint="eastAsia" w:hAnsi="宋体" w:cs="宋体"/>
                <w:color w:val="auto"/>
                <w:sz w:val="21"/>
                <w:szCs w:val="21"/>
                <w:lang w:val="en-US" w:eastAsia="zh-CN"/>
              </w:rPr>
              <w:t>＜10</w:t>
            </w:r>
          </w:p>
        </w:tc>
        <w:tc>
          <w:tcPr>
            <w:tcW w:w="658" w:type="pct"/>
            <w:tcMar>
              <w:left w:w="11" w:type="dxa"/>
              <w:right w:w="11" w:type="dxa"/>
            </w:tcMar>
            <w:vAlign w:val="center"/>
          </w:tcPr>
          <w:p>
            <w:pPr>
              <w:spacing w:line="320" w:lineRule="exact"/>
              <w:jc w:val="center"/>
              <w:rPr>
                <w:rFonts w:hint="eastAsia"/>
                <w:color w:val="auto"/>
                <w:highlight w:val="none"/>
              </w:rPr>
            </w:pPr>
            <w:r>
              <w:rPr>
                <w:rFonts w:hint="eastAsia" w:hAnsi="宋体" w:cs="宋体"/>
                <w:color w:val="auto"/>
                <w:sz w:val="21"/>
                <w:szCs w:val="21"/>
                <w:lang w:val="en-US" w:eastAsia="zh-CN"/>
              </w:rPr>
              <w:t>＜10</w:t>
            </w:r>
          </w:p>
        </w:tc>
        <w:tc>
          <w:tcPr>
            <w:tcW w:w="607" w:type="pct"/>
            <w:tcMar>
              <w:left w:w="11" w:type="dxa"/>
              <w:right w:w="11" w:type="dxa"/>
            </w:tcMar>
            <w:vAlign w:val="center"/>
          </w:tcPr>
          <w:p>
            <w:pPr>
              <w:spacing w:line="320" w:lineRule="exact"/>
              <w:jc w:val="center"/>
              <w:rPr>
                <w:rFonts w:hint="eastAsia"/>
                <w:color w:val="auto"/>
                <w:highlight w:val="none"/>
              </w:rPr>
            </w:pPr>
            <w:r>
              <w:rPr>
                <w:rFonts w:hint="eastAsia" w:hAnsi="宋体" w:cs="宋体"/>
                <w:color w:val="auto"/>
                <w:sz w:val="21"/>
                <w:szCs w:val="21"/>
                <w:lang w:val="en-US" w:eastAsia="zh-CN"/>
              </w:rPr>
              <w:t>＜10</w:t>
            </w:r>
          </w:p>
        </w:tc>
        <w:tc>
          <w:tcPr>
            <w:tcW w:w="644" w:type="pct"/>
            <w:tcMar>
              <w:left w:w="11" w:type="dxa"/>
              <w:right w:w="11" w:type="dxa"/>
            </w:tcMar>
            <w:vAlign w:val="center"/>
          </w:tcPr>
          <w:p>
            <w:pPr>
              <w:spacing w:line="320" w:lineRule="exact"/>
              <w:jc w:val="center"/>
              <w:rPr>
                <w:rFonts w:hint="eastAsia"/>
                <w:color w:val="auto"/>
                <w:highlight w:val="none"/>
              </w:rPr>
            </w:pPr>
            <w:r>
              <w:rPr>
                <w:rFonts w:hint="eastAsia" w:hAnsi="宋体" w:cs="宋体"/>
                <w:color w:val="auto"/>
                <w:sz w:val="21"/>
                <w:szCs w:val="21"/>
                <w:lang w:val="en-US" w:eastAsia="zh-CN"/>
              </w:rPr>
              <w:t>＜10</w:t>
            </w:r>
          </w:p>
        </w:tc>
        <w:tc>
          <w:tcPr>
            <w:tcW w:w="635" w:type="pct"/>
            <w:tcMar>
              <w:left w:w="11" w:type="dxa"/>
              <w:right w:w="11" w:type="dxa"/>
            </w:tcMar>
            <w:vAlign w:val="center"/>
          </w:tcPr>
          <w:p>
            <w:pPr>
              <w:jc w:val="center"/>
              <w:rPr>
                <w:rFonts w:hint="eastAsia"/>
                <w:color w:val="auto"/>
                <w:highlight w:val="none"/>
              </w:rPr>
            </w:pPr>
            <w:r>
              <w:rPr>
                <w:rFonts w:hint="eastAsia" w:hAnsi="宋体" w:cs="宋体"/>
                <w:bCs/>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57" w:type="pct"/>
            <w:vMerge w:val="continue"/>
            <w:tcMar>
              <w:left w:w="11" w:type="dxa"/>
              <w:right w:w="11" w:type="dxa"/>
            </w:tcMar>
            <w:vAlign w:val="center"/>
          </w:tcPr>
          <w:p>
            <w:pPr>
              <w:spacing w:line="240" w:lineRule="exact"/>
              <w:ind w:left="-63" w:leftChars="-30" w:right="-63" w:rightChars="-30"/>
              <w:jc w:val="center"/>
              <w:rPr>
                <w:color w:val="auto"/>
                <w:szCs w:val="21"/>
                <w:highlight w:val="none"/>
              </w:rPr>
            </w:pPr>
          </w:p>
        </w:tc>
        <w:tc>
          <w:tcPr>
            <w:tcW w:w="1162" w:type="pct"/>
            <w:tcMar>
              <w:left w:w="11" w:type="dxa"/>
              <w:right w:w="11" w:type="dxa"/>
            </w:tcMar>
            <w:vAlign w:val="center"/>
          </w:tcPr>
          <w:p>
            <w:pPr>
              <w:keepNext w:val="0"/>
              <w:keepLines w:val="0"/>
              <w:widowControl/>
              <w:suppressLineNumbers w:val="0"/>
              <w:jc w:val="center"/>
              <w:textAlignment w:val="center"/>
              <w:rPr>
                <w:rFonts w:hint="eastAsia" w:hAnsi="宋体" w:cs="宋体"/>
                <w:bCs/>
                <w:color w:val="auto"/>
                <w:szCs w:val="21"/>
                <w:highlight w:val="none"/>
              </w:rPr>
            </w:pPr>
            <w:r>
              <w:rPr>
                <w:rFonts w:hint="eastAsia" w:hAnsi="宋体" w:eastAsia="宋体" w:cs="宋体"/>
                <w:bCs/>
                <w:color w:val="auto"/>
                <w:sz w:val="21"/>
                <w:szCs w:val="21"/>
                <w:lang w:val="en-US" w:eastAsia="zh-CN"/>
              </w:rPr>
              <w:t>2022.12.4</w:t>
            </w:r>
          </w:p>
        </w:tc>
        <w:tc>
          <w:tcPr>
            <w:tcW w:w="635" w:type="pct"/>
            <w:tcMar>
              <w:left w:w="11" w:type="dxa"/>
              <w:right w:w="11" w:type="dxa"/>
            </w:tcMar>
            <w:vAlign w:val="center"/>
          </w:tcPr>
          <w:p>
            <w:pPr>
              <w:spacing w:line="320" w:lineRule="exact"/>
              <w:jc w:val="center"/>
              <w:rPr>
                <w:rFonts w:hint="eastAsia"/>
                <w:color w:val="auto"/>
                <w:highlight w:val="none"/>
              </w:rPr>
            </w:pPr>
            <w:r>
              <w:rPr>
                <w:rFonts w:hint="eastAsia" w:hAnsi="宋体" w:cs="宋体"/>
                <w:color w:val="auto"/>
                <w:sz w:val="21"/>
                <w:szCs w:val="21"/>
                <w:lang w:val="en-US" w:eastAsia="zh-CN"/>
              </w:rPr>
              <w:t>＜10</w:t>
            </w:r>
          </w:p>
        </w:tc>
        <w:tc>
          <w:tcPr>
            <w:tcW w:w="658" w:type="pct"/>
            <w:tcMar>
              <w:left w:w="11" w:type="dxa"/>
              <w:right w:w="11" w:type="dxa"/>
            </w:tcMar>
            <w:vAlign w:val="center"/>
          </w:tcPr>
          <w:p>
            <w:pPr>
              <w:spacing w:line="320" w:lineRule="exact"/>
              <w:jc w:val="center"/>
              <w:rPr>
                <w:rFonts w:hint="eastAsia"/>
                <w:color w:val="auto"/>
                <w:highlight w:val="none"/>
              </w:rPr>
            </w:pPr>
            <w:r>
              <w:rPr>
                <w:rFonts w:hint="eastAsia" w:hAnsi="宋体" w:cs="宋体"/>
                <w:color w:val="auto"/>
                <w:sz w:val="21"/>
                <w:szCs w:val="21"/>
                <w:lang w:val="en-US" w:eastAsia="zh-CN"/>
              </w:rPr>
              <w:t>＜10</w:t>
            </w:r>
          </w:p>
        </w:tc>
        <w:tc>
          <w:tcPr>
            <w:tcW w:w="607" w:type="pct"/>
            <w:tcMar>
              <w:left w:w="11" w:type="dxa"/>
              <w:right w:w="11" w:type="dxa"/>
            </w:tcMar>
            <w:vAlign w:val="center"/>
          </w:tcPr>
          <w:p>
            <w:pPr>
              <w:spacing w:line="320" w:lineRule="exact"/>
              <w:jc w:val="center"/>
              <w:rPr>
                <w:rFonts w:hint="eastAsia"/>
                <w:color w:val="auto"/>
                <w:highlight w:val="none"/>
              </w:rPr>
            </w:pPr>
            <w:r>
              <w:rPr>
                <w:rFonts w:hint="eastAsia" w:hAnsi="宋体" w:cs="宋体"/>
                <w:color w:val="auto"/>
                <w:sz w:val="21"/>
                <w:szCs w:val="21"/>
                <w:lang w:val="en-US" w:eastAsia="zh-CN"/>
              </w:rPr>
              <w:t>/</w:t>
            </w:r>
          </w:p>
        </w:tc>
        <w:tc>
          <w:tcPr>
            <w:tcW w:w="644" w:type="pct"/>
            <w:tcMar>
              <w:left w:w="11" w:type="dxa"/>
              <w:right w:w="11" w:type="dxa"/>
            </w:tcMar>
            <w:vAlign w:val="center"/>
          </w:tcPr>
          <w:p>
            <w:pPr>
              <w:spacing w:line="320" w:lineRule="exact"/>
              <w:jc w:val="center"/>
              <w:rPr>
                <w:rFonts w:hint="eastAsia"/>
                <w:color w:val="auto"/>
                <w:highlight w:val="none"/>
              </w:rPr>
            </w:pPr>
            <w:r>
              <w:rPr>
                <w:rFonts w:hint="eastAsia" w:hAnsi="宋体" w:cs="宋体"/>
                <w:color w:val="auto"/>
                <w:sz w:val="21"/>
                <w:szCs w:val="21"/>
                <w:lang w:val="en-US" w:eastAsia="zh-CN"/>
              </w:rPr>
              <w:t>/</w:t>
            </w:r>
          </w:p>
        </w:tc>
        <w:tc>
          <w:tcPr>
            <w:tcW w:w="635" w:type="pct"/>
            <w:tcMar>
              <w:left w:w="11" w:type="dxa"/>
              <w:right w:w="11" w:type="dxa"/>
            </w:tcMar>
            <w:vAlign w:val="center"/>
          </w:tcPr>
          <w:p>
            <w:pPr>
              <w:jc w:val="center"/>
              <w:rPr>
                <w:rFonts w:hint="eastAsia"/>
                <w:color w:val="auto"/>
                <w:highlight w:val="none"/>
              </w:rPr>
            </w:pPr>
            <w:r>
              <w:rPr>
                <w:rFonts w:hint="eastAsia" w:hAnsi="宋体" w:cs="宋体"/>
                <w:bCs/>
                <w:color w:val="auto"/>
                <w:szCs w:val="21"/>
                <w:highlight w:val="none"/>
              </w:rPr>
              <w:t>/</w:t>
            </w:r>
          </w:p>
        </w:tc>
      </w:tr>
      <w:bookmarkEnd w:id="126"/>
    </w:tbl>
    <w:p>
      <w:pPr>
        <w:pStyle w:val="101"/>
        <w:spacing w:before="78"/>
        <w:rPr>
          <w:rFonts w:ascii="Times New Roman" w:hAnsi="Times New Roman"/>
          <w:color w:val="auto"/>
          <w:highlight w:val="none"/>
        </w:rPr>
      </w:pPr>
      <w:r>
        <w:rPr>
          <w:rFonts w:ascii="Times New Roman" w:hAnsi="Times New Roman"/>
          <w:color w:val="auto"/>
          <w:highlight w:val="none"/>
        </w:rPr>
        <w:t>3.3.3特征因子环境质量现状评价</w:t>
      </w:r>
    </w:p>
    <w:p>
      <w:pPr>
        <w:spacing w:line="360" w:lineRule="auto"/>
        <w:ind w:firstLine="482" w:firstLineChars="200"/>
        <w:rPr>
          <w:b/>
          <w:color w:val="auto"/>
          <w:sz w:val="24"/>
          <w:highlight w:val="none"/>
        </w:rPr>
      </w:pPr>
      <w:r>
        <w:rPr>
          <w:b/>
          <w:color w:val="auto"/>
          <w:sz w:val="24"/>
          <w:highlight w:val="none"/>
        </w:rPr>
        <w:t>1、评价因子</w:t>
      </w:r>
    </w:p>
    <w:p>
      <w:pPr>
        <w:spacing w:line="360" w:lineRule="auto"/>
        <w:ind w:firstLine="480" w:firstLineChars="200"/>
        <w:rPr>
          <w:color w:val="auto"/>
          <w:sz w:val="24"/>
          <w:highlight w:val="none"/>
        </w:rPr>
      </w:pPr>
      <w:r>
        <w:rPr>
          <w:color w:val="auto"/>
          <w:sz w:val="24"/>
          <w:highlight w:val="none"/>
        </w:rPr>
        <w:t>环境空气质量现状评价因子为</w:t>
      </w:r>
      <w:r>
        <w:rPr>
          <w:rFonts w:hint="eastAsia"/>
          <w:color w:val="auto"/>
          <w:sz w:val="24"/>
          <w:highlight w:val="none"/>
        </w:rPr>
        <w:t>VOCs（以非甲烷总烃计）、TSP</w:t>
      </w:r>
      <w:r>
        <w:rPr>
          <w:color w:val="auto"/>
          <w:sz w:val="24"/>
          <w:highlight w:val="none"/>
        </w:rPr>
        <w:t>。</w:t>
      </w:r>
      <w:r>
        <w:rPr>
          <w:rFonts w:hint="eastAsia"/>
          <w:color w:val="auto"/>
          <w:sz w:val="24"/>
          <w:highlight w:val="none"/>
        </w:rPr>
        <w:t>VOCs</w:t>
      </w:r>
      <w:r>
        <w:rPr>
          <w:rFonts w:hint="eastAsia"/>
          <w:color w:val="auto"/>
          <w:sz w:val="24"/>
          <w:szCs w:val="24"/>
          <w:highlight w:val="none"/>
        </w:rPr>
        <w:t>（以非甲烷总烃计）</w:t>
      </w:r>
      <w:r>
        <w:rPr>
          <w:color w:val="auto"/>
          <w:sz w:val="24"/>
          <w:highlight w:val="none"/>
        </w:rPr>
        <w:t>评价标准参照《大气污染物综合排放标准》(GB16297-1996)表2中非甲烷总烃周界外浓度最高点限值的1/2（即2.0mg/m</w:t>
      </w:r>
      <w:r>
        <w:rPr>
          <w:color w:val="auto"/>
          <w:sz w:val="24"/>
          <w:highlight w:val="none"/>
          <w:vertAlign w:val="superscript"/>
        </w:rPr>
        <w:t>3</w:t>
      </w:r>
      <w:r>
        <w:rPr>
          <w:color w:val="auto"/>
          <w:sz w:val="24"/>
          <w:highlight w:val="none"/>
        </w:rPr>
        <w:t>）；</w:t>
      </w:r>
      <w:r>
        <w:rPr>
          <w:rFonts w:hint="eastAsia"/>
          <w:color w:val="auto"/>
          <w:sz w:val="24"/>
          <w:highlight w:val="none"/>
        </w:rPr>
        <w:t>TSP日均值评价标准执行《环境空气质量标准》（GB 3095-2012）中二级标准要求</w:t>
      </w:r>
      <w:r>
        <w:rPr>
          <w:color w:val="auto"/>
          <w:sz w:val="24"/>
          <w:highlight w:val="none"/>
        </w:rPr>
        <w:t>。</w:t>
      </w:r>
    </w:p>
    <w:p>
      <w:pPr>
        <w:spacing w:line="360" w:lineRule="auto"/>
        <w:ind w:firstLine="482" w:firstLineChars="200"/>
        <w:rPr>
          <w:color w:val="auto"/>
          <w:sz w:val="24"/>
          <w:highlight w:val="none"/>
        </w:rPr>
      </w:pPr>
      <w:r>
        <w:rPr>
          <w:b/>
          <w:bCs/>
          <w:color w:val="auto"/>
          <w:sz w:val="24"/>
          <w:highlight w:val="none"/>
        </w:rPr>
        <w:t>2、</w:t>
      </w:r>
      <w:r>
        <w:rPr>
          <w:b/>
          <w:color w:val="auto"/>
          <w:sz w:val="24"/>
          <w:highlight w:val="none"/>
        </w:rPr>
        <w:t>评价标准</w:t>
      </w:r>
    </w:p>
    <w:p>
      <w:pPr>
        <w:spacing w:line="360" w:lineRule="auto"/>
        <w:ind w:firstLine="480" w:firstLineChars="200"/>
        <w:rPr>
          <w:color w:val="auto"/>
          <w:sz w:val="24"/>
          <w:highlight w:val="none"/>
        </w:rPr>
      </w:pPr>
      <w:r>
        <w:rPr>
          <w:color w:val="auto"/>
          <w:sz w:val="24"/>
          <w:highlight w:val="none"/>
        </w:rPr>
        <w:t>环境空气质量现状评价标准见表3.3-</w:t>
      </w:r>
      <w:r>
        <w:rPr>
          <w:rFonts w:hint="eastAsia"/>
          <w:color w:val="auto"/>
          <w:sz w:val="24"/>
          <w:highlight w:val="none"/>
        </w:rPr>
        <w:t>5</w:t>
      </w:r>
      <w:r>
        <w:rPr>
          <w:color w:val="auto"/>
          <w:sz w:val="24"/>
          <w:highlight w:val="none"/>
        </w:rPr>
        <w:t>。</w:t>
      </w:r>
    </w:p>
    <w:p>
      <w:pPr>
        <w:pStyle w:val="103"/>
        <w:rPr>
          <w:rFonts w:ascii="Times New Roman" w:hAnsi="Times New Roman"/>
          <w:color w:val="auto"/>
          <w:highlight w:val="none"/>
        </w:rPr>
      </w:pPr>
      <w:r>
        <w:rPr>
          <w:rFonts w:ascii="Times New Roman" w:hAnsi="Times New Roman"/>
          <w:color w:val="auto"/>
          <w:highlight w:val="none"/>
        </w:rPr>
        <w:t>表3.3-</w:t>
      </w:r>
      <w:r>
        <w:rPr>
          <w:rFonts w:hint="eastAsia" w:ascii="Times New Roman" w:hAnsi="Times New Roman"/>
          <w:color w:val="auto"/>
          <w:highlight w:val="none"/>
        </w:rPr>
        <w:t>5</w:t>
      </w:r>
      <w:r>
        <w:rPr>
          <w:rFonts w:ascii="Times New Roman" w:hAnsi="Times New Roman"/>
          <w:color w:val="auto"/>
          <w:highlight w:val="none"/>
        </w:rPr>
        <w:t xml:space="preserve">  环境空气质量评价标准</w:t>
      </w:r>
    </w:p>
    <w:tbl>
      <w:tblPr>
        <w:tblStyle w:val="5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89"/>
        <w:gridCol w:w="1113"/>
        <w:gridCol w:w="1133"/>
        <w:gridCol w:w="50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8" w:type="pct"/>
            <w:shd w:val="clear" w:color="auto" w:fill="auto"/>
            <w:vAlign w:val="center"/>
          </w:tcPr>
          <w:p>
            <w:pPr>
              <w:snapToGrid w:val="0"/>
              <w:spacing w:line="360" w:lineRule="exact"/>
              <w:jc w:val="center"/>
              <w:rPr>
                <w:color w:val="auto"/>
                <w:highlight w:val="none"/>
              </w:rPr>
            </w:pPr>
            <w:r>
              <w:rPr>
                <w:color w:val="auto"/>
                <w:highlight w:val="none"/>
              </w:rPr>
              <w:t>污染物</w:t>
            </w:r>
          </w:p>
        </w:tc>
        <w:tc>
          <w:tcPr>
            <w:tcW w:w="618" w:type="pct"/>
            <w:shd w:val="clear" w:color="auto" w:fill="auto"/>
            <w:vAlign w:val="center"/>
          </w:tcPr>
          <w:p>
            <w:pPr>
              <w:snapToGrid w:val="0"/>
              <w:spacing w:line="360" w:lineRule="exact"/>
              <w:jc w:val="center"/>
              <w:rPr>
                <w:color w:val="auto"/>
                <w:highlight w:val="none"/>
              </w:rPr>
            </w:pPr>
            <w:r>
              <w:rPr>
                <w:color w:val="auto"/>
                <w:highlight w:val="none"/>
              </w:rPr>
              <w:t>小时值</w:t>
            </w:r>
          </w:p>
        </w:tc>
        <w:tc>
          <w:tcPr>
            <w:tcW w:w="629" w:type="pct"/>
            <w:shd w:val="clear" w:color="auto" w:fill="auto"/>
            <w:vAlign w:val="center"/>
          </w:tcPr>
          <w:p>
            <w:pPr>
              <w:widowControl/>
              <w:spacing w:line="300" w:lineRule="exact"/>
              <w:jc w:val="center"/>
              <w:rPr>
                <w:color w:val="auto"/>
                <w:szCs w:val="21"/>
                <w:highlight w:val="none"/>
              </w:rPr>
            </w:pPr>
            <w:r>
              <w:rPr>
                <w:color w:val="auto"/>
                <w:szCs w:val="21"/>
                <w:highlight w:val="none"/>
              </w:rPr>
              <w:t>单位</w:t>
            </w:r>
          </w:p>
        </w:tc>
        <w:tc>
          <w:tcPr>
            <w:tcW w:w="2814" w:type="pct"/>
            <w:shd w:val="clear" w:color="auto" w:fill="auto"/>
            <w:vAlign w:val="center"/>
          </w:tcPr>
          <w:p>
            <w:pPr>
              <w:widowControl/>
              <w:spacing w:line="260" w:lineRule="exact"/>
              <w:jc w:val="center"/>
              <w:rPr>
                <w:color w:val="auto"/>
                <w:szCs w:val="21"/>
                <w:highlight w:val="none"/>
              </w:rPr>
            </w:pPr>
            <w:r>
              <w:rPr>
                <w:color w:val="auto"/>
                <w:szCs w:val="21"/>
                <w:highlight w:val="none"/>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8" w:type="pct"/>
            <w:shd w:val="clear" w:color="auto" w:fill="auto"/>
            <w:vAlign w:val="center"/>
          </w:tcPr>
          <w:p>
            <w:pPr>
              <w:adjustRightInd w:val="0"/>
              <w:spacing w:line="360" w:lineRule="exact"/>
              <w:jc w:val="center"/>
              <w:textAlignment w:val="baseline"/>
              <w:rPr>
                <w:color w:val="auto"/>
                <w:spacing w:val="4"/>
                <w:kern w:val="0"/>
                <w:szCs w:val="21"/>
                <w:highlight w:val="none"/>
              </w:rPr>
            </w:pPr>
            <w:r>
              <w:rPr>
                <w:rFonts w:hint="eastAsia"/>
                <w:color w:val="auto"/>
                <w:spacing w:val="4"/>
                <w:kern w:val="0"/>
                <w:szCs w:val="21"/>
                <w:highlight w:val="none"/>
              </w:rPr>
              <w:t>VOCs</w:t>
            </w:r>
            <w:r>
              <w:rPr>
                <w:rFonts w:hint="eastAsia"/>
                <w:color w:val="auto"/>
                <w:highlight w:val="none"/>
              </w:rPr>
              <w:t>（以非甲烷总烃计）</w:t>
            </w:r>
          </w:p>
        </w:tc>
        <w:tc>
          <w:tcPr>
            <w:tcW w:w="618" w:type="pct"/>
            <w:shd w:val="clear" w:color="auto" w:fill="auto"/>
            <w:vAlign w:val="center"/>
          </w:tcPr>
          <w:p>
            <w:pPr>
              <w:adjustRightInd w:val="0"/>
              <w:spacing w:line="360" w:lineRule="exact"/>
              <w:jc w:val="center"/>
              <w:textAlignment w:val="baseline"/>
              <w:rPr>
                <w:color w:val="auto"/>
                <w:spacing w:val="4"/>
                <w:kern w:val="0"/>
                <w:szCs w:val="21"/>
                <w:highlight w:val="none"/>
              </w:rPr>
            </w:pPr>
            <w:r>
              <w:rPr>
                <w:color w:val="auto"/>
                <w:spacing w:val="4"/>
                <w:kern w:val="0"/>
                <w:szCs w:val="21"/>
                <w:highlight w:val="none"/>
              </w:rPr>
              <w:t>2.0</w:t>
            </w:r>
          </w:p>
        </w:tc>
        <w:tc>
          <w:tcPr>
            <w:tcW w:w="629" w:type="pct"/>
            <w:shd w:val="clear" w:color="auto" w:fill="auto"/>
            <w:vAlign w:val="center"/>
          </w:tcPr>
          <w:p>
            <w:pPr>
              <w:widowControl/>
              <w:spacing w:line="300" w:lineRule="exact"/>
              <w:jc w:val="center"/>
              <w:rPr>
                <w:color w:val="auto"/>
                <w:szCs w:val="21"/>
                <w:highlight w:val="none"/>
              </w:rPr>
            </w:pPr>
            <w:r>
              <w:rPr>
                <w:color w:val="auto"/>
                <w:szCs w:val="21"/>
                <w:highlight w:val="none"/>
              </w:rPr>
              <w:t>mg/m</w:t>
            </w:r>
            <w:r>
              <w:rPr>
                <w:color w:val="auto"/>
                <w:szCs w:val="21"/>
                <w:highlight w:val="none"/>
                <w:vertAlign w:val="superscript"/>
              </w:rPr>
              <w:t>3</w:t>
            </w:r>
          </w:p>
        </w:tc>
        <w:tc>
          <w:tcPr>
            <w:tcW w:w="2814" w:type="pct"/>
            <w:shd w:val="clear" w:color="auto" w:fill="auto"/>
            <w:vAlign w:val="center"/>
          </w:tcPr>
          <w:p>
            <w:pPr>
              <w:widowControl/>
              <w:spacing w:line="260" w:lineRule="exact"/>
              <w:jc w:val="center"/>
              <w:rPr>
                <w:color w:val="auto"/>
                <w:szCs w:val="21"/>
                <w:highlight w:val="none"/>
              </w:rPr>
            </w:pPr>
            <w:r>
              <w:rPr>
                <w:color w:val="auto"/>
                <w:szCs w:val="21"/>
                <w:highlight w:val="none"/>
              </w:rPr>
              <w:t>参照《大气污染物综合排放标准》(GB16297-1996)表2中非甲烷总烃周界外浓度最高点限值的1/2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8" w:type="pct"/>
            <w:shd w:val="clear" w:color="auto" w:fill="auto"/>
            <w:vAlign w:val="center"/>
          </w:tcPr>
          <w:p>
            <w:pPr>
              <w:adjustRightInd w:val="0"/>
              <w:spacing w:line="360" w:lineRule="exact"/>
              <w:jc w:val="center"/>
              <w:textAlignment w:val="baseline"/>
              <w:rPr>
                <w:color w:val="auto"/>
                <w:spacing w:val="4"/>
                <w:kern w:val="0"/>
                <w:szCs w:val="21"/>
                <w:highlight w:val="none"/>
              </w:rPr>
            </w:pPr>
            <w:r>
              <w:rPr>
                <w:rFonts w:hint="eastAsia"/>
                <w:color w:val="auto"/>
                <w:spacing w:val="4"/>
                <w:kern w:val="0"/>
                <w:szCs w:val="21"/>
                <w:highlight w:val="none"/>
              </w:rPr>
              <w:t>TSP</w:t>
            </w:r>
          </w:p>
        </w:tc>
        <w:tc>
          <w:tcPr>
            <w:tcW w:w="618" w:type="pct"/>
            <w:shd w:val="clear" w:color="auto" w:fill="auto"/>
            <w:vAlign w:val="center"/>
          </w:tcPr>
          <w:p>
            <w:pPr>
              <w:adjustRightInd w:val="0"/>
              <w:spacing w:line="360" w:lineRule="exact"/>
              <w:jc w:val="center"/>
              <w:textAlignment w:val="baseline"/>
              <w:rPr>
                <w:color w:val="auto"/>
                <w:spacing w:val="4"/>
                <w:kern w:val="0"/>
                <w:szCs w:val="21"/>
                <w:highlight w:val="none"/>
              </w:rPr>
            </w:pPr>
            <w:r>
              <w:rPr>
                <w:rFonts w:hint="eastAsia"/>
                <w:color w:val="auto"/>
                <w:spacing w:val="4"/>
                <w:kern w:val="0"/>
                <w:szCs w:val="21"/>
                <w:highlight w:val="none"/>
              </w:rPr>
              <w:t>0</w:t>
            </w:r>
            <w:r>
              <w:rPr>
                <w:color w:val="auto"/>
                <w:spacing w:val="4"/>
                <w:kern w:val="0"/>
                <w:szCs w:val="21"/>
                <w:highlight w:val="none"/>
              </w:rPr>
              <w:t>.3</w:t>
            </w:r>
          </w:p>
        </w:tc>
        <w:tc>
          <w:tcPr>
            <w:tcW w:w="629" w:type="pct"/>
            <w:shd w:val="clear" w:color="auto" w:fill="auto"/>
            <w:vAlign w:val="center"/>
          </w:tcPr>
          <w:p>
            <w:pPr>
              <w:widowControl/>
              <w:spacing w:line="300" w:lineRule="exact"/>
              <w:jc w:val="center"/>
              <w:rPr>
                <w:color w:val="auto"/>
                <w:szCs w:val="21"/>
                <w:highlight w:val="none"/>
              </w:rPr>
            </w:pPr>
            <w:r>
              <w:rPr>
                <w:color w:val="auto"/>
                <w:szCs w:val="21"/>
                <w:highlight w:val="none"/>
              </w:rPr>
              <w:t>mg/m</w:t>
            </w:r>
            <w:r>
              <w:rPr>
                <w:color w:val="auto"/>
                <w:szCs w:val="21"/>
                <w:highlight w:val="none"/>
                <w:vertAlign w:val="superscript"/>
              </w:rPr>
              <w:t>3</w:t>
            </w:r>
          </w:p>
        </w:tc>
        <w:tc>
          <w:tcPr>
            <w:tcW w:w="2814" w:type="pct"/>
            <w:shd w:val="clear" w:color="auto" w:fill="auto"/>
            <w:vAlign w:val="center"/>
          </w:tcPr>
          <w:p>
            <w:pPr>
              <w:widowControl/>
              <w:spacing w:line="260" w:lineRule="exact"/>
              <w:jc w:val="center"/>
              <w:rPr>
                <w:color w:val="auto"/>
                <w:szCs w:val="21"/>
                <w:highlight w:val="none"/>
              </w:rPr>
            </w:pPr>
            <w:r>
              <w:rPr>
                <w:rFonts w:hint="eastAsia"/>
                <w:color w:val="auto"/>
                <w:szCs w:val="21"/>
                <w:highlight w:val="none"/>
              </w:rPr>
              <w:t>《环境空气质量标准》(GB 3095-2012)中二级标准</w:t>
            </w:r>
          </w:p>
        </w:tc>
      </w:tr>
    </w:tbl>
    <w:p>
      <w:pPr>
        <w:spacing w:line="360" w:lineRule="auto"/>
        <w:ind w:firstLine="482"/>
        <w:rPr>
          <w:b/>
          <w:bCs/>
          <w:color w:val="auto"/>
          <w:sz w:val="24"/>
          <w:highlight w:val="none"/>
        </w:rPr>
      </w:pPr>
      <w:r>
        <w:rPr>
          <w:b/>
          <w:bCs/>
          <w:color w:val="auto"/>
          <w:sz w:val="24"/>
          <w:highlight w:val="none"/>
        </w:rPr>
        <w:t>3、评价方法</w:t>
      </w:r>
    </w:p>
    <w:p>
      <w:pPr>
        <w:spacing w:line="360" w:lineRule="auto"/>
        <w:ind w:firstLine="480"/>
        <w:rPr>
          <w:color w:val="auto"/>
          <w:sz w:val="24"/>
          <w:highlight w:val="none"/>
        </w:rPr>
      </w:pPr>
      <w:r>
        <w:rPr>
          <w:color w:val="auto"/>
          <w:sz w:val="24"/>
          <w:highlight w:val="none"/>
        </w:rPr>
        <w:t>评价方法采用单因子指数法，单因子指数Pi计算公式为：</w:t>
      </w:r>
    </w:p>
    <w:p>
      <w:pPr>
        <w:spacing w:line="360" w:lineRule="auto"/>
        <w:ind w:firstLine="2880"/>
        <w:rPr>
          <w:color w:val="auto"/>
          <w:sz w:val="24"/>
          <w:highlight w:val="none"/>
        </w:rPr>
      </w:pPr>
      <w:r>
        <w:rPr>
          <w:color w:val="auto"/>
          <w:sz w:val="24"/>
          <w:highlight w:val="none"/>
        </w:rPr>
        <w:t>Pi=Ci/Si</w:t>
      </w:r>
    </w:p>
    <w:p>
      <w:pPr>
        <w:spacing w:line="360" w:lineRule="auto"/>
        <w:ind w:firstLine="480"/>
        <w:rPr>
          <w:color w:val="auto"/>
          <w:sz w:val="24"/>
          <w:highlight w:val="none"/>
        </w:rPr>
      </w:pPr>
      <w:r>
        <w:rPr>
          <w:color w:val="auto"/>
          <w:sz w:val="24"/>
          <w:highlight w:val="none"/>
        </w:rPr>
        <w:t>式中：Ci—i污染物的实测浓度，mg/m³；</w:t>
      </w:r>
    </w:p>
    <w:p>
      <w:pPr>
        <w:spacing w:line="360" w:lineRule="auto"/>
        <w:ind w:firstLine="1200" w:firstLineChars="500"/>
        <w:rPr>
          <w:color w:val="auto"/>
          <w:sz w:val="24"/>
          <w:highlight w:val="none"/>
        </w:rPr>
      </w:pPr>
      <w:r>
        <w:rPr>
          <w:color w:val="auto"/>
          <w:sz w:val="24"/>
          <w:highlight w:val="none"/>
        </w:rPr>
        <w:t>Si—i污染物的标准浓度限值，mg/m</w:t>
      </w:r>
      <w:r>
        <w:rPr>
          <w:color w:val="auto"/>
          <w:sz w:val="24"/>
          <w:highlight w:val="none"/>
          <w:vertAlign w:val="superscript"/>
        </w:rPr>
        <w:t>3</w:t>
      </w:r>
      <w:r>
        <w:rPr>
          <w:color w:val="auto"/>
          <w:sz w:val="24"/>
          <w:highlight w:val="none"/>
        </w:rPr>
        <w:t>；</w:t>
      </w:r>
    </w:p>
    <w:p>
      <w:pPr>
        <w:pStyle w:val="162"/>
        <w:ind w:firstLineChars="200"/>
        <w:rPr>
          <w:rFonts w:cs="Times New Roman"/>
          <w:color w:val="auto"/>
          <w:highlight w:val="none"/>
        </w:rPr>
      </w:pPr>
      <w:r>
        <w:rPr>
          <w:rFonts w:cs="Times New Roman"/>
          <w:color w:val="auto"/>
          <w:highlight w:val="none"/>
        </w:rPr>
        <w:t>Pi ≥1为超标，否则为达标。</w:t>
      </w:r>
    </w:p>
    <w:p>
      <w:pPr>
        <w:spacing w:line="360" w:lineRule="auto"/>
        <w:ind w:firstLine="482"/>
        <w:rPr>
          <w:b/>
          <w:bCs/>
          <w:color w:val="auto"/>
          <w:sz w:val="24"/>
          <w:highlight w:val="none"/>
        </w:rPr>
      </w:pPr>
      <w:r>
        <w:rPr>
          <w:b/>
          <w:bCs/>
          <w:color w:val="auto"/>
          <w:sz w:val="24"/>
          <w:highlight w:val="none"/>
        </w:rPr>
        <w:t>4、评价结果</w:t>
      </w:r>
    </w:p>
    <w:p>
      <w:pPr>
        <w:pStyle w:val="102"/>
        <w:ind w:firstLine="480"/>
        <w:rPr>
          <w:color w:val="auto"/>
          <w:highlight w:val="none"/>
        </w:rPr>
      </w:pPr>
      <w:r>
        <w:rPr>
          <w:color w:val="auto"/>
          <w:highlight w:val="none"/>
        </w:rPr>
        <w:t>环境空气质量现状评价结果见表3.3-</w:t>
      </w:r>
      <w:r>
        <w:rPr>
          <w:rFonts w:hint="eastAsia"/>
          <w:color w:val="auto"/>
          <w:highlight w:val="none"/>
        </w:rPr>
        <w:t>6</w:t>
      </w:r>
      <w:r>
        <w:rPr>
          <w:color w:val="auto"/>
          <w:highlight w:val="none"/>
        </w:rPr>
        <w:t>，项目的单因子指数统计见表3.3-</w:t>
      </w:r>
      <w:r>
        <w:rPr>
          <w:rFonts w:hint="eastAsia"/>
          <w:color w:val="auto"/>
          <w:highlight w:val="none"/>
        </w:rPr>
        <w:t>7</w:t>
      </w:r>
      <w:r>
        <w:rPr>
          <w:color w:val="auto"/>
          <w:highlight w:val="none"/>
        </w:rPr>
        <w:t>。</w:t>
      </w:r>
    </w:p>
    <w:p>
      <w:pPr>
        <w:pStyle w:val="103"/>
        <w:rPr>
          <w:rFonts w:ascii="Times New Roman" w:hAnsi="Times New Roman"/>
          <w:color w:val="auto"/>
          <w:highlight w:val="none"/>
        </w:rPr>
      </w:pPr>
      <w:r>
        <w:rPr>
          <w:rFonts w:ascii="Times New Roman" w:hAnsi="Times New Roman"/>
          <w:color w:val="auto"/>
          <w:highlight w:val="none"/>
        </w:rPr>
        <w:t>表3.3-</w:t>
      </w:r>
      <w:r>
        <w:rPr>
          <w:rFonts w:hint="eastAsia" w:ascii="Times New Roman" w:hAnsi="Times New Roman"/>
          <w:color w:val="auto"/>
          <w:highlight w:val="none"/>
        </w:rPr>
        <w:t>6</w:t>
      </w:r>
      <w:r>
        <w:rPr>
          <w:rFonts w:ascii="Times New Roman" w:hAnsi="Times New Roman"/>
          <w:color w:val="auto"/>
          <w:highlight w:val="none"/>
        </w:rPr>
        <w:t xml:space="preserve">  特征污染因子单因子指数（Pi）一览表</w:t>
      </w:r>
    </w:p>
    <w:tbl>
      <w:tblPr>
        <w:tblStyle w:val="59"/>
        <w:tblW w:w="508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57"/>
        <w:gridCol w:w="1409"/>
        <w:gridCol w:w="1409"/>
        <w:gridCol w:w="1409"/>
        <w:gridCol w:w="1424"/>
        <w:gridCol w:w="217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92" w:type="pct"/>
            <w:tcMar>
              <w:top w:w="11" w:type="dxa"/>
              <w:left w:w="28" w:type="dxa"/>
              <w:bottom w:w="11" w:type="dxa"/>
              <w:right w:w="28" w:type="dxa"/>
            </w:tcMar>
            <w:vAlign w:val="center"/>
          </w:tcPr>
          <w:p>
            <w:pPr>
              <w:pStyle w:val="105"/>
              <w:rPr>
                <w:color w:val="auto"/>
                <w:highlight w:val="none"/>
              </w:rPr>
            </w:pPr>
            <w:r>
              <w:rPr>
                <w:color w:val="auto"/>
                <w:highlight w:val="none"/>
              </w:rPr>
              <w:t>项目</w:t>
            </w:r>
          </w:p>
        </w:tc>
        <w:tc>
          <w:tcPr>
            <w:tcW w:w="3112" w:type="pct"/>
            <w:gridSpan w:val="4"/>
            <w:tcMar>
              <w:top w:w="11" w:type="dxa"/>
              <w:left w:w="28" w:type="dxa"/>
              <w:bottom w:w="11" w:type="dxa"/>
              <w:right w:w="28" w:type="dxa"/>
            </w:tcMar>
            <w:vAlign w:val="center"/>
          </w:tcPr>
          <w:p>
            <w:pPr>
              <w:pStyle w:val="105"/>
              <w:rPr>
                <w:color w:val="auto"/>
                <w:highlight w:val="none"/>
              </w:rPr>
            </w:pPr>
            <w:r>
              <w:rPr>
                <w:rFonts w:hint="eastAsia"/>
                <w:color w:val="auto"/>
                <w:highlight w:val="none"/>
              </w:rPr>
              <w:t>VOCs（以非甲烷总烃计）</w:t>
            </w:r>
          </w:p>
        </w:tc>
        <w:tc>
          <w:tcPr>
            <w:tcW w:w="1195" w:type="pct"/>
            <w:vAlign w:val="center"/>
          </w:tcPr>
          <w:p>
            <w:pPr>
              <w:pStyle w:val="105"/>
              <w:rPr>
                <w:color w:val="auto"/>
                <w:highlight w:val="none"/>
              </w:rPr>
            </w:pPr>
            <w:r>
              <w:rPr>
                <w:rFonts w:hint="eastAsia"/>
                <w:color w:val="auto"/>
                <w:highlight w:val="none"/>
              </w:rPr>
              <w:t>TSP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92" w:type="pct"/>
            <w:tcMar>
              <w:top w:w="11" w:type="dxa"/>
              <w:left w:w="28" w:type="dxa"/>
              <w:bottom w:w="11" w:type="dxa"/>
              <w:right w:w="28" w:type="dxa"/>
            </w:tcMar>
            <w:vAlign w:val="center"/>
          </w:tcPr>
          <w:p>
            <w:pPr>
              <w:pStyle w:val="105"/>
              <w:rPr>
                <w:color w:val="auto"/>
                <w:highlight w:val="none"/>
              </w:rPr>
            </w:pPr>
            <w:r>
              <w:rPr>
                <w:color w:val="auto"/>
                <w:highlight w:val="none"/>
              </w:rPr>
              <w:t>时间</w:t>
            </w:r>
          </w:p>
        </w:tc>
        <w:tc>
          <w:tcPr>
            <w:tcW w:w="776" w:type="pct"/>
            <w:tcMar>
              <w:top w:w="11" w:type="dxa"/>
              <w:left w:w="28" w:type="dxa"/>
              <w:bottom w:w="11" w:type="dxa"/>
              <w:right w:w="28" w:type="dxa"/>
            </w:tcMar>
            <w:vAlign w:val="center"/>
          </w:tcPr>
          <w:p>
            <w:pPr>
              <w:pStyle w:val="105"/>
              <w:rPr>
                <w:color w:val="auto"/>
                <w:highlight w:val="none"/>
              </w:rPr>
            </w:pPr>
            <w:r>
              <w:rPr>
                <w:color w:val="auto"/>
                <w:highlight w:val="none"/>
              </w:rPr>
              <w:t>02:00</w:t>
            </w:r>
          </w:p>
        </w:tc>
        <w:tc>
          <w:tcPr>
            <w:tcW w:w="776" w:type="pct"/>
            <w:tcMar>
              <w:top w:w="11" w:type="dxa"/>
              <w:left w:w="28" w:type="dxa"/>
              <w:bottom w:w="11" w:type="dxa"/>
              <w:right w:w="28" w:type="dxa"/>
            </w:tcMar>
            <w:vAlign w:val="center"/>
          </w:tcPr>
          <w:p>
            <w:pPr>
              <w:pStyle w:val="105"/>
              <w:rPr>
                <w:color w:val="auto"/>
                <w:highlight w:val="none"/>
              </w:rPr>
            </w:pPr>
            <w:r>
              <w:rPr>
                <w:color w:val="auto"/>
                <w:highlight w:val="none"/>
              </w:rPr>
              <w:t>08:00</w:t>
            </w:r>
          </w:p>
        </w:tc>
        <w:tc>
          <w:tcPr>
            <w:tcW w:w="776" w:type="pct"/>
            <w:tcMar>
              <w:top w:w="11" w:type="dxa"/>
              <w:left w:w="28" w:type="dxa"/>
              <w:bottom w:w="11" w:type="dxa"/>
              <w:right w:w="28" w:type="dxa"/>
            </w:tcMar>
            <w:vAlign w:val="center"/>
          </w:tcPr>
          <w:p>
            <w:pPr>
              <w:pStyle w:val="105"/>
              <w:rPr>
                <w:color w:val="auto"/>
                <w:highlight w:val="none"/>
              </w:rPr>
            </w:pPr>
            <w:r>
              <w:rPr>
                <w:color w:val="auto"/>
                <w:highlight w:val="none"/>
              </w:rPr>
              <w:t>14:00</w:t>
            </w:r>
          </w:p>
        </w:tc>
        <w:tc>
          <w:tcPr>
            <w:tcW w:w="783" w:type="pct"/>
            <w:tcMar>
              <w:top w:w="11" w:type="dxa"/>
              <w:left w:w="28" w:type="dxa"/>
              <w:bottom w:w="11" w:type="dxa"/>
              <w:right w:w="28" w:type="dxa"/>
            </w:tcMar>
            <w:vAlign w:val="center"/>
          </w:tcPr>
          <w:p>
            <w:pPr>
              <w:pStyle w:val="105"/>
              <w:rPr>
                <w:color w:val="auto"/>
                <w:highlight w:val="none"/>
              </w:rPr>
            </w:pPr>
            <w:r>
              <w:rPr>
                <w:color w:val="auto"/>
                <w:highlight w:val="none"/>
              </w:rPr>
              <w:t>20:00</w:t>
            </w:r>
          </w:p>
        </w:tc>
        <w:tc>
          <w:tcPr>
            <w:tcW w:w="1195" w:type="pct"/>
            <w:vAlign w:val="center"/>
          </w:tcPr>
          <w:p>
            <w:pPr>
              <w:pStyle w:val="105"/>
              <w:rPr>
                <w:color w:val="auto"/>
                <w:highlight w:val="none"/>
              </w:rPr>
            </w:pPr>
            <w:r>
              <w:rPr>
                <w:rFonts w:hint="eastAsia"/>
                <w:color w:val="auto"/>
                <w:highlight w:val="none"/>
              </w:rPr>
              <w:t>日均值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92" w:type="pct"/>
            <w:tcMar>
              <w:top w:w="11" w:type="dxa"/>
              <w:left w:w="28" w:type="dxa"/>
              <w:bottom w:w="11" w:type="dxa"/>
              <w:right w:w="28" w:type="dxa"/>
            </w:tcMar>
            <w:vAlign w:val="center"/>
          </w:tcPr>
          <w:p>
            <w:pPr>
              <w:spacing w:line="320" w:lineRule="exact"/>
              <w:jc w:val="center"/>
              <w:rPr>
                <w:color w:val="auto"/>
                <w:szCs w:val="21"/>
                <w:highlight w:val="none"/>
              </w:rPr>
            </w:pPr>
            <w:r>
              <w:rPr>
                <w:bCs/>
                <w:color w:val="auto"/>
                <w:szCs w:val="21"/>
                <w:highlight w:val="none"/>
              </w:rPr>
              <w:t>2022.7.8</w:t>
            </w:r>
          </w:p>
        </w:tc>
        <w:tc>
          <w:tcPr>
            <w:tcW w:w="776" w:type="pct"/>
            <w:tcMar>
              <w:top w:w="11" w:type="dxa"/>
              <w:left w:w="28" w:type="dxa"/>
              <w:bottom w:w="11" w:type="dxa"/>
              <w:right w:w="28" w:type="dxa"/>
            </w:tcMar>
            <w:vAlign w:val="center"/>
          </w:tcPr>
          <w:p>
            <w:pPr>
              <w:pStyle w:val="105"/>
              <w:rPr>
                <w:color w:val="auto"/>
                <w:szCs w:val="21"/>
                <w:highlight w:val="none"/>
              </w:rPr>
            </w:pPr>
            <w:r>
              <w:rPr>
                <w:color w:val="auto"/>
                <w:szCs w:val="21"/>
                <w:highlight w:val="none"/>
              </w:rPr>
              <w:t>/</w:t>
            </w:r>
          </w:p>
        </w:tc>
        <w:tc>
          <w:tcPr>
            <w:tcW w:w="776" w:type="pct"/>
            <w:tcMar>
              <w:top w:w="11" w:type="dxa"/>
              <w:left w:w="28" w:type="dxa"/>
              <w:bottom w:w="11" w:type="dxa"/>
              <w:right w:w="28" w:type="dxa"/>
            </w:tcMar>
            <w:vAlign w:val="center"/>
          </w:tcPr>
          <w:p>
            <w:pPr>
              <w:pStyle w:val="105"/>
              <w:rPr>
                <w:color w:val="auto"/>
                <w:szCs w:val="21"/>
                <w:highlight w:val="none"/>
              </w:rPr>
            </w:pPr>
            <w:r>
              <w:rPr>
                <w:color w:val="auto"/>
                <w:szCs w:val="21"/>
                <w:highlight w:val="none"/>
              </w:rPr>
              <w:t>/</w:t>
            </w:r>
          </w:p>
        </w:tc>
        <w:tc>
          <w:tcPr>
            <w:tcW w:w="776" w:type="pct"/>
            <w:tcMar>
              <w:top w:w="11" w:type="dxa"/>
              <w:left w:w="28" w:type="dxa"/>
              <w:bottom w:w="11" w:type="dxa"/>
              <w:right w:w="28" w:type="dxa"/>
            </w:tcMar>
            <w:vAlign w:val="center"/>
          </w:tcPr>
          <w:p>
            <w:pPr>
              <w:pStyle w:val="105"/>
              <w:rPr>
                <w:color w:val="auto"/>
                <w:szCs w:val="21"/>
                <w:highlight w:val="none"/>
              </w:rPr>
            </w:pPr>
            <w:r>
              <w:rPr>
                <w:color w:val="auto"/>
                <w:szCs w:val="21"/>
                <w:highlight w:val="none"/>
              </w:rPr>
              <w:t>/</w:t>
            </w:r>
          </w:p>
        </w:tc>
        <w:tc>
          <w:tcPr>
            <w:tcW w:w="783" w:type="pct"/>
            <w:tcMar>
              <w:top w:w="11" w:type="dxa"/>
              <w:left w:w="28" w:type="dxa"/>
              <w:bottom w:w="11" w:type="dxa"/>
              <w:right w:w="28" w:type="dxa"/>
            </w:tcMar>
            <w:vAlign w:val="center"/>
          </w:tcPr>
          <w:p>
            <w:pPr>
              <w:pStyle w:val="105"/>
              <w:rPr>
                <w:color w:val="auto"/>
                <w:szCs w:val="21"/>
                <w:highlight w:val="none"/>
              </w:rPr>
            </w:pPr>
            <w:r>
              <w:rPr>
                <w:color w:val="auto"/>
                <w:szCs w:val="21"/>
                <w:highlight w:val="none"/>
              </w:rPr>
              <w:t>0.33</w:t>
            </w:r>
          </w:p>
        </w:tc>
        <w:tc>
          <w:tcPr>
            <w:tcW w:w="2151" w:type="dxa"/>
            <w:vAlign w:val="center"/>
          </w:tcPr>
          <w:p>
            <w:pPr>
              <w:widowControl/>
              <w:jc w:val="center"/>
              <w:textAlignment w:val="center"/>
              <w:rPr>
                <w:color w:val="auto"/>
                <w:szCs w:val="21"/>
                <w:highlight w:val="none"/>
              </w:rPr>
            </w:pPr>
            <w:r>
              <w:rPr>
                <w:color w:val="auto"/>
                <w:kern w:val="0"/>
                <w:szCs w:val="21"/>
                <w:highlight w:val="none"/>
                <w:lang w:bidi="ar"/>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92" w:type="pct"/>
            <w:tcMar>
              <w:top w:w="11" w:type="dxa"/>
              <w:left w:w="28" w:type="dxa"/>
              <w:bottom w:w="11" w:type="dxa"/>
              <w:right w:w="28" w:type="dxa"/>
            </w:tcMar>
            <w:vAlign w:val="center"/>
          </w:tcPr>
          <w:p>
            <w:pPr>
              <w:widowControl/>
              <w:jc w:val="center"/>
              <w:textAlignment w:val="center"/>
              <w:rPr>
                <w:color w:val="auto"/>
                <w:szCs w:val="21"/>
                <w:highlight w:val="none"/>
              </w:rPr>
            </w:pPr>
            <w:r>
              <w:rPr>
                <w:bCs/>
                <w:color w:val="auto"/>
                <w:szCs w:val="21"/>
                <w:highlight w:val="none"/>
              </w:rPr>
              <w:t>2022.7.9</w:t>
            </w:r>
          </w:p>
        </w:tc>
        <w:tc>
          <w:tcPr>
            <w:tcW w:w="1397" w:type="dxa"/>
            <w:tcMar>
              <w:top w:w="11" w:type="dxa"/>
              <w:left w:w="28" w:type="dxa"/>
              <w:bottom w:w="11"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0.31</w:t>
            </w:r>
          </w:p>
        </w:tc>
        <w:tc>
          <w:tcPr>
            <w:tcW w:w="1397" w:type="dxa"/>
            <w:tcMar>
              <w:top w:w="11" w:type="dxa"/>
              <w:left w:w="28" w:type="dxa"/>
              <w:bottom w:w="11"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0.385</w:t>
            </w:r>
          </w:p>
        </w:tc>
        <w:tc>
          <w:tcPr>
            <w:tcW w:w="1397" w:type="dxa"/>
            <w:tcMar>
              <w:top w:w="11" w:type="dxa"/>
              <w:left w:w="28" w:type="dxa"/>
              <w:bottom w:w="11"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0.365</w:t>
            </w:r>
          </w:p>
        </w:tc>
        <w:tc>
          <w:tcPr>
            <w:tcW w:w="1410" w:type="dxa"/>
            <w:tcMar>
              <w:top w:w="11" w:type="dxa"/>
              <w:left w:w="28" w:type="dxa"/>
              <w:bottom w:w="11"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0.36</w:t>
            </w:r>
          </w:p>
        </w:tc>
        <w:tc>
          <w:tcPr>
            <w:tcW w:w="2151" w:type="dxa"/>
            <w:vAlign w:val="center"/>
          </w:tcPr>
          <w:p>
            <w:pPr>
              <w:widowControl/>
              <w:jc w:val="center"/>
              <w:textAlignment w:val="center"/>
              <w:rPr>
                <w:color w:val="auto"/>
                <w:szCs w:val="21"/>
                <w:highlight w:val="none"/>
              </w:rPr>
            </w:pPr>
            <w:r>
              <w:rPr>
                <w:color w:val="auto"/>
                <w:kern w:val="0"/>
                <w:szCs w:val="21"/>
                <w:highlight w:val="none"/>
                <w:lang w:bidi="ar"/>
              </w:rPr>
              <w:t>0.623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92" w:type="pct"/>
            <w:tcMar>
              <w:top w:w="11" w:type="dxa"/>
              <w:left w:w="28" w:type="dxa"/>
              <w:bottom w:w="11" w:type="dxa"/>
              <w:right w:w="28" w:type="dxa"/>
            </w:tcMar>
            <w:vAlign w:val="center"/>
          </w:tcPr>
          <w:p>
            <w:pPr>
              <w:widowControl/>
              <w:jc w:val="center"/>
              <w:textAlignment w:val="center"/>
              <w:rPr>
                <w:color w:val="auto"/>
                <w:szCs w:val="21"/>
                <w:highlight w:val="none"/>
              </w:rPr>
            </w:pPr>
            <w:r>
              <w:rPr>
                <w:bCs/>
                <w:color w:val="auto"/>
                <w:szCs w:val="21"/>
                <w:highlight w:val="none"/>
              </w:rPr>
              <w:t>2022.7.10</w:t>
            </w:r>
          </w:p>
        </w:tc>
        <w:tc>
          <w:tcPr>
            <w:tcW w:w="1397" w:type="dxa"/>
            <w:tcMar>
              <w:top w:w="11" w:type="dxa"/>
              <w:left w:w="28" w:type="dxa"/>
              <w:bottom w:w="11"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0.31</w:t>
            </w:r>
          </w:p>
        </w:tc>
        <w:tc>
          <w:tcPr>
            <w:tcW w:w="1397" w:type="dxa"/>
            <w:tcMar>
              <w:top w:w="11" w:type="dxa"/>
              <w:left w:w="28" w:type="dxa"/>
              <w:bottom w:w="11"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0.37</w:t>
            </w:r>
          </w:p>
        </w:tc>
        <w:tc>
          <w:tcPr>
            <w:tcW w:w="1397" w:type="dxa"/>
            <w:tcMar>
              <w:top w:w="11" w:type="dxa"/>
              <w:left w:w="28" w:type="dxa"/>
              <w:bottom w:w="11"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0.37</w:t>
            </w:r>
          </w:p>
        </w:tc>
        <w:tc>
          <w:tcPr>
            <w:tcW w:w="1410" w:type="dxa"/>
            <w:tcMar>
              <w:top w:w="11" w:type="dxa"/>
              <w:left w:w="28" w:type="dxa"/>
              <w:bottom w:w="11"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0.35</w:t>
            </w:r>
          </w:p>
        </w:tc>
        <w:tc>
          <w:tcPr>
            <w:tcW w:w="2151" w:type="dxa"/>
            <w:vAlign w:val="center"/>
          </w:tcPr>
          <w:p>
            <w:pPr>
              <w:widowControl/>
              <w:jc w:val="center"/>
              <w:textAlignment w:val="center"/>
              <w:rPr>
                <w:color w:val="auto"/>
                <w:szCs w:val="21"/>
                <w:highlight w:val="none"/>
              </w:rPr>
            </w:pPr>
            <w:r>
              <w:rPr>
                <w:color w:val="auto"/>
                <w:kern w:val="0"/>
                <w:szCs w:val="21"/>
                <w:highlight w:val="none"/>
                <w:lang w:bidi="ar"/>
              </w:rPr>
              <w:t>0.793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92" w:type="pct"/>
            <w:tcMar>
              <w:top w:w="11" w:type="dxa"/>
              <w:left w:w="28" w:type="dxa"/>
              <w:bottom w:w="11" w:type="dxa"/>
              <w:right w:w="28" w:type="dxa"/>
            </w:tcMar>
            <w:vAlign w:val="center"/>
          </w:tcPr>
          <w:p>
            <w:pPr>
              <w:widowControl/>
              <w:jc w:val="center"/>
              <w:textAlignment w:val="center"/>
              <w:rPr>
                <w:color w:val="auto"/>
                <w:szCs w:val="21"/>
                <w:highlight w:val="none"/>
              </w:rPr>
            </w:pPr>
            <w:r>
              <w:rPr>
                <w:bCs/>
                <w:color w:val="auto"/>
                <w:szCs w:val="21"/>
                <w:highlight w:val="none"/>
              </w:rPr>
              <w:t>2022.7.11</w:t>
            </w:r>
          </w:p>
        </w:tc>
        <w:tc>
          <w:tcPr>
            <w:tcW w:w="1397" w:type="dxa"/>
            <w:tcMar>
              <w:top w:w="11" w:type="dxa"/>
              <w:left w:w="28" w:type="dxa"/>
              <w:bottom w:w="11"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0.33</w:t>
            </w:r>
          </w:p>
        </w:tc>
        <w:tc>
          <w:tcPr>
            <w:tcW w:w="1397" w:type="dxa"/>
            <w:tcMar>
              <w:top w:w="11" w:type="dxa"/>
              <w:left w:w="28" w:type="dxa"/>
              <w:bottom w:w="11"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0.4</w:t>
            </w:r>
          </w:p>
        </w:tc>
        <w:tc>
          <w:tcPr>
            <w:tcW w:w="1397" w:type="dxa"/>
            <w:tcMar>
              <w:top w:w="11" w:type="dxa"/>
              <w:left w:w="28" w:type="dxa"/>
              <w:bottom w:w="11"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0.415</w:t>
            </w:r>
          </w:p>
        </w:tc>
        <w:tc>
          <w:tcPr>
            <w:tcW w:w="1410" w:type="dxa"/>
            <w:tcMar>
              <w:top w:w="11" w:type="dxa"/>
              <w:left w:w="28" w:type="dxa"/>
              <w:bottom w:w="11"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0.315</w:t>
            </w:r>
          </w:p>
        </w:tc>
        <w:tc>
          <w:tcPr>
            <w:tcW w:w="2151" w:type="dxa"/>
            <w:vAlign w:val="center"/>
          </w:tcPr>
          <w:p>
            <w:pPr>
              <w:widowControl/>
              <w:jc w:val="center"/>
              <w:textAlignment w:val="center"/>
              <w:rPr>
                <w:color w:val="auto"/>
                <w:szCs w:val="21"/>
                <w:highlight w:val="none"/>
              </w:rPr>
            </w:pPr>
            <w:r>
              <w:rPr>
                <w:color w:val="auto"/>
                <w:kern w:val="0"/>
                <w:szCs w:val="21"/>
                <w:highlight w:val="none"/>
                <w:lang w:bidi="ar"/>
              </w:rPr>
              <w:t>0.727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92" w:type="pct"/>
            <w:tcMar>
              <w:top w:w="11" w:type="dxa"/>
              <w:left w:w="28" w:type="dxa"/>
              <w:bottom w:w="11" w:type="dxa"/>
              <w:right w:w="28" w:type="dxa"/>
            </w:tcMar>
            <w:vAlign w:val="center"/>
          </w:tcPr>
          <w:p>
            <w:pPr>
              <w:spacing w:line="320" w:lineRule="exact"/>
              <w:jc w:val="center"/>
              <w:rPr>
                <w:color w:val="auto"/>
                <w:szCs w:val="21"/>
                <w:highlight w:val="none"/>
              </w:rPr>
            </w:pPr>
            <w:r>
              <w:rPr>
                <w:bCs/>
                <w:color w:val="auto"/>
                <w:szCs w:val="21"/>
                <w:highlight w:val="none"/>
              </w:rPr>
              <w:t>2022.7.12</w:t>
            </w:r>
          </w:p>
        </w:tc>
        <w:tc>
          <w:tcPr>
            <w:tcW w:w="1397" w:type="dxa"/>
            <w:tcMar>
              <w:top w:w="11" w:type="dxa"/>
              <w:left w:w="28" w:type="dxa"/>
              <w:bottom w:w="11"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0.305</w:t>
            </w:r>
          </w:p>
        </w:tc>
        <w:tc>
          <w:tcPr>
            <w:tcW w:w="1397" w:type="dxa"/>
            <w:tcMar>
              <w:top w:w="11" w:type="dxa"/>
              <w:left w:w="28" w:type="dxa"/>
              <w:bottom w:w="11"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0.355</w:t>
            </w:r>
          </w:p>
        </w:tc>
        <w:tc>
          <w:tcPr>
            <w:tcW w:w="1397" w:type="dxa"/>
            <w:tcMar>
              <w:top w:w="11" w:type="dxa"/>
              <w:left w:w="28" w:type="dxa"/>
              <w:bottom w:w="11"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0.355</w:t>
            </w:r>
          </w:p>
        </w:tc>
        <w:tc>
          <w:tcPr>
            <w:tcW w:w="1410" w:type="dxa"/>
            <w:tcMar>
              <w:top w:w="11" w:type="dxa"/>
              <w:left w:w="28" w:type="dxa"/>
              <w:bottom w:w="11"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0.315</w:t>
            </w:r>
          </w:p>
        </w:tc>
        <w:tc>
          <w:tcPr>
            <w:tcW w:w="2151" w:type="dxa"/>
            <w:vAlign w:val="center"/>
          </w:tcPr>
          <w:p>
            <w:pPr>
              <w:widowControl/>
              <w:jc w:val="center"/>
              <w:textAlignment w:val="center"/>
              <w:rPr>
                <w:color w:val="auto"/>
                <w:szCs w:val="21"/>
                <w:highlight w:val="none"/>
              </w:rPr>
            </w:pPr>
            <w:r>
              <w:rPr>
                <w:color w:val="auto"/>
                <w:kern w:val="0"/>
                <w:szCs w:val="21"/>
                <w:highlight w:val="none"/>
                <w:lang w:bidi="ar"/>
              </w:rPr>
              <w:t>0.667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92" w:type="pct"/>
            <w:tcMar>
              <w:top w:w="11" w:type="dxa"/>
              <w:left w:w="28" w:type="dxa"/>
              <w:bottom w:w="11" w:type="dxa"/>
              <w:right w:w="28" w:type="dxa"/>
            </w:tcMar>
            <w:vAlign w:val="center"/>
          </w:tcPr>
          <w:p>
            <w:pPr>
              <w:widowControl/>
              <w:jc w:val="center"/>
              <w:textAlignment w:val="center"/>
              <w:rPr>
                <w:color w:val="auto"/>
                <w:szCs w:val="21"/>
                <w:highlight w:val="none"/>
              </w:rPr>
            </w:pPr>
            <w:r>
              <w:rPr>
                <w:bCs/>
                <w:color w:val="auto"/>
                <w:szCs w:val="21"/>
                <w:highlight w:val="none"/>
              </w:rPr>
              <w:t>2022.7.13</w:t>
            </w:r>
          </w:p>
        </w:tc>
        <w:tc>
          <w:tcPr>
            <w:tcW w:w="1397" w:type="dxa"/>
            <w:tcMar>
              <w:top w:w="11" w:type="dxa"/>
              <w:left w:w="28" w:type="dxa"/>
              <w:bottom w:w="11"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0.295</w:t>
            </w:r>
          </w:p>
        </w:tc>
        <w:tc>
          <w:tcPr>
            <w:tcW w:w="1397" w:type="dxa"/>
            <w:tcMar>
              <w:top w:w="11" w:type="dxa"/>
              <w:left w:w="28" w:type="dxa"/>
              <w:bottom w:w="11"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0.345</w:t>
            </w:r>
          </w:p>
        </w:tc>
        <w:tc>
          <w:tcPr>
            <w:tcW w:w="1397" w:type="dxa"/>
            <w:tcMar>
              <w:top w:w="11" w:type="dxa"/>
              <w:left w:w="28" w:type="dxa"/>
              <w:bottom w:w="11"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0.37</w:t>
            </w:r>
          </w:p>
        </w:tc>
        <w:tc>
          <w:tcPr>
            <w:tcW w:w="1410" w:type="dxa"/>
            <w:tcMar>
              <w:top w:w="11" w:type="dxa"/>
              <w:left w:w="28" w:type="dxa"/>
              <w:bottom w:w="11"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0.33</w:t>
            </w:r>
          </w:p>
        </w:tc>
        <w:tc>
          <w:tcPr>
            <w:tcW w:w="2151" w:type="dxa"/>
            <w:vAlign w:val="center"/>
          </w:tcPr>
          <w:p>
            <w:pPr>
              <w:widowControl/>
              <w:jc w:val="center"/>
              <w:textAlignment w:val="center"/>
              <w:rPr>
                <w:color w:val="auto"/>
                <w:szCs w:val="21"/>
                <w:highlight w:val="none"/>
              </w:rPr>
            </w:pPr>
            <w:r>
              <w:rPr>
                <w:color w:val="auto"/>
                <w:kern w:val="0"/>
                <w:szCs w:val="21"/>
                <w:highlight w:val="none"/>
                <w:lang w:bidi="ar"/>
              </w:rPr>
              <w:t>0.827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92" w:type="pct"/>
            <w:tcMar>
              <w:top w:w="11" w:type="dxa"/>
              <w:left w:w="28" w:type="dxa"/>
              <w:bottom w:w="11" w:type="dxa"/>
              <w:right w:w="28" w:type="dxa"/>
            </w:tcMar>
            <w:vAlign w:val="center"/>
          </w:tcPr>
          <w:p>
            <w:pPr>
              <w:widowControl/>
              <w:jc w:val="center"/>
              <w:textAlignment w:val="center"/>
              <w:rPr>
                <w:color w:val="auto"/>
                <w:szCs w:val="21"/>
                <w:highlight w:val="none"/>
              </w:rPr>
            </w:pPr>
            <w:r>
              <w:rPr>
                <w:bCs/>
                <w:color w:val="auto"/>
                <w:szCs w:val="21"/>
                <w:highlight w:val="none"/>
              </w:rPr>
              <w:t>2022.7.14</w:t>
            </w:r>
          </w:p>
        </w:tc>
        <w:tc>
          <w:tcPr>
            <w:tcW w:w="1397" w:type="dxa"/>
            <w:tcMar>
              <w:top w:w="11" w:type="dxa"/>
              <w:left w:w="28" w:type="dxa"/>
              <w:bottom w:w="11"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0.305</w:t>
            </w:r>
          </w:p>
        </w:tc>
        <w:tc>
          <w:tcPr>
            <w:tcW w:w="1397" w:type="dxa"/>
            <w:tcMar>
              <w:top w:w="11" w:type="dxa"/>
              <w:left w:w="28" w:type="dxa"/>
              <w:bottom w:w="11"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0.365</w:t>
            </w:r>
          </w:p>
        </w:tc>
        <w:tc>
          <w:tcPr>
            <w:tcW w:w="1397" w:type="dxa"/>
            <w:tcMar>
              <w:top w:w="11" w:type="dxa"/>
              <w:left w:w="28" w:type="dxa"/>
              <w:bottom w:w="11"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0.38</w:t>
            </w:r>
          </w:p>
        </w:tc>
        <w:tc>
          <w:tcPr>
            <w:tcW w:w="1410" w:type="dxa"/>
            <w:tcMar>
              <w:top w:w="11" w:type="dxa"/>
              <w:left w:w="28" w:type="dxa"/>
              <w:bottom w:w="11"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0.36</w:t>
            </w:r>
          </w:p>
        </w:tc>
        <w:tc>
          <w:tcPr>
            <w:tcW w:w="2151" w:type="dxa"/>
            <w:vAlign w:val="center"/>
          </w:tcPr>
          <w:p>
            <w:pPr>
              <w:widowControl/>
              <w:jc w:val="center"/>
              <w:textAlignment w:val="center"/>
              <w:rPr>
                <w:color w:val="auto"/>
                <w:szCs w:val="21"/>
                <w:highlight w:val="none"/>
              </w:rPr>
            </w:pPr>
            <w:r>
              <w:rPr>
                <w:color w:val="auto"/>
                <w:kern w:val="0"/>
                <w:szCs w:val="21"/>
                <w:highlight w:val="none"/>
                <w:lang w:bidi="ar"/>
              </w:rPr>
              <w:t>0.650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92" w:type="pct"/>
            <w:tcMar>
              <w:top w:w="11" w:type="dxa"/>
              <w:left w:w="28" w:type="dxa"/>
              <w:bottom w:w="11" w:type="dxa"/>
              <w:right w:w="28" w:type="dxa"/>
            </w:tcMar>
            <w:vAlign w:val="center"/>
          </w:tcPr>
          <w:p>
            <w:pPr>
              <w:spacing w:line="320" w:lineRule="exact"/>
              <w:jc w:val="center"/>
              <w:rPr>
                <w:color w:val="auto"/>
                <w:szCs w:val="21"/>
                <w:highlight w:val="none"/>
              </w:rPr>
            </w:pPr>
            <w:r>
              <w:rPr>
                <w:bCs/>
                <w:color w:val="auto"/>
                <w:szCs w:val="21"/>
                <w:highlight w:val="none"/>
              </w:rPr>
              <w:t>2022.7.15</w:t>
            </w:r>
          </w:p>
        </w:tc>
        <w:tc>
          <w:tcPr>
            <w:tcW w:w="1397" w:type="dxa"/>
            <w:tcMar>
              <w:top w:w="11" w:type="dxa"/>
              <w:left w:w="28" w:type="dxa"/>
              <w:bottom w:w="11"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0.34</w:t>
            </w:r>
          </w:p>
        </w:tc>
        <w:tc>
          <w:tcPr>
            <w:tcW w:w="1397" w:type="dxa"/>
            <w:tcMar>
              <w:top w:w="11" w:type="dxa"/>
              <w:left w:w="28" w:type="dxa"/>
              <w:bottom w:w="11"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0.37</w:t>
            </w:r>
          </w:p>
        </w:tc>
        <w:tc>
          <w:tcPr>
            <w:tcW w:w="1397" w:type="dxa"/>
            <w:tcMar>
              <w:top w:w="11" w:type="dxa"/>
              <w:left w:w="28" w:type="dxa"/>
              <w:bottom w:w="11"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0.385</w:t>
            </w:r>
          </w:p>
        </w:tc>
        <w:tc>
          <w:tcPr>
            <w:tcW w:w="1410" w:type="dxa"/>
            <w:tcMar>
              <w:top w:w="11" w:type="dxa"/>
              <w:left w:w="28" w:type="dxa"/>
              <w:bottom w:w="11" w:type="dxa"/>
              <w:right w:w="28" w:type="dxa"/>
            </w:tcMar>
            <w:vAlign w:val="center"/>
          </w:tcPr>
          <w:p>
            <w:pPr>
              <w:widowControl/>
              <w:jc w:val="center"/>
              <w:textAlignment w:val="center"/>
              <w:rPr>
                <w:color w:val="auto"/>
                <w:szCs w:val="21"/>
                <w:highlight w:val="none"/>
              </w:rPr>
            </w:pPr>
            <w:r>
              <w:rPr>
                <w:color w:val="auto"/>
                <w:szCs w:val="21"/>
                <w:highlight w:val="none"/>
              </w:rPr>
              <w:t>/</w:t>
            </w:r>
          </w:p>
        </w:tc>
        <w:tc>
          <w:tcPr>
            <w:tcW w:w="1195" w:type="pct"/>
            <w:vAlign w:val="center"/>
          </w:tcPr>
          <w:p>
            <w:pPr>
              <w:pStyle w:val="105"/>
              <w:rPr>
                <w:color w:val="auto"/>
                <w:szCs w:val="21"/>
                <w:highlight w:val="none"/>
              </w:rPr>
            </w:pPr>
            <w:r>
              <w:rPr>
                <w:color w:val="auto"/>
                <w:szCs w:val="21"/>
                <w:highlight w:val="none"/>
              </w:rPr>
              <w:t>/</w:t>
            </w:r>
          </w:p>
        </w:tc>
      </w:tr>
    </w:tbl>
    <w:p>
      <w:pPr>
        <w:pStyle w:val="103"/>
        <w:rPr>
          <w:rFonts w:ascii="Times New Roman" w:hAnsi="Times New Roman"/>
          <w:color w:val="auto"/>
          <w:highlight w:val="none"/>
        </w:rPr>
      </w:pPr>
      <w:r>
        <w:rPr>
          <w:rFonts w:ascii="Times New Roman" w:hAnsi="Times New Roman"/>
          <w:bCs/>
          <w:color w:val="auto"/>
          <w:highlight w:val="none"/>
        </w:rPr>
        <w:t>表3.3-</w:t>
      </w:r>
      <w:r>
        <w:rPr>
          <w:rFonts w:hint="eastAsia" w:ascii="Times New Roman" w:hAnsi="Times New Roman"/>
          <w:bCs/>
          <w:color w:val="auto"/>
          <w:highlight w:val="none"/>
        </w:rPr>
        <w:t>7</w:t>
      </w:r>
      <w:r>
        <w:rPr>
          <w:rFonts w:ascii="Times New Roman" w:hAnsi="Times New Roman"/>
          <w:bCs/>
          <w:color w:val="auto"/>
          <w:highlight w:val="none"/>
        </w:rPr>
        <w:t xml:space="preserve">   </w:t>
      </w:r>
      <w:r>
        <w:rPr>
          <w:rFonts w:ascii="Times New Roman" w:hAnsi="Times New Roman"/>
          <w:color w:val="auto"/>
          <w:highlight w:val="none"/>
        </w:rPr>
        <w:t>环境空气现状评价结果统计表</w:t>
      </w:r>
    </w:p>
    <w:tbl>
      <w:tblPr>
        <w:tblStyle w:val="59"/>
        <w:tblW w:w="5114"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454"/>
        <w:gridCol w:w="1284"/>
        <w:gridCol w:w="1286"/>
        <w:gridCol w:w="1290"/>
        <w:gridCol w:w="1286"/>
        <w:gridCol w:w="1288"/>
        <w:gridCol w:w="115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04" w:type="pct"/>
            <w:vMerge w:val="restart"/>
            <w:tcMar>
              <w:top w:w="0" w:type="dxa"/>
              <w:left w:w="28" w:type="dxa"/>
              <w:bottom w:w="0" w:type="dxa"/>
              <w:right w:w="28" w:type="dxa"/>
            </w:tcMar>
            <w:vAlign w:val="center"/>
          </w:tcPr>
          <w:p>
            <w:pPr>
              <w:widowControl/>
              <w:spacing w:line="240" w:lineRule="exact"/>
              <w:jc w:val="center"/>
              <w:rPr>
                <w:color w:val="auto"/>
                <w:highlight w:val="none"/>
              </w:rPr>
            </w:pPr>
            <w:r>
              <w:rPr>
                <w:color w:val="auto"/>
                <w:highlight w:val="none"/>
              </w:rPr>
              <w:t>项目</w:t>
            </w:r>
          </w:p>
        </w:tc>
        <w:tc>
          <w:tcPr>
            <w:tcW w:w="4195" w:type="pct"/>
            <w:gridSpan w:val="6"/>
            <w:tcMar>
              <w:top w:w="0" w:type="dxa"/>
              <w:left w:w="28" w:type="dxa"/>
              <w:bottom w:w="0" w:type="dxa"/>
              <w:right w:w="28" w:type="dxa"/>
            </w:tcMar>
            <w:vAlign w:val="center"/>
          </w:tcPr>
          <w:p>
            <w:pPr>
              <w:widowControl/>
              <w:spacing w:line="240" w:lineRule="exact"/>
              <w:jc w:val="center"/>
              <w:rPr>
                <w:color w:val="auto"/>
                <w:highlight w:val="none"/>
              </w:rPr>
            </w:pPr>
            <w:r>
              <w:rPr>
                <w:color w:val="auto"/>
                <w:highlight w:val="none"/>
              </w:rPr>
              <w:t>小时平均值</w:t>
            </w:r>
            <w:r>
              <w:rPr>
                <w:rFonts w:hint="eastAsia"/>
                <w:color w:val="auto"/>
                <w:highlight w:val="none"/>
              </w:rPr>
              <w:t>（TSP为日均值，其他为小时值）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04" w:type="pct"/>
            <w:vMerge w:val="continue"/>
            <w:vAlign w:val="center"/>
          </w:tcPr>
          <w:p>
            <w:pPr>
              <w:widowControl/>
              <w:jc w:val="center"/>
              <w:rPr>
                <w:color w:val="auto"/>
                <w:highlight w:val="none"/>
              </w:rPr>
            </w:pPr>
          </w:p>
        </w:tc>
        <w:tc>
          <w:tcPr>
            <w:tcW w:w="2134" w:type="pct"/>
            <w:gridSpan w:val="3"/>
            <w:vAlign w:val="center"/>
          </w:tcPr>
          <w:p>
            <w:pPr>
              <w:widowControl/>
              <w:spacing w:line="240" w:lineRule="exact"/>
              <w:jc w:val="center"/>
              <w:rPr>
                <w:color w:val="auto"/>
                <w:highlight w:val="none"/>
              </w:rPr>
            </w:pPr>
            <w:r>
              <w:rPr>
                <w:color w:val="auto"/>
                <w:highlight w:val="none"/>
              </w:rPr>
              <w:t>浓度范围mg/m</w:t>
            </w:r>
            <w:r>
              <w:rPr>
                <w:color w:val="auto"/>
                <w:highlight w:val="none"/>
                <w:vertAlign w:val="superscript"/>
              </w:rPr>
              <w:t>3</w:t>
            </w:r>
          </w:p>
        </w:tc>
        <w:tc>
          <w:tcPr>
            <w:tcW w:w="1423" w:type="pct"/>
            <w:gridSpan w:val="2"/>
            <w:tcMar>
              <w:left w:w="28" w:type="dxa"/>
              <w:right w:w="28" w:type="dxa"/>
            </w:tcMar>
            <w:vAlign w:val="center"/>
          </w:tcPr>
          <w:p>
            <w:pPr>
              <w:widowControl/>
              <w:spacing w:line="240" w:lineRule="exact"/>
              <w:jc w:val="center"/>
              <w:rPr>
                <w:color w:val="auto"/>
                <w:highlight w:val="none"/>
              </w:rPr>
            </w:pPr>
            <w:r>
              <w:rPr>
                <w:color w:val="auto"/>
                <w:highlight w:val="none"/>
              </w:rPr>
              <w:t>指数范围</w:t>
            </w:r>
          </w:p>
        </w:tc>
        <w:tc>
          <w:tcPr>
            <w:tcW w:w="636" w:type="pct"/>
            <w:vMerge w:val="restart"/>
            <w:tcMar>
              <w:top w:w="0" w:type="dxa"/>
              <w:left w:w="28" w:type="dxa"/>
              <w:bottom w:w="0" w:type="dxa"/>
              <w:right w:w="28" w:type="dxa"/>
            </w:tcMar>
            <w:vAlign w:val="center"/>
          </w:tcPr>
          <w:p>
            <w:pPr>
              <w:widowControl/>
              <w:spacing w:line="240" w:lineRule="exact"/>
              <w:jc w:val="center"/>
              <w:rPr>
                <w:color w:val="auto"/>
                <w:highlight w:val="none"/>
              </w:rPr>
            </w:pPr>
            <w:r>
              <w:rPr>
                <w:color w:val="auto"/>
                <w:highlight w:val="none"/>
              </w:rPr>
              <w:t>超标概率(%)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04" w:type="pct"/>
            <w:vMerge w:val="continue"/>
            <w:vAlign w:val="center"/>
          </w:tcPr>
          <w:p>
            <w:pPr>
              <w:widowControl/>
              <w:jc w:val="center"/>
              <w:rPr>
                <w:color w:val="auto"/>
                <w:highlight w:val="none"/>
              </w:rPr>
            </w:pPr>
          </w:p>
        </w:tc>
        <w:tc>
          <w:tcPr>
            <w:tcW w:w="710" w:type="pct"/>
            <w:tcMar>
              <w:left w:w="28" w:type="dxa"/>
              <w:right w:w="28" w:type="dxa"/>
            </w:tcMar>
            <w:vAlign w:val="center"/>
          </w:tcPr>
          <w:p>
            <w:pPr>
              <w:widowControl/>
              <w:spacing w:line="240" w:lineRule="exact"/>
              <w:jc w:val="center"/>
              <w:rPr>
                <w:color w:val="auto"/>
                <w:highlight w:val="none"/>
              </w:rPr>
            </w:pPr>
            <w:r>
              <w:rPr>
                <w:color w:val="auto"/>
                <w:highlight w:val="none"/>
              </w:rPr>
              <w:t>最小值</w:t>
            </w:r>
          </w:p>
        </w:tc>
        <w:tc>
          <w:tcPr>
            <w:tcW w:w="711" w:type="pct"/>
            <w:tcMar>
              <w:left w:w="28" w:type="dxa"/>
              <w:right w:w="28" w:type="dxa"/>
            </w:tcMar>
            <w:vAlign w:val="center"/>
          </w:tcPr>
          <w:p>
            <w:pPr>
              <w:widowControl/>
              <w:spacing w:line="240" w:lineRule="exact"/>
              <w:jc w:val="center"/>
              <w:rPr>
                <w:color w:val="auto"/>
                <w:highlight w:val="none"/>
              </w:rPr>
            </w:pPr>
            <w:r>
              <w:rPr>
                <w:color w:val="auto"/>
                <w:highlight w:val="none"/>
              </w:rPr>
              <w:t>最大值</w:t>
            </w:r>
          </w:p>
        </w:tc>
        <w:tc>
          <w:tcPr>
            <w:tcW w:w="711" w:type="pct"/>
            <w:vAlign w:val="center"/>
          </w:tcPr>
          <w:p>
            <w:pPr>
              <w:widowControl/>
              <w:spacing w:line="240" w:lineRule="exact"/>
              <w:jc w:val="center"/>
              <w:rPr>
                <w:color w:val="auto"/>
                <w:highlight w:val="none"/>
              </w:rPr>
            </w:pPr>
            <w:r>
              <w:rPr>
                <w:color w:val="auto"/>
                <w:highlight w:val="none"/>
              </w:rPr>
              <w:t>平均值</w:t>
            </w:r>
          </w:p>
        </w:tc>
        <w:tc>
          <w:tcPr>
            <w:tcW w:w="711" w:type="pct"/>
            <w:tcMar>
              <w:left w:w="28" w:type="dxa"/>
              <w:right w:w="28" w:type="dxa"/>
            </w:tcMar>
            <w:vAlign w:val="center"/>
          </w:tcPr>
          <w:p>
            <w:pPr>
              <w:widowControl/>
              <w:spacing w:line="240" w:lineRule="exact"/>
              <w:jc w:val="center"/>
              <w:rPr>
                <w:color w:val="auto"/>
                <w:highlight w:val="none"/>
              </w:rPr>
            </w:pPr>
            <w:r>
              <w:rPr>
                <w:color w:val="auto"/>
                <w:highlight w:val="none"/>
              </w:rPr>
              <w:t>最小值</w:t>
            </w:r>
          </w:p>
        </w:tc>
        <w:tc>
          <w:tcPr>
            <w:tcW w:w="711" w:type="pct"/>
            <w:tcMar>
              <w:left w:w="28" w:type="dxa"/>
              <w:right w:w="28" w:type="dxa"/>
            </w:tcMar>
            <w:vAlign w:val="center"/>
          </w:tcPr>
          <w:p>
            <w:pPr>
              <w:widowControl/>
              <w:spacing w:line="240" w:lineRule="exact"/>
              <w:jc w:val="center"/>
              <w:rPr>
                <w:color w:val="auto"/>
                <w:highlight w:val="none"/>
              </w:rPr>
            </w:pPr>
            <w:r>
              <w:rPr>
                <w:color w:val="auto"/>
                <w:highlight w:val="none"/>
              </w:rPr>
              <w:t>最大值</w:t>
            </w:r>
          </w:p>
        </w:tc>
        <w:tc>
          <w:tcPr>
            <w:tcW w:w="636" w:type="pct"/>
            <w:vMerge w:val="continue"/>
            <w:tcMar>
              <w:left w:w="28" w:type="dxa"/>
              <w:right w:w="28" w:type="dxa"/>
            </w:tcMar>
            <w:vAlign w:val="center"/>
          </w:tcPr>
          <w:p>
            <w:pPr>
              <w:widowControl/>
              <w:jc w:val="center"/>
              <w:rPr>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04" w:type="pct"/>
            <w:vAlign w:val="center"/>
          </w:tcPr>
          <w:p>
            <w:pPr>
              <w:jc w:val="center"/>
              <w:rPr>
                <w:color w:val="auto"/>
                <w:highlight w:val="none"/>
              </w:rPr>
            </w:pPr>
            <w:r>
              <w:rPr>
                <w:rFonts w:hint="eastAsia"/>
                <w:color w:val="auto"/>
                <w:highlight w:val="none"/>
              </w:rPr>
              <w:t>VOCs（以非甲烷总烃计）</w:t>
            </w:r>
          </w:p>
        </w:tc>
        <w:tc>
          <w:tcPr>
            <w:tcW w:w="710" w:type="pct"/>
            <w:vAlign w:val="center"/>
          </w:tcPr>
          <w:p>
            <w:pPr>
              <w:jc w:val="center"/>
              <w:rPr>
                <w:color w:val="auto"/>
                <w:highlight w:val="none"/>
              </w:rPr>
            </w:pPr>
            <w:r>
              <w:rPr>
                <w:rFonts w:hint="eastAsia"/>
                <w:color w:val="auto"/>
                <w:highlight w:val="none"/>
              </w:rPr>
              <w:t>0</w:t>
            </w:r>
            <w:r>
              <w:rPr>
                <w:color w:val="auto"/>
                <w:highlight w:val="none"/>
              </w:rPr>
              <w:t>.</w:t>
            </w:r>
            <w:r>
              <w:rPr>
                <w:rFonts w:hint="eastAsia"/>
                <w:color w:val="auto"/>
                <w:highlight w:val="none"/>
              </w:rPr>
              <w:t>59</w:t>
            </w:r>
          </w:p>
        </w:tc>
        <w:tc>
          <w:tcPr>
            <w:tcW w:w="711" w:type="pct"/>
            <w:vAlign w:val="center"/>
          </w:tcPr>
          <w:p>
            <w:pPr>
              <w:jc w:val="center"/>
              <w:rPr>
                <w:color w:val="auto"/>
                <w:highlight w:val="none"/>
              </w:rPr>
            </w:pPr>
            <w:r>
              <w:rPr>
                <w:rFonts w:hint="eastAsia"/>
                <w:color w:val="auto"/>
                <w:highlight w:val="none"/>
              </w:rPr>
              <w:t>0</w:t>
            </w:r>
            <w:r>
              <w:rPr>
                <w:color w:val="auto"/>
                <w:highlight w:val="none"/>
              </w:rPr>
              <w:t>.</w:t>
            </w:r>
            <w:r>
              <w:rPr>
                <w:rFonts w:hint="eastAsia"/>
                <w:color w:val="auto"/>
                <w:highlight w:val="none"/>
              </w:rPr>
              <w:t>83</w:t>
            </w:r>
          </w:p>
        </w:tc>
        <w:tc>
          <w:tcPr>
            <w:tcW w:w="711" w:type="pct"/>
            <w:vAlign w:val="center"/>
          </w:tcPr>
          <w:p>
            <w:pPr>
              <w:jc w:val="center"/>
              <w:rPr>
                <w:color w:val="auto"/>
                <w:highlight w:val="none"/>
              </w:rPr>
            </w:pPr>
            <w:r>
              <w:rPr>
                <w:rFonts w:hint="eastAsia"/>
                <w:color w:val="auto"/>
                <w:highlight w:val="none"/>
              </w:rPr>
              <w:t>0</w:t>
            </w:r>
            <w:r>
              <w:rPr>
                <w:color w:val="auto"/>
                <w:highlight w:val="none"/>
              </w:rPr>
              <w:t>.</w:t>
            </w:r>
            <w:r>
              <w:rPr>
                <w:rFonts w:hint="eastAsia"/>
                <w:color w:val="auto"/>
                <w:highlight w:val="none"/>
              </w:rPr>
              <w:t>71</w:t>
            </w:r>
          </w:p>
        </w:tc>
        <w:tc>
          <w:tcPr>
            <w:tcW w:w="711" w:type="pct"/>
            <w:tcMar>
              <w:top w:w="0" w:type="dxa"/>
              <w:left w:w="28" w:type="dxa"/>
              <w:bottom w:w="0" w:type="dxa"/>
              <w:right w:w="28" w:type="dxa"/>
            </w:tcMar>
            <w:vAlign w:val="center"/>
          </w:tcPr>
          <w:p>
            <w:pPr>
              <w:jc w:val="center"/>
              <w:rPr>
                <w:color w:val="auto"/>
                <w:highlight w:val="none"/>
              </w:rPr>
            </w:pPr>
            <w:r>
              <w:rPr>
                <w:rFonts w:hint="eastAsia"/>
                <w:color w:val="auto"/>
                <w:highlight w:val="none"/>
              </w:rPr>
              <w:t>0</w:t>
            </w:r>
            <w:r>
              <w:rPr>
                <w:color w:val="auto"/>
                <w:highlight w:val="none"/>
              </w:rPr>
              <w:t>.2</w:t>
            </w:r>
            <w:r>
              <w:rPr>
                <w:rFonts w:hint="eastAsia"/>
                <w:color w:val="auto"/>
                <w:highlight w:val="none"/>
              </w:rPr>
              <w:t>95</w:t>
            </w:r>
          </w:p>
        </w:tc>
        <w:tc>
          <w:tcPr>
            <w:tcW w:w="711" w:type="pct"/>
            <w:tcMar>
              <w:top w:w="0" w:type="dxa"/>
              <w:left w:w="28" w:type="dxa"/>
              <w:bottom w:w="0" w:type="dxa"/>
              <w:right w:w="28" w:type="dxa"/>
            </w:tcMar>
            <w:vAlign w:val="center"/>
          </w:tcPr>
          <w:p>
            <w:pPr>
              <w:jc w:val="center"/>
              <w:rPr>
                <w:color w:val="auto"/>
                <w:highlight w:val="none"/>
              </w:rPr>
            </w:pPr>
            <w:r>
              <w:rPr>
                <w:rFonts w:hint="eastAsia"/>
                <w:color w:val="auto"/>
                <w:highlight w:val="none"/>
              </w:rPr>
              <w:t>0</w:t>
            </w:r>
            <w:r>
              <w:rPr>
                <w:color w:val="auto"/>
                <w:highlight w:val="none"/>
              </w:rPr>
              <w:t>.</w:t>
            </w:r>
            <w:r>
              <w:rPr>
                <w:rFonts w:hint="eastAsia"/>
                <w:color w:val="auto"/>
                <w:highlight w:val="none"/>
              </w:rPr>
              <w:t>415</w:t>
            </w:r>
          </w:p>
        </w:tc>
        <w:tc>
          <w:tcPr>
            <w:tcW w:w="636" w:type="pct"/>
            <w:tcMar>
              <w:top w:w="0" w:type="dxa"/>
              <w:left w:w="28" w:type="dxa"/>
              <w:bottom w:w="0" w:type="dxa"/>
              <w:right w:w="28" w:type="dxa"/>
            </w:tcMar>
            <w:vAlign w:val="center"/>
          </w:tcPr>
          <w:p>
            <w:pPr>
              <w:widowControl/>
              <w:spacing w:line="240" w:lineRule="exact"/>
              <w:jc w:val="center"/>
              <w:rPr>
                <w:color w:val="auto"/>
                <w:highlight w:val="none"/>
              </w:rPr>
            </w:pPr>
            <w:r>
              <w:rPr>
                <w:rFonts w:hint="eastAsia"/>
                <w:color w:val="auto"/>
                <w:highlight w:val="none"/>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04" w:type="pct"/>
            <w:vAlign w:val="center"/>
          </w:tcPr>
          <w:p>
            <w:pPr>
              <w:jc w:val="center"/>
              <w:rPr>
                <w:color w:val="auto"/>
                <w:highlight w:val="none"/>
              </w:rPr>
            </w:pPr>
            <w:r>
              <w:rPr>
                <w:rFonts w:hint="eastAsia"/>
                <w:color w:val="auto"/>
                <w:highlight w:val="none"/>
              </w:rPr>
              <w:t>TSP</w:t>
            </w:r>
          </w:p>
        </w:tc>
        <w:tc>
          <w:tcPr>
            <w:tcW w:w="710" w:type="pct"/>
            <w:vAlign w:val="center"/>
          </w:tcPr>
          <w:p>
            <w:pPr>
              <w:jc w:val="center"/>
              <w:rPr>
                <w:color w:val="auto"/>
                <w:highlight w:val="none"/>
              </w:rPr>
            </w:pPr>
            <w:r>
              <w:rPr>
                <w:rFonts w:hint="eastAsia"/>
                <w:color w:val="auto"/>
                <w:highlight w:val="none"/>
              </w:rPr>
              <w:t>0</w:t>
            </w:r>
            <w:r>
              <w:rPr>
                <w:color w:val="auto"/>
                <w:highlight w:val="none"/>
              </w:rPr>
              <w:t>.1</w:t>
            </w:r>
            <w:r>
              <w:rPr>
                <w:rFonts w:hint="eastAsia"/>
                <w:color w:val="auto"/>
                <w:highlight w:val="none"/>
              </w:rPr>
              <w:t>5</w:t>
            </w:r>
          </w:p>
        </w:tc>
        <w:tc>
          <w:tcPr>
            <w:tcW w:w="711" w:type="pct"/>
            <w:vAlign w:val="center"/>
          </w:tcPr>
          <w:p>
            <w:pPr>
              <w:jc w:val="center"/>
              <w:rPr>
                <w:color w:val="auto"/>
                <w:highlight w:val="none"/>
              </w:rPr>
            </w:pPr>
            <w:r>
              <w:rPr>
                <w:rFonts w:hint="eastAsia"/>
                <w:color w:val="auto"/>
                <w:highlight w:val="none"/>
              </w:rPr>
              <w:t>0</w:t>
            </w:r>
            <w:r>
              <w:rPr>
                <w:color w:val="auto"/>
                <w:highlight w:val="none"/>
              </w:rPr>
              <w:t>.2</w:t>
            </w:r>
            <w:r>
              <w:rPr>
                <w:rFonts w:hint="eastAsia"/>
                <w:color w:val="auto"/>
                <w:highlight w:val="none"/>
              </w:rPr>
              <w:t>48</w:t>
            </w:r>
          </w:p>
        </w:tc>
        <w:tc>
          <w:tcPr>
            <w:tcW w:w="711" w:type="pct"/>
            <w:vAlign w:val="center"/>
          </w:tcPr>
          <w:p>
            <w:pPr>
              <w:jc w:val="center"/>
              <w:rPr>
                <w:color w:val="auto"/>
                <w:highlight w:val="none"/>
              </w:rPr>
            </w:pPr>
            <w:r>
              <w:rPr>
                <w:rFonts w:hint="eastAsia"/>
                <w:color w:val="auto"/>
                <w:highlight w:val="none"/>
              </w:rPr>
              <w:t>0</w:t>
            </w:r>
            <w:r>
              <w:rPr>
                <w:color w:val="auto"/>
                <w:highlight w:val="none"/>
              </w:rPr>
              <w:t>.1</w:t>
            </w:r>
            <w:r>
              <w:rPr>
                <w:rFonts w:hint="eastAsia"/>
                <w:color w:val="auto"/>
                <w:highlight w:val="none"/>
              </w:rPr>
              <w:t>99</w:t>
            </w:r>
          </w:p>
        </w:tc>
        <w:tc>
          <w:tcPr>
            <w:tcW w:w="711" w:type="pct"/>
            <w:tcMar>
              <w:top w:w="0" w:type="dxa"/>
              <w:left w:w="28" w:type="dxa"/>
              <w:bottom w:w="0" w:type="dxa"/>
              <w:right w:w="28" w:type="dxa"/>
            </w:tcMar>
            <w:vAlign w:val="center"/>
          </w:tcPr>
          <w:p>
            <w:pPr>
              <w:jc w:val="center"/>
              <w:rPr>
                <w:color w:val="auto"/>
                <w:highlight w:val="none"/>
              </w:rPr>
            </w:pPr>
            <w:r>
              <w:rPr>
                <w:rFonts w:hint="eastAsia"/>
                <w:color w:val="auto"/>
                <w:highlight w:val="none"/>
              </w:rPr>
              <w:t>0</w:t>
            </w:r>
            <w:r>
              <w:rPr>
                <w:color w:val="auto"/>
                <w:highlight w:val="none"/>
              </w:rPr>
              <w:t>.</w:t>
            </w:r>
            <w:r>
              <w:rPr>
                <w:rFonts w:hint="eastAsia"/>
                <w:color w:val="auto"/>
                <w:highlight w:val="none"/>
              </w:rPr>
              <w:t>5</w:t>
            </w:r>
          </w:p>
        </w:tc>
        <w:tc>
          <w:tcPr>
            <w:tcW w:w="711" w:type="pct"/>
            <w:tcMar>
              <w:top w:w="0" w:type="dxa"/>
              <w:left w:w="28" w:type="dxa"/>
              <w:bottom w:w="0" w:type="dxa"/>
              <w:right w:w="28" w:type="dxa"/>
            </w:tcMar>
            <w:vAlign w:val="center"/>
          </w:tcPr>
          <w:p>
            <w:pPr>
              <w:jc w:val="center"/>
              <w:rPr>
                <w:color w:val="auto"/>
                <w:highlight w:val="none"/>
              </w:rPr>
            </w:pPr>
            <w:r>
              <w:rPr>
                <w:rFonts w:hint="eastAsia"/>
                <w:color w:val="auto"/>
                <w:highlight w:val="none"/>
              </w:rPr>
              <w:t>0</w:t>
            </w:r>
            <w:r>
              <w:rPr>
                <w:color w:val="auto"/>
                <w:highlight w:val="none"/>
              </w:rPr>
              <w:t>.</w:t>
            </w:r>
            <w:r>
              <w:rPr>
                <w:rFonts w:hint="eastAsia"/>
                <w:color w:val="auto"/>
                <w:highlight w:val="none"/>
              </w:rPr>
              <w:t>827</w:t>
            </w:r>
          </w:p>
        </w:tc>
        <w:tc>
          <w:tcPr>
            <w:tcW w:w="636" w:type="pct"/>
            <w:tcMar>
              <w:top w:w="0" w:type="dxa"/>
              <w:left w:w="28" w:type="dxa"/>
              <w:bottom w:w="0" w:type="dxa"/>
              <w:right w:w="28" w:type="dxa"/>
            </w:tcMar>
            <w:vAlign w:val="center"/>
          </w:tcPr>
          <w:p>
            <w:pPr>
              <w:widowControl/>
              <w:spacing w:line="240" w:lineRule="exact"/>
              <w:jc w:val="center"/>
              <w:rPr>
                <w:color w:val="auto"/>
                <w:highlight w:val="none"/>
              </w:rPr>
            </w:pPr>
            <w:r>
              <w:rPr>
                <w:rFonts w:hint="eastAsia"/>
                <w:color w:val="auto"/>
                <w:highlight w:val="none"/>
              </w:rPr>
              <w:t>0</w:t>
            </w:r>
          </w:p>
        </w:tc>
      </w:tr>
    </w:tbl>
    <w:p>
      <w:pPr>
        <w:pStyle w:val="102"/>
        <w:ind w:firstLine="480"/>
        <w:rPr>
          <w:color w:val="auto"/>
          <w:highlight w:val="none"/>
        </w:rPr>
      </w:pPr>
      <w:r>
        <w:rPr>
          <w:color w:val="auto"/>
          <w:highlight w:val="none"/>
        </w:rPr>
        <w:t>由此可以看出，</w:t>
      </w:r>
      <w:bookmarkStart w:id="127" w:name="_Hlk74130515"/>
      <w:r>
        <w:rPr>
          <w:color w:val="auto"/>
          <w:highlight w:val="none"/>
        </w:rPr>
        <w:t>评价区范围内</w:t>
      </w:r>
      <w:r>
        <w:rPr>
          <w:rFonts w:hint="eastAsia"/>
          <w:color w:val="auto"/>
          <w:highlight w:val="none"/>
        </w:rPr>
        <w:t>VOCs</w:t>
      </w:r>
      <w:r>
        <w:rPr>
          <w:rFonts w:hint="eastAsia" w:ascii="Times New Roman" w:hAnsi="Times New Roman" w:cs="Times New Roman"/>
          <w:color w:val="auto"/>
          <w:szCs w:val="21"/>
          <w:highlight w:val="none"/>
        </w:rPr>
        <w:t>（以非甲烷总烃计）</w:t>
      </w:r>
      <w:r>
        <w:rPr>
          <w:rFonts w:hint="eastAsia"/>
          <w:color w:val="auto"/>
          <w:highlight w:val="none"/>
        </w:rPr>
        <w:t>、TSP</w:t>
      </w:r>
      <w:r>
        <w:rPr>
          <w:color w:val="auto"/>
          <w:highlight w:val="none"/>
        </w:rPr>
        <w:t>各次监测值均不超标，满足相关质量标准限值要求，尚有一定的环境容量。</w:t>
      </w:r>
      <w:bookmarkEnd w:id="127"/>
    </w:p>
    <w:p>
      <w:pPr>
        <w:pStyle w:val="100"/>
        <w:spacing w:before="156"/>
        <w:rPr>
          <w:rFonts w:ascii="Times New Roman" w:hAnsi="Times New Roman"/>
          <w:color w:val="auto"/>
          <w:highlight w:val="none"/>
        </w:rPr>
      </w:pPr>
      <w:bookmarkStart w:id="128" w:name="_Toc66281281"/>
      <w:bookmarkStart w:id="129" w:name="_Toc22224"/>
      <w:r>
        <w:rPr>
          <w:rFonts w:ascii="Times New Roman" w:hAnsi="Times New Roman"/>
          <w:color w:val="auto"/>
          <w:highlight w:val="none"/>
        </w:rPr>
        <w:t>3.4地表水环境质量现状</w:t>
      </w:r>
      <w:bookmarkEnd w:id="128"/>
      <w:bookmarkEnd w:id="129"/>
    </w:p>
    <w:p>
      <w:pPr>
        <w:pStyle w:val="101"/>
        <w:spacing w:before="78"/>
        <w:rPr>
          <w:rFonts w:ascii="Times New Roman" w:hAnsi="Times New Roman"/>
          <w:color w:val="auto"/>
          <w:highlight w:val="none"/>
        </w:rPr>
      </w:pPr>
      <w:r>
        <w:rPr>
          <w:rFonts w:ascii="Times New Roman" w:hAnsi="Times New Roman"/>
          <w:color w:val="auto"/>
          <w:highlight w:val="none"/>
        </w:rPr>
        <w:t>3.4.1地表水环境质量现状</w:t>
      </w:r>
    </w:p>
    <w:p>
      <w:pPr>
        <w:pStyle w:val="102"/>
        <w:ind w:firstLine="480"/>
        <w:rPr>
          <w:color w:val="auto"/>
          <w:szCs w:val="24"/>
          <w:highlight w:val="none"/>
        </w:rPr>
      </w:pPr>
      <w:r>
        <w:rPr>
          <w:color w:val="auto"/>
          <w:highlight w:val="none"/>
        </w:rPr>
        <w:t>拟建项目</w:t>
      </w:r>
      <w:r>
        <w:rPr>
          <w:rFonts w:hint="eastAsia"/>
          <w:color w:val="auto"/>
          <w:highlight w:val="none"/>
        </w:rPr>
        <w:t>所在区域的地表水系为峄城大沙河，</w:t>
      </w:r>
      <w:r>
        <w:rPr>
          <w:rFonts w:hint="eastAsia"/>
          <w:color w:val="auto"/>
          <w:highlight w:val="none"/>
          <w:lang w:val="en-US" w:eastAsia="zh-CN"/>
        </w:rPr>
        <w:t>地表水引用</w:t>
      </w:r>
      <w:r>
        <w:rPr>
          <w:color w:val="auto"/>
          <w:szCs w:val="24"/>
          <w:highlight w:val="none"/>
        </w:rPr>
        <w:t>枣庄市环境监测站</w:t>
      </w:r>
      <w:r>
        <w:rPr>
          <w:rFonts w:hint="eastAsia"/>
          <w:color w:val="auto"/>
          <w:szCs w:val="24"/>
          <w:highlight w:val="none"/>
          <w:lang w:val="en-US" w:eastAsia="zh-CN"/>
        </w:rPr>
        <w:t>发布的《质量简报（2021年）》，</w:t>
      </w:r>
      <w:r>
        <w:rPr>
          <w:color w:val="auto"/>
          <w:szCs w:val="24"/>
          <w:highlight w:val="none"/>
        </w:rPr>
        <w:t>202</w:t>
      </w:r>
      <w:r>
        <w:rPr>
          <w:rFonts w:hint="eastAsia"/>
          <w:color w:val="auto"/>
          <w:szCs w:val="24"/>
          <w:highlight w:val="none"/>
          <w:lang w:val="en-US" w:eastAsia="zh-CN"/>
        </w:rPr>
        <w:t>1</w:t>
      </w:r>
      <w:r>
        <w:rPr>
          <w:color w:val="auto"/>
          <w:szCs w:val="24"/>
          <w:highlight w:val="none"/>
        </w:rPr>
        <w:t>年</w:t>
      </w:r>
      <w:r>
        <w:rPr>
          <w:rFonts w:hint="eastAsia"/>
          <w:color w:val="auto"/>
          <w:szCs w:val="24"/>
          <w:highlight w:val="none"/>
        </w:rPr>
        <w:t>峄城大沙河贾庄闸</w:t>
      </w:r>
      <w:r>
        <w:rPr>
          <w:color w:val="auto"/>
          <w:szCs w:val="24"/>
          <w:highlight w:val="none"/>
        </w:rPr>
        <w:t>水质监测结果见表3.4-1。</w:t>
      </w:r>
    </w:p>
    <w:p>
      <w:pPr>
        <w:pStyle w:val="103"/>
        <w:spacing w:before="31"/>
        <w:rPr>
          <w:rFonts w:ascii="Times New Roman" w:hAnsi="Times New Roman"/>
          <w:color w:val="auto"/>
          <w:highlight w:val="none"/>
        </w:rPr>
      </w:pPr>
      <w:r>
        <w:rPr>
          <w:rFonts w:ascii="Times New Roman" w:hAnsi="Times New Roman"/>
          <w:color w:val="auto"/>
          <w:highlight w:val="none"/>
        </w:rPr>
        <w:t>表3.4-1   202</w:t>
      </w:r>
      <w:r>
        <w:rPr>
          <w:rFonts w:hint="eastAsia" w:ascii="Times New Roman" w:hAnsi="Times New Roman"/>
          <w:color w:val="auto"/>
          <w:highlight w:val="none"/>
          <w:lang w:val="en-US" w:eastAsia="zh-CN"/>
        </w:rPr>
        <w:t>1</w:t>
      </w:r>
      <w:r>
        <w:rPr>
          <w:rFonts w:ascii="Times New Roman" w:hAnsi="Times New Roman"/>
          <w:color w:val="auto"/>
          <w:highlight w:val="none"/>
        </w:rPr>
        <w:t>年</w:t>
      </w:r>
      <w:r>
        <w:rPr>
          <w:rFonts w:hint="eastAsia"/>
          <w:color w:val="auto"/>
          <w:szCs w:val="24"/>
          <w:highlight w:val="none"/>
        </w:rPr>
        <w:t>峄城大沙河贾庄闸</w:t>
      </w:r>
      <w:r>
        <w:rPr>
          <w:rFonts w:ascii="Times New Roman" w:hAnsi="Times New Roman"/>
          <w:color w:val="auto"/>
          <w:highlight w:val="none"/>
        </w:rPr>
        <w:t xml:space="preserve">断面例行监测数据一览表  </w:t>
      </w:r>
      <w:r>
        <w:rPr>
          <w:rFonts w:ascii="Times New Roman" w:hAnsi="Times New Roman"/>
          <w:color w:val="auto"/>
          <w:sz w:val="21"/>
          <w:szCs w:val="20"/>
          <w:highlight w:val="none"/>
        </w:rPr>
        <w:t>单位：mg/L</w:t>
      </w:r>
    </w:p>
    <w:tbl>
      <w:tblPr>
        <w:tblStyle w:val="5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976"/>
        <w:gridCol w:w="769"/>
        <w:gridCol w:w="789"/>
        <w:gridCol w:w="792"/>
        <w:gridCol w:w="665"/>
        <w:gridCol w:w="906"/>
        <w:gridCol w:w="732"/>
        <w:gridCol w:w="870"/>
        <w:gridCol w:w="835"/>
        <w:gridCol w:w="9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月份</w:t>
            </w:r>
          </w:p>
        </w:tc>
        <w:tc>
          <w:tcPr>
            <w:tcW w:w="552"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pH（无量纲）</w:t>
            </w:r>
          </w:p>
        </w:tc>
        <w:tc>
          <w:tcPr>
            <w:tcW w:w="435"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高锰酸盐指数</w:t>
            </w:r>
          </w:p>
        </w:tc>
        <w:tc>
          <w:tcPr>
            <w:tcW w:w="446"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COD</w:t>
            </w:r>
          </w:p>
        </w:tc>
        <w:tc>
          <w:tcPr>
            <w:tcW w:w="448"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BOD</w:t>
            </w:r>
            <w:r>
              <w:rPr>
                <w:rFonts w:hint="default" w:ascii="Times New Roman" w:hAnsi="Times New Roman" w:cs="Times New Roman"/>
                <w:b w:val="0"/>
                <w:bCs w:val="0"/>
                <w:color w:val="auto"/>
                <w:sz w:val="21"/>
                <w:szCs w:val="21"/>
                <w:highlight w:val="none"/>
                <w:vertAlign w:val="subscript"/>
              </w:rPr>
              <w:t>5</w:t>
            </w:r>
          </w:p>
        </w:tc>
        <w:tc>
          <w:tcPr>
            <w:tcW w:w="376"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氨氮</w:t>
            </w:r>
          </w:p>
        </w:tc>
        <w:tc>
          <w:tcPr>
            <w:tcW w:w="512"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总磷</w:t>
            </w:r>
          </w:p>
        </w:tc>
        <w:tc>
          <w:tcPr>
            <w:tcW w:w="414"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总氮</w:t>
            </w:r>
          </w:p>
        </w:tc>
        <w:tc>
          <w:tcPr>
            <w:tcW w:w="492"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铜</w:t>
            </w:r>
          </w:p>
        </w:tc>
        <w:tc>
          <w:tcPr>
            <w:tcW w:w="472"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锌</w:t>
            </w:r>
          </w:p>
        </w:tc>
        <w:tc>
          <w:tcPr>
            <w:tcW w:w="543"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vertAlign w:val="subscript"/>
              </w:rPr>
            </w:pPr>
            <w:r>
              <w:rPr>
                <w:rFonts w:hint="default" w:ascii="Times New Roman" w:hAnsi="Times New Roman" w:cs="Times New Roman"/>
                <w:b w:val="0"/>
                <w:bCs w:val="0"/>
                <w:color w:val="auto"/>
                <w:sz w:val="21"/>
                <w:szCs w:val="21"/>
                <w:highlight w:val="none"/>
              </w:rPr>
              <w:t>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w:t>
            </w:r>
          </w:p>
        </w:tc>
        <w:tc>
          <w:tcPr>
            <w:tcW w:w="552"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bidi="ar"/>
              </w:rPr>
              <w:t>8</w:t>
            </w:r>
          </w:p>
        </w:tc>
        <w:tc>
          <w:tcPr>
            <w:tcW w:w="76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5.9</w:t>
            </w:r>
          </w:p>
        </w:tc>
        <w:tc>
          <w:tcPr>
            <w:tcW w:w="78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16</w:t>
            </w:r>
          </w:p>
        </w:tc>
        <w:tc>
          <w:tcPr>
            <w:tcW w:w="79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3.3</w:t>
            </w:r>
          </w:p>
        </w:tc>
        <w:tc>
          <w:tcPr>
            <w:tcW w:w="66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0.86</w:t>
            </w:r>
          </w:p>
        </w:tc>
        <w:tc>
          <w:tcPr>
            <w:tcW w:w="90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0.181</w:t>
            </w:r>
          </w:p>
        </w:tc>
        <w:tc>
          <w:tcPr>
            <w:tcW w:w="73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12.25</w:t>
            </w:r>
          </w:p>
        </w:tc>
        <w:tc>
          <w:tcPr>
            <w:tcW w:w="870"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0.003</w:t>
            </w:r>
          </w:p>
        </w:tc>
        <w:tc>
          <w:tcPr>
            <w:tcW w:w="83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0.03</w:t>
            </w:r>
          </w:p>
        </w:tc>
        <w:tc>
          <w:tcPr>
            <w:tcW w:w="961"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2</w:t>
            </w:r>
          </w:p>
        </w:tc>
        <w:tc>
          <w:tcPr>
            <w:tcW w:w="552"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bidi="ar"/>
              </w:rPr>
              <w:t>8</w:t>
            </w:r>
          </w:p>
        </w:tc>
        <w:tc>
          <w:tcPr>
            <w:tcW w:w="76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5.5</w:t>
            </w:r>
          </w:p>
        </w:tc>
        <w:tc>
          <w:tcPr>
            <w:tcW w:w="78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9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66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0.34</w:t>
            </w:r>
          </w:p>
        </w:tc>
        <w:tc>
          <w:tcPr>
            <w:tcW w:w="90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0.147</w:t>
            </w:r>
          </w:p>
        </w:tc>
        <w:tc>
          <w:tcPr>
            <w:tcW w:w="73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10.22</w:t>
            </w:r>
          </w:p>
        </w:tc>
        <w:tc>
          <w:tcPr>
            <w:tcW w:w="870"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83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961"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3</w:t>
            </w:r>
          </w:p>
        </w:tc>
        <w:tc>
          <w:tcPr>
            <w:tcW w:w="552"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bidi="ar"/>
              </w:rPr>
              <w:t>8</w:t>
            </w:r>
          </w:p>
        </w:tc>
        <w:tc>
          <w:tcPr>
            <w:tcW w:w="76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4.7</w:t>
            </w:r>
          </w:p>
        </w:tc>
        <w:tc>
          <w:tcPr>
            <w:tcW w:w="78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9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66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0.41</w:t>
            </w:r>
          </w:p>
        </w:tc>
        <w:tc>
          <w:tcPr>
            <w:tcW w:w="90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0.178</w:t>
            </w:r>
          </w:p>
        </w:tc>
        <w:tc>
          <w:tcPr>
            <w:tcW w:w="73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10.89</w:t>
            </w:r>
          </w:p>
        </w:tc>
        <w:tc>
          <w:tcPr>
            <w:tcW w:w="870"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83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961"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4</w:t>
            </w:r>
          </w:p>
        </w:tc>
        <w:tc>
          <w:tcPr>
            <w:tcW w:w="552"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bidi="ar"/>
              </w:rPr>
              <w:t>8</w:t>
            </w:r>
          </w:p>
        </w:tc>
        <w:tc>
          <w:tcPr>
            <w:tcW w:w="76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5.3</w:t>
            </w:r>
          </w:p>
        </w:tc>
        <w:tc>
          <w:tcPr>
            <w:tcW w:w="78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18</w:t>
            </w:r>
          </w:p>
        </w:tc>
        <w:tc>
          <w:tcPr>
            <w:tcW w:w="79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3.9</w:t>
            </w:r>
          </w:p>
        </w:tc>
        <w:tc>
          <w:tcPr>
            <w:tcW w:w="66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0.31</w:t>
            </w:r>
          </w:p>
        </w:tc>
        <w:tc>
          <w:tcPr>
            <w:tcW w:w="90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0.140</w:t>
            </w:r>
          </w:p>
        </w:tc>
        <w:tc>
          <w:tcPr>
            <w:tcW w:w="73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9.67</w:t>
            </w:r>
          </w:p>
        </w:tc>
        <w:tc>
          <w:tcPr>
            <w:tcW w:w="870"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0.003</w:t>
            </w:r>
          </w:p>
        </w:tc>
        <w:tc>
          <w:tcPr>
            <w:tcW w:w="83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0.04</w:t>
            </w:r>
          </w:p>
        </w:tc>
        <w:tc>
          <w:tcPr>
            <w:tcW w:w="961"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5</w:t>
            </w:r>
          </w:p>
        </w:tc>
        <w:tc>
          <w:tcPr>
            <w:tcW w:w="552"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bidi="ar"/>
              </w:rPr>
              <w:t>8</w:t>
            </w:r>
          </w:p>
        </w:tc>
        <w:tc>
          <w:tcPr>
            <w:tcW w:w="76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5.7</w:t>
            </w:r>
          </w:p>
        </w:tc>
        <w:tc>
          <w:tcPr>
            <w:tcW w:w="78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9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66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0.41</w:t>
            </w:r>
          </w:p>
        </w:tc>
        <w:tc>
          <w:tcPr>
            <w:tcW w:w="90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0.145</w:t>
            </w:r>
          </w:p>
        </w:tc>
        <w:tc>
          <w:tcPr>
            <w:tcW w:w="73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7.88</w:t>
            </w:r>
          </w:p>
        </w:tc>
        <w:tc>
          <w:tcPr>
            <w:tcW w:w="870"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83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961"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6</w:t>
            </w:r>
          </w:p>
        </w:tc>
        <w:tc>
          <w:tcPr>
            <w:tcW w:w="552"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bidi="ar"/>
              </w:rPr>
              <w:t>8</w:t>
            </w:r>
          </w:p>
        </w:tc>
        <w:tc>
          <w:tcPr>
            <w:tcW w:w="76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5.5</w:t>
            </w:r>
          </w:p>
        </w:tc>
        <w:tc>
          <w:tcPr>
            <w:tcW w:w="78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9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66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0.69</w:t>
            </w:r>
          </w:p>
        </w:tc>
        <w:tc>
          <w:tcPr>
            <w:tcW w:w="90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0.183</w:t>
            </w:r>
          </w:p>
        </w:tc>
        <w:tc>
          <w:tcPr>
            <w:tcW w:w="73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7.42</w:t>
            </w:r>
          </w:p>
        </w:tc>
        <w:tc>
          <w:tcPr>
            <w:tcW w:w="870"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83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961"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7</w:t>
            </w:r>
          </w:p>
        </w:tc>
        <w:tc>
          <w:tcPr>
            <w:tcW w:w="552"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bidi="ar"/>
              </w:rPr>
              <w:t>8</w:t>
            </w:r>
          </w:p>
        </w:tc>
        <w:tc>
          <w:tcPr>
            <w:tcW w:w="76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4.9</w:t>
            </w:r>
          </w:p>
        </w:tc>
        <w:tc>
          <w:tcPr>
            <w:tcW w:w="78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15</w:t>
            </w:r>
          </w:p>
        </w:tc>
        <w:tc>
          <w:tcPr>
            <w:tcW w:w="79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3.1</w:t>
            </w:r>
          </w:p>
        </w:tc>
        <w:tc>
          <w:tcPr>
            <w:tcW w:w="66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0.91</w:t>
            </w:r>
          </w:p>
        </w:tc>
        <w:tc>
          <w:tcPr>
            <w:tcW w:w="90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0.198</w:t>
            </w:r>
          </w:p>
        </w:tc>
        <w:tc>
          <w:tcPr>
            <w:tcW w:w="73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7.58</w:t>
            </w:r>
          </w:p>
        </w:tc>
        <w:tc>
          <w:tcPr>
            <w:tcW w:w="870"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0.003</w:t>
            </w:r>
          </w:p>
        </w:tc>
        <w:tc>
          <w:tcPr>
            <w:tcW w:w="83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0.01</w:t>
            </w:r>
          </w:p>
        </w:tc>
        <w:tc>
          <w:tcPr>
            <w:tcW w:w="961"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8</w:t>
            </w:r>
          </w:p>
        </w:tc>
        <w:tc>
          <w:tcPr>
            <w:tcW w:w="552"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bidi="ar"/>
              </w:rPr>
              <w:t>8</w:t>
            </w:r>
          </w:p>
        </w:tc>
        <w:tc>
          <w:tcPr>
            <w:tcW w:w="76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5.3</w:t>
            </w:r>
          </w:p>
        </w:tc>
        <w:tc>
          <w:tcPr>
            <w:tcW w:w="78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9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66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0.76</w:t>
            </w:r>
          </w:p>
        </w:tc>
        <w:tc>
          <w:tcPr>
            <w:tcW w:w="90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0.158</w:t>
            </w:r>
          </w:p>
        </w:tc>
        <w:tc>
          <w:tcPr>
            <w:tcW w:w="73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6.40</w:t>
            </w:r>
          </w:p>
        </w:tc>
        <w:tc>
          <w:tcPr>
            <w:tcW w:w="870"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83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961"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9</w:t>
            </w:r>
          </w:p>
        </w:tc>
        <w:tc>
          <w:tcPr>
            <w:tcW w:w="552"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bidi="ar"/>
              </w:rPr>
              <w:t>8</w:t>
            </w:r>
          </w:p>
        </w:tc>
        <w:tc>
          <w:tcPr>
            <w:tcW w:w="76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4.5</w:t>
            </w:r>
          </w:p>
        </w:tc>
        <w:tc>
          <w:tcPr>
            <w:tcW w:w="78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9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66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0.39</w:t>
            </w:r>
          </w:p>
        </w:tc>
        <w:tc>
          <w:tcPr>
            <w:tcW w:w="90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0.154</w:t>
            </w:r>
          </w:p>
        </w:tc>
        <w:tc>
          <w:tcPr>
            <w:tcW w:w="73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6.45</w:t>
            </w:r>
          </w:p>
        </w:tc>
        <w:tc>
          <w:tcPr>
            <w:tcW w:w="870"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83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961"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10</w:t>
            </w:r>
          </w:p>
        </w:tc>
        <w:tc>
          <w:tcPr>
            <w:tcW w:w="552"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bidi="ar"/>
              </w:rPr>
              <w:t>8</w:t>
            </w:r>
          </w:p>
        </w:tc>
        <w:tc>
          <w:tcPr>
            <w:tcW w:w="76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4.6</w:t>
            </w:r>
          </w:p>
        </w:tc>
        <w:tc>
          <w:tcPr>
            <w:tcW w:w="78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10</w:t>
            </w:r>
          </w:p>
        </w:tc>
        <w:tc>
          <w:tcPr>
            <w:tcW w:w="79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1.6</w:t>
            </w:r>
          </w:p>
        </w:tc>
        <w:tc>
          <w:tcPr>
            <w:tcW w:w="66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0.22</w:t>
            </w:r>
          </w:p>
        </w:tc>
        <w:tc>
          <w:tcPr>
            <w:tcW w:w="90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0.145</w:t>
            </w:r>
          </w:p>
        </w:tc>
        <w:tc>
          <w:tcPr>
            <w:tcW w:w="73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9.70</w:t>
            </w:r>
          </w:p>
        </w:tc>
        <w:tc>
          <w:tcPr>
            <w:tcW w:w="870"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0.001</w:t>
            </w:r>
          </w:p>
        </w:tc>
        <w:tc>
          <w:tcPr>
            <w:tcW w:w="83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0.01</w:t>
            </w:r>
          </w:p>
        </w:tc>
        <w:tc>
          <w:tcPr>
            <w:tcW w:w="961"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11</w:t>
            </w:r>
          </w:p>
        </w:tc>
        <w:tc>
          <w:tcPr>
            <w:tcW w:w="552"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bidi="ar"/>
              </w:rPr>
              <w:t>8</w:t>
            </w:r>
          </w:p>
        </w:tc>
        <w:tc>
          <w:tcPr>
            <w:tcW w:w="76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4.6</w:t>
            </w:r>
          </w:p>
        </w:tc>
        <w:tc>
          <w:tcPr>
            <w:tcW w:w="78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9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66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0.34</w:t>
            </w:r>
          </w:p>
        </w:tc>
        <w:tc>
          <w:tcPr>
            <w:tcW w:w="90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0.134</w:t>
            </w:r>
          </w:p>
        </w:tc>
        <w:tc>
          <w:tcPr>
            <w:tcW w:w="73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11.02</w:t>
            </w:r>
          </w:p>
        </w:tc>
        <w:tc>
          <w:tcPr>
            <w:tcW w:w="870"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83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961"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12</w:t>
            </w:r>
          </w:p>
        </w:tc>
        <w:tc>
          <w:tcPr>
            <w:tcW w:w="552"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bidi="ar"/>
              </w:rPr>
              <w:t>8</w:t>
            </w:r>
          </w:p>
        </w:tc>
        <w:tc>
          <w:tcPr>
            <w:tcW w:w="76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4.9</w:t>
            </w:r>
          </w:p>
        </w:tc>
        <w:tc>
          <w:tcPr>
            <w:tcW w:w="78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9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66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0.23</w:t>
            </w:r>
          </w:p>
        </w:tc>
        <w:tc>
          <w:tcPr>
            <w:tcW w:w="90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0.104</w:t>
            </w:r>
          </w:p>
        </w:tc>
        <w:tc>
          <w:tcPr>
            <w:tcW w:w="73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13.53</w:t>
            </w:r>
          </w:p>
        </w:tc>
        <w:tc>
          <w:tcPr>
            <w:tcW w:w="870"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83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961"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年均</w:t>
            </w:r>
          </w:p>
        </w:tc>
        <w:tc>
          <w:tcPr>
            <w:tcW w:w="552"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bidi="ar"/>
              </w:rPr>
              <w:t>8</w:t>
            </w:r>
          </w:p>
        </w:tc>
        <w:tc>
          <w:tcPr>
            <w:tcW w:w="76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5.1</w:t>
            </w:r>
          </w:p>
        </w:tc>
        <w:tc>
          <w:tcPr>
            <w:tcW w:w="78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15</w:t>
            </w:r>
          </w:p>
        </w:tc>
        <w:tc>
          <w:tcPr>
            <w:tcW w:w="79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3.0</w:t>
            </w:r>
          </w:p>
        </w:tc>
        <w:tc>
          <w:tcPr>
            <w:tcW w:w="66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0.49</w:t>
            </w:r>
          </w:p>
        </w:tc>
        <w:tc>
          <w:tcPr>
            <w:tcW w:w="90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0.156</w:t>
            </w:r>
          </w:p>
        </w:tc>
        <w:tc>
          <w:tcPr>
            <w:tcW w:w="73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9.42</w:t>
            </w:r>
          </w:p>
        </w:tc>
        <w:tc>
          <w:tcPr>
            <w:tcW w:w="870"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0.003</w:t>
            </w:r>
          </w:p>
        </w:tc>
        <w:tc>
          <w:tcPr>
            <w:tcW w:w="83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0.02</w:t>
            </w:r>
          </w:p>
        </w:tc>
        <w:tc>
          <w:tcPr>
            <w:tcW w:w="961"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月份</w:t>
            </w:r>
          </w:p>
        </w:tc>
        <w:tc>
          <w:tcPr>
            <w:tcW w:w="552"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镉</w:t>
            </w:r>
          </w:p>
        </w:tc>
        <w:tc>
          <w:tcPr>
            <w:tcW w:w="435"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总砷</w:t>
            </w:r>
          </w:p>
        </w:tc>
        <w:tc>
          <w:tcPr>
            <w:tcW w:w="446"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总硒</w:t>
            </w:r>
          </w:p>
        </w:tc>
        <w:tc>
          <w:tcPr>
            <w:tcW w:w="448"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总汞</w:t>
            </w:r>
          </w:p>
        </w:tc>
        <w:tc>
          <w:tcPr>
            <w:tcW w:w="376"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六价铬</w:t>
            </w:r>
          </w:p>
        </w:tc>
        <w:tc>
          <w:tcPr>
            <w:tcW w:w="512"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氟离子</w:t>
            </w:r>
          </w:p>
        </w:tc>
        <w:tc>
          <w:tcPr>
            <w:tcW w:w="414"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氰化物</w:t>
            </w:r>
          </w:p>
        </w:tc>
        <w:tc>
          <w:tcPr>
            <w:tcW w:w="492"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挥发酚</w:t>
            </w:r>
          </w:p>
        </w:tc>
        <w:tc>
          <w:tcPr>
            <w:tcW w:w="472"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石油类</w:t>
            </w:r>
          </w:p>
        </w:tc>
        <w:tc>
          <w:tcPr>
            <w:tcW w:w="543"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硫化物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w:t>
            </w:r>
          </w:p>
        </w:tc>
        <w:tc>
          <w:tcPr>
            <w:tcW w:w="97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0.00006</w:t>
            </w:r>
          </w:p>
        </w:tc>
        <w:tc>
          <w:tcPr>
            <w:tcW w:w="76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0.0011</w:t>
            </w:r>
          </w:p>
        </w:tc>
        <w:tc>
          <w:tcPr>
            <w:tcW w:w="78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0.0053</w:t>
            </w:r>
          </w:p>
        </w:tc>
        <w:tc>
          <w:tcPr>
            <w:tcW w:w="79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0.00002</w:t>
            </w:r>
          </w:p>
        </w:tc>
        <w:tc>
          <w:tcPr>
            <w:tcW w:w="66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0.002</w:t>
            </w:r>
          </w:p>
        </w:tc>
        <w:tc>
          <w:tcPr>
            <w:tcW w:w="90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0.6</w:t>
            </w:r>
          </w:p>
        </w:tc>
        <w:tc>
          <w:tcPr>
            <w:tcW w:w="73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0.002</w:t>
            </w:r>
          </w:p>
        </w:tc>
        <w:tc>
          <w:tcPr>
            <w:tcW w:w="870"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0.00002</w:t>
            </w:r>
          </w:p>
        </w:tc>
        <w:tc>
          <w:tcPr>
            <w:tcW w:w="83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0.020</w:t>
            </w:r>
          </w:p>
        </w:tc>
        <w:tc>
          <w:tcPr>
            <w:tcW w:w="961"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2</w:t>
            </w:r>
          </w:p>
        </w:tc>
        <w:tc>
          <w:tcPr>
            <w:tcW w:w="97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6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8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9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66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90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3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870"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83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961"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3</w:t>
            </w:r>
          </w:p>
        </w:tc>
        <w:tc>
          <w:tcPr>
            <w:tcW w:w="97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6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8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9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66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90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3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870"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83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961"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4</w:t>
            </w:r>
          </w:p>
        </w:tc>
        <w:tc>
          <w:tcPr>
            <w:tcW w:w="97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0.00002</w:t>
            </w:r>
          </w:p>
        </w:tc>
        <w:tc>
          <w:tcPr>
            <w:tcW w:w="76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0.0014</w:t>
            </w:r>
          </w:p>
        </w:tc>
        <w:tc>
          <w:tcPr>
            <w:tcW w:w="78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0.0022</w:t>
            </w:r>
          </w:p>
        </w:tc>
        <w:tc>
          <w:tcPr>
            <w:tcW w:w="79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0.00007</w:t>
            </w:r>
          </w:p>
        </w:tc>
        <w:tc>
          <w:tcPr>
            <w:tcW w:w="66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0.002</w:t>
            </w:r>
          </w:p>
        </w:tc>
        <w:tc>
          <w:tcPr>
            <w:tcW w:w="90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0.4</w:t>
            </w:r>
          </w:p>
        </w:tc>
        <w:tc>
          <w:tcPr>
            <w:tcW w:w="73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0.002</w:t>
            </w:r>
          </w:p>
        </w:tc>
        <w:tc>
          <w:tcPr>
            <w:tcW w:w="870"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0.00002</w:t>
            </w:r>
          </w:p>
        </w:tc>
        <w:tc>
          <w:tcPr>
            <w:tcW w:w="83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0.010</w:t>
            </w:r>
          </w:p>
        </w:tc>
        <w:tc>
          <w:tcPr>
            <w:tcW w:w="961"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5</w:t>
            </w:r>
          </w:p>
        </w:tc>
        <w:tc>
          <w:tcPr>
            <w:tcW w:w="97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6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8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9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66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90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3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870"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83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961"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6</w:t>
            </w:r>
          </w:p>
        </w:tc>
        <w:tc>
          <w:tcPr>
            <w:tcW w:w="97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6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8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9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66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90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3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870"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83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961"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7</w:t>
            </w:r>
          </w:p>
        </w:tc>
        <w:tc>
          <w:tcPr>
            <w:tcW w:w="97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0.00002</w:t>
            </w:r>
          </w:p>
        </w:tc>
        <w:tc>
          <w:tcPr>
            <w:tcW w:w="76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0.0012</w:t>
            </w:r>
          </w:p>
        </w:tc>
        <w:tc>
          <w:tcPr>
            <w:tcW w:w="78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0.0012</w:t>
            </w:r>
          </w:p>
        </w:tc>
        <w:tc>
          <w:tcPr>
            <w:tcW w:w="79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0.00002</w:t>
            </w:r>
          </w:p>
        </w:tc>
        <w:tc>
          <w:tcPr>
            <w:tcW w:w="66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0.002</w:t>
            </w:r>
          </w:p>
        </w:tc>
        <w:tc>
          <w:tcPr>
            <w:tcW w:w="90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0.4</w:t>
            </w:r>
          </w:p>
        </w:tc>
        <w:tc>
          <w:tcPr>
            <w:tcW w:w="73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0.002</w:t>
            </w:r>
          </w:p>
        </w:tc>
        <w:tc>
          <w:tcPr>
            <w:tcW w:w="870"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0.00002</w:t>
            </w:r>
          </w:p>
        </w:tc>
        <w:tc>
          <w:tcPr>
            <w:tcW w:w="83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0.020</w:t>
            </w:r>
          </w:p>
        </w:tc>
        <w:tc>
          <w:tcPr>
            <w:tcW w:w="961"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8</w:t>
            </w:r>
          </w:p>
        </w:tc>
        <w:tc>
          <w:tcPr>
            <w:tcW w:w="97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6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8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9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66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90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3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870"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83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961"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9</w:t>
            </w:r>
          </w:p>
        </w:tc>
        <w:tc>
          <w:tcPr>
            <w:tcW w:w="97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6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8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9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66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90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3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870"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83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961"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10</w:t>
            </w:r>
          </w:p>
        </w:tc>
        <w:tc>
          <w:tcPr>
            <w:tcW w:w="97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0.00002</w:t>
            </w:r>
          </w:p>
        </w:tc>
        <w:tc>
          <w:tcPr>
            <w:tcW w:w="76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0.0009</w:t>
            </w:r>
          </w:p>
        </w:tc>
        <w:tc>
          <w:tcPr>
            <w:tcW w:w="78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0.0002</w:t>
            </w:r>
          </w:p>
        </w:tc>
        <w:tc>
          <w:tcPr>
            <w:tcW w:w="79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0.00002</w:t>
            </w:r>
          </w:p>
        </w:tc>
        <w:tc>
          <w:tcPr>
            <w:tcW w:w="66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0.002</w:t>
            </w:r>
          </w:p>
        </w:tc>
        <w:tc>
          <w:tcPr>
            <w:tcW w:w="90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0.4</w:t>
            </w:r>
          </w:p>
        </w:tc>
        <w:tc>
          <w:tcPr>
            <w:tcW w:w="73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0.002</w:t>
            </w:r>
          </w:p>
        </w:tc>
        <w:tc>
          <w:tcPr>
            <w:tcW w:w="870"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0.00002</w:t>
            </w:r>
          </w:p>
        </w:tc>
        <w:tc>
          <w:tcPr>
            <w:tcW w:w="83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0.005</w:t>
            </w:r>
          </w:p>
        </w:tc>
        <w:tc>
          <w:tcPr>
            <w:tcW w:w="961"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11</w:t>
            </w:r>
          </w:p>
        </w:tc>
        <w:tc>
          <w:tcPr>
            <w:tcW w:w="97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6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8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9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66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90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3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870"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83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961"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12</w:t>
            </w:r>
          </w:p>
        </w:tc>
        <w:tc>
          <w:tcPr>
            <w:tcW w:w="97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6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8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9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66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90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73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870"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83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c>
          <w:tcPr>
            <w:tcW w:w="961"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tcMar>
              <w:left w:w="28" w:type="dxa"/>
              <w:right w:w="28" w:type="dxa"/>
            </w:tcMar>
            <w:vAlign w:val="center"/>
          </w:tcPr>
          <w:p>
            <w:pPr>
              <w:pStyle w:val="105"/>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年均</w:t>
            </w:r>
          </w:p>
        </w:tc>
        <w:tc>
          <w:tcPr>
            <w:tcW w:w="97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0.00003</w:t>
            </w:r>
          </w:p>
        </w:tc>
        <w:tc>
          <w:tcPr>
            <w:tcW w:w="76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0.0012</w:t>
            </w:r>
          </w:p>
        </w:tc>
        <w:tc>
          <w:tcPr>
            <w:tcW w:w="789"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0.0022</w:t>
            </w:r>
          </w:p>
        </w:tc>
        <w:tc>
          <w:tcPr>
            <w:tcW w:w="79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0.00003</w:t>
            </w:r>
          </w:p>
        </w:tc>
        <w:tc>
          <w:tcPr>
            <w:tcW w:w="66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0.002</w:t>
            </w:r>
          </w:p>
        </w:tc>
        <w:tc>
          <w:tcPr>
            <w:tcW w:w="906"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0.5</w:t>
            </w:r>
          </w:p>
        </w:tc>
        <w:tc>
          <w:tcPr>
            <w:tcW w:w="732"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0.002</w:t>
            </w:r>
          </w:p>
        </w:tc>
        <w:tc>
          <w:tcPr>
            <w:tcW w:w="870"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0.00002</w:t>
            </w:r>
          </w:p>
        </w:tc>
        <w:tc>
          <w:tcPr>
            <w:tcW w:w="835"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0.014</w:t>
            </w:r>
          </w:p>
        </w:tc>
        <w:tc>
          <w:tcPr>
            <w:tcW w:w="961" w:type="dxa"/>
            <w:tcMar>
              <w:left w:w="28" w:type="dxa"/>
              <w:right w:w="28" w:type="dxa"/>
            </w:tcMar>
            <w:vAlign w:val="center"/>
          </w:tcPr>
          <w:p>
            <w:pPr>
              <w:pStyle w:val="1325"/>
              <w:bidi w:val="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0.002</w:t>
            </w:r>
          </w:p>
        </w:tc>
      </w:tr>
    </w:tbl>
    <w:p>
      <w:pPr>
        <w:pStyle w:val="101"/>
        <w:spacing w:before="78"/>
        <w:rPr>
          <w:rFonts w:ascii="Times New Roman" w:hAnsi="Times New Roman"/>
          <w:color w:val="auto"/>
          <w:highlight w:val="none"/>
        </w:rPr>
      </w:pPr>
      <w:r>
        <w:rPr>
          <w:rFonts w:ascii="Times New Roman" w:hAnsi="Times New Roman"/>
          <w:color w:val="auto"/>
          <w:highlight w:val="none"/>
        </w:rPr>
        <w:t>3.</w:t>
      </w:r>
      <w:r>
        <w:rPr>
          <w:rFonts w:hint="eastAsia" w:ascii="Times New Roman" w:hAnsi="Times New Roman"/>
          <w:color w:val="auto"/>
          <w:highlight w:val="none"/>
        </w:rPr>
        <w:t>4</w:t>
      </w:r>
      <w:r>
        <w:rPr>
          <w:rFonts w:ascii="Times New Roman" w:hAnsi="Times New Roman"/>
          <w:color w:val="auto"/>
          <w:highlight w:val="none"/>
        </w:rPr>
        <w:t>.2地表水环境质量现状评价</w:t>
      </w:r>
    </w:p>
    <w:p>
      <w:pPr>
        <w:spacing w:line="360" w:lineRule="auto"/>
        <w:ind w:firstLine="482"/>
        <w:rPr>
          <w:b/>
          <w:bCs/>
          <w:color w:val="auto"/>
          <w:sz w:val="24"/>
          <w:szCs w:val="24"/>
          <w:highlight w:val="none"/>
        </w:rPr>
      </w:pPr>
      <w:r>
        <w:rPr>
          <w:b/>
          <w:bCs/>
          <w:color w:val="auto"/>
          <w:sz w:val="24"/>
          <w:szCs w:val="24"/>
          <w:highlight w:val="none"/>
        </w:rPr>
        <w:t>1、评价因子</w:t>
      </w:r>
    </w:p>
    <w:p>
      <w:pPr>
        <w:spacing w:line="360" w:lineRule="auto"/>
        <w:ind w:firstLine="480" w:firstLineChars="200"/>
        <w:rPr>
          <w:color w:val="auto"/>
          <w:sz w:val="24"/>
          <w:szCs w:val="24"/>
          <w:highlight w:val="none"/>
        </w:rPr>
      </w:pPr>
      <w:r>
        <w:rPr>
          <w:color w:val="auto"/>
          <w:sz w:val="24"/>
          <w:szCs w:val="24"/>
          <w:highlight w:val="none"/>
        </w:rPr>
        <w:t>选取</w:t>
      </w:r>
      <w:r>
        <w:rPr>
          <w:rStyle w:val="110"/>
          <w:color w:val="auto"/>
          <w:highlight w:val="none"/>
        </w:rPr>
        <w:t>pH、COD、BOD</w:t>
      </w:r>
      <w:r>
        <w:rPr>
          <w:rStyle w:val="110"/>
          <w:color w:val="auto"/>
          <w:highlight w:val="none"/>
          <w:vertAlign w:val="subscript"/>
        </w:rPr>
        <w:t>5</w:t>
      </w:r>
      <w:r>
        <w:rPr>
          <w:rStyle w:val="110"/>
          <w:color w:val="auto"/>
          <w:highlight w:val="none"/>
        </w:rPr>
        <w:t>、高指数、氨氮、总氮、总磷、铜、锌、砷、铅、镉、硒、汞、六价铬、硫化物、石油类、挥发酚、</w:t>
      </w:r>
      <w:r>
        <w:rPr>
          <w:rStyle w:val="110"/>
          <w:rFonts w:hint="eastAsia"/>
          <w:color w:val="auto"/>
          <w:highlight w:val="none"/>
        </w:rPr>
        <w:t>氟化物</w:t>
      </w:r>
      <w:r>
        <w:rPr>
          <w:rStyle w:val="110"/>
          <w:color w:val="auto"/>
          <w:highlight w:val="none"/>
        </w:rPr>
        <w:t>、氰化物</w:t>
      </w:r>
      <w:r>
        <w:rPr>
          <w:color w:val="auto"/>
          <w:sz w:val="24"/>
          <w:szCs w:val="24"/>
          <w:highlight w:val="none"/>
        </w:rPr>
        <w:t>等因子进行评价。</w:t>
      </w:r>
    </w:p>
    <w:p>
      <w:pPr>
        <w:spacing w:line="360" w:lineRule="auto"/>
        <w:ind w:firstLine="482" w:firstLineChars="200"/>
        <w:rPr>
          <w:color w:val="auto"/>
          <w:sz w:val="24"/>
          <w:szCs w:val="24"/>
          <w:highlight w:val="none"/>
        </w:rPr>
      </w:pPr>
      <w:r>
        <w:rPr>
          <w:b/>
          <w:bCs/>
          <w:color w:val="auto"/>
          <w:sz w:val="24"/>
          <w:szCs w:val="24"/>
          <w:highlight w:val="none"/>
        </w:rPr>
        <w:t>2、评价标准</w:t>
      </w:r>
    </w:p>
    <w:p>
      <w:pPr>
        <w:spacing w:line="360" w:lineRule="auto"/>
        <w:ind w:firstLine="480" w:firstLineChars="200"/>
        <w:rPr>
          <w:color w:val="auto"/>
          <w:sz w:val="24"/>
          <w:szCs w:val="24"/>
          <w:highlight w:val="none"/>
        </w:rPr>
      </w:pPr>
      <w:r>
        <w:rPr>
          <w:color w:val="auto"/>
          <w:sz w:val="24"/>
          <w:szCs w:val="24"/>
          <w:highlight w:val="none"/>
        </w:rPr>
        <w:t>地表水标准执行《地表水环境质量标准》</w:t>
      </w:r>
      <w:r>
        <w:rPr>
          <w:rFonts w:hint="eastAsia"/>
          <w:color w:val="auto"/>
          <w:sz w:val="24"/>
          <w:szCs w:val="24"/>
          <w:highlight w:val="none"/>
        </w:rPr>
        <w:t>(</w:t>
      </w:r>
      <w:r>
        <w:rPr>
          <w:color w:val="auto"/>
          <w:sz w:val="24"/>
          <w:szCs w:val="24"/>
          <w:highlight w:val="none"/>
        </w:rPr>
        <w:t>GB3838-2002</w:t>
      </w:r>
      <w:r>
        <w:rPr>
          <w:rFonts w:hint="eastAsia"/>
          <w:color w:val="auto"/>
          <w:sz w:val="24"/>
          <w:szCs w:val="24"/>
          <w:highlight w:val="none"/>
        </w:rPr>
        <w:t>)</w:t>
      </w:r>
      <w:r>
        <w:rPr>
          <w:color w:val="auto"/>
          <w:sz w:val="24"/>
          <w:szCs w:val="24"/>
          <w:highlight w:val="none"/>
        </w:rPr>
        <w:t>III类标准，具体见表3.4-</w:t>
      </w:r>
      <w:r>
        <w:rPr>
          <w:rFonts w:hint="eastAsia"/>
          <w:color w:val="auto"/>
          <w:sz w:val="24"/>
          <w:szCs w:val="24"/>
          <w:highlight w:val="none"/>
          <w:lang w:val="en-US" w:eastAsia="zh-CN"/>
        </w:rPr>
        <w:t>2</w:t>
      </w:r>
      <w:r>
        <w:rPr>
          <w:color w:val="auto"/>
          <w:sz w:val="24"/>
          <w:szCs w:val="24"/>
          <w:highlight w:val="none"/>
        </w:rPr>
        <w:t>。</w:t>
      </w:r>
    </w:p>
    <w:p>
      <w:pPr>
        <w:spacing w:line="360" w:lineRule="auto"/>
        <w:jc w:val="center"/>
        <w:rPr>
          <w:rFonts w:eastAsia="黑体"/>
          <w:color w:val="auto"/>
          <w:sz w:val="24"/>
          <w:highlight w:val="none"/>
        </w:rPr>
      </w:pPr>
      <w:r>
        <w:rPr>
          <w:rFonts w:eastAsia="黑体"/>
          <w:color w:val="auto"/>
          <w:sz w:val="24"/>
          <w:highlight w:val="none"/>
        </w:rPr>
        <w:t>表3.4-</w:t>
      </w:r>
      <w:r>
        <w:rPr>
          <w:rFonts w:hint="eastAsia" w:eastAsia="黑体"/>
          <w:color w:val="auto"/>
          <w:sz w:val="24"/>
          <w:highlight w:val="none"/>
          <w:lang w:val="en-US" w:eastAsia="zh-CN"/>
        </w:rPr>
        <w:t>2</w:t>
      </w:r>
      <w:r>
        <w:rPr>
          <w:rFonts w:eastAsia="黑体"/>
          <w:color w:val="auto"/>
          <w:sz w:val="24"/>
          <w:highlight w:val="none"/>
        </w:rPr>
        <w:t xml:space="preserve">   地表水环境质量标准一览表   单位：mg/L，pH无量纲</w:t>
      </w:r>
    </w:p>
    <w:tbl>
      <w:tblPr>
        <w:tblStyle w:val="59"/>
        <w:tblW w:w="892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759"/>
        <w:gridCol w:w="1454"/>
        <w:gridCol w:w="1107"/>
        <w:gridCol w:w="1976"/>
        <w:gridCol w:w="16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8"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序号</w:t>
            </w:r>
          </w:p>
        </w:tc>
        <w:tc>
          <w:tcPr>
            <w:tcW w:w="1759"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参数</w:t>
            </w:r>
          </w:p>
        </w:tc>
        <w:tc>
          <w:tcPr>
            <w:tcW w:w="1454"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标准值</w:t>
            </w:r>
          </w:p>
        </w:tc>
        <w:tc>
          <w:tcPr>
            <w:tcW w:w="1107"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序号</w:t>
            </w:r>
          </w:p>
        </w:tc>
        <w:tc>
          <w:tcPr>
            <w:tcW w:w="1976"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参</w:t>
            </w:r>
            <w:r>
              <w:rPr>
                <w:rFonts w:eastAsia="Times New Roman"/>
                <w:color w:val="auto"/>
                <w:highlight w:val="none"/>
              </w:rPr>
              <w:t xml:space="preserve"> </w:t>
            </w:r>
            <w:r>
              <w:rPr>
                <w:color w:val="auto"/>
                <w:highlight w:val="none"/>
              </w:rPr>
              <w:t>数</w:t>
            </w:r>
          </w:p>
        </w:tc>
        <w:tc>
          <w:tcPr>
            <w:tcW w:w="1624"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8" w:type="dxa"/>
            <w:tcBorders>
              <w:tl2br w:val="nil"/>
              <w:tr2bl w:val="nil"/>
            </w:tcBorders>
            <w:vAlign w:val="center"/>
          </w:tcPr>
          <w:p>
            <w:pPr>
              <w:widowControl/>
              <w:spacing w:line="240" w:lineRule="exact"/>
              <w:jc w:val="center"/>
              <w:rPr>
                <w:rFonts w:eastAsia="Times New Roman"/>
                <w:color w:val="auto"/>
                <w:highlight w:val="none"/>
              </w:rPr>
            </w:pPr>
            <w:r>
              <w:rPr>
                <w:rFonts w:eastAsia="Times New Roman"/>
                <w:color w:val="auto"/>
                <w:highlight w:val="none"/>
              </w:rPr>
              <w:t>1</w:t>
            </w:r>
          </w:p>
        </w:tc>
        <w:tc>
          <w:tcPr>
            <w:tcW w:w="1759"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pH</w:t>
            </w:r>
          </w:p>
        </w:tc>
        <w:tc>
          <w:tcPr>
            <w:tcW w:w="1454"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6~9</w:t>
            </w:r>
          </w:p>
        </w:tc>
        <w:tc>
          <w:tcPr>
            <w:tcW w:w="1107" w:type="dxa"/>
            <w:tcBorders>
              <w:tl2br w:val="nil"/>
              <w:tr2bl w:val="nil"/>
            </w:tcBorders>
            <w:vAlign w:val="center"/>
          </w:tcPr>
          <w:p>
            <w:pPr>
              <w:widowControl/>
              <w:spacing w:line="240" w:lineRule="exact"/>
              <w:jc w:val="center"/>
              <w:rPr>
                <w:color w:val="auto"/>
                <w:highlight w:val="none"/>
              </w:rPr>
            </w:pPr>
            <w:r>
              <w:rPr>
                <w:color w:val="auto"/>
                <w:highlight w:val="none"/>
              </w:rPr>
              <w:t>11</w:t>
            </w:r>
          </w:p>
        </w:tc>
        <w:tc>
          <w:tcPr>
            <w:tcW w:w="1976"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汞</w:t>
            </w:r>
          </w:p>
        </w:tc>
        <w:tc>
          <w:tcPr>
            <w:tcW w:w="1624"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8" w:type="dxa"/>
            <w:tcBorders>
              <w:tl2br w:val="nil"/>
              <w:tr2bl w:val="nil"/>
            </w:tcBorders>
            <w:vAlign w:val="center"/>
          </w:tcPr>
          <w:p>
            <w:pPr>
              <w:widowControl/>
              <w:spacing w:line="240" w:lineRule="exact"/>
              <w:jc w:val="center"/>
              <w:rPr>
                <w:color w:val="auto"/>
                <w:highlight w:val="none"/>
              </w:rPr>
            </w:pPr>
            <w:r>
              <w:rPr>
                <w:color w:val="auto"/>
                <w:highlight w:val="none"/>
              </w:rPr>
              <w:t>2</w:t>
            </w:r>
          </w:p>
        </w:tc>
        <w:tc>
          <w:tcPr>
            <w:tcW w:w="1759" w:type="dxa"/>
            <w:tcBorders>
              <w:tl2br w:val="nil"/>
              <w:tr2bl w:val="nil"/>
            </w:tcBorders>
            <w:vAlign w:val="center"/>
          </w:tcPr>
          <w:p>
            <w:pPr>
              <w:widowControl/>
              <w:spacing w:line="240" w:lineRule="exact"/>
              <w:jc w:val="center"/>
              <w:rPr>
                <w:color w:val="auto"/>
                <w:highlight w:val="none"/>
              </w:rPr>
            </w:pPr>
            <w:r>
              <w:rPr>
                <w:color w:val="auto"/>
                <w:highlight w:val="none"/>
              </w:rPr>
              <w:t>COD</w:t>
            </w:r>
          </w:p>
        </w:tc>
        <w:tc>
          <w:tcPr>
            <w:tcW w:w="1454" w:type="dxa"/>
            <w:tcBorders>
              <w:tl2br w:val="nil"/>
              <w:tr2bl w:val="nil"/>
            </w:tcBorders>
            <w:vAlign w:val="center"/>
          </w:tcPr>
          <w:p>
            <w:pPr>
              <w:widowControl/>
              <w:spacing w:line="240" w:lineRule="exact"/>
              <w:jc w:val="center"/>
              <w:rPr>
                <w:color w:val="auto"/>
                <w:highlight w:val="none"/>
              </w:rPr>
            </w:pPr>
            <w:r>
              <w:rPr>
                <w:color w:val="auto"/>
                <w:highlight w:val="none"/>
              </w:rPr>
              <w:t>20</w:t>
            </w:r>
          </w:p>
        </w:tc>
        <w:tc>
          <w:tcPr>
            <w:tcW w:w="1107" w:type="dxa"/>
            <w:tcBorders>
              <w:tl2br w:val="nil"/>
              <w:tr2bl w:val="nil"/>
            </w:tcBorders>
            <w:vAlign w:val="center"/>
          </w:tcPr>
          <w:p>
            <w:pPr>
              <w:widowControl/>
              <w:spacing w:line="240" w:lineRule="exact"/>
              <w:jc w:val="center"/>
              <w:rPr>
                <w:rFonts w:eastAsia="等线"/>
                <w:color w:val="auto"/>
                <w:highlight w:val="none"/>
              </w:rPr>
            </w:pPr>
            <w:r>
              <w:rPr>
                <w:color w:val="auto"/>
                <w:highlight w:val="none"/>
              </w:rPr>
              <w:t>12</w:t>
            </w:r>
          </w:p>
        </w:tc>
        <w:tc>
          <w:tcPr>
            <w:tcW w:w="1976"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镉</w:t>
            </w:r>
          </w:p>
        </w:tc>
        <w:tc>
          <w:tcPr>
            <w:tcW w:w="1624"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8" w:type="dxa"/>
            <w:tcBorders>
              <w:tl2br w:val="nil"/>
              <w:tr2bl w:val="nil"/>
            </w:tcBorders>
            <w:vAlign w:val="center"/>
          </w:tcPr>
          <w:p>
            <w:pPr>
              <w:widowControl/>
              <w:spacing w:line="240" w:lineRule="exact"/>
              <w:jc w:val="center"/>
              <w:rPr>
                <w:color w:val="auto"/>
                <w:highlight w:val="none"/>
              </w:rPr>
            </w:pPr>
            <w:r>
              <w:rPr>
                <w:color w:val="auto"/>
                <w:highlight w:val="none"/>
              </w:rPr>
              <w:t>3</w:t>
            </w:r>
          </w:p>
        </w:tc>
        <w:tc>
          <w:tcPr>
            <w:tcW w:w="1759" w:type="dxa"/>
            <w:tcBorders>
              <w:tl2br w:val="nil"/>
              <w:tr2bl w:val="nil"/>
            </w:tcBorders>
            <w:vAlign w:val="center"/>
          </w:tcPr>
          <w:p>
            <w:pPr>
              <w:widowControl/>
              <w:spacing w:line="240" w:lineRule="exact"/>
              <w:jc w:val="center"/>
              <w:rPr>
                <w:rFonts w:eastAsia="Times New Roman"/>
                <w:color w:val="auto"/>
                <w:highlight w:val="none"/>
                <w:vertAlign w:val="subscript"/>
              </w:rPr>
            </w:pPr>
            <w:r>
              <w:rPr>
                <w:color w:val="auto"/>
                <w:highlight w:val="none"/>
              </w:rPr>
              <w:t>BOD</w:t>
            </w:r>
            <w:r>
              <w:rPr>
                <w:rFonts w:eastAsia="Times New Roman"/>
                <w:color w:val="auto"/>
                <w:highlight w:val="none"/>
                <w:vertAlign w:val="subscript"/>
              </w:rPr>
              <w:t>5</w:t>
            </w:r>
          </w:p>
        </w:tc>
        <w:tc>
          <w:tcPr>
            <w:tcW w:w="1454"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4</w:t>
            </w:r>
          </w:p>
        </w:tc>
        <w:tc>
          <w:tcPr>
            <w:tcW w:w="1107" w:type="dxa"/>
            <w:tcBorders>
              <w:tl2br w:val="nil"/>
              <w:tr2bl w:val="nil"/>
            </w:tcBorders>
            <w:vAlign w:val="center"/>
          </w:tcPr>
          <w:p>
            <w:pPr>
              <w:widowControl/>
              <w:spacing w:line="240" w:lineRule="exact"/>
              <w:jc w:val="center"/>
              <w:rPr>
                <w:color w:val="auto"/>
                <w:highlight w:val="none"/>
              </w:rPr>
            </w:pPr>
            <w:r>
              <w:rPr>
                <w:color w:val="auto"/>
                <w:highlight w:val="none"/>
              </w:rPr>
              <w:t>13</w:t>
            </w:r>
          </w:p>
        </w:tc>
        <w:tc>
          <w:tcPr>
            <w:tcW w:w="1976" w:type="dxa"/>
            <w:tcBorders>
              <w:tl2br w:val="nil"/>
              <w:tr2bl w:val="nil"/>
            </w:tcBorders>
            <w:vAlign w:val="center"/>
          </w:tcPr>
          <w:p>
            <w:pPr>
              <w:widowControl/>
              <w:spacing w:line="240" w:lineRule="exact"/>
              <w:jc w:val="center"/>
              <w:rPr>
                <w:color w:val="auto"/>
                <w:highlight w:val="none"/>
              </w:rPr>
            </w:pPr>
            <w:r>
              <w:rPr>
                <w:color w:val="auto"/>
                <w:highlight w:val="none"/>
              </w:rPr>
              <w:t>六价铬</w:t>
            </w:r>
          </w:p>
        </w:tc>
        <w:tc>
          <w:tcPr>
            <w:tcW w:w="1624" w:type="dxa"/>
            <w:tcBorders>
              <w:tl2br w:val="nil"/>
              <w:tr2bl w:val="nil"/>
            </w:tcBorders>
            <w:vAlign w:val="center"/>
          </w:tcPr>
          <w:p>
            <w:pPr>
              <w:widowControl/>
              <w:spacing w:line="240" w:lineRule="exact"/>
              <w:jc w:val="center"/>
              <w:rPr>
                <w:color w:val="auto"/>
                <w:highlight w:val="none"/>
              </w:rPr>
            </w:pPr>
            <w:r>
              <w:rPr>
                <w:rFonts w:eastAsia="等线"/>
                <w:color w:val="auto"/>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8" w:type="dxa"/>
            <w:tcBorders>
              <w:tl2br w:val="nil"/>
              <w:tr2bl w:val="nil"/>
            </w:tcBorders>
            <w:vAlign w:val="center"/>
          </w:tcPr>
          <w:p>
            <w:pPr>
              <w:widowControl/>
              <w:spacing w:line="240" w:lineRule="exact"/>
              <w:jc w:val="center"/>
              <w:rPr>
                <w:rFonts w:eastAsia="Times New Roman"/>
                <w:color w:val="auto"/>
                <w:highlight w:val="none"/>
              </w:rPr>
            </w:pPr>
            <w:r>
              <w:rPr>
                <w:rFonts w:eastAsia="Times New Roman"/>
                <w:color w:val="auto"/>
                <w:highlight w:val="none"/>
              </w:rPr>
              <w:t>4</w:t>
            </w:r>
          </w:p>
        </w:tc>
        <w:tc>
          <w:tcPr>
            <w:tcW w:w="1759" w:type="dxa"/>
            <w:tcBorders>
              <w:tl2br w:val="nil"/>
              <w:tr2bl w:val="nil"/>
            </w:tcBorders>
            <w:vAlign w:val="center"/>
          </w:tcPr>
          <w:p>
            <w:pPr>
              <w:widowControl/>
              <w:spacing w:line="240" w:lineRule="exact"/>
              <w:jc w:val="center"/>
              <w:rPr>
                <w:color w:val="auto"/>
                <w:highlight w:val="none"/>
              </w:rPr>
            </w:pPr>
            <w:r>
              <w:rPr>
                <w:color w:val="auto"/>
                <w:highlight w:val="none"/>
              </w:rPr>
              <w:t>氨氮</w:t>
            </w:r>
          </w:p>
        </w:tc>
        <w:tc>
          <w:tcPr>
            <w:tcW w:w="1454" w:type="dxa"/>
            <w:tcBorders>
              <w:tl2br w:val="nil"/>
              <w:tr2bl w:val="nil"/>
            </w:tcBorders>
            <w:vAlign w:val="center"/>
          </w:tcPr>
          <w:p>
            <w:pPr>
              <w:widowControl/>
              <w:spacing w:line="240" w:lineRule="exact"/>
              <w:jc w:val="center"/>
              <w:rPr>
                <w:color w:val="auto"/>
                <w:highlight w:val="none"/>
              </w:rPr>
            </w:pPr>
            <w:r>
              <w:rPr>
                <w:color w:val="auto"/>
                <w:highlight w:val="none"/>
              </w:rPr>
              <w:t>1.0</w:t>
            </w:r>
          </w:p>
        </w:tc>
        <w:tc>
          <w:tcPr>
            <w:tcW w:w="1107" w:type="dxa"/>
            <w:tcBorders>
              <w:tl2br w:val="nil"/>
              <w:tr2bl w:val="nil"/>
            </w:tcBorders>
            <w:vAlign w:val="center"/>
          </w:tcPr>
          <w:p>
            <w:pPr>
              <w:widowControl/>
              <w:spacing w:line="240" w:lineRule="exact"/>
              <w:jc w:val="center"/>
              <w:rPr>
                <w:color w:val="auto"/>
                <w:highlight w:val="none"/>
              </w:rPr>
            </w:pPr>
            <w:r>
              <w:rPr>
                <w:color w:val="auto"/>
                <w:highlight w:val="none"/>
              </w:rPr>
              <w:t>14</w:t>
            </w:r>
          </w:p>
        </w:tc>
        <w:tc>
          <w:tcPr>
            <w:tcW w:w="1976"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铅</w:t>
            </w:r>
          </w:p>
        </w:tc>
        <w:tc>
          <w:tcPr>
            <w:tcW w:w="1624"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8" w:type="dxa"/>
            <w:tcBorders>
              <w:tl2br w:val="nil"/>
              <w:tr2bl w:val="nil"/>
            </w:tcBorders>
            <w:vAlign w:val="center"/>
          </w:tcPr>
          <w:p>
            <w:pPr>
              <w:widowControl/>
              <w:spacing w:line="240" w:lineRule="exact"/>
              <w:jc w:val="center"/>
              <w:rPr>
                <w:rFonts w:eastAsia="Times New Roman"/>
                <w:color w:val="auto"/>
                <w:highlight w:val="none"/>
              </w:rPr>
            </w:pPr>
            <w:r>
              <w:rPr>
                <w:rFonts w:eastAsia="Times New Roman"/>
                <w:color w:val="auto"/>
                <w:highlight w:val="none"/>
              </w:rPr>
              <w:t>5</w:t>
            </w:r>
          </w:p>
        </w:tc>
        <w:tc>
          <w:tcPr>
            <w:tcW w:w="1759"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总氮</w:t>
            </w:r>
          </w:p>
        </w:tc>
        <w:tc>
          <w:tcPr>
            <w:tcW w:w="1454"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1.0</w:t>
            </w:r>
          </w:p>
        </w:tc>
        <w:tc>
          <w:tcPr>
            <w:tcW w:w="1107" w:type="dxa"/>
            <w:tcBorders>
              <w:tl2br w:val="nil"/>
              <w:tr2bl w:val="nil"/>
            </w:tcBorders>
            <w:vAlign w:val="center"/>
          </w:tcPr>
          <w:p>
            <w:pPr>
              <w:widowControl/>
              <w:spacing w:line="240" w:lineRule="exact"/>
              <w:jc w:val="center"/>
              <w:rPr>
                <w:color w:val="auto"/>
                <w:highlight w:val="none"/>
              </w:rPr>
            </w:pPr>
            <w:r>
              <w:rPr>
                <w:color w:val="auto"/>
                <w:highlight w:val="none"/>
              </w:rPr>
              <w:t>15</w:t>
            </w:r>
          </w:p>
        </w:tc>
        <w:tc>
          <w:tcPr>
            <w:tcW w:w="1976"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硒</w:t>
            </w:r>
          </w:p>
        </w:tc>
        <w:tc>
          <w:tcPr>
            <w:tcW w:w="1624"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8" w:type="dxa"/>
            <w:tcBorders>
              <w:tl2br w:val="nil"/>
              <w:tr2bl w:val="nil"/>
            </w:tcBorders>
            <w:vAlign w:val="center"/>
          </w:tcPr>
          <w:p>
            <w:pPr>
              <w:widowControl/>
              <w:spacing w:line="240" w:lineRule="exact"/>
              <w:jc w:val="center"/>
              <w:rPr>
                <w:rFonts w:eastAsia="Times New Roman"/>
                <w:color w:val="auto"/>
                <w:highlight w:val="none"/>
              </w:rPr>
            </w:pPr>
            <w:r>
              <w:rPr>
                <w:rFonts w:eastAsia="Times New Roman"/>
                <w:color w:val="auto"/>
                <w:highlight w:val="none"/>
              </w:rPr>
              <w:t>6</w:t>
            </w:r>
          </w:p>
        </w:tc>
        <w:tc>
          <w:tcPr>
            <w:tcW w:w="1759"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总磷</w:t>
            </w:r>
          </w:p>
        </w:tc>
        <w:tc>
          <w:tcPr>
            <w:tcW w:w="1454" w:type="dxa"/>
            <w:tcBorders>
              <w:tl2br w:val="nil"/>
              <w:tr2bl w:val="nil"/>
            </w:tcBorders>
            <w:vAlign w:val="center"/>
          </w:tcPr>
          <w:p>
            <w:pPr>
              <w:widowControl/>
              <w:spacing w:line="240" w:lineRule="exact"/>
              <w:jc w:val="center"/>
              <w:rPr>
                <w:rFonts w:eastAsia="等线"/>
                <w:color w:val="auto"/>
                <w:highlight w:val="none"/>
              </w:rPr>
            </w:pPr>
            <w:r>
              <w:rPr>
                <w:color w:val="auto"/>
                <w:highlight w:val="none"/>
              </w:rPr>
              <w:t>0.2</w:t>
            </w:r>
          </w:p>
        </w:tc>
        <w:tc>
          <w:tcPr>
            <w:tcW w:w="1107" w:type="dxa"/>
            <w:tcBorders>
              <w:tl2br w:val="nil"/>
              <w:tr2bl w:val="nil"/>
            </w:tcBorders>
            <w:vAlign w:val="center"/>
          </w:tcPr>
          <w:p>
            <w:pPr>
              <w:widowControl/>
              <w:spacing w:line="240" w:lineRule="exact"/>
              <w:jc w:val="center"/>
              <w:rPr>
                <w:color w:val="auto"/>
                <w:highlight w:val="none"/>
              </w:rPr>
            </w:pPr>
            <w:r>
              <w:rPr>
                <w:rFonts w:eastAsia="等线"/>
                <w:color w:val="auto"/>
                <w:highlight w:val="none"/>
              </w:rPr>
              <w:t>16</w:t>
            </w:r>
          </w:p>
        </w:tc>
        <w:tc>
          <w:tcPr>
            <w:tcW w:w="1976"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氟化物</w:t>
            </w:r>
          </w:p>
        </w:tc>
        <w:tc>
          <w:tcPr>
            <w:tcW w:w="1624"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8" w:type="dxa"/>
            <w:tcBorders>
              <w:tl2br w:val="nil"/>
              <w:tr2bl w:val="nil"/>
            </w:tcBorders>
            <w:vAlign w:val="center"/>
          </w:tcPr>
          <w:p>
            <w:pPr>
              <w:widowControl/>
              <w:spacing w:line="240" w:lineRule="exact"/>
              <w:jc w:val="center"/>
              <w:rPr>
                <w:rFonts w:eastAsia="Times New Roman"/>
                <w:color w:val="auto"/>
                <w:highlight w:val="none"/>
              </w:rPr>
            </w:pPr>
            <w:r>
              <w:rPr>
                <w:rFonts w:eastAsia="Times New Roman"/>
                <w:color w:val="auto"/>
                <w:highlight w:val="none"/>
              </w:rPr>
              <w:t>7</w:t>
            </w:r>
          </w:p>
        </w:tc>
        <w:tc>
          <w:tcPr>
            <w:tcW w:w="1759"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高锰酸盐指数</w:t>
            </w:r>
          </w:p>
        </w:tc>
        <w:tc>
          <w:tcPr>
            <w:tcW w:w="1454"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6</w:t>
            </w:r>
          </w:p>
        </w:tc>
        <w:tc>
          <w:tcPr>
            <w:tcW w:w="1107" w:type="dxa"/>
            <w:tcBorders>
              <w:tl2br w:val="nil"/>
              <w:tr2bl w:val="nil"/>
            </w:tcBorders>
            <w:vAlign w:val="center"/>
          </w:tcPr>
          <w:p>
            <w:pPr>
              <w:widowControl/>
              <w:spacing w:line="240" w:lineRule="exact"/>
              <w:jc w:val="center"/>
              <w:rPr>
                <w:color w:val="auto"/>
                <w:highlight w:val="none"/>
              </w:rPr>
            </w:pPr>
            <w:r>
              <w:rPr>
                <w:color w:val="auto"/>
                <w:highlight w:val="none"/>
              </w:rPr>
              <w:t>17</w:t>
            </w:r>
          </w:p>
        </w:tc>
        <w:tc>
          <w:tcPr>
            <w:tcW w:w="1976"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氰化物</w:t>
            </w:r>
          </w:p>
        </w:tc>
        <w:tc>
          <w:tcPr>
            <w:tcW w:w="1624"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8" w:type="dxa"/>
            <w:tcBorders>
              <w:tl2br w:val="nil"/>
              <w:tr2bl w:val="nil"/>
            </w:tcBorders>
            <w:vAlign w:val="center"/>
          </w:tcPr>
          <w:p>
            <w:pPr>
              <w:widowControl/>
              <w:spacing w:line="240" w:lineRule="exact"/>
              <w:jc w:val="center"/>
              <w:rPr>
                <w:rFonts w:eastAsia="Times New Roman"/>
                <w:color w:val="auto"/>
                <w:highlight w:val="none"/>
              </w:rPr>
            </w:pPr>
            <w:r>
              <w:rPr>
                <w:rFonts w:eastAsia="Times New Roman"/>
                <w:color w:val="auto"/>
                <w:highlight w:val="none"/>
              </w:rPr>
              <w:t>8</w:t>
            </w:r>
          </w:p>
        </w:tc>
        <w:tc>
          <w:tcPr>
            <w:tcW w:w="1759" w:type="dxa"/>
            <w:tcBorders>
              <w:tl2br w:val="nil"/>
              <w:tr2bl w:val="nil"/>
            </w:tcBorders>
            <w:vAlign w:val="center"/>
          </w:tcPr>
          <w:p>
            <w:pPr>
              <w:widowControl/>
              <w:spacing w:line="240" w:lineRule="exact"/>
              <w:jc w:val="center"/>
              <w:rPr>
                <w:color w:val="auto"/>
                <w:highlight w:val="none"/>
              </w:rPr>
            </w:pPr>
            <w:r>
              <w:rPr>
                <w:color w:val="auto"/>
                <w:highlight w:val="none"/>
              </w:rPr>
              <w:t>铜</w:t>
            </w:r>
          </w:p>
        </w:tc>
        <w:tc>
          <w:tcPr>
            <w:tcW w:w="1454"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1.0</w:t>
            </w:r>
          </w:p>
        </w:tc>
        <w:tc>
          <w:tcPr>
            <w:tcW w:w="1107" w:type="dxa"/>
            <w:tcBorders>
              <w:tl2br w:val="nil"/>
              <w:tr2bl w:val="nil"/>
            </w:tcBorders>
            <w:vAlign w:val="center"/>
          </w:tcPr>
          <w:p>
            <w:pPr>
              <w:widowControl/>
              <w:spacing w:line="240" w:lineRule="exact"/>
              <w:jc w:val="center"/>
              <w:rPr>
                <w:color w:val="auto"/>
                <w:highlight w:val="none"/>
              </w:rPr>
            </w:pPr>
            <w:r>
              <w:rPr>
                <w:color w:val="auto"/>
                <w:highlight w:val="none"/>
              </w:rPr>
              <w:t>18</w:t>
            </w:r>
          </w:p>
        </w:tc>
        <w:tc>
          <w:tcPr>
            <w:tcW w:w="1976" w:type="dxa"/>
            <w:tcBorders>
              <w:tl2br w:val="nil"/>
              <w:tr2bl w:val="nil"/>
            </w:tcBorders>
            <w:vAlign w:val="center"/>
          </w:tcPr>
          <w:p>
            <w:pPr>
              <w:widowControl/>
              <w:spacing w:line="240" w:lineRule="exact"/>
              <w:jc w:val="center"/>
              <w:rPr>
                <w:color w:val="auto"/>
                <w:highlight w:val="none"/>
              </w:rPr>
            </w:pPr>
            <w:r>
              <w:rPr>
                <w:color w:val="auto"/>
                <w:highlight w:val="none"/>
              </w:rPr>
              <w:t>挥发酚</w:t>
            </w:r>
          </w:p>
        </w:tc>
        <w:tc>
          <w:tcPr>
            <w:tcW w:w="1624"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8"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9</w:t>
            </w:r>
          </w:p>
        </w:tc>
        <w:tc>
          <w:tcPr>
            <w:tcW w:w="1759" w:type="dxa"/>
            <w:tcBorders>
              <w:tl2br w:val="nil"/>
              <w:tr2bl w:val="nil"/>
            </w:tcBorders>
            <w:vAlign w:val="center"/>
          </w:tcPr>
          <w:p>
            <w:pPr>
              <w:widowControl/>
              <w:spacing w:line="240" w:lineRule="exact"/>
              <w:jc w:val="center"/>
              <w:rPr>
                <w:color w:val="auto"/>
                <w:highlight w:val="none"/>
              </w:rPr>
            </w:pPr>
            <w:r>
              <w:rPr>
                <w:color w:val="auto"/>
                <w:highlight w:val="none"/>
              </w:rPr>
              <w:t>锌</w:t>
            </w:r>
          </w:p>
        </w:tc>
        <w:tc>
          <w:tcPr>
            <w:tcW w:w="1454"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1.0</w:t>
            </w:r>
          </w:p>
        </w:tc>
        <w:tc>
          <w:tcPr>
            <w:tcW w:w="1107" w:type="dxa"/>
            <w:tcBorders>
              <w:tl2br w:val="nil"/>
              <w:tr2bl w:val="nil"/>
            </w:tcBorders>
            <w:vAlign w:val="center"/>
          </w:tcPr>
          <w:p>
            <w:pPr>
              <w:widowControl/>
              <w:spacing w:line="240" w:lineRule="exact"/>
              <w:jc w:val="center"/>
              <w:rPr>
                <w:rFonts w:eastAsia="等线"/>
                <w:color w:val="auto"/>
                <w:highlight w:val="none"/>
              </w:rPr>
            </w:pPr>
            <w:r>
              <w:rPr>
                <w:color w:val="auto"/>
                <w:highlight w:val="none"/>
              </w:rPr>
              <w:t>19</w:t>
            </w:r>
          </w:p>
        </w:tc>
        <w:tc>
          <w:tcPr>
            <w:tcW w:w="1976" w:type="dxa"/>
            <w:tcBorders>
              <w:tl2br w:val="nil"/>
              <w:tr2bl w:val="nil"/>
            </w:tcBorders>
            <w:vAlign w:val="center"/>
          </w:tcPr>
          <w:p>
            <w:pPr>
              <w:widowControl/>
              <w:spacing w:line="240" w:lineRule="exact"/>
              <w:jc w:val="center"/>
              <w:rPr>
                <w:color w:val="auto"/>
                <w:highlight w:val="none"/>
              </w:rPr>
            </w:pPr>
            <w:r>
              <w:rPr>
                <w:color w:val="auto"/>
                <w:highlight w:val="none"/>
              </w:rPr>
              <w:t>石油类</w:t>
            </w:r>
          </w:p>
        </w:tc>
        <w:tc>
          <w:tcPr>
            <w:tcW w:w="1624"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8" w:type="dxa"/>
            <w:tcBorders>
              <w:tl2br w:val="nil"/>
              <w:tr2bl w:val="nil"/>
            </w:tcBorders>
            <w:vAlign w:val="center"/>
          </w:tcPr>
          <w:p>
            <w:pPr>
              <w:widowControl/>
              <w:spacing w:line="240" w:lineRule="exact"/>
              <w:jc w:val="center"/>
              <w:rPr>
                <w:rFonts w:eastAsia="Times New Roman"/>
                <w:color w:val="auto"/>
                <w:highlight w:val="none"/>
              </w:rPr>
            </w:pPr>
            <w:r>
              <w:rPr>
                <w:rFonts w:eastAsia="等线"/>
                <w:color w:val="auto"/>
                <w:highlight w:val="none"/>
              </w:rPr>
              <w:t>10</w:t>
            </w:r>
          </w:p>
        </w:tc>
        <w:tc>
          <w:tcPr>
            <w:tcW w:w="1759" w:type="dxa"/>
            <w:tcBorders>
              <w:tl2br w:val="nil"/>
              <w:tr2bl w:val="nil"/>
            </w:tcBorders>
            <w:vAlign w:val="center"/>
          </w:tcPr>
          <w:p>
            <w:pPr>
              <w:widowControl/>
              <w:spacing w:line="240" w:lineRule="exact"/>
              <w:jc w:val="center"/>
              <w:rPr>
                <w:color w:val="auto"/>
                <w:highlight w:val="none"/>
              </w:rPr>
            </w:pPr>
            <w:r>
              <w:rPr>
                <w:color w:val="auto"/>
                <w:highlight w:val="none"/>
              </w:rPr>
              <w:t>砷</w:t>
            </w:r>
          </w:p>
        </w:tc>
        <w:tc>
          <w:tcPr>
            <w:tcW w:w="1454"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0.05</w:t>
            </w:r>
          </w:p>
        </w:tc>
        <w:tc>
          <w:tcPr>
            <w:tcW w:w="1107"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20</w:t>
            </w:r>
          </w:p>
        </w:tc>
        <w:tc>
          <w:tcPr>
            <w:tcW w:w="1976" w:type="dxa"/>
            <w:tcBorders>
              <w:tl2br w:val="nil"/>
              <w:tr2bl w:val="nil"/>
            </w:tcBorders>
            <w:vAlign w:val="center"/>
          </w:tcPr>
          <w:p>
            <w:pPr>
              <w:widowControl/>
              <w:spacing w:line="240" w:lineRule="exact"/>
              <w:jc w:val="center"/>
              <w:rPr>
                <w:color w:val="auto"/>
                <w:highlight w:val="none"/>
              </w:rPr>
            </w:pPr>
            <w:r>
              <w:rPr>
                <w:color w:val="auto"/>
                <w:highlight w:val="none"/>
              </w:rPr>
              <w:t>硫化物</w:t>
            </w:r>
          </w:p>
        </w:tc>
        <w:tc>
          <w:tcPr>
            <w:tcW w:w="1624" w:type="dxa"/>
            <w:tcBorders>
              <w:tl2br w:val="nil"/>
              <w:tr2bl w:val="nil"/>
            </w:tcBorders>
            <w:vAlign w:val="center"/>
          </w:tcPr>
          <w:p>
            <w:pPr>
              <w:widowControl/>
              <w:spacing w:line="240" w:lineRule="exact"/>
              <w:jc w:val="center"/>
              <w:rPr>
                <w:rFonts w:eastAsia="等线"/>
                <w:color w:val="auto"/>
                <w:highlight w:val="none"/>
              </w:rPr>
            </w:pPr>
            <w:r>
              <w:rPr>
                <w:rFonts w:eastAsia="等线"/>
                <w:color w:val="auto"/>
                <w:highlight w:val="none"/>
              </w:rPr>
              <w:t>0.2</w:t>
            </w:r>
          </w:p>
        </w:tc>
      </w:tr>
    </w:tbl>
    <w:p>
      <w:pPr>
        <w:spacing w:line="360" w:lineRule="auto"/>
        <w:ind w:firstLine="482" w:firstLineChars="200"/>
        <w:rPr>
          <w:b/>
          <w:bCs/>
          <w:color w:val="auto"/>
          <w:sz w:val="24"/>
          <w:szCs w:val="24"/>
          <w:highlight w:val="none"/>
        </w:rPr>
      </w:pPr>
      <w:r>
        <w:rPr>
          <w:b/>
          <w:bCs/>
          <w:color w:val="auto"/>
          <w:sz w:val="24"/>
          <w:szCs w:val="24"/>
          <w:highlight w:val="none"/>
        </w:rPr>
        <w:t>3、评价方法</w:t>
      </w:r>
    </w:p>
    <w:p>
      <w:pPr>
        <w:spacing w:line="360" w:lineRule="auto"/>
        <w:ind w:firstLine="480" w:firstLineChars="200"/>
        <w:rPr>
          <w:color w:val="auto"/>
          <w:kern w:val="24"/>
          <w:sz w:val="24"/>
          <w:szCs w:val="24"/>
          <w:highlight w:val="none"/>
        </w:rPr>
      </w:pPr>
      <w:r>
        <w:rPr>
          <w:color w:val="auto"/>
          <w:kern w:val="24"/>
          <w:sz w:val="24"/>
          <w:szCs w:val="24"/>
          <w:highlight w:val="none"/>
        </w:rPr>
        <w:t>采用单因子指数法进行现状评价。</w:t>
      </w:r>
    </w:p>
    <w:p>
      <w:pPr>
        <w:spacing w:line="360" w:lineRule="auto"/>
        <w:ind w:firstLine="480" w:firstLineChars="200"/>
        <w:rPr>
          <w:color w:val="auto"/>
          <w:kern w:val="24"/>
          <w:sz w:val="24"/>
          <w:szCs w:val="24"/>
          <w:highlight w:val="none"/>
        </w:rPr>
      </w:pPr>
      <w:r>
        <w:rPr>
          <w:rFonts w:hint="eastAsia" w:ascii="宋体" w:hAnsi="宋体" w:cs="宋体"/>
          <w:color w:val="auto"/>
          <w:kern w:val="24"/>
          <w:sz w:val="24"/>
          <w:szCs w:val="24"/>
          <w:highlight w:val="none"/>
        </w:rPr>
        <w:t>①</w:t>
      </w:r>
      <w:r>
        <w:rPr>
          <w:color w:val="auto"/>
          <w:kern w:val="24"/>
          <w:sz w:val="24"/>
          <w:szCs w:val="24"/>
          <w:highlight w:val="none"/>
        </w:rPr>
        <w:t xml:space="preserve"> 计算公式</w:t>
      </w:r>
    </w:p>
    <w:p>
      <w:pPr>
        <w:spacing w:line="360" w:lineRule="auto"/>
        <w:ind w:firstLine="480" w:firstLineChars="200"/>
        <w:rPr>
          <w:color w:val="auto"/>
          <w:kern w:val="24"/>
          <w:sz w:val="24"/>
          <w:szCs w:val="24"/>
          <w:highlight w:val="none"/>
        </w:rPr>
      </w:pPr>
      <w:r>
        <w:rPr>
          <w:color w:val="auto"/>
          <w:kern w:val="24"/>
          <w:sz w:val="24"/>
          <w:szCs w:val="24"/>
          <w:highlight w:val="none"/>
        </w:rPr>
        <w:t>环境现状监测结果单因子指数法计算公式如下：</w:t>
      </w:r>
    </w:p>
    <w:p>
      <w:pPr>
        <w:spacing w:line="360" w:lineRule="auto"/>
        <w:ind w:firstLine="2956" w:firstLineChars="1232"/>
        <w:rPr>
          <w:color w:val="auto"/>
          <w:kern w:val="0"/>
          <w:sz w:val="24"/>
          <w:szCs w:val="24"/>
          <w:highlight w:val="none"/>
        </w:rPr>
      </w:pPr>
      <w:r>
        <w:rPr>
          <w:color w:val="auto"/>
          <w:sz w:val="24"/>
          <w:szCs w:val="24"/>
          <w:highlight w:val="none"/>
        </w:rPr>
        <w:t>Si=Ci/Csi</w:t>
      </w:r>
    </w:p>
    <w:p>
      <w:pPr>
        <w:spacing w:line="360" w:lineRule="auto"/>
        <w:ind w:firstLine="480" w:firstLineChars="200"/>
        <w:rPr>
          <w:color w:val="auto"/>
          <w:kern w:val="24"/>
          <w:sz w:val="24"/>
          <w:szCs w:val="24"/>
          <w:highlight w:val="none"/>
        </w:rPr>
      </w:pPr>
      <w:r>
        <w:rPr>
          <w:color w:val="auto"/>
          <w:kern w:val="24"/>
          <w:sz w:val="24"/>
          <w:szCs w:val="24"/>
          <w:highlight w:val="none"/>
        </w:rPr>
        <w:t xml:space="preserve">式中：Si—污染物单因子指数；      </w:t>
      </w:r>
    </w:p>
    <w:p>
      <w:pPr>
        <w:spacing w:line="360" w:lineRule="auto"/>
        <w:ind w:firstLine="1200" w:firstLineChars="500"/>
        <w:rPr>
          <w:color w:val="auto"/>
          <w:kern w:val="24"/>
          <w:sz w:val="24"/>
          <w:szCs w:val="24"/>
          <w:highlight w:val="none"/>
        </w:rPr>
      </w:pPr>
      <w:r>
        <w:rPr>
          <w:color w:val="auto"/>
          <w:kern w:val="24"/>
          <w:sz w:val="24"/>
          <w:szCs w:val="24"/>
          <w:highlight w:val="none"/>
        </w:rPr>
        <w:t>Ci—i污染物的浓度值，mg/L；</w:t>
      </w:r>
    </w:p>
    <w:p>
      <w:pPr>
        <w:spacing w:line="360" w:lineRule="auto"/>
        <w:ind w:firstLine="480" w:firstLineChars="200"/>
        <w:rPr>
          <w:color w:val="auto"/>
          <w:kern w:val="24"/>
          <w:sz w:val="24"/>
          <w:szCs w:val="24"/>
          <w:highlight w:val="none"/>
        </w:rPr>
      </w:pPr>
      <w:r>
        <w:rPr>
          <w:color w:val="auto"/>
          <w:kern w:val="24"/>
          <w:sz w:val="24"/>
          <w:szCs w:val="24"/>
          <w:highlight w:val="none"/>
        </w:rPr>
        <w:t xml:space="preserve">      Csi—i污染物的评价标准值，mg/L。</w:t>
      </w:r>
    </w:p>
    <w:p>
      <w:pPr>
        <w:spacing w:line="360" w:lineRule="auto"/>
        <w:ind w:firstLine="480" w:firstLineChars="200"/>
        <w:rPr>
          <w:color w:val="auto"/>
          <w:kern w:val="24"/>
          <w:sz w:val="24"/>
          <w:szCs w:val="24"/>
          <w:highlight w:val="none"/>
        </w:rPr>
      </w:pPr>
      <w:r>
        <w:rPr>
          <w:rFonts w:hint="eastAsia" w:ascii="宋体" w:hAnsi="宋体" w:cs="宋体"/>
          <w:color w:val="auto"/>
          <w:kern w:val="24"/>
          <w:sz w:val="24"/>
          <w:szCs w:val="24"/>
          <w:highlight w:val="none"/>
        </w:rPr>
        <w:t>②</w:t>
      </w:r>
      <w:r>
        <w:rPr>
          <w:color w:val="auto"/>
          <w:kern w:val="24"/>
          <w:sz w:val="24"/>
          <w:szCs w:val="24"/>
          <w:highlight w:val="none"/>
        </w:rPr>
        <w:t xml:space="preserve"> pH单因子指数</w:t>
      </w:r>
    </w:p>
    <w:p>
      <w:pPr>
        <w:spacing w:line="360" w:lineRule="auto"/>
        <w:ind w:firstLine="960" w:firstLineChars="400"/>
        <w:rPr>
          <w:color w:val="auto"/>
          <w:kern w:val="0"/>
          <w:sz w:val="24"/>
          <w:szCs w:val="24"/>
          <w:highlight w:val="none"/>
        </w:rPr>
      </w:pPr>
      <w:r>
        <w:rPr>
          <w:color w:val="auto"/>
          <w:sz w:val="24"/>
          <w:szCs w:val="24"/>
          <w:highlight w:val="none"/>
        </w:rPr>
        <w:t>S</w:t>
      </w:r>
      <w:r>
        <w:rPr>
          <w:color w:val="auto"/>
          <w:sz w:val="24"/>
          <w:szCs w:val="24"/>
          <w:highlight w:val="none"/>
          <w:vertAlign w:val="subscript"/>
        </w:rPr>
        <w:t>pHj</w:t>
      </w:r>
      <w:r>
        <w:rPr>
          <w:color w:val="auto"/>
          <w:sz w:val="24"/>
          <w:szCs w:val="24"/>
          <w:highlight w:val="none"/>
        </w:rPr>
        <w:t>=(pH</w:t>
      </w:r>
      <w:r>
        <w:rPr>
          <w:color w:val="auto"/>
          <w:sz w:val="24"/>
          <w:szCs w:val="24"/>
          <w:highlight w:val="none"/>
          <w:vertAlign w:val="subscript"/>
        </w:rPr>
        <w:t>j</w:t>
      </w:r>
      <w:r>
        <w:rPr>
          <w:color w:val="auto"/>
          <w:sz w:val="24"/>
          <w:szCs w:val="24"/>
          <w:highlight w:val="none"/>
        </w:rPr>
        <w:t>-7.0)/(pH</w:t>
      </w:r>
      <w:r>
        <w:rPr>
          <w:color w:val="auto"/>
          <w:sz w:val="24"/>
          <w:szCs w:val="24"/>
          <w:highlight w:val="none"/>
          <w:vertAlign w:val="subscript"/>
        </w:rPr>
        <w:t>su</w:t>
      </w:r>
      <w:r>
        <w:rPr>
          <w:color w:val="auto"/>
          <w:sz w:val="24"/>
          <w:szCs w:val="24"/>
          <w:highlight w:val="none"/>
        </w:rPr>
        <w:t>-7.0)；        (pH</w:t>
      </w:r>
      <w:r>
        <w:rPr>
          <w:color w:val="auto"/>
          <w:sz w:val="24"/>
          <w:szCs w:val="24"/>
          <w:highlight w:val="none"/>
          <w:vertAlign w:val="subscript"/>
        </w:rPr>
        <w:t>j</w:t>
      </w:r>
      <w:r>
        <w:rPr>
          <w:color w:val="auto"/>
          <w:sz w:val="24"/>
          <w:szCs w:val="24"/>
          <w:highlight w:val="none"/>
        </w:rPr>
        <w:t>＞7.0)</w:t>
      </w:r>
    </w:p>
    <w:p>
      <w:pPr>
        <w:spacing w:line="360" w:lineRule="auto"/>
        <w:ind w:firstLine="960" w:firstLineChars="400"/>
        <w:rPr>
          <w:color w:val="auto"/>
          <w:sz w:val="24"/>
          <w:szCs w:val="24"/>
          <w:highlight w:val="none"/>
        </w:rPr>
      </w:pPr>
      <w:r>
        <w:rPr>
          <w:color w:val="auto"/>
          <w:sz w:val="24"/>
          <w:szCs w:val="24"/>
          <w:highlight w:val="none"/>
        </w:rPr>
        <w:t>S</w:t>
      </w:r>
      <w:r>
        <w:rPr>
          <w:color w:val="auto"/>
          <w:sz w:val="24"/>
          <w:szCs w:val="24"/>
          <w:highlight w:val="none"/>
          <w:vertAlign w:val="subscript"/>
        </w:rPr>
        <w:t>pHj</w:t>
      </w:r>
      <w:r>
        <w:rPr>
          <w:color w:val="auto"/>
          <w:sz w:val="24"/>
          <w:szCs w:val="24"/>
          <w:highlight w:val="none"/>
        </w:rPr>
        <w:t>=(7.0-pH</w:t>
      </w:r>
      <w:r>
        <w:rPr>
          <w:color w:val="auto"/>
          <w:sz w:val="24"/>
          <w:szCs w:val="24"/>
          <w:highlight w:val="none"/>
          <w:vertAlign w:val="subscript"/>
        </w:rPr>
        <w:t>j</w:t>
      </w:r>
      <w:r>
        <w:rPr>
          <w:color w:val="auto"/>
          <w:sz w:val="24"/>
          <w:szCs w:val="24"/>
          <w:highlight w:val="none"/>
        </w:rPr>
        <w:t>)/(7.0- pH</w:t>
      </w:r>
      <w:r>
        <w:rPr>
          <w:color w:val="auto"/>
          <w:sz w:val="24"/>
          <w:szCs w:val="24"/>
          <w:highlight w:val="none"/>
          <w:vertAlign w:val="subscript"/>
        </w:rPr>
        <w:t>sd</w:t>
      </w:r>
      <w:r>
        <w:rPr>
          <w:color w:val="auto"/>
          <w:sz w:val="24"/>
          <w:szCs w:val="24"/>
          <w:highlight w:val="none"/>
        </w:rPr>
        <w:t>)；        (pH</w:t>
      </w:r>
      <w:r>
        <w:rPr>
          <w:color w:val="auto"/>
          <w:sz w:val="24"/>
          <w:szCs w:val="24"/>
          <w:highlight w:val="none"/>
          <w:vertAlign w:val="subscript"/>
        </w:rPr>
        <w:t>j</w:t>
      </w:r>
      <w:r>
        <w:rPr>
          <w:color w:val="auto"/>
          <w:sz w:val="24"/>
          <w:szCs w:val="24"/>
          <w:highlight w:val="none"/>
        </w:rPr>
        <w:t>≤7.0)</w:t>
      </w:r>
    </w:p>
    <w:p>
      <w:pPr>
        <w:spacing w:line="360" w:lineRule="auto"/>
        <w:ind w:firstLine="480" w:firstLineChars="200"/>
        <w:rPr>
          <w:color w:val="auto"/>
          <w:kern w:val="24"/>
          <w:sz w:val="24"/>
          <w:szCs w:val="24"/>
          <w:highlight w:val="none"/>
        </w:rPr>
      </w:pPr>
      <w:r>
        <w:rPr>
          <w:color w:val="auto"/>
          <w:kern w:val="24"/>
          <w:sz w:val="24"/>
          <w:szCs w:val="24"/>
          <w:highlight w:val="none"/>
        </w:rPr>
        <w:t>式中：S</w:t>
      </w:r>
      <w:r>
        <w:rPr>
          <w:color w:val="auto"/>
          <w:kern w:val="24"/>
          <w:sz w:val="24"/>
          <w:szCs w:val="24"/>
          <w:highlight w:val="none"/>
          <w:vertAlign w:val="subscript"/>
        </w:rPr>
        <w:t>pHj</w:t>
      </w:r>
      <w:r>
        <w:rPr>
          <w:color w:val="auto"/>
          <w:kern w:val="24"/>
          <w:sz w:val="24"/>
          <w:szCs w:val="24"/>
          <w:highlight w:val="none"/>
        </w:rPr>
        <w:t>—pH单因子指数；</w:t>
      </w:r>
    </w:p>
    <w:p>
      <w:pPr>
        <w:spacing w:line="360" w:lineRule="auto"/>
        <w:ind w:firstLine="1200" w:firstLineChars="500"/>
        <w:rPr>
          <w:color w:val="auto"/>
          <w:kern w:val="24"/>
          <w:sz w:val="24"/>
          <w:szCs w:val="24"/>
          <w:highlight w:val="none"/>
        </w:rPr>
      </w:pPr>
      <w:r>
        <w:rPr>
          <w:color w:val="auto"/>
          <w:kern w:val="24"/>
          <w:sz w:val="24"/>
          <w:szCs w:val="24"/>
          <w:highlight w:val="none"/>
        </w:rPr>
        <w:t>pH</w:t>
      </w:r>
      <w:r>
        <w:rPr>
          <w:color w:val="auto"/>
          <w:kern w:val="24"/>
          <w:sz w:val="24"/>
          <w:szCs w:val="24"/>
          <w:highlight w:val="none"/>
          <w:vertAlign w:val="subscript"/>
        </w:rPr>
        <w:t>j</w:t>
      </w:r>
      <w:r>
        <w:rPr>
          <w:color w:val="auto"/>
          <w:kern w:val="24"/>
          <w:sz w:val="24"/>
          <w:szCs w:val="24"/>
          <w:highlight w:val="none"/>
        </w:rPr>
        <w:t>—j断面pH值；</w:t>
      </w:r>
    </w:p>
    <w:p>
      <w:pPr>
        <w:spacing w:line="360" w:lineRule="auto"/>
        <w:ind w:firstLine="1200" w:firstLineChars="500"/>
        <w:rPr>
          <w:color w:val="auto"/>
          <w:kern w:val="24"/>
          <w:sz w:val="24"/>
          <w:szCs w:val="24"/>
          <w:highlight w:val="none"/>
        </w:rPr>
      </w:pPr>
      <w:r>
        <w:rPr>
          <w:color w:val="auto"/>
          <w:kern w:val="24"/>
          <w:sz w:val="24"/>
          <w:szCs w:val="24"/>
          <w:highlight w:val="none"/>
        </w:rPr>
        <w:t>pH</w:t>
      </w:r>
      <w:r>
        <w:rPr>
          <w:color w:val="auto"/>
          <w:kern w:val="24"/>
          <w:sz w:val="24"/>
          <w:szCs w:val="24"/>
          <w:highlight w:val="none"/>
          <w:vertAlign w:val="subscript"/>
        </w:rPr>
        <w:t>su</w:t>
      </w:r>
      <w:r>
        <w:rPr>
          <w:color w:val="auto"/>
          <w:kern w:val="24"/>
          <w:sz w:val="24"/>
          <w:szCs w:val="24"/>
          <w:highlight w:val="none"/>
        </w:rPr>
        <w:t>—地面水水质标准中规定的pH值上限；</w:t>
      </w:r>
    </w:p>
    <w:p>
      <w:pPr>
        <w:spacing w:line="360" w:lineRule="auto"/>
        <w:ind w:firstLine="1200" w:firstLineChars="500"/>
        <w:rPr>
          <w:color w:val="auto"/>
          <w:kern w:val="24"/>
          <w:sz w:val="24"/>
          <w:szCs w:val="24"/>
          <w:highlight w:val="none"/>
        </w:rPr>
      </w:pPr>
      <w:r>
        <w:rPr>
          <w:color w:val="auto"/>
          <w:kern w:val="24"/>
          <w:sz w:val="24"/>
          <w:szCs w:val="24"/>
          <w:highlight w:val="none"/>
        </w:rPr>
        <w:t>pH</w:t>
      </w:r>
      <w:r>
        <w:rPr>
          <w:color w:val="auto"/>
          <w:kern w:val="24"/>
          <w:sz w:val="24"/>
          <w:szCs w:val="24"/>
          <w:highlight w:val="none"/>
          <w:vertAlign w:val="subscript"/>
        </w:rPr>
        <w:t>sd</w:t>
      </w:r>
      <w:r>
        <w:rPr>
          <w:color w:val="auto"/>
          <w:kern w:val="24"/>
          <w:sz w:val="24"/>
          <w:szCs w:val="24"/>
          <w:highlight w:val="none"/>
        </w:rPr>
        <w:t>—地面水水质标准中规定的pH值下限。</w:t>
      </w:r>
    </w:p>
    <w:p>
      <w:pPr>
        <w:spacing w:line="360" w:lineRule="auto"/>
        <w:ind w:firstLine="482" w:firstLineChars="200"/>
        <w:rPr>
          <w:b/>
          <w:color w:val="auto"/>
          <w:sz w:val="24"/>
          <w:szCs w:val="24"/>
          <w:highlight w:val="none"/>
        </w:rPr>
      </w:pPr>
      <w:r>
        <w:rPr>
          <w:b/>
          <w:color w:val="auto"/>
          <w:sz w:val="24"/>
          <w:szCs w:val="24"/>
          <w:highlight w:val="none"/>
        </w:rPr>
        <w:t>4、评价结果与分析</w:t>
      </w:r>
    </w:p>
    <w:p>
      <w:pPr>
        <w:spacing w:line="360" w:lineRule="auto"/>
        <w:ind w:firstLine="480" w:firstLineChars="200"/>
        <w:jc w:val="left"/>
        <w:rPr>
          <w:rFonts w:eastAsia="黑体"/>
          <w:bCs/>
          <w:color w:val="auto"/>
          <w:kern w:val="24"/>
          <w:sz w:val="24"/>
          <w:highlight w:val="none"/>
        </w:rPr>
      </w:pPr>
      <w:r>
        <w:rPr>
          <w:color w:val="auto"/>
          <w:kern w:val="24"/>
          <w:sz w:val="24"/>
          <w:highlight w:val="none"/>
          <w:lang w:bidi="he-IL"/>
        </w:rPr>
        <w:t>地表水现状年均值评价结果见表3.4-</w:t>
      </w:r>
      <w:r>
        <w:rPr>
          <w:rFonts w:hint="eastAsia"/>
          <w:color w:val="auto"/>
          <w:kern w:val="24"/>
          <w:sz w:val="24"/>
          <w:highlight w:val="none"/>
          <w:lang w:val="en-US" w:eastAsia="zh-CN" w:bidi="he-IL"/>
        </w:rPr>
        <w:t>3</w:t>
      </w:r>
      <w:r>
        <w:rPr>
          <w:color w:val="auto"/>
          <w:kern w:val="24"/>
          <w:sz w:val="24"/>
          <w:highlight w:val="none"/>
          <w:lang w:bidi="he-IL"/>
        </w:rPr>
        <w:t>。</w:t>
      </w:r>
    </w:p>
    <w:p>
      <w:pPr>
        <w:pStyle w:val="103"/>
        <w:spacing w:before="31"/>
        <w:rPr>
          <w:rFonts w:ascii="Times New Roman" w:hAnsi="Times New Roman"/>
          <w:color w:val="auto"/>
          <w:highlight w:val="none"/>
          <w:lang w:val="zh-CN"/>
        </w:rPr>
      </w:pPr>
    </w:p>
    <w:p>
      <w:pPr>
        <w:rPr>
          <w:rFonts w:ascii="Times New Roman" w:hAnsi="Times New Roman"/>
          <w:color w:val="auto"/>
          <w:highlight w:val="none"/>
          <w:lang w:val="zh-CN"/>
        </w:rPr>
      </w:pPr>
    </w:p>
    <w:p>
      <w:pPr>
        <w:pStyle w:val="28"/>
        <w:rPr>
          <w:color w:val="auto"/>
          <w:lang w:val="zh-CN"/>
        </w:rPr>
      </w:pPr>
    </w:p>
    <w:p>
      <w:pPr>
        <w:pStyle w:val="103"/>
        <w:spacing w:before="31"/>
        <w:rPr>
          <w:rFonts w:ascii="Times New Roman" w:hAnsi="Times New Roman"/>
          <w:color w:val="auto"/>
          <w:highlight w:val="none"/>
          <w:lang w:val="zh-CN"/>
        </w:rPr>
      </w:pPr>
      <w:r>
        <w:rPr>
          <w:rFonts w:ascii="Times New Roman" w:hAnsi="Times New Roman"/>
          <w:color w:val="auto"/>
          <w:highlight w:val="none"/>
          <w:lang w:val="zh-CN"/>
        </w:rPr>
        <w:t>表3.4-</w:t>
      </w:r>
      <w:r>
        <w:rPr>
          <w:rFonts w:hint="eastAsia" w:ascii="Times New Roman" w:hAnsi="Times New Roman"/>
          <w:color w:val="auto"/>
          <w:highlight w:val="none"/>
          <w:lang w:val="en-US" w:eastAsia="zh-CN"/>
        </w:rPr>
        <w:t>3</w:t>
      </w:r>
      <w:r>
        <w:rPr>
          <w:rFonts w:ascii="Times New Roman" w:hAnsi="Times New Roman"/>
          <w:color w:val="auto"/>
          <w:highlight w:val="none"/>
          <w:lang w:val="zh-CN"/>
        </w:rPr>
        <w:t xml:space="preserve">  地表水现状监测年均值评价结果统计表(Si)</w:t>
      </w:r>
    </w:p>
    <w:tbl>
      <w:tblPr>
        <w:tblStyle w:val="59"/>
        <w:tblW w:w="89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668"/>
        <w:gridCol w:w="878"/>
        <w:gridCol w:w="740"/>
        <w:gridCol w:w="964"/>
        <w:gridCol w:w="731"/>
        <w:gridCol w:w="788"/>
        <w:gridCol w:w="690"/>
        <w:gridCol w:w="901"/>
        <w:gridCol w:w="722"/>
        <w:gridCol w:w="7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8" w:type="dxa"/>
            <w:tcMar>
              <w:left w:w="0" w:type="dxa"/>
              <w:right w:w="0" w:type="dxa"/>
            </w:tcMar>
            <w:vAlign w:val="center"/>
          </w:tcPr>
          <w:p>
            <w:pPr>
              <w:pStyle w:val="105"/>
              <w:rPr>
                <w:color w:val="auto"/>
                <w:kern w:val="0"/>
                <w:highlight w:val="none"/>
              </w:rPr>
            </w:pPr>
            <w:r>
              <w:rPr>
                <w:color w:val="auto"/>
                <w:highlight w:val="none"/>
              </w:rPr>
              <w:t>项目</w:t>
            </w:r>
          </w:p>
        </w:tc>
        <w:tc>
          <w:tcPr>
            <w:tcW w:w="668" w:type="dxa"/>
            <w:tcMar>
              <w:left w:w="0" w:type="dxa"/>
              <w:right w:w="0" w:type="dxa"/>
            </w:tcMar>
            <w:vAlign w:val="center"/>
          </w:tcPr>
          <w:p>
            <w:pPr>
              <w:pStyle w:val="105"/>
              <w:rPr>
                <w:color w:val="auto"/>
                <w:highlight w:val="none"/>
              </w:rPr>
            </w:pPr>
            <w:r>
              <w:rPr>
                <w:rFonts w:eastAsia="等线"/>
                <w:color w:val="auto"/>
                <w:szCs w:val="21"/>
                <w:highlight w:val="none"/>
              </w:rPr>
              <w:t>pH</w:t>
            </w:r>
            <w:r>
              <w:rPr>
                <w:rFonts w:hint="eastAsia"/>
                <w:color w:val="auto"/>
                <w:szCs w:val="21"/>
                <w:highlight w:val="none"/>
              </w:rPr>
              <w:t>(</w:t>
            </w:r>
            <w:r>
              <w:rPr>
                <w:color w:val="auto"/>
                <w:szCs w:val="21"/>
                <w:highlight w:val="none"/>
              </w:rPr>
              <w:t>无量纲</w:t>
            </w:r>
            <w:r>
              <w:rPr>
                <w:rFonts w:hint="eastAsia"/>
                <w:color w:val="auto"/>
                <w:szCs w:val="21"/>
                <w:highlight w:val="none"/>
              </w:rPr>
              <w:t>)</w:t>
            </w:r>
          </w:p>
        </w:tc>
        <w:tc>
          <w:tcPr>
            <w:tcW w:w="878" w:type="dxa"/>
            <w:tcMar>
              <w:left w:w="0" w:type="dxa"/>
              <w:right w:w="0" w:type="dxa"/>
            </w:tcMar>
            <w:vAlign w:val="center"/>
          </w:tcPr>
          <w:p>
            <w:pPr>
              <w:widowControl/>
              <w:spacing w:line="240" w:lineRule="exact"/>
              <w:jc w:val="center"/>
              <w:rPr>
                <w:color w:val="auto"/>
                <w:highlight w:val="none"/>
              </w:rPr>
            </w:pPr>
            <w:r>
              <w:rPr>
                <w:color w:val="auto"/>
                <w:szCs w:val="21"/>
                <w:highlight w:val="none"/>
              </w:rPr>
              <w:t>高指数</w:t>
            </w:r>
          </w:p>
        </w:tc>
        <w:tc>
          <w:tcPr>
            <w:tcW w:w="740" w:type="dxa"/>
            <w:tcMar>
              <w:left w:w="0" w:type="dxa"/>
              <w:right w:w="0" w:type="dxa"/>
            </w:tcMar>
            <w:vAlign w:val="center"/>
          </w:tcPr>
          <w:p>
            <w:pPr>
              <w:pStyle w:val="105"/>
              <w:rPr>
                <w:color w:val="auto"/>
                <w:highlight w:val="none"/>
              </w:rPr>
            </w:pPr>
            <w:r>
              <w:rPr>
                <w:color w:val="auto"/>
                <w:szCs w:val="21"/>
                <w:highlight w:val="none"/>
              </w:rPr>
              <w:t>COD</w:t>
            </w:r>
          </w:p>
        </w:tc>
        <w:tc>
          <w:tcPr>
            <w:tcW w:w="964" w:type="dxa"/>
            <w:tcMar>
              <w:left w:w="0" w:type="dxa"/>
              <w:right w:w="0" w:type="dxa"/>
            </w:tcMar>
            <w:vAlign w:val="center"/>
          </w:tcPr>
          <w:p>
            <w:pPr>
              <w:pStyle w:val="105"/>
              <w:rPr>
                <w:color w:val="auto"/>
                <w:highlight w:val="none"/>
                <w:vertAlign w:val="subscript"/>
              </w:rPr>
            </w:pPr>
            <w:r>
              <w:rPr>
                <w:color w:val="auto"/>
                <w:highlight w:val="none"/>
              </w:rPr>
              <w:t>BOD</w:t>
            </w:r>
            <w:r>
              <w:rPr>
                <w:color w:val="auto"/>
                <w:highlight w:val="none"/>
                <w:vertAlign w:val="subscript"/>
              </w:rPr>
              <w:t>5</w:t>
            </w:r>
          </w:p>
        </w:tc>
        <w:tc>
          <w:tcPr>
            <w:tcW w:w="731" w:type="dxa"/>
            <w:tcMar>
              <w:left w:w="0" w:type="dxa"/>
              <w:right w:w="0" w:type="dxa"/>
            </w:tcMar>
            <w:vAlign w:val="center"/>
          </w:tcPr>
          <w:p>
            <w:pPr>
              <w:pStyle w:val="105"/>
              <w:rPr>
                <w:color w:val="auto"/>
                <w:highlight w:val="none"/>
              </w:rPr>
            </w:pPr>
            <w:r>
              <w:rPr>
                <w:color w:val="auto"/>
                <w:szCs w:val="21"/>
                <w:highlight w:val="none"/>
              </w:rPr>
              <w:t>氨氮</w:t>
            </w:r>
          </w:p>
        </w:tc>
        <w:tc>
          <w:tcPr>
            <w:tcW w:w="788" w:type="dxa"/>
            <w:tcMar>
              <w:left w:w="0" w:type="dxa"/>
              <w:right w:w="0" w:type="dxa"/>
            </w:tcMar>
            <w:vAlign w:val="center"/>
          </w:tcPr>
          <w:p>
            <w:pPr>
              <w:pStyle w:val="105"/>
              <w:rPr>
                <w:color w:val="auto"/>
                <w:highlight w:val="none"/>
              </w:rPr>
            </w:pPr>
            <w:r>
              <w:rPr>
                <w:color w:val="auto"/>
                <w:szCs w:val="21"/>
                <w:highlight w:val="none"/>
              </w:rPr>
              <w:t>总磷</w:t>
            </w:r>
          </w:p>
        </w:tc>
        <w:tc>
          <w:tcPr>
            <w:tcW w:w="690" w:type="dxa"/>
            <w:tcMar>
              <w:left w:w="0" w:type="dxa"/>
              <w:right w:w="0" w:type="dxa"/>
            </w:tcMar>
            <w:vAlign w:val="center"/>
          </w:tcPr>
          <w:p>
            <w:pPr>
              <w:pStyle w:val="105"/>
              <w:rPr>
                <w:color w:val="auto"/>
                <w:highlight w:val="none"/>
              </w:rPr>
            </w:pPr>
            <w:r>
              <w:rPr>
                <w:color w:val="auto"/>
                <w:szCs w:val="21"/>
                <w:highlight w:val="none"/>
              </w:rPr>
              <w:t>总氮</w:t>
            </w:r>
          </w:p>
        </w:tc>
        <w:tc>
          <w:tcPr>
            <w:tcW w:w="901" w:type="dxa"/>
            <w:tcMar>
              <w:left w:w="0" w:type="dxa"/>
              <w:right w:w="0" w:type="dxa"/>
            </w:tcMar>
            <w:vAlign w:val="center"/>
          </w:tcPr>
          <w:p>
            <w:pPr>
              <w:pStyle w:val="105"/>
              <w:rPr>
                <w:color w:val="auto"/>
                <w:highlight w:val="none"/>
              </w:rPr>
            </w:pPr>
            <w:r>
              <w:rPr>
                <w:color w:val="auto"/>
                <w:szCs w:val="21"/>
                <w:highlight w:val="none"/>
              </w:rPr>
              <w:t>铜</w:t>
            </w:r>
          </w:p>
        </w:tc>
        <w:tc>
          <w:tcPr>
            <w:tcW w:w="722" w:type="dxa"/>
            <w:tcMar>
              <w:left w:w="0" w:type="dxa"/>
              <w:right w:w="0" w:type="dxa"/>
            </w:tcMar>
            <w:vAlign w:val="center"/>
          </w:tcPr>
          <w:p>
            <w:pPr>
              <w:pStyle w:val="105"/>
              <w:rPr>
                <w:color w:val="auto"/>
                <w:highlight w:val="none"/>
              </w:rPr>
            </w:pPr>
            <w:r>
              <w:rPr>
                <w:color w:val="auto"/>
                <w:szCs w:val="21"/>
                <w:highlight w:val="none"/>
              </w:rPr>
              <w:t>锌</w:t>
            </w:r>
          </w:p>
        </w:tc>
        <w:tc>
          <w:tcPr>
            <w:tcW w:w="718" w:type="dxa"/>
            <w:tcMar>
              <w:left w:w="0" w:type="dxa"/>
              <w:right w:w="0" w:type="dxa"/>
            </w:tcMar>
            <w:vAlign w:val="center"/>
          </w:tcPr>
          <w:p>
            <w:pPr>
              <w:pStyle w:val="105"/>
              <w:rPr>
                <w:color w:val="auto"/>
                <w:highlight w:val="none"/>
              </w:rPr>
            </w:pPr>
            <w:r>
              <w:rPr>
                <w:color w:val="auto"/>
                <w:szCs w:val="21"/>
                <w:highlight w:val="none"/>
              </w:rPr>
              <w:t>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8" w:type="dxa"/>
            <w:tcMar>
              <w:left w:w="0" w:type="dxa"/>
              <w:right w:w="0" w:type="dxa"/>
            </w:tcMar>
            <w:vAlign w:val="bottom"/>
          </w:tcPr>
          <w:p>
            <w:pPr>
              <w:keepNext w:val="0"/>
              <w:keepLines w:val="0"/>
              <w:widowControl/>
              <w:suppressLineNumbers w:val="0"/>
              <w:jc w:val="right"/>
              <w:textAlignment w:val="bottom"/>
              <w:rPr>
                <w:color w:val="auto"/>
                <w:kern w:val="0"/>
                <w:highlight w:val="none"/>
              </w:rPr>
            </w:pPr>
            <w:r>
              <w:rPr>
                <w:color w:val="auto"/>
                <w:kern w:val="0"/>
                <w:highlight w:val="none"/>
              </w:rPr>
              <w:t>评价结果</w:t>
            </w:r>
          </w:p>
        </w:tc>
        <w:tc>
          <w:tcPr>
            <w:tcW w:w="668" w:type="dxa"/>
            <w:tcMar>
              <w:left w:w="0" w:type="dxa"/>
              <w:right w:w="0" w:type="dxa"/>
            </w:tcMar>
            <w:vAlign w:val="bottom"/>
          </w:tcPr>
          <w:p>
            <w:pPr>
              <w:widowControl/>
              <w:spacing w:line="240" w:lineRule="exact"/>
              <w:jc w:val="center"/>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0.5</w:t>
            </w:r>
          </w:p>
        </w:tc>
        <w:tc>
          <w:tcPr>
            <w:tcW w:w="878" w:type="dxa"/>
            <w:tcMar>
              <w:left w:w="0" w:type="dxa"/>
              <w:right w:w="0" w:type="dxa"/>
            </w:tcMar>
            <w:vAlign w:val="bottom"/>
          </w:tcPr>
          <w:p>
            <w:pPr>
              <w:widowControl/>
              <w:spacing w:line="240" w:lineRule="exact"/>
              <w:jc w:val="center"/>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0.85</w:t>
            </w:r>
          </w:p>
        </w:tc>
        <w:tc>
          <w:tcPr>
            <w:tcW w:w="740" w:type="dxa"/>
            <w:tcMar>
              <w:left w:w="0" w:type="dxa"/>
              <w:right w:w="0" w:type="dxa"/>
            </w:tcMar>
            <w:vAlign w:val="bottom"/>
          </w:tcPr>
          <w:p>
            <w:pPr>
              <w:widowControl/>
              <w:spacing w:line="240" w:lineRule="exact"/>
              <w:jc w:val="center"/>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0.75</w:t>
            </w:r>
          </w:p>
        </w:tc>
        <w:tc>
          <w:tcPr>
            <w:tcW w:w="964" w:type="dxa"/>
            <w:tcMar>
              <w:left w:w="0" w:type="dxa"/>
              <w:right w:w="0" w:type="dxa"/>
            </w:tcMar>
            <w:vAlign w:val="bottom"/>
          </w:tcPr>
          <w:p>
            <w:pPr>
              <w:widowControl/>
              <w:spacing w:line="240" w:lineRule="exact"/>
              <w:jc w:val="center"/>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0.75</w:t>
            </w:r>
          </w:p>
        </w:tc>
        <w:tc>
          <w:tcPr>
            <w:tcW w:w="731" w:type="dxa"/>
            <w:tcMar>
              <w:left w:w="0" w:type="dxa"/>
              <w:right w:w="0" w:type="dxa"/>
            </w:tcMar>
            <w:vAlign w:val="bottom"/>
          </w:tcPr>
          <w:p>
            <w:pPr>
              <w:widowControl/>
              <w:spacing w:line="240" w:lineRule="exact"/>
              <w:jc w:val="center"/>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0.49</w:t>
            </w:r>
          </w:p>
        </w:tc>
        <w:tc>
          <w:tcPr>
            <w:tcW w:w="788" w:type="dxa"/>
            <w:tcMar>
              <w:left w:w="0" w:type="dxa"/>
              <w:right w:w="0" w:type="dxa"/>
            </w:tcMar>
            <w:vAlign w:val="bottom"/>
          </w:tcPr>
          <w:p>
            <w:pPr>
              <w:widowControl/>
              <w:spacing w:line="240" w:lineRule="exact"/>
              <w:jc w:val="center"/>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0.156</w:t>
            </w:r>
          </w:p>
        </w:tc>
        <w:tc>
          <w:tcPr>
            <w:tcW w:w="690" w:type="dxa"/>
            <w:tcMar>
              <w:left w:w="0" w:type="dxa"/>
              <w:right w:w="0" w:type="dxa"/>
            </w:tcMar>
            <w:vAlign w:val="bottom"/>
          </w:tcPr>
          <w:p>
            <w:pPr>
              <w:widowControl/>
              <w:spacing w:line="240" w:lineRule="exact"/>
              <w:jc w:val="center"/>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9.42</w:t>
            </w:r>
          </w:p>
        </w:tc>
        <w:tc>
          <w:tcPr>
            <w:tcW w:w="901" w:type="dxa"/>
            <w:tcMar>
              <w:left w:w="0" w:type="dxa"/>
              <w:right w:w="0" w:type="dxa"/>
            </w:tcMar>
            <w:vAlign w:val="bottom"/>
          </w:tcPr>
          <w:p>
            <w:pPr>
              <w:widowControl/>
              <w:spacing w:line="240" w:lineRule="exact"/>
              <w:jc w:val="center"/>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0.003</w:t>
            </w:r>
          </w:p>
        </w:tc>
        <w:tc>
          <w:tcPr>
            <w:tcW w:w="722" w:type="dxa"/>
            <w:tcMar>
              <w:left w:w="0" w:type="dxa"/>
              <w:right w:w="0" w:type="dxa"/>
            </w:tcMar>
            <w:vAlign w:val="bottom"/>
          </w:tcPr>
          <w:p>
            <w:pPr>
              <w:widowControl/>
              <w:spacing w:line="240" w:lineRule="exact"/>
              <w:jc w:val="center"/>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0.02</w:t>
            </w:r>
          </w:p>
        </w:tc>
        <w:tc>
          <w:tcPr>
            <w:tcW w:w="718" w:type="dxa"/>
            <w:tcMar>
              <w:left w:w="0" w:type="dxa"/>
              <w:right w:w="0" w:type="dxa"/>
            </w:tcMar>
            <w:vAlign w:val="bottom"/>
          </w:tcPr>
          <w:p>
            <w:pPr>
              <w:widowControl/>
              <w:spacing w:line="240" w:lineRule="exact"/>
              <w:jc w:val="center"/>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0.0016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8" w:type="dxa"/>
            <w:tcMar>
              <w:left w:w="0" w:type="dxa"/>
              <w:right w:w="0" w:type="dxa"/>
            </w:tcMar>
            <w:vAlign w:val="center"/>
          </w:tcPr>
          <w:p>
            <w:pPr>
              <w:pStyle w:val="105"/>
              <w:rPr>
                <w:color w:val="auto"/>
                <w:kern w:val="0"/>
                <w:highlight w:val="none"/>
              </w:rPr>
            </w:pPr>
            <w:r>
              <w:rPr>
                <w:color w:val="auto"/>
                <w:highlight w:val="none"/>
              </w:rPr>
              <w:t>项目</w:t>
            </w:r>
          </w:p>
        </w:tc>
        <w:tc>
          <w:tcPr>
            <w:tcW w:w="668" w:type="dxa"/>
            <w:tcMar>
              <w:left w:w="0" w:type="dxa"/>
              <w:right w:w="0" w:type="dxa"/>
            </w:tcMar>
            <w:vAlign w:val="center"/>
          </w:tcPr>
          <w:p>
            <w:pPr>
              <w:pStyle w:val="105"/>
              <w:rPr>
                <w:color w:val="auto"/>
                <w:highlight w:val="none"/>
              </w:rPr>
            </w:pPr>
            <w:r>
              <w:rPr>
                <w:color w:val="auto"/>
                <w:szCs w:val="21"/>
                <w:highlight w:val="none"/>
              </w:rPr>
              <w:t>镉</w:t>
            </w:r>
          </w:p>
        </w:tc>
        <w:tc>
          <w:tcPr>
            <w:tcW w:w="878" w:type="dxa"/>
            <w:tcMar>
              <w:left w:w="0" w:type="dxa"/>
              <w:right w:w="0" w:type="dxa"/>
            </w:tcMar>
            <w:vAlign w:val="center"/>
          </w:tcPr>
          <w:p>
            <w:pPr>
              <w:pStyle w:val="105"/>
              <w:rPr>
                <w:color w:val="auto"/>
                <w:highlight w:val="none"/>
              </w:rPr>
            </w:pPr>
            <w:r>
              <w:rPr>
                <w:color w:val="auto"/>
                <w:szCs w:val="21"/>
                <w:highlight w:val="none"/>
              </w:rPr>
              <w:t>总砷</w:t>
            </w:r>
          </w:p>
        </w:tc>
        <w:tc>
          <w:tcPr>
            <w:tcW w:w="740" w:type="dxa"/>
            <w:tcMar>
              <w:left w:w="0" w:type="dxa"/>
              <w:right w:w="0" w:type="dxa"/>
            </w:tcMar>
            <w:vAlign w:val="center"/>
          </w:tcPr>
          <w:p>
            <w:pPr>
              <w:pStyle w:val="105"/>
              <w:rPr>
                <w:color w:val="auto"/>
                <w:highlight w:val="none"/>
              </w:rPr>
            </w:pPr>
            <w:r>
              <w:rPr>
                <w:color w:val="auto"/>
                <w:szCs w:val="21"/>
                <w:highlight w:val="none"/>
              </w:rPr>
              <w:t>总硒</w:t>
            </w:r>
          </w:p>
        </w:tc>
        <w:tc>
          <w:tcPr>
            <w:tcW w:w="964" w:type="dxa"/>
            <w:tcMar>
              <w:left w:w="0" w:type="dxa"/>
              <w:right w:w="0" w:type="dxa"/>
            </w:tcMar>
            <w:vAlign w:val="center"/>
          </w:tcPr>
          <w:p>
            <w:pPr>
              <w:pStyle w:val="105"/>
              <w:rPr>
                <w:color w:val="auto"/>
                <w:highlight w:val="none"/>
              </w:rPr>
            </w:pPr>
            <w:r>
              <w:rPr>
                <w:color w:val="auto"/>
                <w:szCs w:val="21"/>
                <w:highlight w:val="none"/>
              </w:rPr>
              <w:t>总汞</w:t>
            </w:r>
          </w:p>
        </w:tc>
        <w:tc>
          <w:tcPr>
            <w:tcW w:w="731" w:type="dxa"/>
            <w:tcMar>
              <w:left w:w="0" w:type="dxa"/>
              <w:right w:w="0" w:type="dxa"/>
            </w:tcMar>
            <w:vAlign w:val="center"/>
          </w:tcPr>
          <w:p>
            <w:pPr>
              <w:pStyle w:val="105"/>
              <w:rPr>
                <w:color w:val="auto"/>
                <w:highlight w:val="none"/>
              </w:rPr>
            </w:pPr>
            <w:r>
              <w:rPr>
                <w:color w:val="auto"/>
                <w:szCs w:val="21"/>
                <w:highlight w:val="none"/>
              </w:rPr>
              <w:t>六价铬</w:t>
            </w:r>
          </w:p>
        </w:tc>
        <w:tc>
          <w:tcPr>
            <w:tcW w:w="788" w:type="dxa"/>
            <w:tcMar>
              <w:left w:w="0" w:type="dxa"/>
              <w:right w:w="0" w:type="dxa"/>
            </w:tcMar>
            <w:vAlign w:val="center"/>
          </w:tcPr>
          <w:p>
            <w:pPr>
              <w:pStyle w:val="105"/>
              <w:rPr>
                <w:color w:val="auto"/>
                <w:highlight w:val="none"/>
              </w:rPr>
            </w:pPr>
            <w:r>
              <w:rPr>
                <w:color w:val="auto"/>
                <w:szCs w:val="21"/>
                <w:highlight w:val="none"/>
              </w:rPr>
              <w:t>氟离子</w:t>
            </w:r>
          </w:p>
        </w:tc>
        <w:tc>
          <w:tcPr>
            <w:tcW w:w="690" w:type="dxa"/>
            <w:tcMar>
              <w:left w:w="0" w:type="dxa"/>
              <w:right w:w="0" w:type="dxa"/>
            </w:tcMar>
            <w:vAlign w:val="center"/>
          </w:tcPr>
          <w:p>
            <w:pPr>
              <w:pStyle w:val="105"/>
              <w:rPr>
                <w:color w:val="auto"/>
                <w:highlight w:val="none"/>
              </w:rPr>
            </w:pPr>
            <w:r>
              <w:rPr>
                <w:color w:val="auto"/>
                <w:szCs w:val="21"/>
                <w:highlight w:val="none"/>
              </w:rPr>
              <w:t>氰化物</w:t>
            </w:r>
          </w:p>
        </w:tc>
        <w:tc>
          <w:tcPr>
            <w:tcW w:w="901" w:type="dxa"/>
            <w:tcMar>
              <w:left w:w="0" w:type="dxa"/>
              <w:right w:w="0" w:type="dxa"/>
            </w:tcMar>
            <w:vAlign w:val="center"/>
          </w:tcPr>
          <w:p>
            <w:pPr>
              <w:pStyle w:val="105"/>
              <w:rPr>
                <w:color w:val="auto"/>
                <w:highlight w:val="none"/>
              </w:rPr>
            </w:pPr>
            <w:r>
              <w:rPr>
                <w:color w:val="auto"/>
                <w:szCs w:val="21"/>
                <w:highlight w:val="none"/>
              </w:rPr>
              <w:t>挥发酚</w:t>
            </w:r>
          </w:p>
        </w:tc>
        <w:tc>
          <w:tcPr>
            <w:tcW w:w="722" w:type="dxa"/>
            <w:tcMar>
              <w:left w:w="0" w:type="dxa"/>
              <w:right w:w="0" w:type="dxa"/>
            </w:tcMar>
            <w:vAlign w:val="center"/>
          </w:tcPr>
          <w:p>
            <w:pPr>
              <w:pStyle w:val="105"/>
              <w:rPr>
                <w:color w:val="auto"/>
                <w:highlight w:val="none"/>
              </w:rPr>
            </w:pPr>
            <w:r>
              <w:rPr>
                <w:color w:val="auto"/>
                <w:szCs w:val="21"/>
                <w:highlight w:val="none"/>
              </w:rPr>
              <w:t>石油类</w:t>
            </w:r>
          </w:p>
        </w:tc>
        <w:tc>
          <w:tcPr>
            <w:tcW w:w="718" w:type="dxa"/>
            <w:tcMar>
              <w:left w:w="0" w:type="dxa"/>
              <w:right w:w="0" w:type="dxa"/>
            </w:tcMar>
            <w:vAlign w:val="center"/>
          </w:tcPr>
          <w:p>
            <w:pPr>
              <w:pStyle w:val="105"/>
              <w:rPr>
                <w:color w:val="auto"/>
                <w:highlight w:val="none"/>
              </w:rPr>
            </w:pPr>
            <w:r>
              <w:rPr>
                <w:color w:val="auto"/>
                <w:highlight w:val="none"/>
              </w:rPr>
              <w:t>硫化物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8" w:type="dxa"/>
            <w:tcMar>
              <w:left w:w="0" w:type="dxa"/>
              <w:right w:w="0" w:type="dxa"/>
            </w:tcMar>
            <w:vAlign w:val="center"/>
          </w:tcPr>
          <w:p>
            <w:pPr>
              <w:pStyle w:val="105"/>
              <w:rPr>
                <w:color w:val="auto"/>
                <w:kern w:val="0"/>
                <w:highlight w:val="none"/>
              </w:rPr>
            </w:pPr>
            <w:r>
              <w:rPr>
                <w:color w:val="auto"/>
                <w:kern w:val="0"/>
                <w:highlight w:val="none"/>
              </w:rPr>
              <w:t>评价结果</w:t>
            </w:r>
          </w:p>
        </w:tc>
        <w:tc>
          <w:tcPr>
            <w:tcW w:w="668" w:type="dxa"/>
            <w:tcMar>
              <w:left w:w="0" w:type="dxa"/>
              <w:right w:w="0" w:type="dxa"/>
            </w:tcMar>
            <w:vAlign w:val="bottom"/>
          </w:tcPr>
          <w:p>
            <w:pPr>
              <w:widowControl/>
              <w:spacing w:line="240" w:lineRule="exact"/>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0.006</w:t>
            </w:r>
          </w:p>
        </w:tc>
        <w:tc>
          <w:tcPr>
            <w:tcW w:w="878" w:type="dxa"/>
            <w:tcMar>
              <w:left w:w="0" w:type="dxa"/>
              <w:right w:w="0" w:type="dxa"/>
            </w:tcMar>
            <w:vAlign w:val="bottom"/>
          </w:tcPr>
          <w:p>
            <w:pPr>
              <w:widowControl/>
              <w:spacing w:line="240" w:lineRule="exact"/>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0.024</w:t>
            </w:r>
          </w:p>
        </w:tc>
        <w:tc>
          <w:tcPr>
            <w:tcW w:w="740" w:type="dxa"/>
            <w:tcMar>
              <w:left w:w="0" w:type="dxa"/>
              <w:right w:w="0" w:type="dxa"/>
            </w:tcMar>
            <w:vAlign w:val="bottom"/>
          </w:tcPr>
          <w:p>
            <w:pPr>
              <w:widowControl/>
              <w:spacing w:line="240" w:lineRule="exact"/>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0.22</w:t>
            </w:r>
          </w:p>
        </w:tc>
        <w:tc>
          <w:tcPr>
            <w:tcW w:w="964" w:type="dxa"/>
            <w:tcMar>
              <w:left w:w="0" w:type="dxa"/>
              <w:right w:w="0" w:type="dxa"/>
            </w:tcMar>
            <w:vAlign w:val="bottom"/>
          </w:tcPr>
          <w:p>
            <w:pPr>
              <w:widowControl/>
              <w:spacing w:line="240" w:lineRule="exact"/>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0.03</w:t>
            </w:r>
          </w:p>
        </w:tc>
        <w:tc>
          <w:tcPr>
            <w:tcW w:w="731" w:type="dxa"/>
            <w:tcMar>
              <w:left w:w="0" w:type="dxa"/>
              <w:right w:w="0" w:type="dxa"/>
            </w:tcMar>
            <w:vAlign w:val="bottom"/>
          </w:tcPr>
          <w:p>
            <w:pPr>
              <w:widowControl/>
              <w:spacing w:line="240" w:lineRule="exact"/>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0.04</w:t>
            </w:r>
          </w:p>
        </w:tc>
        <w:tc>
          <w:tcPr>
            <w:tcW w:w="788" w:type="dxa"/>
            <w:tcMar>
              <w:left w:w="0" w:type="dxa"/>
              <w:right w:w="0" w:type="dxa"/>
            </w:tcMar>
            <w:vAlign w:val="bottom"/>
          </w:tcPr>
          <w:p>
            <w:pPr>
              <w:widowControl/>
              <w:spacing w:line="240" w:lineRule="exact"/>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0.5</w:t>
            </w:r>
          </w:p>
        </w:tc>
        <w:tc>
          <w:tcPr>
            <w:tcW w:w="690" w:type="dxa"/>
            <w:tcMar>
              <w:left w:w="0" w:type="dxa"/>
              <w:right w:w="0" w:type="dxa"/>
            </w:tcMar>
            <w:vAlign w:val="bottom"/>
          </w:tcPr>
          <w:p>
            <w:pPr>
              <w:widowControl/>
              <w:spacing w:line="240" w:lineRule="exact"/>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0.01</w:t>
            </w:r>
          </w:p>
        </w:tc>
        <w:tc>
          <w:tcPr>
            <w:tcW w:w="901" w:type="dxa"/>
            <w:tcMar>
              <w:left w:w="0" w:type="dxa"/>
              <w:right w:w="0" w:type="dxa"/>
            </w:tcMar>
            <w:vAlign w:val="bottom"/>
          </w:tcPr>
          <w:p>
            <w:pPr>
              <w:widowControl/>
              <w:spacing w:line="240" w:lineRule="exact"/>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0.004</w:t>
            </w:r>
          </w:p>
        </w:tc>
        <w:tc>
          <w:tcPr>
            <w:tcW w:w="722" w:type="dxa"/>
            <w:tcMar>
              <w:left w:w="0" w:type="dxa"/>
              <w:right w:w="0" w:type="dxa"/>
            </w:tcMar>
            <w:vAlign w:val="bottom"/>
          </w:tcPr>
          <w:p>
            <w:pPr>
              <w:widowControl/>
              <w:spacing w:line="240" w:lineRule="exact"/>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0.28</w:t>
            </w:r>
          </w:p>
        </w:tc>
        <w:tc>
          <w:tcPr>
            <w:tcW w:w="718" w:type="dxa"/>
            <w:tcMar>
              <w:left w:w="0" w:type="dxa"/>
              <w:right w:w="0" w:type="dxa"/>
            </w:tcMar>
            <w:vAlign w:val="bottom"/>
          </w:tcPr>
          <w:p>
            <w:pPr>
              <w:widowControl/>
              <w:spacing w:line="240" w:lineRule="exact"/>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0.01</w:t>
            </w:r>
          </w:p>
        </w:tc>
      </w:tr>
    </w:tbl>
    <w:p>
      <w:pPr>
        <w:pStyle w:val="99"/>
        <w:ind w:firstLine="480"/>
        <w:rPr>
          <w:color w:val="auto"/>
          <w:szCs w:val="24"/>
          <w:highlight w:val="none"/>
        </w:rPr>
      </w:pPr>
      <w:r>
        <w:rPr>
          <w:color w:val="auto"/>
          <w:highlight w:val="none"/>
        </w:rPr>
        <w:t>由评价结果可知，202</w:t>
      </w:r>
      <w:r>
        <w:rPr>
          <w:rFonts w:hint="eastAsia"/>
          <w:color w:val="auto"/>
          <w:highlight w:val="none"/>
          <w:lang w:val="en-US" w:eastAsia="zh-CN"/>
        </w:rPr>
        <w:t>1</w:t>
      </w:r>
      <w:r>
        <w:rPr>
          <w:color w:val="auto"/>
          <w:highlight w:val="none"/>
        </w:rPr>
        <w:t>年</w:t>
      </w:r>
      <w:r>
        <w:rPr>
          <w:rFonts w:hint="eastAsia"/>
          <w:color w:val="auto"/>
          <w:highlight w:val="none"/>
        </w:rPr>
        <w:t>峄城大沙河贾庄闸</w:t>
      </w:r>
      <w:r>
        <w:rPr>
          <w:color w:val="auto"/>
          <w:highlight w:val="none"/>
        </w:rPr>
        <w:t>断面的各项监测指标除总氮外均满足《地表水环境质量标准》(GB3838-2002)中Ⅲ类标准。</w:t>
      </w:r>
    </w:p>
    <w:p>
      <w:pPr>
        <w:pStyle w:val="101"/>
        <w:spacing w:before="78"/>
        <w:rPr>
          <w:rFonts w:ascii="Times New Roman" w:hAnsi="Times New Roman"/>
          <w:color w:val="auto"/>
          <w:highlight w:val="none"/>
        </w:rPr>
      </w:pPr>
      <w:r>
        <w:rPr>
          <w:rFonts w:ascii="Times New Roman" w:hAnsi="Times New Roman"/>
          <w:color w:val="auto"/>
          <w:highlight w:val="none"/>
        </w:rPr>
        <w:t>3.4.</w:t>
      </w:r>
      <w:r>
        <w:rPr>
          <w:rFonts w:hint="eastAsia" w:ascii="Times New Roman" w:hAnsi="Times New Roman"/>
          <w:color w:val="auto"/>
          <w:highlight w:val="none"/>
        </w:rPr>
        <w:t>3</w:t>
      </w:r>
      <w:r>
        <w:rPr>
          <w:rFonts w:ascii="Times New Roman" w:hAnsi="Times New Roman"/>
          <w:color w:val="auto"/>
          <w:highlight w:val="none"/>
        </w:rPr>
        <w:t>区域地表水治理方案</w:t>
      </w:r>
    </w:p>
    <w:p>
      <w:pPr>
        <w:pStyle w:val="99"/>
        <w:ind w:firstLine="480"/>
        <w:rPr>
          <w:color w:val="auto"/>
          <w:highlight w:val="none"/>
        </w:rPr>
      </w:pPr>
      <w:r>
        <w:rPr>
          <w:rFonts w:hint="eastAsia"/>
          <w:color w:val="auto"/>
          <w:highlight w:val="none"/>
        </w:rPr>
        <w:t>根据《山东省生态环境厅关于印发南四湖流域水污染综合整治三年行动方案(2021-2023年)的通知》(鲁环发[2021]4号)，工作目标为：“2021年，确保南四湖流域内南水北调干线优良水体比例达到100%；39条入湖河流全面消除劣五类水体。流域内4000个入河（湖）排污（水）口完成规范化整治，其中383个工业企业排污口全部完成；315处农村黑臭水体完成治理；991个行政村完成生活污水治理任务；实施6230公顷环湖稻（藕）田退水治理示范工程；80%以上的养殖专业户畜禽粪污得到资源化利用。</w:t>
      </w:r>
    </w:p>
    <w:p>
      <w:pPr>
        <w:pStyle w:val="99"/>
        <w:ind w:firstLine="480"/>
        <w:rPr>
          <w:color w:val="auto"/>
          <w:highlight w:val="none"/>
        </w:rPr>
      </w:pPr>
      <w:r>
        <w:rPr>
          <w:rFonts w:hint="eastAsia"/>
          <w:color w:val="auto"/>
          <w:highlight w:val="none"/>
        </w:rPr>
        <w:t>到2023年，南四湖流域内南水北调干线优良水体比例稳定保持在100%；流域内国控断面水质优良比例达到100%；39条入湖河流水质优良比例达到100%；流域内省控断面全部达到水质目标要求。流域内12466个入河（湖）排污（水）口全部完成规范化整治；所有行政村全部完成生活污水治理任务；环湖稻（藕）田退水全部完成综合整治或生态化改造；流域内规模化养殖场畜禽粪污处理设施装备配套率达到100%，养殖专业户畜禽粪污全部得到资源化利用，畜禽粪污综合利用率稳定在90%以上。</w:t>
      </w:r>
    </w:p>
    <w:p>
      <w:pPr>
        <w:pStyle w:val="99"/>
        <w:ind w:firstLine="480"/>
        <w:rPr>
          <w:color w:val="auto"/>
          <w:highlight w:val="none"/>
        </w:rPr>
      </w:pPr>
      <w:r>
        <w:rPr>
          <w:rFonts w:hint="eastAsia"/>
          <w:color w:val="auto"/>
          <w:highlight w:val="none"/>
        </w:rPr>
        <w:t>到2025年，流域内水生态环境质量持续改善，河湖生态用水保障水平稳步提高，湖区生态系统稳定性明显提升，水环境风险防控能力显著增强。”</w:t>
      </w:r>
    </w:p>
    <w:p>
      <w:pPr>
        <w:pStyle w:val="99"/>
        <w:ind w:firstLine="480"/>
        <w:rPr>
          <w:color w:val="auto"/>
          <w:highlight w:val="none"/>
        </w:rPr>
      </w:pPr>
      <w:r>
        <w:rPr>
          <w:rFonts w:hint="eastAsia"/>
          <w:color w:val="auto"/>
          <w:highlight w:val="none"/>
        </w:rPr>
        <w:t>重点任务如下：</w:t>
      </w:r>
    </w:p>
    <w:p>
      <w:pPr>
        <w:pStyle w:val="99"/>
        <w:ind w:firstLine="480"/>
        <w:rPr>
          <w:color w:val="auto"/>
          <w:highlight w:val="none"/>
        </w:rPr>
      </w:pPr>
      <w:r>
        <w:rPr>
          <w:rFonts w:hint="eastAsia"/>
          <w:color w:val="auto"/>
          <w:highlight w:val="none"/>
        </w:rPr>
        <w:t>(一)深化治理城镇生活污染。</w:t>
      </w:r>
    </w:p>
    <w:p>
      <w:pPr>
        <w:pStyle w:val="99"/>
        <w:ind w:firstLine="480"/>
        <w:rPr>
          <w:color w:val="auto"/>
          <w:highlight w:val="none"/>
        </w:rPr>
      </w:pPr>
      <w:r>
        <w:rPr>
          <w:rFonts w:hint="eastAsia"/>
          <w:color w:val="auto"/>
          <w:highlight w:val="none"/>
        </w:rPr>
        <w:t>1.改造雨污管网。加快管网雨污分流改造，从居民小区、公共建筑和企事业单位内部源头开始，全面解决管线渗漏、错接、混接等问题，确保污水处理厂进口的生化需氧量平均浓度达到100毫克/升以上。2021年，完成227公里雨污分流改造任务；到2023年，现有640公里雨污合流制管网全部改造完成。</w:t>
      </w:r>
    </w:p>
    <w:p>
      <w:pPr>
        <w:pStyle w:val="99"/>
        <w:ind w:firstLine="480"/>
        <w:rPr>
          <w:color w:val="auto"/>
          <w:highlight w:val="none"/>
        </w:rPr>
      </w:pPr>
      <w:r>
        <w:rPr>
          <w:rFonts w:hint="eastAsia"/>
          <w:color w:val="auto"/>
          <w:highlight w:val="none"/>
        </w:rPr>
        <w:t>2.推进污水管网建设。持续推进城中村、老旧城区、城乡结合部、新建城区的污水管网建设，2021年新（改）建污水收集管网506公里；到2023年，新（改）建污水收集管网1460公里以上。</w:t>
      </w:r>
    </w:p>
    <w:p>
      <w:pPr>
        <w:pStyle w:val="99"/>
        <w:ind w:firstLine="480"/>
        <w:rPr>
          <w:color w:val="auto"/>
          <w:highlight w:val="none"/>
        </w:rPr>
      </w:pPr>
      <w:r>
        <w:rPr>
          <w:rFonts w:hint="eastAsia"/>
          <w:color w:val="auto"/>
          <w:highlight w:val="none"/>
        </w:rPr>
        <w:t>3.提高污水处理能力。统筹规划建设生活污水处理设施和收集管网，实现污水收集、处理能力相匹配，全面解决城镇生活污水直排问题。2021年，新（扩、改）建污水厂（站）50座，新增污水处理能力32.9万吨/日以上；到2023年，新（扩、改）建污水厂（站）129座，新增污水处理能力73.2万吨/日以上。加强建制镇生活污水收集处理设施建设，并实现稳定运行，2021年，建制镇生活污水处理率达到75%以上；到2023年，建制镇生活污水处理率达到85%以上。因地制宜推动流域内城镇生活污水处理厂治理水平提档升级。</w:t>
      </w:r>
    </w:p>
    <w:p>
      <w:pPr>
        <w:pStyle w:val="99"/>
        <w:ind w:firstLine="480"/>
        <w:rPr>
          <w:color w:val="auto"/>
          <w:highlight w:val="none"/>
        </w:rPr>
      </w:pPr>
      <w:r>
        <w:rPr>
          <w:rFonts w:hint="eastAsia"/>
          <w:color w:val="auto"/>
          <w:highlight w:val="none"/>
        </w:rPr>
        <w:t>4.保障设施长效运维。加强管网、泵站、污水处理厂等相关设施的运行维护管理队伍建设，建立以5—10年为一个排查周期的管网长效管理机制。推进建成区排水企业实施“厂—网—河湖”一体化运营管理机制。加快实施污水处理厂间联通联调，优化污水处理厂检修方案，解决检修期间污水溢流问题，实现“检修不停产”。确保污水处理厂“双电源”供电，提高污水处理厂运行可靠性。</w:t>
      </w:r>
    </w:p>
    <w:p>
      <w:pPr>
        <w:pStyle w:val="99"/>
        <w:ind w:firstLine="480"/>
        <w:rPr>
          <w:color w:val="auto"/>
          <w:highlight w:val="none"/>
        </w:rPr>
      </w:pPr>
      <w:r>
        <w:rPr>
          <w:rFonts w:hint="eastAsia"/>
          <w:color w:val="auto"/>
          <w:highlight w:val="none"/>
        </w:rPr>
        <w:t>5.推进污泥、垃圾安全处理与处置。采取焚烧、填埋、综合利用等方式，加快推进污泥无害化处置和资源化利用，到2023年，流域内污泥实现无害化处理处置。禁止处理不达标的污泥进入耕地。垃圾收集站、转运站等运行管理严格执行相关规范标准。规范垃圾填埋场、焚烧厂管理，防止垃圾及飞灰等污染物非法转移，确保渗滤液得到无害化处置。</w:t>
      </w:r>
    </w:p>
    <w:p>
      <w:pPr>
        <w:pStyle w:val="99"/>
        <w:ind w:firstLine="480"/>
        <w:rPr>
          <w:color w:val="auto"/>
          <w:highlight w:val="none"/>
        </w:rPr>
      </w:pPr>
      <w:r>
        <w:rPr>
          <w:rFonts w:hint="eastAsia"/>
          <w:color w:val="auto"/>
          <w:highlight w:val="none"/>
        </w:rPr>
        <w:t>(二)全面防治农业农村污染。</w:t>
      </w:r>
    </w:p>
    <w:p>
      <w:pPr>
        <w:pStyle w:val="99"/>
        <w:ind w:firstLine="480"/>
        <w:rPr>
          <w:color w:val="auto"/>
          <w:highlight w:val="none"/>
        </w:rPr>
      </w:pPr>
      <w:r>
        <w:rPr>
          <w:rFonts w:hint="eastAsia"/>
          <w:color w:val="auto"/>
          <w:highlight w:val="none"/>
        </w:rPr>
        <w:t>1.推进畜禽养殖粪污处理处置及资源化利用。支持开展绿色种养循环农业试点，以县为单位构建粪肥还田组织运行模式，对提供粪污收集处理服务的主体和提供粪肥还田的社会化服务组织给予奖补支持，带动县域内粪污基本还田，2021年，流域内养殖专业户畜禽粪污主要采取配建粪污处理设施，或临时采用委托协议处理、堆积发酵就地还田等方式，80%以上得到资源化利用；到2023年，流域内规模化养殖场畜禽粪污处理设施装备配套率达到100%，养殖专业户畜禽粪污全部得到资源化利用，畜禽粪污综合利用率稳定在90%以上。支持发展养殖合作社，逐步降低散养比重，2021年，流域内畜禽规模化养殖比重达到80%以上；到2022年，流域内畜禽规模化养殖比重达到85%以上。</w:t>
      </w:r>
    </w:p>
    <w:p>
      <w:pPr>
        <w:pStyle w:val="99"/>
        <w:ind w:firstLine="480"/>
        <w:rPr>
          <w:color w:val="auto"/>
          <w:highlight w:val="none"/>
        </w:rPr>
      </w:pPr>
      <w:r>
        <w:rPr>
          <w:rFonts w:hint="eastAsia"/>
          <w:color w:val="auto"/>
          <w:highlight w:val="none"/>
        </w:rPr>
        <w:t>2.推进农业清洁生产。2021年，优先实施西支河流域、洙水河流域6230公顷稻田退水治理试点工程；将试点经验逐步推广到其他稻（藕）田种植区，到2023年，济宁市完成环湖稻（藕）田退水综合整治或生态化改造。加快高标准农田建设，2021年，流域内高标准农田建设比例达到55%；到2023年，流域内高标准农田建设比例达到65%。深入实施秸秆综合利用行动，以肥料化、饲料化、燃料化利用为主攻方向，建立一批秸秆综合利用重点县，探索秸秆综合利用典型模式。开展省级农业绿色先行区创建，推广生态循环农业模式，到2022年，指导金乡县、宁阳县、成武县等县（市、区）争创省级农业绿色发展先行区。</w:t>
      </w:r>
    </w:p>
    <w:p>
      <w:pPr>
        <w:pStyle w:val="99"/>
        <w:ind w:firstLine="480"/>
        <w:rPr>
          <w:color w:val="auto"/>
          <w:highlight w:val="none"/>
        </w:rPr>
      </w:pPr>
      <w:r>
        <w:rPr>
          <w:rFonts w:hint="eastAsia"/>
          <w:color w:val="auto"/>
          <w:highlight w:val="none"/>
        </w:rPr>
        <w:t>3.治理农村生活污水。落实农村生活污水治理要求，2021年，991个行政村完成生活污水治理任务，湖区内35个庄台全部建成污水处理设施；到2023年，流域内所有行政村全部完成生活污水治理任务。建设山东省农村生态环境保护综合监管系统平台，将已完成农村生活污水治理的行政村纳入平台统一监管。建立农村生活污水处理设施运行维护管理制度，流域内市、县（市、区）统筹安排运行维护专项资金，明确设施责任主体，确保农村生活污水处理设施稳定运行。建立农村生活污水处理设施水质监测制度，对出水不达标的农村生活污水处理设施进行升级改造。（省生态环境厅、省住房城乡建设厅、省农业农村厅牵头）动态更新农村黑臭水体清单，实施农村黑臭水体治理，2021年，315处农村黑臭水体完成治理；到2022年，629处农村黑臭水体全部完成治理。</w:t>
      </w:r>
    </w:p>
    <w:p>
      <w:pPr>
        <w:pStyle w:val="99"/>
        <w:ind w:firstLine="480"/>
        <w:rPr>
          <w:color w:val="auto"/>
          <w:highlight w:val="none"/>
        </w:rPr>
      </w:pPr>
      <w:r>
        <w:rPr>
          <w:rFonts w:hint="eastAsia"/>
          <w:color w:val="auto"/>
          <w:highlight w:val="none"/>
        </w:rPr>
        <w:t>4.治理农村生活垃圾。持续开展村庄清洁行动，清理农村生活垃圾；进一步完善“户集、村收、镇运、县处理”的垃圾收运处置体系，到2022年，各县（市、区）垃圾收集、无害化处理率达到99%以上。</w:t>
      </w:r>
    </w:p>
    <w:p>
      <w:pPr>
        <w:pStyle w:val="99"/>
        <w:ind w:firstLine="480"/>
        <w:rPr>
          <w:color w:val="auto"/>
          <w:highlight w:val="none"/>
        </w:rPr>
      </w:pPr>
      <w:r>
        <w:rPr>
          <w:rFonts w:hint="eastAsia"/>
          <w:color w:val="auto"/>
          <w:highlight w:val="none"/>
        </w:rPr>
        <w:t>5.推进水产养殖业绿色发展。落实《加快推进水产养殖业绿色发展实施方案》，编制南四湖生态渔业发展规划。巩固南四湖自然保护区退养成果，禁止自然保护区核心区、缓冲区人工养殖，严格限制实验区现有渔塘规模。推广绿色健康养殖模式，力争5年左右时间，对实验区池塘实施生态化改造。建设湿地净化隔离带，确保养殖尾水经湿地净化后达到地表水三类水质排放。</w:t>
      </w:r>
    </w:p>
    <w:p>
      <w:pPr>
        <w:pStyle w:val="99"/>
        <w:ind w:firstLine="480"/>
        <w:rPr>
          <w:color w:val="auto"/>
          <w:highlight w:val="none"/>
        </w:rPr>
      </w:pPr>
      <w:r>
        <w:rPr>
          <w:rFonts w:hint="eastAsia"/>
          <w:color w:val="auto"/>
          <w:highlight w:val="none"/>
        </w:rPr>
        <w:t>(三)分类防治工矿企业污染。</w:t>
      </w:r>
    </w:p>
    <w:p>
      <w:pPr>
        <w:pStyle w:val="99"/>
        <w:ind w:firstLine="480"/>
        <w:rPr>
          <w:color w:val="auto"/>
          <w:highlight w:val="none"/>
        </w:rPr>
      </w:pPr>
      <w:r>
        <w:rPr>
          <w:rFonts w:hint="eastAsia"/>
          <w:color w:val="auto"/>
          <w:highlight w:val="none"/>
        </w:rPr>
        <w:t>1.治理硫酸盐与氟化物。以5条硫酸盐浓度和2条氟化物浓度较高的河流为重点，实施流域内造纸、化工、玻璃、煤矿等行业的涉硫涉氟工矿企业特征污染物治理。</w:t>
      </w:r>
    </w:p>
    <w:p>
      <w:pPr>
        <w:pStyle w:val="99"/>
        <w:ind w:firstLine="480"/>
        <w:rPr>
          <w:color w:val="auto"/>
          <w:highlight w:val="none"/>
        </w:rPr>
      </w:pPr>
      <w:r>
        <w:rPr>
          <w:rFonts w:hint="eastAsia"/>
          <w:color w:val="auto"/>
          <w:highlight w:val="none"/>
        </w:rPr>
        <w:t>2.治理氮磷污染。聚焦化工、原料药制造、造纸、冶金、电镀、印染、食品加工等工业企业，以万福河等35条总氮或总磷浓度较高的入湖河流为重点，加强氮磷排放控制和排放监管。</w:t>
      </w:r>
    </w:p>
    <w:p>
      <w:pPr>
        <w:pStyle w:val="99"/>
        <w:ind w:firstLine="480"/>
        <w:rPr>
          <w:color w:val="auto"/>
          <w:highlight w:val="none"/>
        </w:rPr>
      </w:pPr>
      <w:r>
        <w:rPr>
          <w:rFonts w:hint="eastAsia"/>
          <w:color w:val="auto"/>
          <w:highlight w:val="none"/>
        </w:rPr>
        <w:t>(四)深入管控直接入河湖污染。</w:t>
      </w:r>
    </w:p>
    <w:p>
      <w:pPr>
        <w:pStyle w:val="99"/>
        <w:ind w:firstLine="480"/>
        <w:rPr>
          <w:color w:val="auto"/>
          <w:highlight w:val="none"/>
        </w:rPr>
      </w:pPr>
      <w:r>
        <w:rPr>
          <w:rFonts w:hint="eastAsia"/>
          <w:color w:val="auto"/>
          <w:highlight w:val="none"/>
        </w:rPr>
        <w:t>1.全面整治入河（湖）排污（水）口。全面完成南四湖流域的各类入河（湖）排污（水）口溯源，建立规范化的排污口档案，实现“一口一档”，2021年，流域内4000个入河（湖）排污（水）口完成规范化整治，其中383个工业企业排污口全部完成；到2023年，流域内剩余的8466个入河（湖）排污（水）口完成规范化整治。加强排污口管控，发现超标及时处置。对氟化物、硫酸盐等主要污染因子占比进行分析，弄清不同河流、不同区域的主要污染因素，研究提出具有针对性的治理方案。</w:t>
      </w:r>
    </w:p>
    <w:p>
      <w:pPr>
        <w:pStyle w:val="99"/>
        <w:ind w:firstLine="480"/>
        <w:rPr>
          <w:color w:val="auto"/>
          <w:highlight w:val="none"/>
        </w:rPr>
      </w:pPr>
      <w:r>
        <w:rPr>
          <w:rFonts w:hint="eastAsia"/>
          <w:color w:val="auto"/>
          <w:highlight w:val="none"/>
        </w:rPr>
        <w:t>2.防治港口船舶污染。严禁使用报废船舶从事水路运输，依法报废达到强制报废年限的船舶，加大对已淘汰船舶经营活动的执法力度。实行船舶污染物接收链条式管理和动态监管，2021年，完成流域内60个港口和400总吨以上船舶的水污染物排放智能监控装置加装。未配备污染物收集、存储设备的机动船舶，不得进入南四湖。严格按照内河航道等级通航，禁止船舶超载运输。积极争取国家有关部委支持，对经南四湖航道的船舶建立统一管控标准，研究提高船舶用油油品标号措施。</w:t>
      </w:r>
    </w:p>
    <w:p>
      <w:pPr>
        <w:pStyle w:val="99"/>
        <w:ind w:firstLine="480"/>
        <w:rPr>
          <w:color w:val="auto"/>
          <w:highlight w:val="none"/>
        </w:rPr>
      </w:pPr>
      <w:r>
        <w:rPr>
          <w:rFonts w:hint="eastAsia"/>
          <w:color w:val="auto"/>
          <w:highlight w:val="none"/>
        </w:rPr>
        <w:t>3.治理湖内居民生产生活污染。对于住户船生活污水、粪便污染问题，济宁市研究制定减少污染排放的针对性措施并推进落实到位。加强微山岛镇污水处理厂运行管理，完善配套管网，强化污水处理厂下游人工湿地运营维护。</w:t>
      </w:r>
    </w:p>
    <w:p>
      <w:pPr>
        <w:pStyle w:val="99"/>
        <w:ind w:firstLine="480"/>
        <w:rPr>
          <w:color w:val="auto"/>
          <w:highlight w:val="none"/>
        </w:rPr>
      </w:pPr>
      <w:r>
        <w:rPr>
          <w:rFonts w:hint="eastAsia"/>
          <w:color w:val="auto"/>
          <w:highlight w:val="none"/>
        </w:rPr>
        <w:t>4.控制城市面源污染。加强洗车、餐饮、洗涤等单位排污管理，提升城市智能化管理水平。严禁向雨水井扫入、倾倒垃圾和深度保洁泥浆等行为，因地制宜，探索建立环卫保洁和雨水井清掏一体化作业制度。对排水管网、检查井、城区河道定期开展清淤疏浚；建设淤泥处理处置设施，达到国家规定标准后妥善处置利用。选取试点城市，率先开展初期雨水治理工作，对城市建成区雨水排水口收水范围内的建筑小区、道路、广场等重点区域，综合采取“渗、滞、蓄、净、用、排”方式进行改造建设。</w:t>
      </w:r>
    </w:p>
    <w:p>
      <w:pPr>
        <w:pStyle w:val="99"/>
        <w:ind w:firstLine="480"/>
        <w:rPr>
          <w:color w:val="auto"/>
          <w:highlight w:val="none"/>
        </w:rPr>
      </w:pPr>
      <w:r>
        <w:rPr>
          <w:rFonts w:hint="eastAsia"/>
          <w:color w:val="auto"/>
          <w:highlight w:val="none"/>
        </w:rPr>
        <w:t>(五)统筹山水林田湖草沙综合治理。</w:t>
      </w:r>
    </w:p>
    <w:p>
      <w:pPr>
        <w:pStyle w:val="99"/>
        <w:ind w:firstLine="480"/>
        <w:rPr>
          <w:color w:val="auto"/>
          <w:highlight w:val="none"/>
        </w:rPr>
      </w:pPr>
      <w:r>
        <w:rPr>
          <w:rFonts w:hint="eastAsia"/>
          <w:color w:val="auto"/>
          <w:highlight w:val="none"/>
        </w:rPr>
        <w:t>1.完善自然保护区管护体系。合理调整南四湖自然保护区，明确分区管控要求，科学划定核心保护区、</w:t>
      </w:r>
      <w:r>
        <w:rPr>
          <w:rFonts w:hint="eastAsia"/>
          <w:color w:val="auto"/>
          <w:highlight w:val="none"/>
          <w:lang w:eastAsia="zh-CN"/>
        </w:rPr>
        <w:t>重点控制区</w:t>
      </w:r>
      <w:r>
        <w:rPr>
          <w:rFonts w:hint="eastAsia"/>
          <w:color w:val="auto"/>
          <w:highlight w:val="none"/>
        </w:rPr>
        <w:t>，明确范围和界限。力争将南四湖自然保护区升格为国家级自然保护区，实现国家层面自然保护区统一监管。</w:t>
      </w:r>
    </w:p>
    <w:p>
      <w:pPr>
        <w:pStyle w:val="99"/>
        <w:ind w:firstLine="480"/>
        <w:rPr>
          <w:color w:val="auto"/>
          <w:highlight w:val="none"/>
        </w:rPr>
      </w:pPr>
      <w:r>
        <w:rPr>
          <w:rFonts w:hint="eastAsia"/>
          <w:color w:val="auto"/>
          <w:highlight w:val="none"/>
        </w:rPr>
        <w:t>2.恢复湖区水生生物多样性。开展增殖放流，科学投放滤食性、草食性鱼类，每年放养草鱼、鲢鱼等各类优质鱼苗。对保护区缓冲区及核心区退养池塘实行以自然恢复为主，必要时种植莲藕、芡实、菱米等水生经济作物进行自然生长的生态修复措施，改善退养区域生态环境。实施湖内菹草等综合整治，定期打捞收割，探索资源化利用途径，降低植物腐烂对湖区水质影响。通过改善水域水生生物群落组成，逐步恢复水生生物多样性。</w:t>
      </w:r>
    </w:p>
    <w:p>
      <w:pPr>
        <w:pStyle w:val="99"/>
        <w:ind w:firstLine="480"/>
        <w:rPr>
          <w:color w:val="auto"/>
          <w:highlight w:val="none"/>
        </w:rPr>
      </w:pPr>
      <w:r>
        <w:rPr>
          <w:rFonts w:hint="eastAsia"/>
          <w:color w:val="auto"/>
          <w:highlight w:val="none"/>
        </w:rPr>
        <w:t>3.全面修复河湖滨岸带。以独山湖等湖区为重点，通过湖滨带建设、水生植被和湿地功能恢复等措施，重建陆生、挺水、浮叶、漂浮、沉水植物群落，形成逐渐过渡的自然生态系统格局。</w:t>
      </w:r>
    </w:p>
    <w:p>
      <w:pPr>
        <w:pStyle w:val="99"/>
        <w:ind w:firstLine="480"/>
        <w:rPr>
          <w:color w:val="auto"/>
          <w:highlight w:val="none"/>
        </w:rPr>
      </w:pPr>
      <w:r>
        <w:rPr>
          <w:rFonts w:hint="eastAsia"/>
          <w:color w:val="auto"/>
          <w:highlight w:val="none"/>
        </w:rPr>
        <w:t>4.建设、修复人工或天然湿地。在重点排污口下游、河流入湖口因地制宜建设人工湿地水质净化工程，对处理达标后的排水和微污染河水进一步净化改善后，纳入区域水资源调配管理体系，用于区域内生态补水、工业生产和市政杂用；加快修复十里湖湿地、鱼台县孟楼湿地等11处人工或天然湿地的水质净化功能。健全资金保障机制，相关市、县加大人工湿地运营维护财政支持力度，推进实施专业化运营维护，保障人工湿地运营维护效果。</w:t>
      </w:r>
    </w:p>
    <w:p>
      <w:pPr>
        <w:pStyle w:val="99"/>
        <w:ind w:firstLine="480"/>
        <w:rPr>
          <w:color w:val="auto"/>
          <w:highlight w:val="none"/>
        </w:rPr>
      </w:pPr>
      <w:r>
        <w:rPr>
          <w:rFonts w:hint="eastAsia"/>
          <w:color w:val="auto"/>
          <w:highlight w:val="none"/>
        </w:rPr>
        <w:t>(六)有效防范河湖环境风险。流域内4市每年组织开展工矿企业及园区、交通穿越、航运等风险源排查整治，健全突发水污染事件应急预案，每年至少组织一次应急演练。将南四湖流域水污染防治作为省级生态环境保护督察、生态环境保护执法检查重要内容，严厉查处水生态环境违法行为。加强航运风险应急物资储备，在现有的应急搜救基地增配溢油应急设备物资和溢油应急船只及应急物资运输车等，提高船舶溢油风险防控能力。在南四湖特大桥段设置警示标志，禁止运输油类、危险废物、危险化学品、有毒有害污染物及放射性物质或废物。加强南四湖特大桥5处应急池的维护管理，确保正常使用。</w:t>
      </w:r>
    </w:p>
    <w:p>
      <w:pPr>
        <w:pStyle w:val="100"/>
        <w:spacing w:before="156"/>
        <w:rPr>
          <w:rFonts w:ascii="Times New Roman" w:hAnsi="Times New Roman"/>
          <w:color w:val="auto"/>
          <w:highlight w:val="none"/>
        </w:rPr>
      </w:pPr>
      <w:bookmarkStart w:id="130" w:name="_Toc66281282"/>
      <w:bookmarkStart w:id="131" w:name="_Toc7025"/>
      <w:r>
        <w:rPr>
          <w:rFonts w:ascii="Times New Roman" w:hAnsi="Times New Roman"/>
          <w:color w:val="auto"/>
          <w:highlight w:val="none"/>
        </w:rPr>
        <w:t>3.5地下水环境质量现状</w:t>
      </w:r>
      <w:bookmarkEnd w:id="130"/>
      <w:bookmarkEnd w:id="131"/>
    </w:p>
    <w:p>
      <w:pPr>
        <w:pStyle w:val="99"/>
        <w:ind w:firstLine="480"/>
        <w:rPr>
          <w:color w:val="auto"/>
          <w:highlight w:val="none"/>
        </w:rPr>
      </w:pPr>
      <w:r>
        <w:rPr>
          <w:rFonts w:hint="eastAsia"/>
          <w:color w:val="auto"/>
          <w:highlight w:val="none"/>
        </w:rPr>
        <w:t>项目所在区域地下水流向为自西北向东南运动，为了解附近地下水水质状况，本次评价委托山东宜维检测有限公司对项目特征因子进行了监测。</w:t>
      </w:r>
    </w:p>
    <w:p>
      <w:pPr>
        <w:pStyle w:val="101"/>
        <w:spacing w:before="78"/>
        <w:rPr>
          <w:rFonts w:ascii="Times New Roman" w:hAnsi="Times New Roman"/>
          <w:color w:val="auto"/>
          <w:highlight w:val="none"/>
        </w:rPr>
      </w:pPr>
      <w:r>
        <w:rPr>
          <w:rFonts w:ascii="Times New Roman" w:hAnsi="Times New Roman"/>
          <w:color w:val="auto"/>
          <w:highlight w:val="none"/>
        </w:rPr>
        <w:t>3.5.1地下水质量现状监测</w:t>
      </w:r>
    </w:p>
    <w:p>
      <w:pPr>
        <w:pStyle w:val="99"/>
        <w:ind w:firstLine="480"/>
        <w:rPr>
          <w:color w:val="auto"/>
          <w:highlight w:val="none"/>
        </w:rPr>
      </w:pPr>
      <w:r>
        <w:rPr>
          <w:color w:val="auto"/>
          <w:highlight w:val="none"/>
        </w:rPr>
        <w:t>共布设了</w:t>
      </w:r>
      <w:r>
        <w:rPr>
          <w:rFonts w:hint="eastAsia"/>
          <w:color w:val="auto"/>
          <w:highlight w:val="none"/>
        </w:rPr>
        <w:t>3</w:t>
      </w:r>
      <w:r>
        <w:rPr>
          <w:color w:val="auto"/>
          <w:highlight w:val="none"/>
        </w:rPr>
        <w:t>个水质监测点位、</w:t>
      </w:r>
      <w:r>
        <w:rPr>
          <w:rFonts w:hint="eastAsia"/>
          <w:color w:val="auto"/>
          <w:highlight w:val="none"/>
        </w:rPr>
        <w:t>6</w:t>
      </w:r>
      <w:r>
        <w:rPr>
          <w:color w:val="auto"/>
          <w:highlight w:val="none"/>
        </w:rPr>
        <w:t>个水位监测点，具体位置见图3.</w:t>
      </w:r>
      <w:r>
        <w:rPr>
          <w:rFonts w:hint="eastAsia"/>
          <w:color w:val="auto"/>
          <w:highlight w:val="none"/>
          <w:lang w:val="en-US" w:eastAsia="zh-CN"/>
        </w:rPr>
        <w:t>5</w:t>
      </w:r>
      <w:r>
        <w:rPr>
          <w:color w:val="auto"/>
          <w:highlight w:val="none"/>
        </w:rPr>
        <w:t>-1，各地下水监测点位置见表3.5-1。</w:t>
      </w:r>
    </w:p>
    <w:p>
      <w:pPr>
        <w:pStyle w:val="160"/>
        <w:spacing w:before="0" w:after="0" w:line="360" w:lineRule="auto"/>
        <w:jc w:val="center"/>
        <w:rPr>
          <w:rFonts w:eastAsia="黑体" w:cs="Times New Roman"/>
          <w:color w:val="auto"/>
          <w:sz w:val="24"/>
          <w:szCs w:val="24"/>
          <w:highlight w:val="none"/>
        </w:rPr>
      </w:pPr>
    </w:p>
    <w:p>
      <w:pPr>
        <w:pStyle w:val="160"/>
        <w:spacing w:before="0" w:after="0" w:line="360" w:lineRule="auto"/>
        <w:jc w:val="center"/>
        <w:rPr>
          <w:rFonts w:eastAsia="黑体" w:cs="Times New Roman"/>
          <w:color w:val="auto"/>
          <w:sz w:val="24"/>
          <w:szCs w:val="24"/>
          <w:highlight w:val="none"/>
        </w:rPr>
      </w:pPr>
    </w:p>
    <w:p>
      <w:pPr>
        <w:pStyle w:val="160"/>
        <w:spacing w:before="0" w:after="0" w:line="360" w:lineRule="auto"/>
        <w:jc w:val="center"/>
        <w:rPr>
          <w:rFonts w:eastAsia="黑体" w:cs="Times New Roman"/>
          <w:color w:val="auto"/>
          <w:sz w:val="24"/>
          <w:szCs w:val="24"/>
          <w:highlight w:val="none"/>
        </w:rPr>
      </w:pPr>
      <w:r>
        <w:rPr>
          <w:rFonts w:eastAsia="黑体" w:cs="Times New Roman"/>
          <w:color w:val="auto"/>
          <w:sz w:val="24"/>
          <w:szCs w:val="24"/>
          <w:highlight w:val="none"/>
        </w:rPr>
        <w:t>表3.5-1地下水现状监测点情况一览表</w:t>
      </w:r>
    </w:p>
    <w:tbl>
      <w:tblPr>
        <w:tblStyle w:val="59"/>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autofit"/>
        <w:tblCellMar>
          <w:top w:w="0" w:type="dxa"/>
          <w:left w:w="108" w:type="dxa"/>
          <w:bottom w:w="0" w:type="dxa"/>
          <w:right w:w="108" w:type="dxa"/>
        </w:tblCellMar>
      </w:tblPr>
      <w:tblGrid>
        <w:gridCol w:w="736"/>
        <w:gridCol w:w="1134"/>
        <w:gridCol w:w="1559"/>
        <w:gridCol w:w="2127"/>
        <w:gridCol w:w="3285"/>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416" w:type="pct"/>
            <w:tcMar>
              <w:top w:w="0" w:type="dxa"/>
              <w:left w:w="28" w:type="dxa"/>
              <w:bottom w:w="0" w:type="dxa"/>
              <w:right w:w="28" w:type="dxa"/>
            </w:tcMar>
            <w:vAlign w:val="center"/>
          </w:tcPr>
          <w:p>
            <w:pPr>
              <w:jc w:val="center"/>
              <w:rPr>
                <w:color w:val="auto"/>
                <w:szCs w:val="21"/>
                <w:highlight w:val="none"/>
              </w:rPr>
            </w:pPr>
            <w:r>
              <w:rPr>
                <w:color w:val="auto"/>
                <w:szCs w:val="21"/>
                <w:highlight w:val="none"/>
              </w:rPr>
              <w:t>点位</w:t>
            </w:r>
          </w:p>
        </w:tc>
        <w:tc>
          <w:tcPr>
            <w:tcW w:w="641" w:type="pct"/>
            <w:tcMar>
              <w:top w:w="0" w:type="dxa"/>
              <w:left w:w="28" w:type="dxa"/>
              <w:bottom w:w="0" w:type="dxa"/>
              <w:right w:w="28" w:type="dxa"/>
            </w:tcMar>
            <w:vAlign w:val="center"/>
          </w:tcPr>
          <w:p>
            <w:pPr>
              <w:jc w:val="center"/>
              <w:rPr>
                <w:color w:val="auto"/>
                <w:szCs w:val="21"/>
                <w:highlight w:val="none"/>
              </w:rPr>
            </w:pPr>
            <w:r>
              <w:rPr>
                <w:color w:val="auto"/>
                <w:szCs w:val="21"/>
                <w:highlight w:val="none"/>
              </w:rPr>
              <w:t>点位名称</w:t>
            </w:r>
          </w:p>
        </w:tc>
        <w:tc>
          <w:tcPr>
            <w:tcW w:w="881" w:type="pct"/>
            <w:tcMar>
              <w:top w:w="0" w:type="dxa"/>
              <w:left w:w="28" w:type="dxa"/>
              <w:bottom w:w="0" w:type="dxa"/>
              <w:right w:w="28" w:type="dxa"/>
            </w:tcMar>
            <w:vAlign w:val="center"/>
          </w:tcPr>
          <w:p>
            <w:pPr>
              <w:jc w:val="center"/>
              <w:rPr>
                <w:color w:val="auto"/>
                <w:szCs w:val="21"/>
                <w:highlight w:val="none"/>
              </w:rPr>
            </w:pPr>
            <w:r>
              <w:rPr>
                <w:color w:val="auto"/>
                <w:szCs w:val="21"/>
                <w:highlight w:val="none"/>
              </w:rPr>
              <w:t>相对项目方位</w:t>
            </w:r>
          </w:p>
        </w:tc>
        <w:tc>
          <w:tcPr>
            <w:tcW w:w="1202" w:type="pct"/>
            <w:tcMar>
              <w:top w:w="0" w:type="dxa"/>
              <w:left w:w="28" w:type="dxa"/>
              <w:bottom w:w="0" w:type="dxa"/>
              <w:right w:w="28" w:type="dxa"/>
            </w:tcMar>
            <w:vAlign w:val="center"/>
          </w:tcPr>
          <w:p>
            <w:pPr>
              <w:jc w:val="center"/>
              <w:rPr>
                <w:color w:val="auto"/>
                <w:szCs w:val="21"/>
                <w:highlight w:val="none"/>
              </w:rPr>
            </w:pPr>
            <w:r>
              <w:rPr>
                <w:color w:val="auto"/>
                <w:szCs w:val="21"/>
                <w:highlight w:val="none"/>
              </w:rPr>
              <w:t>距本项目厂区距离(m)</w:t>
            </w:r>
          </w:p>
        </w:tc>
        <w:tc>
          <w:tcPr>
            <w:tcW w:w="1857" w:type="pct"/>
            <w:tcMar>
              <w:top w:w="0" w:type="dxa"/>
              <w:left w:w="28" w:type="dxa"/>
              <w:bottom w:w="0" w:type="dxa"/>
              <w:right w:w="28" w:type="dxa"/>
            </w:tcMar>
            <w:vAlign w:val="center"/>
          </w:tcPr>
          <w:p>
            <w:pPr>
              <w:jc w:val="center"/>
              <w:rPr>
                <w:color w:val="auto"/>
                <w:szCs w:val="21"/>
                <w:highlight w:val="none"/>
              </w:rPr>
            </w:pPr>
            <w:r>
              <w:rPr>
                <w:color w:val="auto"/>
                <w:szCs w:val="21"/>
                <w:highlight w:val="none"/>
              </w:rPr>
              <w:t>功能意义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416" w:type="pct"/>
            <w:tcMar>
              <w:top w:w="0" w:type="dxa"/>
              <w:left w:w="28" w:type="dxa"/>
              <w:bottom w:w="0" w:type="dxa"/>
              <w:right w:w="28" w:type="dxa"/>
            </w:tcMar>
            <w:vAlign w:val="center"/>
          </w:tcPr>
          <w:p>
            <w:pPr>
              <w:jc w:val="center"/>
              <w:rPr>
                <w:color w:val="auto"/>
                <w:szCs w:val="21"/>
                <w:highlight w:val="none"/>
              </w:rPr>
            </w:pPr>
            <w:r>
              <w:rPr>
                <w:color w:val="auto"/>
                <w:highlight w:val="none"/>
              </w:rPr>
              <w:t>D1</w:t>
            </w:r>
          </w:p>
        </w:tc>
        <w:tc>
          <w:tcPr>
            <w:tcW w:w="641" w:type="pct"/>
            <w:tcMar>
              <w:top w:w="0" w:type="dxa"/>
              <w:left w:w="28" w:type="dxa"/>
              <w:bottom w:w="0" w:type="dxa"/>
              <w:right w:w="28" w:type="dxa"/>
            </w:tcMar>
            <w:vAlign w:val="center"/>
          </w:tcPr>
          <w:p>
            <w:pPr>
              <w:jc w:val="center"/>
              <w:rPr>
                <w:color w:val="auto"/>
                <w:highlight w:val="none"/>
              </w:rPr>
            </w:pPr>
            <w:r>
              <w:rPr>
                <w:rFonts w:hint="eastAsia"/>
                <w:color w:val="auto"/>
                <w:szCs w:val="21"/>
                <w:highlight w:val="none"/>
              </w:rPr>
              <w:t>横山头</w:t>
            </w:r>
          </w:p>
        </w:tc>
        <w:tc>
          <w:tcPr>
            <w:tcW w:w="881" w:type="pct"/>
            <w:tcMar>
              <w:top w:w="0" w:type="dxa"/>
              <w:left w:w="28" w:type="dxa"/>
              <w:bottom w:w="0" w:type="dxa"/>
              <w:right w:w="28" w:type="dxa"/>
            </w:tcMar>
            <w:vAlign w:val="center"/>
          </w:tcPr>
          <w:p>
            <w:pPr>
              <w:jc w:val="center"/>
              <w:rPr>
                <w:color w:val="auto"/>
                <w:highlight w:val="none"/>
              </w:rPr>
            </w:pPr>
            <w:r>
              <w:rPr>
                <w:rFonts w:hint="eastAsia"/>
                <w:color w:val="auto"/>
                <w:szCs w:val="21"/>
                <w:highlight w:val="none"/>
              </w:rPr>
              <w:t>N</w:t>
            </w:r>
          </w:p>
        </w:tc>
        <w:tc>
          <w:tcPr>
            <w:tcW w:w="1202" w:type="pct"/>
            <w:tcMar>
              <w:top w:w="0" w:type="dxa"/>
              <w:left w:w="28" w:type="dxa"/>
              <w:bottom w:w="0" w:type="dxa"/>
              <w:right w:w="28" w:type="dxa"/>
            </w:tcMar>
            <w:vAlign w:val="center"/>
          </w:tcPr>
          <w:p>
            <w:pPr>
              <w:jc w:val="center"/>
              <w:rPr>
                <w:color w:val="auto"/>
                <w:highlight w:val="none"/>
              </w:rPr>
            </w:pPr>
            <w:r>
              <w:rPr>
                <w:rFonts w:hint="eastAsia"/>
                <w:color w:val="auto"/>
                <w:szCs w:val="21"/>
                <w:highlight w:val="none"/>
              </w:rPr>
              <w:t>2</w:t>
            </w:r>
            <w:r>
              <w:rPr>
                <w:color w:val="auto"/>
                <w:szCs w:val="21"/>
                <w:highlight w:val="none"/>
              </w:rPr>
              <w:t>050</w:t>
            </w:r>
          </w:p>
        </w:tc>
        <w:tc>
          <w:tcPr>
            <w:tcW w:w="1857" w:type="pct"/>
            <w:tcMar>
              <w:top w:w="0" w:type="dxa"/>
              <w:left w:w="28" w:type="dxa"/>
              <w:bottom w:w="0" w:type="dxa"/>
              <w:right w:w="28" w:type="dxa"/>
            </w:tcMar>
            <w:vAlign w:val="center"/>
          </w:tcPr>
          <w:p>
            <w:pPr>
              <w:jc w:val="center"/>
              <w:rPr>
                <w:color w:val="auto"/>
                <w:highlight w:val="none"/>
              </w:rPr>
            </w:pPr>
            <w:r>
              <w:rPr>
                <w:rFonts w:hint="eastAsia"/>
                <w:color w:val="auto"/>
                <w:highlight w:val="none"/>
              </w:rPr>
              <w:t>了解</w:t>
            </w:r>
            <w:r>
              <w:rPr>
                <w:color w:val="auto"/>
                <w:highlight w:val="none"/>
              </w:rPr>
              <w:t>厂区</w:t>
            </w:r>
            <w:r>
              <w:rPr>
                <w:rFonts w:hint="eastAsia"/>
                <w:color w:val="auto"/>
                <w:highlight w:val="none"/>
              </w:rPr>
              <w:t>上游</w:t>
            </w:r>
            <w:r>
              <w:rPr>
                <w:color w:val="auto"/>
                <w:highlight w:val="none"/>
              </w:rPr>
              <w:t>地下水水质和水位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416" w:type="pct"/>
            <w:tcMar>
              <w:top w:w="0" w:type="dxa"/>
              <w:left w:w="28" w:type="dxa"/>
              <w:bottom w:w="0" w:type="dxa"/>
              <w:right w:w="28" w:type="dxa"/>
            </w:tcMar>
            <w:vAlign w:val="center"/>
          </w:tcPr>
          <w:p>
            <w:pPr>
              <w:jc w:val="center"/>
              <w:rPr>
                <w:color w:val="auto"/>
                <w:szCs w:val="21"/>
                <w:highlight w:val="none"/>
              </w:rPr>
            </w:pPr>
            <w:r>
              <w:rPr>
                <w:color w:val="auto"/>
                <w:highlight w:val="none"/>
              </w:rPr>
              <w:t>D2</w:t>
            </w:r>
          </w:p>
        </w:tc>
        <w:tc>
          <w:tcPr>
            <w:tcW w:w="641" w:type="pct"/>
            <w:tcMar>
              <w:top w:w="0" w:type="dxa"/>
              <w:left w:w="28" w:type="dxa"/>
              <w:bottom w:w="0" w:type="dxa"/>
              <w:right w:w="28" w:type="dxa"/>
            </w:tcMar>
            <w:vAlign w:val="center"/>
          </w:tcPr>
          <w:p>
            <w:pPr>
              <w:jc w:val="center"/>
              <w:rPr>
                <w:color w:val="auto"/>
                <w:highlight w:val="none"/>
              </w:rPr>
            </w:pPr>
            <w:r>
              <w:rPr>
                <w:rFonts w:hint="eastAsia"/>
                <w:color w:val="auto"/>
                <w:szCs w:val="21"/>
                <w:highlight w:val="none"/>
              </w:rPr>
              <w:t>大官庄</w:t>
            </w:r>
          </w:p>
        </w:tc>
        <w:tc>
          <w:tcPr>
            <w:tcW w:w="881" w:type="pct"/>
            <w:tcMar>
              <w:top w:w="0" w:type="dxa"/>
              <w:left w:w="28" w:type="dxa"/>
              <w:bottom w:w="0" w:type="dxa"/>
              <w:right w:w="28" w:type="dxa"/>
            </w:tcMar>
            <w:vAlign w:val="center"/>
          </w:tcPr>
          <w:p>
            <w:pPr>
              <w:jc w:val="center"/>
              <w:rPr>
                <w:color w:val="auto"/>
                <w:highlight w:val="none"/>
              </w:rPr>
            </w:pPr>
            <w:r>
              <w:rPr>
                <w:rFonts w:hint="eastAsia"/>
                <w:color w:val="auto"/>
                <w:szCs w:val="21"/>
                <w:highlight w:val="none"/>
              </w:rPr>
              <w:t>E</w:t>
            </w:r>
          </w:p>
        </w:tc>
        <w:tc>
          <w:tcPr>
            <w:tcW w:w="1202" w:type="pct"/>
            <w:tcMar>
              <w:top w:w="0" w:type="dxa"/>
              <w:left w:w="28" w:type="dxa"/>
              <w:bottom w:w="0" w:type="dxa"/>
              <w:right w:w="28" w:type="dxa"/>
            </w:tcMar>
            <w:vAlign w:val="center"/>
          </w:tcPr>
          <w:p>
            <w:pPr>
              <w:jc w:val="center"/>
              <w:rPr>
                <w:color w:val="auto"/>
                <w:highlight w:val="none"/>
              </w:rPr>
            </w:pPr>
            <w:r>
              <w:rPr>
                <w:rFonts w:hint="eastAsia"/>
                <w:color w:val="auto"/>
                <w:szCs w:val="21"/>
                <w:highlight w:val="none"/>
              </w:rPr>
              <w:t>8</w:t>
            </w:r>
            <w:r>
              <w:rPr>
                <w:color w:val="auto"/>
                <w:szCs w:val="21"/>
                <w:highlight w:val="none"/>
              </w:rPr>
              <w:t>0</w:t>
            </w:r>
          </w:p>
        </w:tc>
        <w:tc>
          <w:tcPr>
            <w:tcW w:w="1857" w:type="pct"/>
            <w:tcMar>
              <w:top w:w="0" w:type="dxa"/>
              <w:left w:w="28" w:type="dxa"/>
              <w:bottom w:w="0" w:type="dxa"/>
              <w:right w:w="28" w:type="dxa"/>
            </w:tcMar>
            <w:vAlign w:val="center"/>
          </w:tcPr>
          <w:p>
            <w:pPr>
              <w:jc w:val="center"/>
              <w:rPr>
                <w:color w:val="auto"/>
                <w:highlight w:val="none"/>
              </w:rPr>
            </w:pPr>
            <w:r>
              <w:rPr>
                <w:rFonts w:hint="eastAsia"/>
                <w:color w:val="auto"/>
                <w:highlight w:val="none"/>
              </w:rPr>
              <w:t>了解</w:t>
            </w:r>
            <w:r>
              <w:rPr>
                <w:color w:val="auto"/>
                <w:highlight w:val="none"/>
              </w:rPr>
              <w:t>厂区</w:t>
            </w:r>
            <w:r>
              <w:rPr>
                <w:rFonts w:hint="eastAsia"/>
                <w:color w:val="auto"/>
                <w:highlight w:val="none"/>
              </w:rPr>
              <w:t>侧下游</w:t>
            </w:r>
            <w:r>
              <w:rPr>
                <w:color w:val="auto"/>
                <w:highlight w:val="none"/>
              </w:rPr>
              <w:t>地下水水质和水位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416" w:type="pct"/>
            <w:tcMar>
              <w:top w:w="0" w:type="dxa"/>
              <w:left w:w="28" w:type="dxa"/>
              <w:bottom w:w="0" w:type="dxa"/>
              <w:right w:w="28" w:type="dxa"/>
            </w:tcMar>
            <w:vAlign w:val="center"/>
          </w:tcPr>
          <w:p>
            <w:pPr>
              <w:jc w:val="center"/>
              <w:rPr>
                <w:color w:val="auto"/>
                <w:szCs w:val="21"/>
                <w:highlight w:val="none"/>
              </w:rPr>
            </w:pPr>
            <w:r>
              <w:rPr>
                <w:color w:val="auto"/>
                <w:highlight w:val="none"/>
              </w:rPr>
              <w:t>D3</w:t>
            </w:r>
          </w:p>
        </w:tc>
        <w:tc>
          <w:tcPr>
            <w:tcW w:w="641" w:type="pct"/>
            <w:tcMar>
              <w:top w:w="0" w:type="dxa"/>
              <w:left w:w="28" w:type="dxa"/>
              <w:bottom w:w="0" w:type="dxa"/>
              <w:right w:w="28" w:type="dxa"/>
            </w:tcMar>
            <w:vAlign w:val="center"/>
          </w:tcPr>
          <w:p>
            <w:pPr>
              <w:jc w:val="center"/>
              <w:rPr>
                <w:color w:val="auto"/>
                <w:highlight w:val="none"/>
              </w:rPr>
            </w:pPr>
            <w:r>
              <w:rPr>
                <w:rFonts w:hint="eastAsia"/>
                <w:color w:val="auto"/>
                <w:szCs w:val="21"/>
                <w:highlight w:val="none"/>
              </w:rPr>
              <w:t>小官庄</w:t>
            </w:r>
          </w:p>
        </w:tc>
        <w:tc>
          <w:tcPr>
            <w:tcW w:w="881" w:type="pct"/>
            <w:tcMar>
              <w:top w:w="0" w:type="dxa"/>
              <w:left w:w="28" w:type="dxa"/>
              <w:bottom w:w="0" w:type="dxa"/>
              <w:right w:w="28" w:type="dxa"/>
            </w:tcMar>
            <w:vAlign w:val="center"/>
          </w:tcPr>
          <w:p>
            <w:pPr>
              <w:jc w:val="center"/>
              <w:rPr>
                <w:color w:val="auto"/>
                <w:highlight w:val="none"/>
              </w:rPr>
            </w:pPr>
            <w:r>
              <w:rPr>
                <w:rFonts w:hint="eastAsia"/>
                <w:color w:val="auto"/>
                <w:szCs w:val="21"/>
                <w:highlight w:val="none"/>
              </w:rPr>
              <w:t>SE</w:t>
            </w:r>
          </w:p>
        </w:tc>
        <w:tc>
          <w:tcPr>
            <w:tcW w:w="1202" w:type="pct"/>
            <w:tcMar>
              <w:top w:w="0" w:type="dxa"/>
              <w:left w:w="28" w:type="dxa"/>
              <w:bottom w:w="0" w:type="dxa"/>
              <w:right w:w="28" w:type="dxa"/>
            </w:tcMar>
            <w:vAlign w:val="center"/>
          </w:tcPr>
          <w:p>
            <w:pPr>
              <w:jc w:val="center"/>
              <w:rPr>
                <w:color w:val="auto"/>
                <w:highlight w:val="none"/>
              </w:rPr>
            </w:pPr>
            <w:r>
              <w:rPr>
                <w:rFonts w:hint="eastAsia"/>
                <w:color w:val="auto"/>
                <w:szCs w:val="21"/>
                <w:highlight w:val="none"/>
              </w:rPr>
              <w:t>1</w:t>
            </w:r>
            <w:r>
              <w:rPr>
                <w:color w:val="auto"/>
                <w:szCs w:val="21"/>
                <w:highlight w:val="none"/>
              </w:rPr>
              <w:t>000</w:t>
            </w:r>
          </w:p>
        </w:tc>
        <w:tc>
          <w:tcPr>
            <w:tcW w:w="1857" w:type="pct"/>
            <w:tcMar>
              <w:top w:w="0" w:type="dxa"/>
              <w:left w:w="28" w:type="dxa"/>
              <w:bottom w:w="0" w:type="dxa"/>
              <w:right w:w="28" w:type="dxa"/>
            </w:tcMar>
            <w:vAlign w:val="center"/>
          </w:tcPr>
          <w:p>
            <w:pPr>
              <w:jc w:val="center"/>
              <w:rPr>
                <w:color w:val="auto"/>
                <w:highlight w:val="none"/>
              </w:rPr>
            </w:pPr>
            <w:r>
              <w:rPr>
                <w:rFonts w:hint="eastAsia"/>
                <w:color w:val="auto"/>
                <w:highlight w:val="none"/>
              </w:rPr>
              <w:t>了解厂区下游</w:t>
            </w:r>
            <w:r>
              <w:rPr>
                <w:color w:val="auto"/>
                <w:highlight w:val="none"/>
              </w:rPr>
              <w:t>地下水水质和水位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416" w:type="pct"/>
            <w:tcMar>
              <w:top w:w="0" w:type="dxa"/>
              <w:left w:w="28" w:type="dxa"/>
              <w:bottom w:w="0" w:type="dxa"/>
              <w:right w:w="28" w:type="dxa"/>
            </w:tcMar>
            <w:vAlign w:val="center"/>
          </w:tcPr>
          <w:p>
            <w:pPr>
              <w:jc w:val="center"/>
              <w:rPr>
                <w:color w:val="auto"/>
                <w:szCs w:val="21"/>
                <w:highlight w:val="none"/>
              </w:rPr>
            </w:pPr>
            <w:r>
              <w:rPr>
                <w:rFonts w:hint="eastAsia"/>
                <w:color w:val="auto"/>
                <w:highlight w:val="none"/>
              </w:rPr>
              <w:t>D</w:t>
            </w:r>
            <w:r>
              <w:rPr>
                <w:color w:val="auto"/>
                <w:highlight w:val="none"/>
              </w:rPr>
              <w:t>4</w:t>
            </w:r>
          </w:p>
        </w:tc>
        <w:tc>
          <w:tcPr>
            <w:tcW w:w="641" w:type="pct"/>
            <w:tcMar>
              <w:top w:w="0" w:type="dxa"/>
              <w:left w:w="28" w:type="dxa"/>
              <w:bottom w:w="0" w:type="dxa"/>
              <w:right w:w="28" w:type="dxa"/>
            </w:tcMar>
            <w:vAlign w:val="center"/>
          </w:tcPr>
          <w:p>
            <w:pPr>
              <w:jc w:val="center"/>
              <w:rPr>
                <w:color w:val="auto"/>
                <w:highlight w:val="none"/>
              </w:rPr>
            </w:pPr>
            <w:r>
              <w:rPr>
                <w:rFonts w:hint="eastAsia"/>
                <w:color w:val="auto"/>
                <w:szCs w:val="21"/>
                <w:highlight w:val="none"/>
              </w:rPr>
              <w:t>王楼</w:t>
            </w:r>
          </w:p>
        </w:tc>
        <w:tc>
          <w:tcPr>
            <w:tcW w:w="881" w:type="pct"/>
            <w:tcMar>
              <w:top w:w="0" w:type="dxa"/>
              <w:left w:w="28" w:type="dxa"/>
              <w:bottom w:w="0" w:type="dxa"/>
              <w:right w:w="28" w:type="dxa"/>
            </w:tcMar>
            <w:vAlign w:val="center"/>
          </w:tcPr>
          <w:p>
            <w:pPr>
              <w:jc w:val="center"/>
              <w:rPr>
                <w:color w:val="auto"/>
                <w:highlight w:val="none"/>
              </w:rPr>
            </w:pPr>
            <w:r>
              <w:rPr>
                <w:rFonts w:hint="eastAsia"/>
                <w:color w:val="auto"/>
                <w:szCs w:val="21"/>
                <w:highlight w:val="none"/>
              </w:rPr>
              <w:t>SW</w:t>
            </w:r>
          </w:p>
        </w:tc>
        <w:tc>
          <w:tcPr>
            <w:tcW w:w="1202" w:type="pct"/>
            <w:tcMar>
              <w:top w:w="0" w:type="dxa"/>
              <w:left w:w="28" w:type="dxa"/>
              <w:bottom w:w="0" w:type="dxa"/>
              <w:right w:w="28" w:type="dxa"/>
            </w:tcMar>
            <w:vAlign w:val="center"/>
          </w:tcPr>
          <w:p>
            <w:pPr>
              <w:jc w:val="center"/>
              <w:rPr>
                <w:color w:val="auto"/>
                <w:highlight w:val="none"/>
              </w:rPr>
            </w:pPr>
            <w:r>
              <w:rPr>
                <w:rFonts w:hint="eastAsia"/>
                <w:color w:val="auto"/>
                <w:szCs w:val="21"/>
                <w:highlight w:val="none"/>
              </w:rPr>
              <w:t>1</w:t>
            </w:r>
            <w:r>
              <w:rPr>
                <w:color w:val="auto"/>
                <w:szCs w:val="21"/>
                <w:highlight w:val="none"/>
              </w:rPr>
              <w:t>410</w:t>
            </w:r>
          </w:p>
        </w:tc>
        <w:tc>
          <w:tcPr>
            <w:tcW w:w="1857" w:type="pct"/>
            <w:tcMar>
              <w:top w:w="0" w:type="dxa"/>
              <w:left w:w="28" w:type="dxa"/>
              <w:bottom w:w="0" w:type="dxa"/>
              <w:right w:w="28" w:type="dxa"/>
            </w:tcMar>
            <w:vAlign w:val="center"/>
          </w:tcPr>
          <w:p>
            <w:pPr>
              <w:jc w:val="center"/>
              <w:rPr>
                <w:color w:val="auto"/>
                <w:highlight w:val="none"/>
              </w:rPr>
            </w:pPr>
            <w:r>
              <w:rPr>
                <w:rFonts w:hint="eastAsia"/>
                <w:color w:val="auto"/>
                <w:highlight w:val="none"/>
              </w:rPr>
              <w:t>了解厂区周边地下水水位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416" w:type="pct"/>
            <w:tcMar>
              <w:top w:w="0" w:type="dxa"/>
              <w:left w:w="28" w:type="dxa"/>
              <w:bottom w:w="0" w:type="dxa"/>
              <w:right w:w="28" w:type="dxa"/>
            </w:tcMar>
            <w:vAlign w:val="center"/>
          </w:tcPr>
          <w:p>
            <w:pPr>
              <w:jc w:val="center"/>
              <w:rPr>
                <w:color w:val="auto"/>
                <w:szCs w:val="21"/>
                <w:highlight w:val="none"/>
              </w:rPr>
            </w:pPr>
            <w:r>
              <w:rPr>
                <w:rFonts w:hint="eastAsia"/>
                <w:color w:val="auto"/>
                <w:highlight w:val="none"/>
              </w:rPr>
              <w:t>D</w:t>
            </w:r>
            <w:r>
              <w:rPr>
                <w:color w:val="auto"/>
                <w:highlight w:val="none"/>
              </w:rPr>
              <w:t>5</w:t>
            </w:r>
          </w:p>
        </w:tc>
        <w:tc>
          <w:tcPr>
            <w:tcW w:w="641" w:type="pct"/>
            <w:tcMar>
              <w:top w:w="0" w:type="dxa"/>
              <w:left w:w="28" w:type="dxa"/>
              <w:bottom w:w="0" w:type="dxa"/>
              <w:right w:w="28" w:type="dxa"/>
            </w:tcMar>
            <w:vAlign w:val="center"/>
          </w:tcPr>
          <w:p>
            <w:pPr>
              <w:jc w:val="center"/>
              <w:rPr>
                <w:color w:val="auto"/>
                <w:highlight w:val="none"/>
              </w:rPr>
            </w:pPr>
            <w:r>
              <w:rPr>
                <w:rFonts w:hint="eastAsia"/>
                <w:color w:val="auto"/>
                <w:szCs w:val="21"/>
                <w:highlight w:val="none"/>
              </w:rPr>
              <w:t>仙桥村</w:t>
            </w:r>
          </w:p>
        </w:tc>
        <w:tc>
          <w:tcPr>
            <w:tcW w:w="881" w:type="pct"/>
            <w:tcMar>
              <w:top w:w="0" w:type="dxa"/>
              <w:left w:w="28" w:type="dxa"/>
              <w:bottom w:w="0" w:type="dxa"/>
              <w:right w:w="28" w:type="dxa"/>
            </w:tcMar>
            <w:vAlign w:val="center"/>
          </w:tcPr>
          <w:p>
            <w:pPr>
              <w:jc w:val="center"/>
              <w:rPr>
                <w:color w:val="auto"/>
                <w:highlight w:val="none"/>
              </w:rPr>
            </w:pPr>
            <w:r>
              <w:rPr>
                <w:rFonts w:hint="eastAsia"/>
                <w:color w:val="auto"/>
                <w:szCs w:val="21"/>
                <w:highlight w:val="none"/>
              </w:rPr>
              <w:t>E</w:t>
            </w:r>
          </w:p>
        </w:tc>
        <w:tc>
          <w:tcPr>
            <w:tcW w:w="1202" w:type="pct"/>
            <w:tcMar>
              <w:top w:w="0" w:type="dxa"/>
              <w:left w:w="28" w:type="dxa"/>
              <w:bottom w:w="0" w:type="dxa"/>
              <w:right w:w="28" w:type="dxa"/>
            </w:tcMar>
            <w:vAlign w:val="center"/>
          </w:tcPr>
          <w:p>
            <w:pPr>
              <w:jc w:val="center"/>
              <w:rPr>
                <w:color w:val="auto"/>
                <w:highlight w:val="none"/>
              </w:rPr>
            </w:pPr>
            <w:r>
              <w:rPr>
                <w:rFonts w:hint="eastAsia"/>
                <w:color w:val="auto"/>
                <w:szCs w:val="21"/>
                <w:highlight w:val="none"/>
              </w:rPr>
              <w:t>2</w:t>
            </w:r>
            <w:r>
              <w:rPr>
                <w:color w:val="auto"/>
                <w:szCs w:val="21"/>
                <w:highlight w:val="none"/>
              </w:rPr>
              <w:t>070</w:t>
            </w:r>
          </w:p>
        </w:tc>
        <w:tc>
          <w:tcPr>
            <w:tcW w:w="1857" w:type="pct"/>
            <w:tcMar>
              <w:top w:w="0" w:type="dxa"/>
              <w:left w:w="28" w:type="dxa"/>
              <w:bottom w:w="0" w:type="dxa"/>
              <w:right w:w="28" w:type="dxa"/>
            </w:tcMar>
            <w:vAlign w:val="center"/>
          </w:tcPr>
          <w:p>
            <w:pPr>
              <w:jc w:val="center"/>
              <w:rPr>
                <w:color w:val="auto"/>
                <w:highlight w:val="none"/>
              </w:rPr>
            </w:pPr>
            <w:r>
              <w:rPr>
                <w:rFonts w:hint="eastAsia"/>
                <w:color w:val="auto"/>
                <w:highlight w:val="none"/>
              </w:rPr>
              <w:t>了解厂区周边地下水水位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416" w:type="pct"/>
            <w:tcMar>
              <w:top w:w="0" w:type="dxa"/>
              <w:left w:w="28" w:type="dxa"/>
              <w:bottom w:w="0" w:type="dxa"/>
              <w:right w:w="28" w:type="dxa"/>
            </w:tcMar>
            <w:vAlign w:val="center"/>
          </w:tcPr>
          <w:p>
            <w:pPr>
              <w:jc w:val="center"/>
              <w:rPr>
                <w:color w:val="auto"/>
                <w:szCs w:val="21"/>
                <w:highlight w:val="none"/>
              </w:rPr>
            </w:pPr>
            <w:r>
              <w:rPr>
                <w:rFonts w:hint="eastAsia"/>
                <w:color w:val="auto"/>
                <w:highlight w:val="none"/>
              </w:rPr>
              <w:t>D</w:t>
            </w:r>
            <w:r>
              <w:rPr>
                <w:color w:val="auto"/>
                <w:highlight w:val="none"/>
              </w:rPr>
              <w:t>6</w:t>
            </w:r>
          </w:p>
        </w:tc>
        <w:tc>
          <w:tcPr>
            <w:tcW w:w="641" w:type="pct"/>
            <w:tcMar>
              <w:top w:w="0" w:type="dxa"/>
              <w:left w:w="28" w:type="dxa"/>
              <w:bottom w:w="0" w:type="dxa"/>
              <w:right w:w="28" w:type="dxa"/>
            </w:tcMar>
            <w:vAlign w:val="center"/>
          </w:tcPr>
          <w:p>
            <w:pPr>
              <w:jc w:val="center"/>
              <w:rPr>
                <w:color w:val="auto"/>
                <w:highlight w:val="none"/>
              </w:rPr>
            </w:pPr>
            <w:r>
              <w:rPr>
                <w:rFonts w:hint="eastAsia"/>
                <w:color w:val="auto"/>
                <w:szCs w:val="21"/>
                <w:highlight w:val="none"/>
              </w:rPr>
              <w:t>苏埠村</w:t>
            </w:r>
          </w:p>
        </w:tc>
        <w:tc>
          <w:tcPr>
            <w:tcW w:w="881" w:type="pct"/>
            <w:tcMar>
              <w:top w:w="0" w:type="dxa"/>
              <w:left w:w="28" w:type="dxa"/>
              <w:bottom w:w="0" w:type="dxa"/>
              <w:right w:w="28" w:type="dxa"/>
            </w:tcMar>
            <w:vAlign w:val="center"/>
          </w:tcPr>
          <w:p>
            <w:pPr>
              <w:jc w:val="center"/>
              <w:rPr>
                <w:color w:val="auto"/>
                <w:highlight w:val="none"/>
              </w:rPr>
            </w:pPr>
            <w:r>
              <w:rPr>
                <w:rFonts w:hint="eastAsia"/>
                <w:color w:val="auto"/>
                <w:szCs w:val="21"/>
                <w:highlight w:val="none"/>
              </w:rPr>
              <w:t>S</w:t>
            </w:r>
          </w:p>
        </w:tc>
        <w:tc>
          <w:tcPr>
            <w:tcW w:w="1202" w:type="pct"/>
            <w:tcMar>
              <w:top w:w="0" w:type="dxa"/>
              <w:left w:w="28" w:type="dxa"/>
              <w:bottom w:w="0" w:type="dxa"/>
              <w:right w:w="28" w:type="dxa"/>
            </w:tcMar>
            <w:vAlign w:val="center"/>
          </w:tcPr>
          <w:p>
            <w:pPr>
              <w:jc w:val="center"/>
              <w:rPr>
                <w:color w:val="auto"/>
                <w:highlight w:val="none"/>
              </w:rPr>
            </w:pPr>
            <w:r>
              <w:rPr>
                <w:rFonts w:hint="eastAsia"/>
                <w:color w:val="auto"/>
                <w:szCs w:val="21"/>
                <w:highlight w:val="none"/>
              </w:rPr>
              <w:t>2</w:t>
            </w:r>
            <w:r>
              <w:rPr>
                <w:color w:val="auto"/>
                <w:szCs w:val="21"/>
                <w:highlight w:val="none"/>
              </w:rPr>
              <w:t>060</w:t>
            </w:r>
          </w:p>
        </w:tc>
        <w:tc>
          <w:tcPr>
            <w:tcW w:w="1857" w:type="pct"/>
            <w:tcMar>
              <w:top w:w="0" w:type="dxa"/>
              <w:left w:w="28" w:type="dxa"/>
              <w:bottom w:w="0" w:type="dxa"/>
              <w:right w:w="28" w:type="dxa"/>
            </w:tcMar>
            <w:vAlign w:val="center"/>
          </w:tcPr>
          <w:p>
            <w:pPr>
              <w:jc w:val="center"/>
              <w:rPr>
                <w:color w:val="auto"/>
                <w:highlight w:val="none"/>
              </w:rPr>
            </w:pPr>
            <w:r>
              <w:rPr>
                <w:rFonts w:hint="eastAsia"/>
                <w:color w:val="auto"/>
                <w:highlight w:val="none"/>
              </w:rPr>
              <w:t>了解厂区周边地下水水位</w:t>
            </w:r>
          </w:p>
        </w:tc>
      </w:tr>
    </w:tbl>
    <w:p>
      <w:pPr>
        <w:pStyle w:val="99"/>
        <w:spacing w:before="240"/>
        <w:ind w:firstLine="482"/>
        <w:rPr>
          <w:b/>
          <w:bCs/>
          <w:color w:val="auto"/>
          <w:highlight w:val="none"/>
        </w:rPr>
      </w:pPr>
      <w:r>
        <w:rPr>
          <w:b/>
          <w:bCs/>
          <w:color w:val="auto"/>
          <w:highlight w:val="none"/>
        </w:rPr>
        <w:t>2、监测项目</w:t>
      </w:r>
    </w:p>
    <w:p>
      <w:pPr>
        <w:spacing w:line="360" w:lineRule="auto"/>
        <w:ind w:firstLine="480" w:firstLineChars="200"/>
        <w:rPr>
          <w:color w:val="auto"/>
          <w:sz w:val="24"/>
          <w:highlight w:val="none"/>
        </w:rPr>
      </w:pPr>
      <w:r>
        <w:rPr>
          <w:rFonts w:hint="eastAsia"/>
          <w:color w:val="auto"/>
          <w:sz w:val="24"/>
          <w:highlight w:val="none"/>
        </w:rPr>
        <w:t>K</w:t>
      </w:r>
      <w:r>
        <w:rPr>
          <w:rFonts w:hint="eastAsia"/>
          <w:color w:val="auto"/>
          <w:sz w:val="24"/>
          <w:highlight w:val="none"/>
          <w:vertAlign w:val="superscript"/>
        </w:rPr>
        <w:t>+</w:t>
      </w:r>
      <w:r>
        <w:rPr>
          <w:rFonts w:hint="eastAsia"/>
          <w:color w:val="auto"/>
          <w:sz w:val="24"/>
          <w:highlight w:val="none"/>
        </w:rPr>
        <w:t>、Na</w:t>
      </w:r>
      <w:r>
        <w:rPr>
          <w:rFonts w:hint="eastAsia"/>
          <w:color w:val="auto"/>
          <w:sz w:val="24"/>
          <w:highlight w:val="none"/>
          <w:vertAlign w:val="superscript"/>
        </w:rPr>
        <w:t>+</w:t>
      </w:r>
      <w:r>
        <w:rPr>
          <w:rFonts w:hint="eastAsia"/>
          <w:color w:val="auto"/>
          <w:sz w:val="24"/>
          <w:highlight w:val="none"/>
        </w:rPr>
        <w:t>、Ca</w:t>
      </w:r>
      <w:r>
        <w:rPr>
          <w:rFonts w:hint="eastAsia"/>
          <w:color w:val="auto"/>
          <w:sz w:val="24"/>
          <w:highlight w:val="none"/>
          <w:vertAlign w:val="superscript"/>
        </w:rPr>
        <w:t>2+</w:t>
      </w:r>
      <w:r>
        <w:rPr>
          <w:rFonts w:hint="eastAsia"/>
          <w:color w:val="auto"/>
          <w:sz w:val="24"/>
          <w:highlight w:val="none"/>
        </w:rPr>
        <w:t>、Mg</w:t>
      </w:r>
      <w:r>
        <w:rPr>
          <w:rFonts w:hint="eastAsia"/>
          <w:color w:val="auto"/>
          <w:sz w:val="24"/>
          <w:highlight w:val="none"/>
          <w:vertAlign w:val="superscript"/>
        </w:rPr>
        <w:t>2+</w:t>
      </w:r>
      <w:r>
        <w:rPr>
          <w:rFonts w:hint="eastAsia"/>
          <w:color w:val="auto"/>
          <w:sz w:val="24"/>
          <w:highlight w:val="none"/>
        </w:rPr>
        <w:t>、HCO</w:t>
      </w:r>
      <w:r>
        <w:rPr>
          <w:rFonts w:hint="eastAsia"/>
          <w:color w:val="auto"/>
          <w:sz w:val="24"/>
          <w:highlight w:val="none"/>
          <w:vertAlign w:val="subscript"/>
        </w:rPr>
        <w:t>3</w:t>
      </w:r>
      <w:r>
        <w:rPr>
          <w:rFonts w:hint="eastAsia"/>
          <w:color w:val="auto"/>
          <w:sz w:val="24"/>
          <w:highlight w:val="none"/>
          <w:vertAlign w:val="superscript"/>
        </w:rPr>
        <w:t>﹣</w:t>
      </w:r>
      <w:r>
        <w:rPr>
          <w:rFonts w:hint="eastAsia"/>
          <w:color w:val="auto"/>
          <w:sz w:val="24"/>
          <w:highlight w:val="none"/>
        </w:rPr>
        <w:t>、CO</w:t>
      </w:r>
      <w:r>
        <w:rPr>
          <w:rFonts w:hint="eastAsia"/>
          <w:color w:val="auto"/>
          <w:sz w:val="24"/>
          <w:highlight w:val="none"/>
          <w:vertAlign w:val="subscript"/>
        </w:rPr>
        <w:t>3</w:t>
      </w:r>
      <w:r>
        <w:rPr>
          <w:rFonts w:hint="eastAsia"/>
          <w:color w:val="auto"/>
          <w:sz w:val="24"/>
          <w:highlight w:val="none"/>
          <w:vertAlign w:val="superscript"/>
        </w:rPr>
        <w:t>2﹣</w:t>
      </w:r>
      <w:r>
        <w:rPr>
          <w:rFonts w:hint="eastAsia"/>
          <w:color w:val="auto"/>
          <w:sz w:val="24"/>
          <w:highlight w:val="none"/>
        </w:rPr>
        <w:t>、pH、色度、总硬度、溶解性总固体、硫酸盐、氯化物、铁、锰、挥发性酚类、耗氧量、氨氮、硫化物、总大肠菌群、菌落总数、硝酸盐、亚硝酸盐、氰化物、氟化物、汞、砷、镉、铬(六价)、铅、阴离子表面活性剂。</w:t>
      </w:r>
    </w:p>
    <w:p>
      <w:pPr>
        <w:spacing w:line="360" w:lineRule="auto"/>
        <w:ind w:firstLine="482" w:firstLineChars="200"/>
        <w:rPr>
          <w:b/>
          <w:color w:val="auto"/>
          <w:sz w:val="24"/>
          <w:highlight w:val="none"/>
        </w:rPr>
      </w:pPr>
      <w:r>
        <w:rPr>
          <w:b/>
          <w:color w:val="auto"/>
          <w:sz w:val="24"/>
          <w:highlight w:val="none"/>
        </w:rPr>
        <w:t>3、监测时间</w:t>
      </w:r>
    </w:p>
    <w:p>
      <w:pPr>
        <w:spacing w:line="360" w:lineRule="auto"/>
        <w:ind w:firstLine="480" w:firstLineChars="200"/>
        <w:rPr>
          <w:color w:val="auto"/>
          <w:sz w:val="24"/>
          <w:highlight w:val="none"/>
        </w:rPr>
      </w:pPr>
      <w:r>
        <w:rPr>
          <w:color w:val="auto"/>
          <w:sz w:val="24"/>
          <w:szCs w:val="24"/>
          <w:highlight w:val="none"/>
        </w:rPr>
        <w:t>监测时间为</w:t>
      </w:r>
      <w:r>
        <w:rPr>
          <w:rStyle w:val="130"/>
          <w:color w:val="auto"/>
          <w:highlight w:val="none"/>
        </w:rPr>
        <w:t>2022年</w:t>
      </w:r>
      <w:r>
        <w:rPr>
          <w:rStyle w:val="130"/>
          <w:rFonts w:hint="eastAsia"/>
          <w:color w:val="auto"/>
          <w:highlight w:val="none"/>
        </w:rPr>
        <w:t>7</w:t>
      </w:r>
      <w:r>
        <w:rPr>
          <w:rStyle w:val="130"/>
          <w:color w:val="auto"/>
          <w:highlight w:val="none"/>
        </w:rPr>
        <w:t>月</w:t>
      </w:r>
      <w:r>
        <w:rPr>
          <w:rStyle w:val="130"/>
          <w:rFonts w:hint="eastAsia"/>
          <w:color w:val="auto"/>
          <w:highlight w:val="none"/>
        </w:rPr>
        <w:t>10</w:t>
      </w:r>
      <w:r>
        <w:rPr>
          <w:rStyle w:val="130"/>
          <w:color w:val="auto"/>
          <w:highlight w:val="none"/>
        </w:rPr>
        <w:t>日</w:t>
      </w:r>
      <w:r>
        <w:rPr>
          <w:color w:val="auto"/>
          <w:sz w:val="24"/>
          <w:szCs w:val="24"/>
          <w:highlight w:val="none"/>
        </w:rPr>
        <w:t>，监测</w:t>
      </w:r>
      <w:r>
        <w:rPr>
          <w:rFonts w:hint="eastAsia"/>
          <w:color w:val="auto"/>
          <w:sz w:val="24"/>
          <w:szCs w:val="24"/>
          <w:highlight w:val="none"/>
        </w:rPr>
        <w:t>一</w:t>
      </w:r>
      <w:r>
        <w:rPr>
          <w:color w:val="auto"/>
          <w:sz w:val="24"/>
          <w:szCs w:val="24"/>
          <w:highlight w:val="none"/>
        </w:rPr>
        <w:t>天，取样分析一次。</w:t>
      </w:r>
    </w:p>
    <w:p>
      <w:pPr>
        <w:spacing w:line="360" w:lineRule="auto"/>
        <w:ind w:firstLine="482" w:firstLineChars="200"/>
        <w:rPr>
          <w:b/>
          <w:color w:val="auto"/>
          <w:sz w:val="24"/>
          <w:highlight w:val="none"/>
        </w:rPr>
      </w:pPr>
      <w:r>
        <w:rPr>
          <w:b/>
          <w:color w:val="auto"/>
          <w:sz w:val="24"/>
          <w:highlight w:val="none"/>
        </w:rPr>
        <w:t>4、监测分析方法</w:t>
      </w:r>
    </w:p>
    <w:p>
      <w:pPr>
        <w:spacing w:line="360" w:lineRule="auto"/>
        <w:ind w:firstLine="480" w:firstLineChars="200"/>
        <w:jc w:val="left"/>
        <w:rPr>
          <w:color w:val="auto"/>
          <w:sz w:val="24"/>
          <w:highlight w:val="none"/>
        </w:rPr>
      </w:pPr>
      <w:r>
        <w:rPr>
          <w:color w:val="auto"/>
          <w:sz w:val="24"/>
          <w:highlight w:val="none"/>
        </w:rPr>
        <w:t>按照《地下水环境质量标准》(GB/T14848-2017)、</w:t>
      </w:r>
      <w:r>
        <w:rPr>
          <w:color w:val="auto"/>
          <w:sz w:val="24"/>
          <w:szCs w:val="24"/>
          <w:highlight w:val="none"/>
        </w:rPr>
        <w:t>《水质采样技术指导》</w:t>
      </w:r>
      <w:r>
        <w:rPr>
          <w:rFonts w:hint="eastAsia"/>
          <w:color w:val="auto"/>
          <w:sz w:val="24"/>
          <w:highlight w:val="none"/>
          <w:lang w:eastAsia="zh-CN"/>
        </w:rPr>
        <w:t>（</w:t>
      </w:r>
      <w:r>
        <w:rPr>
          <w:color w:val="auto"/>
          <w:sz w:val="24"/>
          <w:szCs w:val="24"/>
          <w:highlight w:val="none"/>
        </w:rPr>
        <w:t>HJ 494-2009</w:t>
      </w:r>
      <w:r>
        <w:rPr>
          <w:rFonts w:hint="eastAsia"/>
          <w:color w:val="auto"/>
          <w:sz w:val="24"/>
          <w:highlight w:val="none"/>
          <w:lang w:eastAsia="zh-CN"/>
        </w:rPr>
        <w:t>）</w:t>
      </w:r>
      <w:r>
        <w:rPr>
          <w:color w:val="auto"/>
          <w:sz w:val="24"/>
          <w:highlight w:val="none"/>
        </w:rPr>
        <w:t>等相关方法标准执行。</w:t>
      </w:r>
    </w:p>
    <w:p>
      <w:pPr>
        <w:spacing w:line="336" w:lineRule="auto"/>
        <w:jc w:val="center"/>
        <w:rPr>
          <w:rFonts w:eastAsia="黑体"/>
          <w:color w:val="auto"/>
          <w:sz w:val="24"/>
          <w:highlight w:val="none"/>
        </w:rPr>
      </w:pPr>
      <w:r>
        <w:rPr>
          <w:rFonts w:eastAsia="黑体"/>
          <w:color w:val="auto"/>
          <w:sz w:val="24"/>
          <w:highlight w:val="none"/>
        </w:rPr>
        <w:t>表3.5-2   地下水质量监测分析方法一览表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2"/>
        <w:gridCol w:w="1328"/>
        <w:gridCol w:w="2566"/>
        <w:gridCol w:w="2386"/>
        <w:gridCol w:w="1481"/>
        <w:gridCol w:w="7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09" w:hRule="atLeast"/>
          <w:tblHeader/>
          <w:jc w:val="center"/>
        </w:trPr>
        <w:tc>
          <w:tcPr>
            <w:tcW w:w="203"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序号</w:t>
            </w:r>
          </w:p>
        </w:tc>
        <w:tc>
          <w:tcPr>
            <w:tcW w:w="744"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监测项目</w:t>
            </w:r>
          </w:p>
        </w:tc>
        <w:tc>
          <w:tcPr>
            <w:tcW w:w="1438" w:type="pct"/>
            <w:vAlign w:val="center"/>
          </w:tcPr>
          <w:p>
            <w:pPr>
              <w:pStyle w:val="105"/>
              <w:rPr>
                <w:color w:val="auto"/>
                <w:szCs w:val="21"/>
                <w:highlight w:val="none"/>
              </w:rPr>
            </w:pPr>
            <w:r>
              <w:rPr>
                <w:color w:val="auto"/>
                <w:szCs w:val="21"/>
                <w:highlight w:val="none"/>
              </w:rPr>
              <w:t>分析方法</w:t>
            </w:r>
          </w:p>
        </w:tc>
        <w:tc>
          <w:tcPr>
            <w:tcW w:w="1337"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分析方法依据</w:t>
            </w:r>
          </w:p>
        </w:tc>
        <w:tc>
          <w:tcPr>
            <w:tcW w:w="830"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检出限</w:t>
            </w:r>
          </w:p>
        </w:tc>
        <w:tc>
          <w:tcPr>
            <w:tcW w:w="445" w:type="pct"/>
            <w:vAlign w:val="center"/>
          </w:tcPr>
          <w:p>
            <w:pPr>
              <w:pStyle w:val="105"/>
              <w:rPr>
                <w:color w:val="auto"/>
                <w:szCs w:val="21"/>
                <w:highlight w:val="none"/>
              </w:rPr>
            </w:pPr>
            <w:r>
              <w:rPr>
                <w:color w:val="auto"/>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9" w:hRule="atLeast"/>
          <w:jc w:val="center"/>
        </w:trPr>
        <w:tc>
          <w:tcPr>
            <w:tcW w:w="203"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1</w:t>
            </w:r>
          </w:p>
        </w:tc>
        <w:tc>
          <w:tcPr>
            <w:tcW w:w="744" w:type="pct"/>
            <w:tcMar>
              <w:top w:w="0" w:type="dxa"/>
              <w:left w:w="28" w:type="dxa"/>
              <w:bottom w:w="0" w:type="dxa"/>
              <w:right w:w="28" w:type="dxa"/>
            </w:tcMar>
            <w:vAlign w:val="center"/>
          </w:tcPr>
          <w:p>
            <w:pPr>
              <w:widowControl/>
              <w:jc w:val="center"/>
              <w:textAlignment w:val="center"/>
              <w:rPr>
                <w:color w:val="auto"/>
                <w:szCs w:val="21"/>
                <w:highlight w:val="none"/>
              </w:rPr>
            </w:pPr>
            <w:r>
              <w:rPr>
                <w:color w:val="auto"/>
                <w:szCs w:val="21"/>
                <w:highlight w:val="none"/>
              </w:rPr>
              <w:t>pH</w:t>
            </w:r>
          </w:p>
        </w:tc>
        <w:tc>
          <w:tcPr>
            <w:tcW w:w="1438" w:type="pct"/>
            <w:vAlign w:val="center"/>
          </w:tcPr>
          <w:p>
            <w:pPr>
              <w:pStyle w:val="105"/>
              <w:rPr>
                <w:color w:val="auto"/>
                <w:szCs w:val="21"/>
                <w:highlight w:val="none"/>
              </w:rPr>
            </w:pPr>
            <w:r>
              <w:rPr>
                <w:color w:val="auto"/>
                <w:szCs w:val="21"/>
                <w:highlight w:val="none"/>
              </w:rPr>
              <w:t>电极法</w:t>
            </w:r>
          </w:p>
        </w:tc>
        <w:tc>
          <w:tcPr>
            <w:tcW w:w="1337" w:type="pct"/>
            <w:tcMar>
              <w:top w:w="0" w:type="dxa"/>
              <w:left w:w="28" w:type="dxa"/>
              <w:bottom w:w="0" w:type="dxa"/>
              <w:right w:w="28" w:type="dxa"/>
            </w:tcMar>
            <w:vAlign w:val="center"/>
          </w:tcPr>
          <w:p>
            <w:pPr>
              <w:spacing w:line="340" w:lineRule="exact"/>
              <w:jc w:val="center"/>
              <w:rPr>
                <w:color w:val="auto"/>
                <w:szCs w:val="21"/>
                <w:highlight w:val="none"/>
              </w:rPr>
            </w:pPr>
            <w:r>
              <w:rPr>
                <w:color w:val="auto"/>
                <w:szCs w:val="21"/>
                <w:highlight w:val="none"/>
              </w:rPr>
              <w:t>HJ1147-2020</w:t>
            </w:r>
          </w:p>
        </w:tc>
        <w:tc>
          <w:tcPr>
            <w:tcW w:w="830"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范围0-14</w:t>
            </w:r>
          </w:p>
        </w:tc>
        <w:tc>
          <w:tcPr>
            <w:tcW w:w="445" w:type="pct"/>
            <w:vAlign w:val="center"/>
          </w:tcPr>
          <w:p>
            <w:pPr>
              <w:pStyle w:val="105"/>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32" w:hRule="atLeast"/>
          <w:jc w:val="center"/>
        </w:trPr>
        <w:tc>
          <w:tcPr>
            <w:tcW w:w="203"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2</w:t>
            </w:r>
          </w:p>
        </w:tc>
        <w:tc>
          <w:tcPr>
            <w:tcW w:w="744" w:type="pct"/>
            <w:tcMar>
              <w:top w:w="0" w:type="dxa"/>
              <w:left w:w="28" w:type="dxa"/>
              <w:bottom w:w="0" w:type="dxa"/>
              <w:right w:w="28" w:type="dxa"/>
            </w:tcMar>
            <w:vAlign w:val="center"/>
          </w:tcPr>
          <w:p>
            <w:pPr>
              <w:widowControl/>
              <w:jc w:val="center"/>
              <w:textAlignment w:val="center"/>
              <w:rPr>
                <w:color w:val="auto"/>
                <w:szCs w:val="21"/>
                <w:highlight w:val="none"/>
              </w:rPr>
            </w:pPr>
            <w:r>
              <w:rPr>
                <w:color w:val="auto"/>
                <w:szCs w:val="21"/>
                <w:highlight w:val="none"/>
              </w:rPr>
              <w:t>色（铂钴色度单位）</w:t>
            </w:r>
          </w:p>
        </w:tc>
        <w:tc>
          <w:tcPr>
            <w:tcW w:w="1438" w:type="pct"/>
            <w:vAlign w:val="center"/>
          </w:tcPr>
          <w:p>
            <w:pPr>
              <w:jc w:val="center"/>
              <w:rPr>
                <w:color w:val="auto"/>
                <w:szCs w:val="21"/>
                <w:highlight w:val="none"/>
              </w:rPr>
            </w:pPr>
            <w:r>
              <w:rPr>
                <w:color w:val="auto"/>
                <w:szCs w:val="21"/>
                <w:highlight w:val="none"/>
              </w:rPr>
              <w:t>铂-钴标准比色法</w:t>
            </w:r>
          </w:p>
        </w:tc>
        <w:tc>
          <w:tcPr>
            <w:tcW w:w="1337" w:type="pct"/>
            <w:tcMar>
              <w:top w:w="0" w:type="dxa"/>
              <w:left w:w="28" w:type="dxa"/>
              <w:bottom w:w="0" w:type="dxa"/>
              <w:right w:w="28" w:type="dxa"/>
            </w:tcMar>
            <w:vAlign w:val="center"/>
          </w:tcPr>
          <w:p>
            <w:pPr>
              <w:jc w:val="center"/>
              <w:rPr>
                <w:color w:val="auto"/>
                <w:szCs w:val="21"/>
                <w:highlight w:val="none"/>
              </w:rPr>
            </w:pPr>
            <w:r>
              <w:rPr>
                <w:color w:val="auto"/>
                <w:szCs w:val="21"/>
                <w:highlight w:val="none"/>
              </w:rPr>
              <w:t>GB/T5750.4-2006</w:t>
            </w:r>
          </w:p>
        </w:tc>
        <w:tc>
          <w:tcPr>
            <w:tcW w:w="830"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5度</w:t>
            </w:r>
          </w:p>
        </w:tc>
        <w:tc>
          <w:tcPr>
            <w:tcW w:w="445" w:type="pct"/>
            <w:vAlign w:val="center"/>
          </w:tcPr>
          <w:p>
            <w:pPr>
              <w:pStyle w:val="105"/>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43" w:hRule="atLeast"/>
          <w:jc w:val="center"/>
        </w:trPr>
        <w:tc>
          <w:tcPr>
            <w:tcW w:w="203"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3</w:t>
            </w:r>
          </w:p>
        </w:tc>
        <w:tc>
          <w:tcPr>
            <w:tcW w:w="744" w:type="pct"/>
            <w:tcMar>
              <w:top w:w="0" w:type="dxa"/>
              <w:left w:w="28" w:type="dxa"/>
              <w:bottom w:w="0" w:type="dxa"/>
              <w:right w:w="28" w:type="dxa"/>
            </w:tcMar>
            <w:vAlign w:val="center"/>
          </w:tcPr>
          <w:p>
            <w:pPr>
              <w:widowControl/>
              <w:jc w:val="center"/>
              <w:textAlignment w:val="center"/>
              <w:rPr>
                <w:color w:val="auto"/>
                <w:szCs w:val="21"/>
                <w:highlight w:val="none"/>
              </w:rPr>
            </w:pPr>
            <w:r>
              <w:rPr>
                <w:color w:val="auto"/>
                <w:szCs w:val="21"/>
                <w:highlight w:val="none"/>
              </w:rPr>
              <w:t>总硬度</w:t>
            </w:r>
          </w:p>
          <w:p>
            <w:pPr>
              <w:widowControl/>
              <w:jc w:val="center"/>
              <w:textAlignment w:val="center"/>
              <w:rPr>
                <w:color w:val="auto"/>
                <w:szCs w:val="21"/>
                <w:highlight w:val="none"/>
              </w:rPr>
            </w:pPr>
            <w:r>
              <w:rPr>
                <w:color w:val="auto"/>
                <w:szCs w:val="21"/>
                <w:highlight w:val="none"/>
              </w:rPr>
              <w:t>（以CaCO</w:t>
            </w:r>
            <w:r>
              <w:rPr>
                <w:color w:val="auto"/>
                <w:szCs w:val="21"/>
                <w:highlight w:val="none"/>
                <w:vertAlign w:val="subscript"/>
              </w:rPr>
              <w:t>3</w:t>
            </w:r>
            <w:r>
              <w:rPr>
                <w:color w:val="auto"/>
                <w:szCs w:val="21"/>
                <w:highlight w:val="none"/>
              </w:rPr>
              <w:t>计）</w:t>
            </w:r>
          </w:p>
        </w:tc>
        <w:tc>
          <w:tcPr>
            <w:tcW w:w="1438" w:type="pct"/>
            <w:vAlign w:val="center"/>
          </w:tcPr>
          <w:p>
            <w:pPr>
              <w:jc w:val="center"/>
              <w:rPr>
                <w:color w:val="auto"/>
                <w:szCs w:val="21"/>
                <w:highlight w:val="none"/>
              </w:rPr>
            </w:pPr>
            <w:r>
              <w:rPr>
                <w:color w:val="auto"/>
                <w:szCs w:val="21"/>
                <w:highlight w:val="none"/>
              </w:rPr>
              <w:t>乙二胺四乙酸二钠滴定法</w:t>
            </w:r>
          </w:p>
        </w:tc>
        <w:tc>
          <w:tcPr>
            <w:tcW w:w="1337" w:type="pct"/>
            <w:tcMar>
              <w:top w:w="0" w:type="dxa"/>
              <w:left w:w="28" w:type="dxa"/>
              <w:bottom w:w="0" w:type="dxa"/>
              <w:right w:w="28" w:type="dxa"/>
            </w:tcMar>
            <w:vAlign w:val="center"/>
          </w:tcPr>
          <w:p>
            <w:pPr>
              <w:pStyle w:val="105"/>
              <w:rPr>
                <w:color w:val="auto"/>
                <w:szCs w:val="21"/>
                <w:highlight w:val="none"/>
              </w:rPr>
            </w:pPr>
            <w:r>
              <w:rPr>
                <w:color w:val="auto"/>
                <w:kern w:val="0"/>
                <w:szCs w:val="21"/>
                <w:highlight w:val="none"/>
              </w:rPr>
              <w:t>GB/T5750.4-2006</w:t>
            </w:r>
          </w:p>
        </w:tc>
        <w:tc>
          <w:tcPr>
            <w:tcW w:w="830"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1mg/L</w:t>
            </w:r>
          </w:p>
        </w:tc>
        <w:tc>
          <w:tcPr>
            <w:tcW w:w="445" w:type="pct"/>
            <w:vAlign w:val="center"/>
          </w:tcPr>
          <w:p>
            <w:pPr>
              <w:pStyle w:val="105"/>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203"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4</w:t>
            </w:r>
          </w:p>
        </w:tc>
        <w:tc>
          <w:tcPr>
            <w:tcW w:w="744" w:type="pct"/>
            <w:tcMar>
              <w:top w:w="0" w:type="dxa"/>
              <w:left w:w="28" w:type="dxa"/>
              <w:bottom w:w="0" w:type="dxa"/>
              <w:right w:w="28" w:type="dxa"/>
            </w:tcMar>
            <w:vAlign w:val="center"/>
          </w:tcPr>
          <w:p>
            <w:pPr>
              <w:spacing w:line="260" w:lineRule="exact"/>
              <w:jc w:val="center"/>
              <w:rPr>
                <w:color w:val="auto"/>
                <w:szCs w:val="21"/>
                <w:highlight w:val="none"/>
              </w:rPr>
            </w:pPr>
            <w:r>
              <w:rPr>
                <w:color w:val="auto"/>
                <w:szCs w:val="21"/>
                <w:highlight w:val="none"/>
              </w:rPr>
              <w:t>溶解性总固体</w:t>
            </w:r>
          </w:p>
        </w:tc>
        <w:tc>
          <w:tcPr>
            <w:tcW w:w="1438" w:type="pct"/>
            <w:vAlign w:val="center"/>
          </w:tcPr>
          <w:p>
            <w:pPr>
              <w:pStyle w:val="105"/>
              <w:rPr>
                <w:color w:val="auto"/>
                <w:szCs w:val="21"/>
                <w:highlight w:val="none"/>
              </w:rPr>
            </w:pPr>
            <w:r>
              <w:rPr>
                <w:color w:val="auto"/>
                <w:szCs w:val="21"/>
                <w:highlight w:val="none"/>
              </w:rPr>
              <w:t>称量法</w:t>
            </w:r>
          </w:p>
        </w:tc>
        <w:tc>
          <w:tcPr>
            <w:tcW w:w="1337" w:type="pct"/>
            <w:tcMar>
              <w:top w:w="0" w:type="dxa"/>
              <w:left w:w="28" w:type="dxa"/>
              <w:bottom w:w="0" w:type="dxa"/>
              <w:right w:w="28" w:type="dxa"/>
            </w:tcMar>
            <w:vAlign w:val="center"/>
          </w:tcPr>
          <w:p>
            <w:pPr>
              <w:pStyle w:val="105"/>
              <w:rPr>
                <w:color w:val="auto"/>
                <w:szCs w:val="21"/>
                <w:highlight w:val="none"/>
              </w:rPr>
            </w:pPr>
            <w:r>
              <w:rPr>
                <w:color w:val="auto"/>
                <w:kern w:val="0"/>
                <w:szCs w:val="21"/>
                <w:highlight w:val="none"/>
              </w:rPr>
              <w:t>GB/T5750.4-2006</w:t>
            </w:r>
          </w:p>
        </w:tc>
        <w:tc>
          <w:tcPr>
            <w:tcW w:w="830"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w:t>
            </w:r>
          </w:p>
        </w:tc>
        <w:tc>
          <w:tcPr>
            <w:tcW w:w="445" w:type="pct"/>
            <w:vAlign w:val="center"/>
          </w:tcPr>
          <w:p>
            <w:pPr>
              <w:pStyle w:val="105"/>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203"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5</w:t>
            </w:r>
          </w:p>
        </w:tc>
        <w:tc>
          <w:tcPr>
            <w:tcW w:w="744" w:type="pct"/>
            <w:tcMar>
              <w:top w:w="0" w:type="dxa"/>
              <w:left w:w="28" w:type="dxa"/>
              <w:bottom w:w="0" w:type="dxa"/>
              <w:right w:w="28" w:type="dxa"/>
            </w:tcMar>
            <w:vAlign w:val="center"/>
          </w:tcPr>
          <w:p>
            <w:pPr>
              <w:spacing w:line="260" w:lineRule="exact"/>
              <w:jc w:val="center"/>
              <w:rPr>
                <w:color w:val="auto"/>
                <w:szCs w:val="21"/>
                <w:highlight w:val="none"/>
              </w:rPr>
            </w:pPr>
            <w:r>
              <w:rPr>
                <w:color w:val="auto"/>
                <w:szCs w:val="21"/>
                <w:highlight w:val="none"/>
              </w:rPr>
              <w:t>氟化物</w:t>
            </w:r>
          </w:p>
        </w:tc>
        <w:tc>
          <w:tcPr>
            <w:tcW w:w="1438" w:type="pct"/>
            <w:vAlign w:val="center"/>
          </w:tcPr>
          <w:p>
            <w:pPr>
              <w:pStyle w:val="105"/>
              <w:rPr>
                <w:color w:val="auto"/>
                <w:szCs w:val="21"/>
                <w:highlight w:val="none"/>
              </w:rPr>
            </w:pPr>
            <w:r>
              <w:rPr>
                <w:color w:val="auto"/>
                <w:szCs w:val="21"/>
                <w:highlight w:val="none"/>
              </w:rPr>
              <w:t>离子色谱法</w:t>
            </w:r>
          </w:p>
        </w:tc>
        <w:tc>
          <w:tcPr>
            <w:tcW w:w="1337" w:type="pct"/>
            <w:tcMar>
              <w:top w:w="0" w:type="dxa"/>
              <w:left w:w="28" w:type="dxa"/>
              <w:bottom w:w="0" w:type="dxa"/>
              <w:right w:w="28" w:type="dxa"/>
            </w:tcMar>
            <w:vAlign w:val="center"/>
          </w:tcPr>
          <w:p>
            <w:pPr>
              <w:spacing w:line="300" w:lineRule="exact"/>
              <w:jc w:val="center"/>
              <w:rPr>
                <w:color w:val="auto"/>
                <w:szCs w:val="21"/>
                <w:highlight w:val="none"/>
              </w:rPr>
            </w:pPr>
            <w:r>
              <w:rPr>
                <w:color w:val="auto"/>
                <w:szCs w:val="21"/>
                <w:highlight w:val="none"/>
              </w:rPr>
              <w:t>HJ84-2016</w:t>
            </w:r>
          </w:p>
        </w:tc>
        <w:tc>
          <w:tcPr>
            <w:tcW w:w="830"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0.006mg/L</w:t>
            </w:r>
          </w:p>
        </w:tc>
        <w:tc>
          <w:tcPr>
            <w:tcW w:w="445" w:type="pct"/>
            <w:vAlign w:val="center"/>
          </w:tcPr>
          <w:p>
            <w:pPr>
              <w:pStyle w:val="105"/>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203"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6</w:t>
            </w:r>
          </w:p>
        </w:tc>
        <w:tc>
          <w:tcPr>
            <w:tcW w:w="744" w:type="pct"/>
            <w:tcMar>
              <w:top w:w="0" w:type="dxa"/>
              <w:left w:w="28" w:type="dxa"/>
              <w:bottom w:w="0" w:type="dxa"/>
              <w:right w:w="28" w:type="dxa"/>
            </w:tcMar>
            <w:vAlign w:val="center"/>
          </w:tcPr>
          <w:p>
            <w:pPr>
              <w:spacing w:line="260" w:lineRule="exact"/>
              <w:jc w:val="center"/>
              <w:rPr>
                <w:color w:val="auto"/>
                <w:szCs w:val="21"/>
                <w:highlight w:val="none"/>
              </w:rPr>
            </w:pPr>
            <w:r>
              <w:rPr>
                <w:color w:val="auto"/>
                <w:szCs w:val="21"/>
                <w:highlight w:val="none"/>
              </w:rPr>
              <w:t>氯化物</w:t>
            </w:r>
          </w:p>
        </w:tc>
        <w:tc>
          <w:tcPr>
            <w:tcW w:w="1438" w:type="pct"/>
            <w:vAlign w:val="center"/>
          </w:tcPr>
          <w:p>
            <w:pPr>
              <w:jc w:val="center"/>
              <w:rPr>
                <w:color w:val="auto"/>
                <w:szCs w:val="21"/>
                <w:highlight w:val="none"/>
              </w:rPr>
            </w:pPr>
            <w:r>
              <w:rPr>
                <w:color w:val="auto"/>
                <w:szCs w:val="21"/>
                <w:highlight w:val="none"/>
              </w:rPr>
              <w:t>离子色谱法</w:t>
            </w:r>
          </w:p>
        </w:tc>
        <w:tc>
          <w:tcPr>
            <w:tcW w:w="1337" w:type="pct"/>
            <w:tcMar>
              <w:top w:w="0" w:type="dxa"/>
              <w:left w:w="28" w:type="dxa"/>
              <w:bottom w:w="0" w:type="dxa"/>
              <w:right w:w="28" w:type="dxa"/>
            </w:tcMar>
            <w:vAlign w:val="center"/>
          </w:tcPr>
          <w:p>
            <w:pPr>
              <w:spacing w:line="300" w:lineRule="exact"/>
              <w:jc w:val="center"/>
              <w:rPr>
                <w:color w:val="auto"/>
                <w:szCs w:val="21"/>
                <w:highlight w:val="none"/>
              </w:rPr>
            </w:pPr>
            <w:r>
              <w:rPr>
                <w:color w:val="auto"/>
                <w:szCs w:val="21"/>
                <w:highlight w:val="none"/>
              </w:rPr>
              <w:t>HJ 84-2016</w:t>
            </w:r>
          </w:p>
        </w:tc>
        <w:tc>
          <w:tcPr>
            <w:tcW w:w="830"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0.007mg/L</w:t>
            </w:r>
          </w:p>
        </w:tc>
        <w:tc>
          <w:tcPr>
            <w:tcW w:w="445" w:type="pct"/>
            <w:vAlign w:val="center"/>
          </w:tcPr>
          <w:p>
            <w:pPr>
              <w:pStyle w:val="105"/>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203"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7</w:t>
            </w:r>
          </w:p>
        </w:tc>
        <w:tc>
          <w:tcPr>
            <w:tcW w:w="744" w:type="pct"/>
            <w:tcMar>
              <w:top w:w="0" w:type="dxa"/>
              <w:left w:w="28" w:type="dxa"/>
              <w:bottom w:w="0" w:type="dxa"/>
              <w:right w:w="28" w:type="dxa"/>
            </w:tcMar>
            <w:vAlign w:val="center"/>
          </w:tcPr>
          <w:p>
            <w:pPr>
              <w:spacing w:line="260" w:lineRule="exact"/>
              <w:jc w:val="center"/>
              <w:rPr>
                <w:color w:val="auto"/>
                <w:szCs w:val="21"/>
                <w:highlight w:val="none"/>
              </w:rPr>
            </w:pPr>
            <w:r>
              <w:rPr>
                <w:color w:val="auto"/>
                <w:szCs w:val="21"/>
                <w:highlight w:val="none"/>
              </w:rPr>
              <w:t>硝酸盐</w:t>
            </w:r>
          </w:p>
          <w:p>
            <w:pPr>
              <w:spacing w:line="260" w:lineRule="exact"/>
              <w:jc w:val="center"/>
              <w:rPr>
                <w:color w:val="auto"/>
                <w:szCs w:val="21"/>
                <w:highlight w:val="none"/>
              </w:rPr>
            </w:pPr>
            <w:r>
              <w:rPr>
                <w:color w:val="auto"/>
                <w:szCs w:val="21"/>
                <w:highlight w:val="none"/>
              </w:rPr>
              <w:t>（以N计）</w:t>
            </w:r>
          </w:p>
        </w:tc>
        <w:tc>
          <w:tcPr>
            <w:tcW w:w="1438" w:type="pct"/>
            <w:vAlign w:val="center"/>
          </w:tcPr>
          <w:p>
            <w:pPr>
              <w:jc w:val="center"/>
              <w:rPr>
                <w:color w:val="auto"/>
                <w:szCs w:val="21"/>
                <w:highlight w:val="none"/>
              </w:rPr>
            </w:pPr>
            <w:r>
              <w:rPr>
                <w:color w:val="auto"/>
                <w:szCs w:val="21"/>
                <w:highlight w:val="none"/>
              </w:rPr>
              <w:t>离子色谱法</w:t>
            </w:r>
          </w:p>
        </w:tc>
        <w:tc>
          <w:tcPr>
            <w:tcW w:w="1337" w:type="pct"/>
            <w:tcMar>
              <w:top w:w="0" w:type="dxa"/>
              <w:left w:w="28" w:type="dxa"/>
              <w:bottom w:w="0" w:type="dxa"/>
              <w:right w:w="28" w:type="dxa"/>
            </w:tcMar>
            <w:vAlign w:val="center"/>
          </w:tcPr>
          <w:p>
            <w:pPr>
              <w:jc w:val="center"/>
              <w:rPr>
                <w:color w:val="auto"/>
                <w:szCs w:val="21"/>
                <w:highlight w:val="none"/>
              </w:rPr>
            </w:pPr>
            <w:r>
              <w:rPr>
                <w:color w:val="auto"/>
                <w:szCs w:val="21"/>
                <w:highlight w:val="none"/>
              </w:rPr>
              <w:t>HJ 84-2016</w:t>
            </w:r>
          </w:p>
        </w:tc>
        <w:tc>
          <w:tcPr>
            <w:tcW w:w="830"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0.004mg/L</w:t>
            </w:r>
          </w:p>
        </w:tc>
        <w:tc>
          <w:tcPr>
            <w:tcW w:w="445" w:type="pct"/>
            <w:vAlign w:val="center"/>
          </w:tcPr>
          <w:p>
            <w:pPr>
              <w:pStyle w:val="105"/>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203"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8</w:t>
            </w:r>
          </w:p>
        </w:tc>
        <w:tc>
          <w:tcPr>
            <w:tcW w:w="744" w:type="pct"/>
            <w:tcMar>
              <w:top w:w="0" w:type="dxa"/>
              <w:left w:w="28" w:type="dxa"/>
              <w:bottom w:w="0" w:type="dxa"/>
              <w:right w:w="28" w:type="dxa"/>
            </w:tcMar>
            <w:vAlign w:val="center"/>
          </w:tcPr>
          <w:p>
            <w:pPr>
              <w:spacing w:line="260" w:lineRule="exact"/>
              <w:jc w:val="center"/>
              <w:rPr>
                <w:color w:val="auto"/>
                <w:szCs w:val="21"/>
                <w:highlight w:val="none"/>
              </w:rPr>
            </w:pPr>
            <w:r>
              <w:rPr>
                <w:color w:val="auto"/>
                <w:szCs w:val="21"/>
                <w:highlight w:val="none"/>
              </w:rPr>
              <w:t>硫酸盐</w:t>
            </w:r>
          </w:p>
        </w:tc>
        <w:tc>
          <w:tcPr>
            <w:tcW w:w="1438" w:type="pct"/>
            <w:vAlign w:val="center"/>
          </w:tcPr>
          <w:p>
            <w:pPr>
              <w:jc w:val="center"/>
              <w:rPr>
                <w:color w:val="auto"/>
                <w:szCs w:val="21"/>
                <w:highlight w:val="none"/>
              </w:rPr>
            </w:pPr>
            <w:r>
              <w:rPr>
                <w:color w:val="auto"/>
                <w:szCs w:val="21"/>
                <w:highlight w:val="none"/>
              </w:rPr>
              <w:t>离子色谱法</w:t>
            </w:r>
          </w:p>
        </w:tc>
        <w:tc>
          <w:tcPr>
            <w:tcW w:w="1337" w:type="pct"/>
            <w:tcMar>
              <w:top w:w="0" w:type="dxa"/>
              <w:left w:w="28" w:type="dxa"/>
              <w:bottom w:w="0" w:type="dxa"/>
              <w:right w:w="28" w:type="dxa"/>
            </w:tcMar>
            <w:vAlign w:val="center"/>
          </w:tcPr>
          <w:p>
            <w:pPr>
              <w:jc w:val="center"/>
              <w:rPr>
                <w:color w:val="auto"/>
                <w:szCs w:val="21"/>
                <w:highlight w:val="none"/>
              </w:rPr>
            </w:pPr>
            <w:r>
              <w:rPr>
                <w:color w:val="auto"/>
                <w:szCs w:val="21"/>
                <w:highlight w:val="none"/>
              </w:rPr>
              <w:t>HJ 84-2016</w:t>
            </w:r>
          </w:p>
        </w:tc>
        <w:tc>
          <w:tcPr>
            <w:tcW w:w="830"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0.018mg/L</w:t>
            </w:r>
          </w:p>
        </w:tc>
        <w:tc>
          <w:tcPr>
            <w:tcW w:w="445" w:type="pct"/>
            <w:vAlign w:val="center"/>
          </w:tcPr>
          <w:p>
            <w:pPr>
              <w:pStyle w:val="105"/>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203"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9</w:t>
            </w:r>
          </w:p>
        </w:tc>
        <w:tc>
          <w:tcPr>
            <w:tcW w:w="744" w:type="pct"/>
            <w:tcMar>
              <w:top w:w="0" w:type="dxa"/>
              <w:left w:w="28" w:type="dxa"/>
              <w:bottom w:w="0" w:type="dxa"/>
              <w:right w:w="28" w:type="dxa"/>
            </w:tcMar>
            <w:vAlign w:val="center"/>
          </w:tcPr>
          <w:p>
            <w:pPr>
              <w:spacing w:line="260" w:lineRule="exact"/>
              <w:jc w:val="center"/>
              <w:rPr>
                <w:color w:val="auto"/>
                <w:szCs w:val="21"/>
                <w:highlight w:val="none"/>
              </w:rPr>
            </w:pPr>
            <w:r>
              <w:rPr>
                <w:color w:val="auto"/>
                <w:szCs w:val="21"/>
                <w:highlight w:val="none"/>
              </w:rPr>
              <w:t>亚硝酸盐</w:t>
            </w:r>
          </w:p>
          <w:p>
            <w:pPr>
              <w:spacing w:line="260" w:lineRule="exact"/>
              <w:jc w:val="center"/>
              <w:rPr>
                <w:color w:val="auto"/>
                <w:szCs w:val="21"/>
                <w:highlight w:val="none"/>
              </w:rPr>
            </w:pPr>
            <w:r>
              <w:rPr>
                <w:color w:val="auto"/>
                <w:szCs w:val="21"/>
                <w:highlight w:val="none"/>
              </w:rPr>
              <w:t>（以N计）</w:t>
            </w:r>
          </w:p>
        </w:tc>
        <w:tc>
          <w:tcPr>
            <w:tcW w:w="1438" w:type="pct"/>
            <w:vAlign w:val="center"/>
          </w:tcPr>
          <w:p>
            <w:pPr>
              <w:pStyle w:val="105"/>
              <w:rPr>
                <w:color w:val="auto"/>
                <w:szCs w:val="21"/>
                <w:highlight w:val="none"/>
              </w:rPr>
            </w:pPr>
            <w:r>
              <w:rPr>
                <w:color w:val="auto"/>
                <w:szCs w:val="21"/>
                <w:highlight w:val="none"/>
              </w:rPr>
              <w:t>重氮偶合分光光度法</w:t>
            </w:r>
          </w:p>
        </w:tc>
        <w:tc>
          <w:tcPr>
            <w:tcW w:w="1337"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GB/T 5750.5-2006</w:t>
            </w:r>
          </w:p>
        </w:tc>
        <w:tc>
          <w:tcPr>
            <w:tcW w:w="830"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0.001mg/L</w:t>
            </w:r>
          </w:p>
        </w:tc>
        <w:tc>
          <w:tcPr>
            <w:tcW w:w="445" w:type="pct"/>
            <w:vAlign w:val="center"/>
          </w:tcPr>
          <w:p>
            <w:pPr>
              <w:pStyle w:val="105"/>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203"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10</w:t>
            </w:r>
          </w:p>
        </w:tc>
        <w:tc>
          <w:tcPr>
            <w:tcW w:w="744" w:type="pct"/>
            <w:tcMar>
              <w:top w:w="0" w:type="dxa"/>
              <w:left w:w="28" w:type="dxa"/>
              <w:bottom w:w="0" w:type="dxa"/>
              <w:right w:w="28" w:type="dxa"/>
            </w:tcMar>
            <w:vAlign w:val="center"/>
          </w:tcPr>
          <w:p>
            <w:pPr>
              <w:spacing w:line="260" w:lineRule="exact"/>
              <w:jc w:val="center"/>
              <w:rPr>
                <w:color w:val="auto"/>
                <w:szCs w:val="21"/>
                <w:highlight w:val="none"/>
              </w:rPr>
            </w:pPr>
            <w:r>
              <w:rPr>
                <w:color w:val="auto"/>
                <w:szCs w:val="21"/>
                <w:highlight w:val="none"/>
              </w:rPr>
              <w:t>铬（六价）</w:t>
            </w:r>
          </w:p>
        </w:tc>
        <w:tc>
          <w:tcPr>
            <w:tcW w:w="1438" w:type="pct"/>
            <w:vAlign w:val="center"/>
          </w:tcPr>
          <w:p>
            <w:pPr>
              <w:pStyle w:val="105"/>
              <w:rPr>
                <w:color w:val="auto"/>
                <w:szCs w:val="21"/>
                <w:highlight w:val="none"/>
              </w:rPr>
            </w:pPr>
            <w:r>
              <w:rPr>
                <w:color w:val="auto"/>
                <w:szCs w:val="21"/>
                <w:highlight w:val="none"/>
              </w:rPr>
              <w:t>二苯碳酰二肼分光光度法</w:t>
            </w:r>
          </w:p>
        </w:tc>
        <w:tc>
          <w:tcPr>
            <w:tcW w:w="1337" w:type="pct"/>
            <w:tcMar>
              <w:top w:w="0" w:type="dxa"/>
              <w:left w:w="28" w:type="dxa"/>
              <w:bottom w:w="0" w:type="dxa"/>
              <w:right w:w="28" w:type="dxa"/>
            </w:tcMar>
            <w:vAlign w:val="center"/>
          </w:tcPr>
          <w:p>
            <w:pPr>
              <w:spacing w:line="300" w:lineRule="exact"/>
              <w:jc w:val="center"/>
              <w:rPr>
                <w:color w:val="auto"/>
                <w:szCs w:val="21"/>
                <w:highlight w:val="none"/>
              </w:rPr>
            </w:pPr>
            <w:r>
              <w:rPr>
                <w:color w:val="auto"/>
                <w:szCs w:val="21"/>
                <w:highlight w:val="none"/>
              </w:rPr>
              <w:t>GB/T 5750.6-2006</w:t>
            </w:r>
          </w:p>
        </w:tc>
        <w:tc>
          <w:tcPr>
            <w:tcW w:w="830"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0.004mg/L</w:t>
            </w:r>
          </w:p>
        </w:tc>
        <w:tc>
          <w:tcPr>
            <w:tcW w:w="445" w:type="pct"/>
            <w:vAlign w:val="center"/>
          </w:tcPr>
          <w:p>
            <w:pPr>
              <w:pStyle w:val="105"/>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632" w:hRule="atLeast"/>
          <w:jc w:val="center"/>
        </w:trPr>
        <w:tc>
          <w:tcPr>
            <w:tcW w:w="203"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11</w:t>
            </w:r>
          </w:p>
        </w:tc>
        <w:tc>
          <w:tcPr>
            <w:tcW w:w="744" w:type="pct"/>
            <w:tcMar>
              <w:top w:w="0" w:type="dxa"/>
              <w:left w:w="28" w:type="dxa"/>
              <w:bottom w:w="0" w:type="dxa"/>
              <w:right w:w="28" w:type="dxa"/>
            </w:tcMar>
            <w:vAlign w:val="center"/>
          </w:tcPr>
          <w:p>
            <w:pPr>
              <w:jc w:val="center"/>
              <w:rPr>
                <w:color w:val="auto"/>
                <w:szCs w:val="21"/>
                <w:highlight w:val="none"/>
              </w:rPr>
            </w:pPr>
            <w:r>
              <w:rPr>
                <w:color w:val="auto"/>
                <w:szCs w:val="21"/>
                <w:highlight w:val="none"/>
              </w:rPr>
              <w:t>氨氮</w:t>
            </w:r>
          </w:p>
          <w:p>
            <w:pPr>
              <w:jc w:val="center"/>
              <w:rPr>
                <w:color w:val="auto"/>
                <w:szCs w:val="21"/>
                <w:highlight w:val="none"/>
              </w:rPr>
            </w:pPr>
            <w:r>
              <w:rPr>
                <w:color w:val="auto"/>
                <w:szCs w:val="21"/>
                <w:highlight w:val="none"/>
              </w:rPr>
              <w:t>（以N计）</w:t>
            </w:r>
          </w:p>
        </w:tc>
        <w:tc>
          <w:tcPr>
            <w:tcW w:w="1438" w:type="pct"/>
            <w:vAlign w:val="center"/>
          </w:tcPr>
          <w:p>
            <w:pPr>
              <w:pStyle w:val="105"/>
              <w:rPr>
                <w:color w:val="auto"/>
                <w:szCs w:val="21"/>
                <w:highlight w:val="none"/>
              </w:rPr>
            </w:pPr>
            <w:r>
              <w:rPr>
                <w:color w:val="auto"/>
                <w:szCs w:val="21"/>
                <w:highlight w:val="none"/>
              </w:rPr>
              <w:t>纳氏试剂分光光度法</w:t>
            </w:r>
          </w:p>
        </w:tc>
        <w:tc>
          <w:tcPr>
            <w:tcW w:w="1337" w:type="pct"/>
            <w:tcMar>
              <w:top w:w="0" w:type="dxa"/>
              <w:left w:w="28" w:type="dxa"/>
              <w:bottom w:w="0" w:type="dxa"/>
              <w:right w:w="28" w:type="dxa"/>
            </w:tcMar>
            <w:vAlign w:val="center"/>
          </w:tcPr>
          <w:p>
            <w:pPr>
              <w:spacing w:line="300" w:lineRule="exact"/>
              <w:jc w:val="center"/>
              <w:rPr>
                <w:color w:val="auto"/>
                <w:szCs w:val="21"/>
                <w:highlight w:val="none"/>
              </w:rPr>
            </w:pPr>
            <w:r>
              <w:rPr>
                <w:color w:val="auto"/>
                <w:szCs w:val="21"/>
                <w:highlight w:val="none"/>
              </w:rPr>
              <w:t>HJ 535-2009</w:t>
            </w:r>
          </w:p>
        </w:tc>
        <w:tc>
          <w:tcPr>
            <w:tcW w:w="830"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0.025mg/L</w:t>
            </w:r>
          </w:p>
        </w:tc>
        <w:tc>
          <w:tcPr>
            <w:tcW w:w="445" w:type="pct"/>
            <w:vAlign w:val="center"/>
          </w:tcPr>
          <w:p>
            <w:pPr>
              <w:pStyle w:val="105"/>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203"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12</w:t>
            </w:r>
          </w:p>
        </w:tc>
        <w:tc>
          <w:tcPr>
            <w:tcW w:w="744" w:type="pct"/>
            <w:tcMar>
              <w:top w:w="0" w:type="dxa"/>
              <w:left w:w="28" w:type="dxa"/>
              <w:bottom w:w="0" w:type="dxa"/>
              <w:right w:w="28" w:type="dxa"/>
            </w:tcMar>
            <w:vAlign w:val="center"/>
          </w:tcPr>
          <w:p>
            <w:pPr>
              <w:spacing w:line="300" w:lineRule="exact"/>
              <w:jc w:val="center"/>
              <w:rPr>
                <w:color w:val="auto"/>
                <w:szCs w:val="21"/>
                <w:highlight w:val="none"/>
              </w:rPr>
            </w:pPr>
            <w:r>
              <w:rPr>
                <w:color w:val="auto"/>
                <w:szCs w:val="21"/>
                <w:highlight w:val="none"/>
              </w:rPr>
              <w:t>总大肠菌群</w:t>
            </w:r>
          </w:p>
        </w:tc>
        <w:tc>
          <w:tcPr>
            <w:tcW w:w="1438" w:type="pct"/>
            <w:vAlign w:val="center"/>
          </w:tcPr>
          <w:p>
            <w:pPr>
              <w:pStyle w:val="105"/>
              <w:rPr>
                <w:color w:val="auto"/>
                <w:szCs w:val="21"/>
                <w:highlight w:val="none"/>
              </w:rPr>
            </w:pPr>
            <w:r>
              <w:rPr>
                <w:color w:val="auto"/>
                <w:szCs w:val="21"/>
                <w:highlight w:val="none"/>
              </w:rPr>
              <w:t>多管发酵法</w:t>
            </w:r>
          </w:p>
        </w:tc>
        <w:tc>
          <w:tcPr>
            <w:tcW w:w="1337" w:type="pct"/>
            <w:tcMar>
              <w:top w:w="0" w:type="dxa"/>
              <w:left w:w="28" w:type="dxa"/>
              <w:bottom w:w="0" w:type="dxa"/>
              <w:right w:w="28" w:type="dxa"/>
            </w:tcMar>
            <w:vAlign w:val="center"/>
          </w:tcPr>
          <w:p>
            <w:pPr>
              <w:spacing w:line="300" w:lineRule="exact"/>
              <w:jc w:val="center"/>
              <w:rPr>
                <w:color w:val="auto"/>
                <w:szCs w:val="21"/>
                <w:highlight w:val="none"/>
              </w:rPr>
            </w:pPr>
            <w:r>
              <w:rPr>
                <w:color w:val="auto"/>
                <w:szCs w:val="21"/>
                <w:highlight w:val="none"/>
              </w:rPr>
              <w:t>GB/T 5750.12-2006</w:t>
            </w:r>
          </w:p>
        </w:tc>
        <w:tc>
          <w:tcPr>
            <w:tcW w:w="830"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2MPN/100mL</w:t>
            </w:r>
          </w:p>
        </w:tc>
        <w:tc>
          <w:tcPr>
            <w:tcW w:w="445" w:type="pct"/>
            <w:vAlign w:val="center"/>
          </w:tcPr>
          <w:p>
            <w:pPr>
              <w:pStyle w:val="105"/>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203"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13</w:t>
            </w:r>
          </w:p>
        </w:tc>
        <w:tc>
          <w:tcPr>
            <w:tcW w:w="744" w:type="pct"/>
            <w:tcMar>
              <w:top w:w="0" w:type="dxa"/>
              <w:left w:w="28" w:type="dxa"/>
              <w:bottom w:w="0" w:type="dxa"/>
              <w:right w:w="28" w:type="dxa"/>
            </w:tcMar>
            <w:vAlign w:val="center"/>
          </w:tcPr>
          <w:p>
            <w:pPr>
              <w:spacing w:line="300" w:lineRule="exact"/>
              <w:jc w:val="center"/>
              <w:rPr>
                <w:color w:val="auto"/>
                <w:szCs w:val="21"/>
                <w:highlight w:val="none"/>
              </w:rPr>
            </w:pPr>
            <w:r>
              <w:rPr>
                <w:color w:val="auto"/>
                <w:szCs w:val="21"/>
                <w:highlight w:val="none"/>
              </w:rPr>
              <w:t>菌落总数</w:t>
            </w:r>
          </w:p>
        </w:tc>
        <w:tc>
          <w:tcPr>
            <w:tcW w:w="1438" w:type="pct"/>
            <w:vAlign w:val="center"/>
          </w:tcPr>
          <w:p>
            <w:pPr>
              <w:pStyle w:val="105"/>
              <w:rPr>
                <w:color w:val="auto"/>
                <w:szCs w:val="21"/>
                <w:highlight w:val="none"/>
              </w:rPr>
            </w:pPr>
            <w:r>
              <w:rPr>
                <w:color w:val="auto"/>
                <w:szCs w:val="21"/>
                <w:highlight w:val="none"/>
              </w:rPr>
              <w:t>平皿计数法</w:t>
            </w:r>
          </w:p>
        </w:tc>
        <w:tc>
          <w:tcPr>
            <w:tcW w:w="1337" w:type="pct"/>
            <w:tcMar>
              <w:top w:w="0" w:type="dxa"/>
              <w:left w:w="28" w:type="dxa"/>
              <w:bottom w:w="0" w:type="dxa"/>
              <w:right w:w="28" w:type="dxa"/>
            </w:tcMar>
            <w:vAlign w:val="center"/>
          </w:tcPr>
          <w:p>
            <w:pPr>
              <w:spacing w:line="300" w:lineRule="exact"/>
              <w:jc w:val="center"/>
              <w:rPr>
                <w:color w:val="auto"/>
                <w:szCs w:val="21"/>
                <w:highlight w:val="none"/>
              </w:rPr>
            </w:pPr>
            <w:r>
              <w:rPr>
                <w:color w:val="auto"/>
                <w:szCs w:val="21"/>
                <w:highlight w:val="none"/>
              </w:rPr>
              <w:t>GB/T 5750.12-2006</w:t>
            </w:r>
          </w:p>
        </w:tc>
        <w:tc>
          <w:tcPr>
            <w:tcW w:w="830"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w:t>
            </w:r>
          </w:p>
        </w:tc>
        <w:tc>
          <w:tcPr>
            <w:tcW w:w="445" w:type="pct"/>
            <w:vAlign w:val="center"/>
          </w:tcPr>
          <w:p>
            <w:pPr>
              <w:pStyle w:val="105"/>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43" w:hRule="atLeast"/>
          <w:jc w:val="center"/>
        </w:trPr>
        <w:tc>
          <w:tcPr>
            <w:tcW w:w="203"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14</w:t>
            </w:r>
          </w:p>
        </w:tc>
        <w:tc>
          <w:tcPr>
            <w:tcW w:w="744" w:type="pct"/>
            <w:tcMar>
              <w:top w:w="0" w:type="dxa"/>
              <w:left w:w="28" w:type="dxa"/>
              <w:bottom w:w="0" w:type="dxa"/>
              <w:right w:w="28" w:type="dxa"/>
            </w:tcMar>
            <w:vAlign w:val="center"/>
          </w:tcPr>
          <w:p>
            <w:pPr>
              <w:widowControl/>
              <w:jc w:val="center"/>
              <w:textAlignment w:val="center"/>
              <w:rPr>
                <w:color w:val="auto"/>
                <w:szCs w:val="21"/>
                <w:highlight w:val="none"/>
              </w:rPr>
            </w:pPr>
            <w:r>
              <w:rPr>
                <w:color w:val="auto"/>
                <w:szCs w:val="21"/>
                <w:highlight w:val="none"/>
              </w:rPr>
              <w:t>耗氧量（COD</w:t>
            </w:r>
            <w:r>
              <w:rPr>
                <w:color w:val="auto"/>
                <w:szCs w:val="21"/>
                <w:highlight w:val="none"/>
                <w:vertAlign w:val="subscript"/>
              </w:rPr>
              <w:t>Mn</w:t>
            </w:r>
            <w:r>
              <w:rPr>
                <w:color w:val="auto"/>
                <w:szCs w:val="21"/>
                <w:highlight w:val="none"/>
              </w:rPr>
              <w:t>法，以O</w:t>
            </w:r>
            <w:r>
              <w:rPr>
                <w:color w:val="auto"/>
                <w:szCs w:val="21"/>
                <w:highlight w:val="none"/>
                <w:vertAlign w:val="subscript"/>
              </w:rPr>
              <w:t>2</w:t>
            </w:r>
            <w:r>
              <w:rPr>
                <w:color w:val="auto"/>
                <w:szCs w:val="21"/>
                <w:highlight w:val="none"/>
              </w:rPr>
              <w:t>计）</w:t>
            </w:r>
          </w:p>
        </w:tc>
        <w:tc>
          <w:tcPr>
            <w:tcW w:w="1438" w:type="pct"/>
            <w:vAlign w:val="center"/>
          </w:tcPr>
          <w:p>
            <w:pPr>
              <w:pStyle w:val="105"/>
              <w:rPr>
                <w:color w:val="auto"/>
                <w:szCs w:val="21"/>
                <w:highlight w:val="none"/>
              </w:rPr>
            </w:pPr>
            <w:r>
              <w:rPr>
                <w:color w:val="auto"/>
                <w:szCs w:val="21"/>
                <w:highlight w:val="none"/>
              </w:rPr>
              <w:t>酸性高锰酸钾滴定法</w:t>
            </w:r>
          </w:p>
        </w:tc>
        <w:tc>
          <w:tcPr>
            <w:tcW w:w="1337" w:type="pct"/>
            <w:tcMar>
              <w:top w:w="0" w:type="dxa"/>
              <w:left w:w="28" w:type="dxa"/>
              <w:bottom w:w="0" w:type="dxa"/>
              <w:right w:w="28" w:type="dxa"/>
            </w:tcMar>
            <w:vAlign w:val="center"/>
          </w:tcPr>
          <w:p>
            <w:pPr>
              <w:spacing w:line="300" w:lineRule="exact"/>
              <w:jc w:val="center"/>
              <w:rPr>
                <w:color w:val="auto"/>
                <w:szCs w:val="21"/>
                <w:highlight w:val="none"/>
              </w:rPr>
            </w:pPr>
            <w:r>
              <w:rPr>
                <w:color w:val="auto"/>
                <w:szCs w:val="21"/>
                <w:highlight w:val="none"/>
              </w:rPr>
              <w:t>GB/T 5750.7-2006</w:t>
            </w:r>
          </w:p>
        </w:tc>
        <w:tc>
          <w:tcPr>
            <w:tcW w:w="830"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0.05mg/L</w:t>
            </w:r>
          </w:p>
        </w:tc>
        <w:tc>
          <w:tcPr>
            <w:tcW w:w="445" w:type="pct"/>
            <w:vAlign w:val="center"/>
          </w:tcPr>
          <w:p>
            <w:pPr>
              <w:pStyle w:val="105"/>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9" w:hRule="atLeast"/>
          <w:jc w:val="center"/>
        </w:trPr>
        <w:tc>
          <w:tcPr>
            <w:tcW w:w="203"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15</w:t>
            </w:r>
          </w:p>
        </w:tc>
        <w:tc>
          <w:tcPr>
            <w:tcW w:w="744" w:type="pct"/>
            <w:tcMar>
              <w:top w:w="0" w:type="dxa"/>
              <w:left w:w="28" w:type="dxa"/>
              <w:bottom w:w="0" w:type="dxa"/>
              <w:right w:w="28" w:type="dxa"/>
            </w:tcMar>
            <w:vAlign w:val="center"/>
          </w:tcPr>
          <w:p>
            <w:pPr>
              <w:spacing w:line="260" w:lineRule="exact"/>
              <w:jc w:val="center"/>
              <w:rPr>
                <w:color w:val="auto"/>
                <w:szCs w:val="21"/>
                <w:highlight w:val="none"/>
              </w:rPr>
            </w:pPr>
            <w:r>
              <w:rPr>
                <w:color w:val="auto"/>
                <w:szCs w:val="21"/>
                <w:highlight w:val="none"/>
              </w:rPr>
              <w:t>挥发性酚类</w:t>
            </w:r>
          </w:p>
          <w:p>
            <w:pPr>
              <w:spacing w:line="260" w:lineRule="exact"/>
              <w:jc w:val="center"/>
              <w:rPr>
                <w:color w:val="auto"/>
                <w:szCs w:val="21"/>
                <w:highlight w:val="none"/>
              </w:rPr>
            </w:pPr>
            <w:r>
              <w:rPr>
                <w:color w:val="auto"/>
                <w:szCs w:val="21"/>
                <w:highlight w:val="none"/>
              </w:rPr>
              <w:t>（以苯酚计）</w:t>
            </w:r>
          </w:p>
        </w:tc>
        <w:tc>
          <w:tcPr>
            <w:tcW w:w="1438" w:type="pct"/>
            <w:vAlign w:val="center"/>
          </w:tcPr>
          <w:p>
            <w:pPr>
              <w:spacing w:line="300" w:lineRule="exact"/>
              <w:jc w:val="center"/>
              <w:rPr>
                <w:color w:val="auto"/>
                <w:szCs w:val="21"/>
                <w:highlight w:val="none"/>
              </w:rPr>
            </w:pPr>
            <w:r>
              <w:rPr>
                <w:color w:val="auto"/>
                <w:szCs w:val="21"/>
                <w:highlight w:val="none"/>
              </w:rPr>
              <w:t>4-氨基安替比林萃取</w:t>
            </w:r>
          </w:p>
          <w:p>
            <w:pPr>
              <w:pStyle w:val="105"/>
              <w:rPr>
                <w:color w:val="auto"/>
                <w:szCs w:val="21"/>
                <w:highlight w:val="none"/>
              </w:rPr>
            </w:pPr>
            <w:r>
              <w:rPr>
                <w:color w:val="auto"/>
                <w:szCs w:val="21"/>
                <w:highlight w:val="none"/>
              </w:rPr>
              <w:t>分光光度法</w:t>
            </w:r>
          </w:p>
        </w:tc>
        <w:tc>
          <w:tcPr>
            <w:tcW w:w="1337" w:type="pct"/>
            <w:tcMar>
              <w:top w:w="0" w:type="dxa"/>
              <w:left w:w="28" w:type="dxa"/>
              <w:bottom w:w="0" w:type="dxa"/>
              <w:right w:w="28" w:type="dxa"/>
            </w:tcMar>
            <w:vAlign w:val="center"/>
          </w:tcPr>
          <w:p>
            <w:pPr>
              <w:spacing w:line="300" w:lineRule="exact"/>
              <w:jc w:val="center"/>
              <w:rPr>
                <w:color w:val="auto"/>
                <w:szCs w:val="21"/>
                <w:highlight w:val="none"/>
              </w:rPr>
            </w:pPr>
            <w:r>
              <w:rPr>
                <w:color w:val="auto"/>
                <w:szCs w:val="21"/>
                <w:highlight w:val="none"/>
              </w:rPr>
              <w:t>HJ 503-2009</w:t>
            </w:r>
          </w:p>
        </w:tc>
        <w:tc>
          <w:tcPr>
            <w:tcW w:w="830" w:type="pct"/>
            <w:tcMar>
              <w:top w:w="0" w:type="dxa"/>
              <w:left w:w="28" w:type="dxa"/>
              <w:bottom w:w="0" w:type="dxa"/>
              <w:right w:w="28" w:type="dxa"/>
            </w:tcMar>
            <w:vAlign w:val="center"/>
          </w:tcPr>
          <w:p>
            <w:pPr>
              <w:jc w:val="center"/>
              <w:rPr>
                <w:color w:val="auto"/>
                <w:szCs w:val="21"/>
                <w:highlight w:val="none"/>
              </w:rPr>
            </w:pPr>
            <w:r>
              <w:rPr>
                <w:color w:val="auto"/>
                <w:szCs w:val="21"/>
                <w:highlight w:val="none"/>
              </w:rPr>
              <w:t>0.0003mg/L</w:t>
            </w:r>
          </w:p>
        </w:tc>
        <w:tc>
          <w:tcPr>
            <w:tcW w:w="445" w:type="pct"/>
            <w:vAlign w:val="center"/>
          </w:tcPr>
          <w:p>
            <w:pPr>
              <w:pStyle w:val="105"/>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1" w:hRule="atLeast"/>
          <w:jc w:val="center"/>
        </w:trPr>
        <w:tc>
          <w:tcPr>
            <w:tcW w:w="203"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16</w:t>
            </w:r>
          </w:p>
        </w:tc>
        <w:tc>
          <w:tcPr>
            <w:tcW w:w="744" w:type="pct"/>
            <w:tcMar>
              <w:top w:w="0" w:type="dxa"/>
              <w:left w:w="28" w:type="dxa"/>
              <w:bottom w:w="0" w:type="dxa"/>
              <w:right w:w="28" w:type="dxa"/>
            </w:tcMar>
            <w:vAlign w:val="center"/>
          </w:tcPr>
          <w:p>
            <w:pPr>
              <w:spacing w:line="260" w:lineRule="exact"/>
              <w:jc w:val="center"/>
              <w:rPr>
                <w:color w:val="auto"/>
                <w:szCs w:val="21"/>
                <w:highlight w:val="none"/>
              </w:rPr>
            </w:pPr>
            <w:r>
              <w:rPr>
                <w:color w:val="auto"/>
                <w:szCs w:val="21"/>
                <w:highlight w:val="none"/>
              </w:rPr>
              <w:t>氰化物</w:t>
            </w:r>
          </w:p>
        </w:tc>
        <w:tc>
          <w:tcPr>
            <w:tcW w:w="1438" w:type="pct"/>
            <w:vAlign w:val="center"/>
          </w:tcPr>
          <w:p>
            <w:pPr>
              <w:jc w:val="center"/>
              <w:rPr>
                <w:color w:val="auto"/>
                <w:szCs w:val="21"/>
                <w:highlight w:val="none"/>
              </w:rPr>
            </w:pPr>
            <w:r>
              <w:rPr>
                <w:color w:val="auto"/>
                <w:szCs w:val="21"/>
                <w:highlight w:val="none"/>
              </w:rPr>
              <w:t>异烟酸-吡唑酮分光</w:t>
            </w:r>
          </w:p>
          <w:p>
            <w:pPr>
              <w:pStyle w:val="105"/>
              <w:rPr>
                <w:color w:val="auto"/>
                <w:szCs w:val="21"/>
                <w:highlight w:val="none"/>
              </w:rPr>
            </w:pPr>
            <w:r>
              <w:rPr>
                <w:color w:val="auto"/>
                <w:szCs w:val="21"/>
                <w:highlight w:val="none"/>
              </w:rPr>
              <w:t>光度法</w:t>
            </w:r>
          </w:p>
        </w:tc>
        <w:tc>
          <w:tcPr>
            <w:tcW w:w="1337" w:type="pct"/>
            <w:tcMar>
              <w:top w:w="0" w:type="dxa"/>
              <w:left w:w="28" w:type="dxa"/>
              <w:bottom w:w="0" w:type="dxa"/>
              <w:right w:w="28" w:type="dxa"/>
            </w:tcMar>
            <w:vAlign w:val="center"/>
          </w:tcPr>
          <w:p>
            <w:pPr>
              <w:jc w:val="center"/>
              <w:rPr>
                <w:color w:val="auto"/>
                <w:szCs w:val="21"/>
                <w:highlight w:val="none"/>
              </w:rPr>
            </w:pPr>
            <w:r>
              <w:rPr>
                <w:color w:val="auto"/>
                <w:szCs w:val="21"/>
                <w:highlight w:val="none"/>
              </w:rPr>
              <w:t>GB/T 5750.5-2006</w:t>
            </w:r>
          </w:p>
        </w:tc>
        <w:tc>
          <w:tcPr>
            <w:tcW w:w="830" w:type="pct"/>
            <w:tcMar>
              <w:top w:w="0" w:type="dxa"/>
              <w:left w:w="28" w:type="dxa"/>
              <w:bottom w:w="0" w:type="dxa"/>
              <w:right w:w="28" w:type="dxa"/>
            </w:tcMar>
            <w:vAlign w:val="center"/>
          </w:tcPr>
          <w:p>
            <w:pPr>
              <w:widowControl/>
              <w:jc w:val="center"/>
              <w:rPr>
                <w:color w:val="auto"/>
                <w:szCs w:val="21"/>
                <w:highlight w:val="none"/>
              </w:rPr>
            </w:pPr>
            <w:r>
              <w:rPr>
                <w:color w:val="auto"/>
                <w:szCs w:val="21"/>
                <w:highlight w:val="none"/>
              </w:rPr>
              <w:t>0.002mg/L</w:t>
            </w:r>
          </w:p>
        </w:tc>
        <w:tc>
          <w:tcPr>
            <w:tcW w:w="445" w:type="pct"/>
            <w:vAlign w:val="center"/>
          </w:tcPr>
          <w:p>
            <w:pPr>
              <w:pStyle w:val="105"/>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32" w:hRule="atLeast"/>
          <w:jc w:val="center"/>
        </w:trPr>
        <w:tc>
          <w:tcPr>
            <w:tcW w:w="203"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17</w:t>
            </w:r>
          </w:p>
        </w:tc>
        <w:tc>
          <w:tcPr>
            <w:tcW w:w="744" w:type="pct"/>
            <w:tcMar>
              <w:top w:w="0" w:type="dxa"/>
              <w:left w:w="28" w:type="dxa"/>
              <w:bottom w:w="0" w:type="dxa"/>
              <w:right w:w="28" w:type="dxa"/>
            </w:tcMar>
            <w:vAlign w:val="center"/>
          </w:tcPr>
          <w:p>
            <w:pPr>
              <w:widowControl/>
              <w:jc w:val="center"/>
              <w:textAlignment w:val="center"/>
              <w:rPr>
                <w:color w:val="auto"/>
                <w:szCs w:val="21"/>
                <w:highlight w:val="none"/>
              </w:rPr>
            </w:pPr>
            <w:r>
              <w:rPr>
                <w:color w:val="auto"/>
                <w:szCs w:val="21"/>
                <w:highlight w:val="none"/>
              </w:rPr>
              <w:t>阴离子表面</w:t>
            </w:r>
          </w:p>
          <w:p>
            <w:pPr>
              <w:widowControl/>
              <w:jc w:val="center"/>
              <w:textAlignment w:val="center"/>
              <w:rPr>
                <w:color w:val="auto"/>
                <w:kern w:val="0"/>
                <w:szCs w:val="21"/>
                <w:highlight w:val="none"/>
              </w:rPr>
            </w:pPr>
            <w:r>
              <w:rPr>
                <w:color w:val="auto"/>
                <w:szCs w:val="21"/>
                <w:highlight w:val="none"/>
              </w:rPr>
              <w:t>活性剂</w:t>
            </w:r>
          </w:p>
        </w:tc>
        <w:tc>
          <w:tcPr>
            <w:tcW w:w="1438" w:type="pct"/>
            <w:vAlign w:val="center"/>
          </w:tcPr>
          <w:p>
            <w:pPr>
              <w:pStyle w:val="105"/>
              <w:rPr>
                <w:color w:val="auto"/>
                <w:szCs w:val="21"/>
                <w:highlight w:val="none"/>
              </w:rPr>
            </w:pPr>
            <w:r>
              <w:rPr>
                <w:color w:val="auto"/>
                <w:szCs w:val="21"/>
                <w:highlight w:val="none"/>
              </w:rPr>
              <w:t>亚甲蓝分光光度法</w:t>
            </w:r>
          </w:p>
        </w:tc>
        <w:tc>
          <w:tcPr>
            <w:tcW w:w="1337" w:type="pct"/>
            <w:tcMar>
              <w:top w:w="0" w:type="dxa"/>
              <w:left w:w="28" w:type="dxa"/>
              <w:bottom w:w="0" w:type="dxa"/>
              <w:right w:w="28" w:type="dxa"/>
            </w:tcMar>
            <w:vAlign w:val="center"/>
          </w:tcPr>
          <w:p>
            <w:pPr>
              <w:jc w:val="center"/>
              <w:rPr>
                <w:color w:val="auto"/>
                <w:szCs w:val="21"/>
                <w:highlight w:val="none"/>
              </w:rPr>
            </w:pPr>
            <w:r>
              <w:rPr>
                <w:color w:val="auto"/>
                <w:szCs w:val="21"/>
                <w:highlight w:val="none"/>
              </w:rPr>
              <w:t>GB/T 5750.4-2006</w:t>
            </w:r>
          </w:p>
        </w:tc>
        <w:tc>
          <w:tcPr>
            <w:tcW w:w="830" w:type="pct"/>
            <w:tcMar>
              <w:top w:w="0" w:type="dxa"/>
              <w:left w:w="28" w:type="dxa"/>
              <w:bottom w:w="0" w:type="dxa"/>
              <w:right w:w="28" w:type="dxa"/>
            </w:tcMar>
            <w:vAlign w:val="center"/>
          </w:tcPr>
          <w:p>
            <w:pPr>
              <w:jc w:val="center"/>
              <w:rPr>
                <w:color w:val="auto"/>
                <w:szCs w:val="21"/>
                <w:highlight w:val="none"/>
              </w:rPr>
            </w:pPr>
            <w:r>
              <w:rPr>
                <w:color w:val="auto"/>
                <w:szCs w:val="21"/>
                <w:highlight w:val="none"/>
              </w:rPr>
              <w:t>0.050mg/L</w:t>
            </w:r>
          </w:p>
        </w:tc>
        <w:tc>
          <w:tcPr>
            <w:tcW w:w="445" w:type="pct"/>
            <w:vAlign w:val="center"/>
          </w:tcPr>
          <w:p>
            <w:pPr>
              <w:pStyle w:val="105"/>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203"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18</w:t>
            </w:r>
          </w:p>
        </w:tc>
        <w:tc>
          <w:tcPr>
            <w:tcW w:w="744" w:type="pct"/>
            <w:tcMar>
              <w:top w:w="0" w:type="dxa"/>
              <w:left w:w="28" w:type="dxa"/>
              <w:bottom w:w="0" w:type="dxa"/>
              <w:right w:w="28" w:type="dxa"/>
            </w:tcMar>
            <w:vAlign w:val="center"/>
          </w:tcPr>
          <w:p>
            <w:pPr>
              <w:spacing w:line="260" w:lineRule="exact"/>
              <w:jc w:val="center"/>
              <w:rPr>
                <w:color w:val="auto"/>
                <w:szCs w:val="21"/>
                <w:highlight w:val="none"/>
              </w:rPr>
            </w:pPr>
            <w:r>
              <w:rPr>
                <w:color w:val="auto"/>
                <w:szCs w:val="21"/>
                <w:highlight w:val="none"/>
              </w:rPr>
              <w:t>汞</w:t>
            </w:r>
          </w:p>
        </w:tc>
        <w:tc>
          <w:tcPr>
            <w:tcW w:w="1438" w:type="pct"/>
            <w:vAlign w:val="center"/>
          </w:tcPr>
          <w:p>
            <w:pPr>
              <w:pStyle w:val="105"/>
              <w:rPr>
                <w:color w:val="auto"/>
                <w:szCs w:val="21"/>
                <w:highlight w:val="none"/>
              </w:rPr>
            </w:pPr>
            <w:r>
              <w:rPr>
                <w:color w:val="auto"/>
                <w:szCs w:val="21"/>
                <w:highlight w:val="none"/>
              </w:rPr>
              <w:t>原子荧光法</w:t>
            </w:r>
          </w:p>
        </w:tc>
        <w:tc>
          <w:tcPr>
            <w:tcW w:w="1337" w:type="pct"/>
            <w:tcMar>
              <w:top w:w="0" w:type="dxa"/>
              <w:left w:w="28" w:type="dxa"/>
              <w:bottom w:w="0" w:type="dxa"/>
              <w:right w:w="28" w:type="dxa"/>
            </w:tcMar>
            <w:vAlign w:val="center"/>
          </w:tcPr>
          <w:p>
            <w:pPr>
              <w:spacing w:line="300" w:lineRule="exact"/>
              <w:jc w:val="center"/>
              <w:rPr>
                <w:color w:val="auto"/>
                <w:szCs w:val="21"/>
                <w:highlight w:val="none"/>
              </w:rPr>
            </w:pPr>
            <w:r>
              <w:rPr>
                <w:color w:val="auto"/>
                <w:szCs w:val="21"/>
                <w:highlight w:val="none"/>
              </w:rPr>
              <w:t>HJ 694-2014</w:t>
            </w:r>
          </w:p>
        </w:tc>
        <w:tc>
          <w:tcPr>
            <w:tcW w:w="830" w:type="pct"/>
            <w:tcMar>
              <w:top w:w="0" w:type="dxa"/>
              <w:left w:w="28" w:type="dxa"/>
              <w:bottom w:w="0" w:type="dxa"/>
              <w:right w:w="28" w:type="dxa"/>
            </w:tcMar>
            <w:vAlign w:val="center"/>
          </w:tcPr>
          <w:p>
            <w:pPr>
              <w:widowControl/>
              <w:jc w:val="center"/>
              <w:textAlignment w:val="top"/>
              <w:rPr>
                <w:color w:val="auto"/>
                <w:szCs w:val="21"/>
                <w:highlight w:val="none"/>
              </w:rPr>
            </w:pPr>
            <w:r>
              <w:rPr>
                <w:color w:val="auto"/>
                <w:szCs w:val="21"/>
                <w:highlight w:val="none"/>
              </w:rPr>
              <w:t>0.04ug/L</w:t>
            </w:r>
          </w:p>
        </w:tc>
        <w:tc>
          <w:tcPr>
            <w:tcW w:w="445" w:type="pct"/>
            <w:vAlign w:val="center"/>
          </w:tcPr>
          <w:p>
            <w:pPr>
              <w:pStyle w:val="105"/>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203"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19</w:t>
            </w:r>
          </w:p>
        </w:tc>
        <w:tc>
          <w:tcPr>
            <w:tcW w:w="744" w:type="pct"/>
            <w:tcMar>
              <w:top w:w="0" w:type="dxa"/>
              <w:left w:w="28" w:type="dxa"/>
              <w:bottom w:w="0" w:type="dxa"/>
              <w:right w:w="28" w:type="dxa"/>
            </w:tcMar>
            <w:vAlign w:val="center"/>
          </w:tcPr>
          <w:p>
            <w:pPr>
              <w:jc w:val="center"/>
              <w:rPr>
                <w:color w:val="auto"/>
                <w:szCs w:val="21"/>
                <w:highlight w:val="none"/>
              </w:rPr>
            </w:pPr>
            <w:r>
              <w:rPr>
                <w:color w:val="auto"/>
                <w:szCs w:val="21"/>
                <w:highlight w:val="none"/>
              </w:rPr>
              <w:t>砷</w:t>
            </w:r>
          </w:p>
        </w:tc>
        <w:tc>
          <w:tcPr>
            <w:tcW w:w="1438" w:type="pct"/>
            <w:vAlign w:val="center"/>
          </w:tcPr>
          <w:p>
            <w:pPr>
              <w:pStyle w:val="105"/>
              <w:rPr>
                <w:color w:val="auto"/>
                <w:szCs w:val="21"/>
                <w:highlight w:val="none"/>
              </w:rPr>
            </w:pPr>
            <w:r>
              <w:rPr>
                <w:color w:val="auto"/>
                <w:szCs w:val="21"/>
                <w:highlight w:val="none"/>
              </w:rPr>
              <w:t>电感耦合等离子体质谱法</w:t>
            </w:r>
          </w:p>
        </w:tc>
        <w:tc>
          <w:tcPr>
            <w:tcW w:w="1337" w:type="pct"/>
            <w:tcMar>
              <w:top w:w="0" w:type="dxa"/>
              <w:left w:w="28" w:type="dxa"/>
              <w:bottom w:w="0" w:type="dxa"/>
              <w:right w:w="28" w:type="dxa"/>
            </w:tcMar>
            <w:vAlign w:val="center"/>
          </w:tcPr>
          <w:p>
            <w:pPr>
              <w:spacing w:line="300" w:lineRule="exact"/>
              <w:jc w:val="center"/>
              <w:rPr>
                <w:color w:val="auto"/>
                <w:szCs w:val="21"/>
                <w:highlight w:val="none"/>
              </w:rPr>
            </w:pPr>
            <w:r>
              <w:rPr>
                <w:color w:val="auto"/>
                <w:szCs w:val="21"/>
                <w:highlight w:val="none"/>
              </w:rPr>
              <w:t>HJ 700-2014</w:t>
            </w:r>
          </w:p>
        </w:tc>
        <w:tc>
          <w:tcPr>
            <w:tcW w:w="830" w:type="pct"/>
            <w:tcMar>
              <w:top w:w="0" w:type="dxa"/>
              <w:left w:w="28" w:type="dxa"/>
              <w:bottom w:w="0" w:type="dxa"/>
              <w:right w:w="28" w:type="dxa"/>
            </w:tcMar>
            <w:vAlign w:val="center"/>
          </w:tcPr>
          <w:p>
            <w:pPr>
              <w:widowControl/>
              <w:jc w:val="center"/>
              <w:rPr>
                <w:color w:val="auto"/>
                <w:szCs w:val="21"/>
                <w:highlight w:val="none"/>
              </w:rPr>
            </w:pPr>
            <w:r>
              <w:rPr>
                <w:color w:val="auto"/>
                <w:szCs w:val="21"/>
                <w:highlight w:val="none"/>
              </w:rPr>
              <w:t>0.12ug/L</w:t>
            </w:r>
          </w:p>
        </w:tc>
        <w:tc>
          <w:tcPr>
            <w:tcW w:w="445" w:type="pct"/>
            <w:vAlign w:val="center"/>
          </w:tcPr>
          <w:p>
            <w:pPr>
              <w:pStyle w:val="105"/>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203"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20</w:t>
            </w:r>
          </w:p>
        </w:tc>
        <w:tc>
          <w:tcPr>
            <w:tcW w:w="744" w:type="pct"/>
            <w:tcMar>
              <w:top w:w="0" w:type="dxa"/>
              <w:left w:w="28" w:type="dxa"/>
              <w:bottom w:w="0" w:type="dxa"/>
              <w:right w:w="28" w:type="dxa"/>
            </w:tcMar>
            <w:vAlign w:val="center"/>
          </w:tcPr>
          <w:p>
            <w:pPr>
              <w:spacing w:line="260" w:lineRule="exact"/>
              <w:jc w:val="center"/>
              <w:rPr>
                <w:color w:val="auto"/>
                <w:kern w:val="0"/>
                <w:szCs w:val="21"/>
                <w:highlight w:val="none"/>
              </w:rPr>
            </w:pPr>
            <w:r>
              <w:rPr>
                <w:color w:val="auto"/>
                <w:szCs w:val="21"/>
                <w:highlight w:val="none"/>
              </w:rPr>
              <w:t>锰</w:t>
            </w:r>
          </w:p>
        </w:tc>
        <w:tc>
          <w:tcPr>
            <w:tcW w:w="1438" w:type="pct"/>
            <w:vAlign w:val="center"/>
          </w:tcPr>
          <w:p>
            <w:pPr>
              <w:jc w:val="center"/>
              <w:rPr>
                <w:color w:val="auto"/>
                <w:szCs w:val="21"/>
                <w:highlight w:val="none"/>
              </w:rPr>
            </w:pPr>
            <w:r>
              <w:rPr>
                <w:color w:val="auto"/>
                <w:szCs w:val="21"/>
                <w:highlight w:val="none"/>
              </w:rPr>
              <w:t>电感耦合等离子体质谱法</w:t>
            </w:r>
          </w:p>
        </w:tc>
        <w:tc>
          <w:tcPr>
            <w:tcW w:w="1337" w:type="pct"/>
            <w:tcMar>
              <w:top w:w="0" w:type="dxa"/>
              <w:left w:w="28" w:type="dxa"/>
              <w:bottom w:w="0" w:type="dxa"/>
              <w:right w:w="28" w:type="dxa"/>
            </w:tcMar>
            <w:vAlign w:val="center"/>
          </w:tcPr>
          <w:p>
            <w:pPr>
              <w:jc w:val="center"/>
              <w:rPr>
                <w:color w:val="auto"/>
                <w:szCs w:val="21"/>
                <w:highlight w:val="none"/>
              </w:rPr>
            </w:pPr>
            <w:r>
              <w:rPr>
                <w:color w:val="auto"/>
                <w:szCs w:val="21"/>
                <w:highlight w:val="none"/>
              </w:rPr>
              <w:t>HJ 700-2014</w:t>
            </w:r>
          </w:p>
        </w:tc>
        <w:tc>
          <w:tcPr>
            <w:tcW w:w="830" w:type="pct"/>
            <w:tcMar>
              <w:top w:w="0" w:type="dxa"/>
              <w:left w:w="28" w:type="dxa"/>
              <w:bottom w:w="0" w:type="dxa"/>
              <w:right w:w="28" w:type="dxa"/>
            </w:tcMar>
            <w:vAlign w:val="center"/>
          </w:tcPr>
          <w:p>
            <w:pPr>
              <w:spacing w:line="300" w:lineRule="exact"/>
              <w:jc w:val="center"/>
              <w:rPr>
                <w:color w:val="auto"/>
                <w:szCs w:val="21"/>
                <w:highlight w:val="none"/>
              </w:rPr>
            </w:pPr>
            <w:r>
              <w:rPr>
                <w:color w:val="auto"/>
                <w:szCs w:val="21"/>
                <w:highlight w:val="none"/>
              </w:rPr>
              <w:t>0.12ug/L</w:t>
            </w:r>
          </w:p>
        </w:tc>
        <w:tc>
          <w:tcPr>
            <w:tcW w:w="445" w:type="pct"/>
            <w:vAlign w:val="center"/>
          </w:tcPr>
          <w:p>
            <w:pPr>
              <w:pStyle w:val="105"/>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203"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21</w:t>
            </w:r>
          </w:p>
        </w:tc>
        <w:tc>
          <w:tcPr>
            <w:tcW w:w="744" w:type="pct"/>
            <w:tcMar>
              <w:top w:w="0" w:type="dxa"/>
              <w:left w:w="28" w:type="dxa"/>
              <w:bottom w:w="0" w:type="dxa"/>
              <w:right w:w="28" w:type="dxa"/>
            </w:tcMar>
            <w:vAlign w:val="center"/>
          </w:tcPr>
          <w:p>
            <w:pPr>
              <w:spacing w:line="260" w:lineRule="exact"/>
              <w:jc w:val="center"/>
              <w:rPr>
                <w:color w:val="auto"/>
                <w:szCs w:val="21"/>
                <w:highlight w:val="none"/>
              </w:rPr>
            </w:pPr>
            <w:r>
              <w:rPr>
                <w:color w:val="auto"/>
                <w:szCs w:val="21"/>
                <w:highlight w:val="none"/>
              </w:rPr>
              <w:t>铁</w:t>
            </w:r>
          </w:p>
        </w:tc>
        <w:tc>
          <w:tcPr>
            <w:tcW w:w="1438" w:type="pct"/>
            <w:vAlign w:val="center"/>
          </w:tcPr>
          <w:p>
            <w:pPr>
              <w:jc w:val="center"/>
              <w:rPr>
                <w:color w:val="auto"/>
                <w:szCs w:val="21"/>
                <w:highlight w:val="none"/>
              </w:rPr>
            </w:pPr>
            <w:r>
              <w:rPr>
                <w:color w:val="auto"/>
                <w:szCs w:val="21"/>
                <w:highlight w:val="none"/>
              </w:rPr>
              <w:t>电感耦合等离子体质谱法</w:t>
            </w:r>
          </w:p>
        </w:tc>
        <w:tc>
          <w:tcPr>
            <w:tcW w:w="1337" w:type="pct"/>
            <w:tcMar>
              <w:top w:w="0" w:type="dxa"/>
              <w:left w:w="28" w:type="dxa"/>
              <w:bottom w:w="0" w:type="dxa"/>
              <w:right w:w="28" w:type="dxa"/>
            </w:tcMar>
            <w:vAlign w:val="center"/>
          </w:tcPr>
          <w:p>
            <w:pPr>
              <w:jc w:val="center"/>
              <w:rPr>
                <w:color w:val="auto"/>
                <w:szCs w:val="21"/>
                <w:highlight w:val="none"/>
              </w:rPr>
            </w:pPr>
            <w:r>
              <w:rPr>
                <w:color w:val="auto"/>
                <w:szCs w:val="21"/>
                <w:highlight w:val="none"/>
              </w:rPr>
              <w:t>HJ 700-2014</w:t>
            </w:r>
          </w:p>
        </w:tc>
        <w:tc>
          <w:tcPr>
            <w:tcW w:w="830" w:type="pct"/>
            <w:tcMar>
              <w:top w:w="0" w:type="dxa"/>
              <w:left w:w="28" w:type="dxa"/>
              <w:bottom w:w="0" w:type="dxa"/>
              <w:right w:w="28" w:type="dxa"/>
            </w:tcMar>
            <w:vAlign w:val="center"/>
          </w:tcPr>
          <w:p>
            <w:pPr>
              <w:jc w:val="center"/>
              <w:rPr>
                <w:color w:val="auto"/>
                <w:szCs w:val="21"/>
                <w:highlight w:val="none"/>
              </w:rPr>
            </w:pPr>
            <w:r>
              <w:rPr>
                <w:color w:val="auto"/>
                <w:szCs w:val="21"/>
                <w:highlight w:val="none"/>
              </w:rPr>
              <w:t>0.82ug/L</w:t>
            </w:r>
          </w:p>
        </w:tc>
        <w:tc>
          <w:tcPr>
            <w:tcW w:w="445" w:type="pct"/>
            <w:vAlign w:val="center"/>
          </w:tcPr>
          <w:p>
            <w:pPr>
              <w:pStyle w:val="105"/>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203"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22</w:t>
            </w:r>
          </w:p>
        </w:tc>
        <w:tc>
          <w:tcPr>
            <w:tcW w:w="744" w:type="pct"/>
            <w:tcMar>
              <w:top w:w="0" w:type="dxa"/>
              <w:left w:w="28" w:type="dxa"/>
              <w:bottom w:w="0" w:type="dxa"/>
              <w:right w:w="28" w:type="dxa"/>
            </w:tcMar>
            <w:vAlign w:val="center"/>
          </w:tcPr>
          <w:p>
            <w:pPr>
              <w:spacing w:line="260" w:lineRule="exact"/>
              <w:jc w:val="center"/>
              <w:rPr>
                <w:color w:val="auto"/>
                <w:szCs w:val="21"/>
                <w:highlight w:val="none"/>
              </w:rPr>
            </w:pPr>
            <w:r>
              <w:rPr>
                <w:color w:val="auto"/>
                <w:szCs w:val="21"/>
                <w:highlight w:val="none"/>
              </w:rPr>
              <w:t>镉</w:t>
            </w:r>
          </w:p>
        </w:tc>
        <w:tc>
          <w:tcPr>
            <w:tcW w:w="1438" w:type="pct"/>
            <w:vAlign w:val="center"/>
          </w:tcPr>
          <w:p>
            <w:pPr>
              <w:pStyle w:val="105"/>
              <w:rPr>
                <w:color w:val="auto"/>
                <w:szCs w:val="21"/>
                <w:highlight w:val="none"/>
              </w:rPr>
            </w:pPr>
            <w:r>
              <w:rPr>
                <w:color w:val="auto"/>
                <w:szCs w:val="21"/>
                <w:highlight w:val="none"/>
              </w:rPr>
              <w:t>电感耦合等离子体质谱法</w:t>
            </w:r>
          </w:p>
        </w:tc>
        <w:tc>
          <w:tcPr>
            <w:tcW w:w="1337" w:type="pct"/>
            <w:tcMar>
              <w:top w:w="0" w:type="dxa"/>
              <w:left w:w="28" w:type="dxa"/>
              <w:bottom w:w="0" w:type="dxa"/>
              <w:right w:w="28" w:type="dxa"/>
            </w:tcMar>
            <w:vAlign w:val="center"/>
          </w:tcPr>
          <w:p>
            <w:pPr>
              <w:spacing w:line="300" w:lineRule="exact"/>
              <w:jc w:val="center"/>
              <w:rPr>
                <w:color w:val="auto"/>
                <w:szCs w:val="21"/>
                <w:highlight w:val="none"/>
              </w:rPr>
            </w:pPr>
            <w:r>
              <w:rPr>
                <w:color w:val="auto"/>
                <w:szCs w:val="21"/>
                <w:highlight w:val="none"/>
              </w:rPr>
              <w:t>HJ 700-2014</w:t>
            </w:r>
          </w:p>
        </w:tc>
        <w:tc>
          <w:tcPr>
            <w:tcW w:w="830" w:type="pct"/>
            <w:tcMar>
              <w:top w:w="0" w:type="dxa"/>
              <w:left w:w="28" w:type="dxa"/>
              <w:bottom w:w="0" w:type="dxa"/>
              <w:right w:w="28" w:type="dxa"/>
            </w:tcMar>
            <w:vAlign w:val="center"/>
          </w:tcPr>
          <w:p>
            <w:pPr>
              <w:widowControl/>
              <w:jc w:val="center"/>
              <w:rPr>
                <w:color w:val="auto"/>
                <w:szCs w:val="21"/>
                <w:highlight w:val="none"/>
              </w:rPr>
            </w:pPr>
            <w:r>
              <w:rPr>
                <w:color w:val="auto"/>
                <w:szCs w:val="21"/>
                <w:highlight w:val="none"/>
              </w:rPr>
              <w:t>0.05ug/L</w:t>
            </w:r>
          </w:p>
        </w:tc>
        <w:tc>
          <w:tcPr>
            <w:tcW w:w="445" w:type="pct"/>
            <w:vAlign w:val="center"/>
          </w:tcPr>
          <w:p>
            <w:pPr>
              <w:pStyle w:val="105"/>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203"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23</w:t>
            </w:r>
          </w:p>
        </w:tc>
        <w:tc>
          <w:tcPr>
            <w:tcW w:w="744" w:type="pct"/>
            <w:tcMar>
              <w:top w:w="0" w:type="dxa"/>
              <w:left w:w="28" w:type="dxa"/>
              <w:bottom w:w="0" w:type="dxa"/>
              <w:right w:w="28" w:type="dxa"/>
            </w:tcMar>
            <w:vAlign w:val="center"/>
          </w:tcPr>
          <w:p>
            <w:pPr>
              <w:spacing w:line="260" w:lineRule="exact"/>
              <w:jc w:val="center"/>
              <w:rPr>
                <w:color w:val="auto"/>
                <w:szCs w:val="21"/>
                <w:highlight w:val="none"/>
              </w:rPr>
            </w:pPr>
            <w:r>
              <w:rPr>
                <w:color w:val="auto"/>
                <w:szCs w:val="21"/>
                <w:highlight w:val="none"/>
              </w:rPr>
              <w:t>铅</w:t>
            </w:r>
          </w:p>
        </w:tc>
        <w:tc>
          <w:tcPr>
            <w:tcW w:w="1438" w:type="pct"/>
            <w:vAlign w:val="center"/>
          </w:tcPr>
          <w:p>
            <w:pPr>
              <w:pStyle w:val="105"/>
              <w:rPr>
                <w:color w:val="auto"/>
                <w:szCs w:val="21"/>
                <w:highlight w:val="none"/>
              </w:rPr>
            </w:pPr>
            <w:r>
              <w:rPr>
                <w:color w:val="auto"/>
                <w:szCs w:val="21"/>
                <w:highlight w:val="none"/>
              </w:rPr>
              <w:t>电感耦合等离子体质谱法</w:t>
            </w:r>
          </w:p>
        </w:tc>
        <w:tc>
          <w:tcPr>
            <w:tcW w:w="1337" w:type="pct"/>
            <w:tcMar>
              <w:top w:w="0" w:type="dxa"/>
              <w:left w:w="28" w:type="dxa"/>
              <w:bottom w:w="0" w:type="dxa"/>
              <w:right w:w="28" w:type="dxa"/>
            </w:tcMar>
            <w:vAlign w:val="center"/>
          </w:tcPr>
          <w:p>
            <w:pPr>
              <w:spacing w:line="300" w:lineRule="exact"/>
              <w:jc w:val="center"/>
              <w:rPr>
                <w:color w:val="auto"/>
                <w:szCs w:val="21"/>
                <w:highlight w:val="none"/>
              </w:rPr>
            </w:pPr>
            <w:r>
              <w:rPr>
                <w:color w:val="auto"/>
                <w:szCs w:val="21"/>
                <w:highlight w:val="none"/>
              </w:rPr>
              <w:t>HJ 700-2014</w:t>
            </w:r>
          </w:p>
        </w:tc>
        <w:tc>
          <w:tcPr>
            <w:tcW w:w="830" w:type="pct"/>
            <w:tcMar>
              <w:top w:w="0" w:type="dxa"/>
              <w:left w:w="28" w:type="dxa"/>
              <w:bottom w:w="0" w:type="dxa"/>
              <w:right w:w="28" w:type="dxa"/>
            </w:tcMar>
            <w:vAlign w:val="center"/>
          </w:tcPr>
          <w:p>
            <w:pPr>
              <w:widowControl/>
              <w:jc w:val="center"/>
              <w:rPr>
                <w:color w:val="auto"/>
                <w:szCs w:val="21"/>
                <w:highlight w:val="none"/>
              </w:rPr>
            </w:pPr>
            <w:r>
              <w:rPr>
                <w:color w:val="auto"/>
                <w:szCs w:val="21"/>
                <w:highlight w:val="none"/>
              </w:rPr>
              <w:t>0.09ug/L</w:t>
            </w:r>
          </w:p>
        </w:tc>
        <w:tc>
          <w:tcPr>
            <w:tcW w:w="445" w:type="pct"/>
            <w:vAlign w:val="center"/>
          </w:tcPr>
          <w:p>
            <w:pPr>
              <w:pStyle w:val="105"/>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47" w:hRule="atLeast"/>
          <w:jc w:val="center"/>
        </w:trPr>
        <w:tc>
          <w:tcPr>
            <w:tcW w:w="203"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24</w:t>
            </w:r>
          </w:p>
        </w:tc>
        <w:tc>
          <w:tcPr>
            <w:tcW w:w="744" w:type="pct"/>
            <w:tcMar>
              <w:top w:w="0" w:type="dxa"/>
              <w:left w:w="28" w:type="dxa"/>
              <w:bottom w:w="0" w:type="dxa"/>
              <w:right w:w="28" w:type="dxa"/>
            </w:tcMar>
            <w:vAlign w:val="center"/>
          </w:tcPr>
          <w:p>
            <w:pPr>
              <w:jc w:val="center"/>
              <w:rPr>
                <w:color w:val="auto"/>
                <w:szCs w:val="21"/>
                <w:highlight w:val="none"/>
              </w:rPr>
            </w:pPr>
            <w:r>
              <w:rPr>
                <w:color w:val="auto"/>
                <w:szCs w:val="21"/>
                <w:highlight w:val="none"/>
              </w:rPr>
              <w:t>HCO</w:t>
            </w:r>
            <w:r>
              <w:rPr>
                <w:color w:val="auto"/>
                <w:szCs w:val="21"/>
                <w:highlight w:val="none"/>
                <w:vertAlign w:val="subscript"/>
              </w:rPr>
              <w:t>3</w:t>
            </w:r>
            <w:r>
              <w:rPr>
                <w:color w:val="auto"/>
                <w:szCs w:val="21"/>
                <w:highlight w:val="none"/>
                <w:vertAlign w:val="superscript"/>
              </w:rPr>
              <w:t>-</w:t>
            </w:r>
          </w:p>
        </w:tc>
        <w:tc>
          <w:tcPr>
            <w:tcW w:w="1438" w:type="pct"/>
            <w:vAlign w:val="center"/>
          </w:tcPr>
          <w:p>
            <w:pPr>
              <w:pStyle w:val="105"/>
              <w:rPr>
                <w:color w:val="auto"/>
                <w:szCs w:val="21"/>
                <w:highlight w:val="none"/>
              </w:rPr>
            </w:pPr>
            <w:r>
              <w:rPr>
                <w:color w:val="auto"/>
                <w:szCs w:val="21"/>
                <w:highlight w:val="none"/>
              </w:rPr>
              <w:t>酸碱指示剂滴定法</w:t>
            </w:r>
          </w:p>
        </w:tc>
        <w:tc>
          <w:tcPr>
            <w:tcW w:w="1337" w:type="pct"/>
            <w:tcMar>
              <w:top w:w="0" w:type="dxa"/>
              <w:left w:w="28" w:type="dxa"/>
              <w:bottom w:w="0" w:type="dxa"/>
              <w:right w:w="28" w:type="dxa"/>
            </w:tcMar>
            <w:vAlign w:val="center"/>
          </w:tcPr>
          <w:p>
            <w:pPr>
              <w:spacing w:line="300" w:lineRule="exact"/>
              <w:jc w:val="center"/>
              <w:rPr>
                <w:color w:val="auto"/>
                <w:szCs w:val="21"/>
                <w:highlight w:val="none"/>
              </w:rPr>
            </w:pPr>
            <w:r>
              <w:rPr>
                <w:color w:val="auto"/>
                <w:szCs w:val="21"/>
                <w:highlight w:val="none"/>
              </w:rPr>
              <w:t>《水和废水监测分析方法》（第四版）（增补版）</w:t>
            </w:r>
          </w:p>
        </w:tc>
        <w:tc>
          <w:tcPr>
            <w:tcW w:w="830" w:type="pct"/>
            <w:tcMar>
              <w:top w:w="0" w:type="dxa"/>
              <w:left w:w="28" w:type="dxa"/>
              <w:bottom w:w="0" w:type="dxa"/>
              <w:right w:w="28" w:type="dxa"/>
            </w:tcMar>
            <w:vAlign w:val="center"/>
          </w:tcPr>
          <w:p>
            <w:pPr>
              <w:widowControl/>
              <w:jc w:val="center"/>
              <w:rPr>
                <w:color w:val="auto"/>
                <w:szCs w:val="21"/>
                <w:highlight w:val="none"/>
              </w:rPr>
            </w:pPr>
            <w:r>
              <w:rPr>
                <w:color w:val="auto"/>
                <w:szCs w:val="21"/>
                <w:highlight w:val="none"/>
              </w:rPr>
              <w:t>/</w:t>
            </w:r>
          </w:p>
        </w:tc>
        <w:tc>
          <w:tcPr>
            <w:tcW w:w="445" w:type="pct"/>
            <w:vAlign w:val="center"/>
          </w:tcPr>
          <w:p>
            <w:pPr>
              <w:pStyle w:val="105"/>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32" w:hRule="atLeast"/>
          <w:jc w:val="center"/>
        </w:trPr>
        <w:tc>
          <w:tcPr>
            <w:tcW w:w="203"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25</w:t>
            </w:r>
          </w:p>
        </w:tc>
        <w:tc>
          <w:tcPr>
            <w:tcW w:w="744" w:type="pct"/>
            <w:tcMar>
              <w:top w:w="0" w:type="dxa"/>
              <w:left w:w="28" w:type="dxa"/>
              <w:bottom w:w="0" w:type="dxa"/>
              <w:right w:w="28" w:type="dxa"/>
            </w:tcMar>
            <w:vAlign w:val="center"/>
          </w:tcPr>
          <w:p>
            <w:pPr>
              <w:jc w:val="center"/>
              <w:rPr>
                <w:color w:val="auto"/>
                <w:szCs w:val="21"/>
                <w:highlight w:val="none"/>
              </w:rPr>
            </w:pPr>
            <w:r>
              <w:rPr>
                <w:color w:val="auto"/>
                <w:szCs w:val="21"/>
                <w:highlight w:val="none"/>
              </w:rPr>
              <w:t>CO</w:t>
            </w:r>
            <w:r>
              <w:rPr>
                <w:color w:val="auto"/>
                <w:szCs w:val="21"/>
                <w:highlight w:val="none"/>
                <w:vertAlign w:val="subscript"/>
              </w:rPr>
              <w:t>3</w:t>
            </w:r>
            <w:r>
              <w:rPr>
                <w:color w:val="auto"/>
                <w:szCs w:val="21"/>
                <w:highlight w:val="none"/>
                <w:vertAlign w:val="superscript"/>
              </w:rPr>
              <w:t>2-</w:t>
            </w:r>
          </w:p>
        </w:tc>
        <w:tc>
          <w:tcPr>
            <w:tcW w:w="1438" w:type="pct"/>
            <w:vAlign w:val="center"/>
          </w:tcPr>
          <w:p>
            <w:pPr>
              <w:pStyle w:val="105"/>
              <w:rPr>
                <w:color w:val="auto"/>
                <w:szCs w:val="21"/>
                <w:highlight w:val="none"/>
              </w:rPr>
            </w:pPr>
            <w:r>
              <w:rPr>
                <w:color w:val="auto"/>
                <w:szCs w:val="21"/>
                <w:highlight w:val="none"/>
              </w:rPr>
              <w:t>酸碱指示剂滴定法</w:t>
            </w:r>
          </w:p>
        </w:tc>
        <w:tc>
          <w:tcPr>
            <w:tcW w:w="1337" w:type="pct"/>
            <w:tcMar>
              <w:top w:w="0" w:type="dxa"/>
              <w:left w:w="28" w:type="dxa"/>
              <w:bottom w:w="0" w:type="dxa"/>
              <w:right w:w="28" w:type="dxa"/>
            </w:tcMar>
            <w:vAlign w:val="center"/>
          </w:tcPr>
          <w:p>
            <w:pPr>
              <w:spacing w:line="300" w:lineRule="exact"/>
              <w:jc w:val="center"/>
              <w:rPr>
                <w:color w:val="auto"/>
                <w:szCs w:val="21"/>
                <w:highlight w:val="none"/>
              </w:rPr>
            </w:pPr>
            <w:r>
              <w:rPr>
                <w:color w:val="auto"/>
                <w:szCs w:val="21"/>
                <w:highlight w:val="none"/>
              </w:rPr>
              <w:t>《水和废水监测分析方法》（第四版）（增补版）</w:t>
            </w:r>
          </w:p>
        </w:tc>
        <w:tc>
          <w:tcPr>
            <w:tcW w:w="830" w:type="pct"/>
            <w:tcMar>
              <w:top w:w="0" w:type="dxa"/>
              <w:left w:w="28" w:type="dxa"/>
              <w:bottom w:w="0" w:type="dxa"/>
              <w:right w:w="28" w:type="dxa"/>
            </w:tcMar>
            <w:vAlign w:val="center"/>
          </w:tcPr>
          <w:p>
            <w:pPr>
              <w:widowControl/>
              <w:jc w:val="center"/>
              <w:rPr>
                <w:color w:val="auto"/>
                <w:szCs w:val="21"/>
                <w:highlight w:val="none"/>
              </w:rPr>
            </w:pPr>
            <w:r>
              <w:rPr>
                <w:color w:val="auto"/>
                <w:szCs w:val="21"/>
                <w:highlight w:val="none"/>
              </w:rPr>
              <w:t>/</w:t>
            </w:r>
          </w:p>
        </w:tc>
        <w:tc>
          <w:tcPr>
            <w:tcW w:w="445" w:type="pct"/>
            <w:vAlign w:val="center"/>
          </w:tcPr>
          <w:p>
            <w:pPr>
              <w:pStyle w:val="105"/>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203"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26</w:t>
            </w:r>
          </w:p>
        </w:tc>
        <w:tc>
          <w:tcPr>
            <w:tcW w:w="744" w:type="pct"/>
            <w:tcMar>
              <w:top w:w="0" w:type="dxa"/>
              <w:left w:w="28" w:type="dxa"/>
              <w:bottom w:w="0" w:type="dxa"/>
              <w:right w:w="28" w:type="dxa"/>
            </w:tcMar>
            <w:vAlign w:val="center"/>
          </w:tcPr>
          <w:p>
            <w:pPr>
              <w:jc w:val="center"/>
              <w:rPr>
                <w:color w:val="auto"/>
                <w:szCs w:val="21"/>
                <w:highlight w:val="none"/>
              </w:rPr>
            </w:pPr>
            <w:r>
              <w:rPr>
                <w:color w:val="auto"/>
                <w:szCs w:val="21"/>
                <w:highlight w:val="none"/>
              </w:rPr>
              <w:t>K</w:t>
            </w:r>
            <w:r>
              <w:rPr>
                <w:color w:val="auto"/>
                <w:szCs w:val="21"/>
                <w:highlight w:val="none"/>
                <w:vertAlign w:val="superscript"/>
              </w:rPr>
              <w:t>+</w:t>
            </w:r>
          </w:p>
        </w:tc>
        <w:tc>
          <w:tcPr>
            <w:tcW w:w="1438" w:type="pct"/>
            <w:vAlign w:val="center"/>
          </w:tcPr>
          <w:p>
            <w:pPr>
              <w:pStyle w:val="105"/>
              <w:rPr>
                <w:color w:val="auto"/>
                <w:szCs w:val="21"/>
                <w:highlight w:val="none"/>
              </w:rPr>
            </w:pPr>
            <w:r>
              <w:rPr>
                <w:color w:val="auto"/>
                <w:szCs w:val="21"/>
                <w:highlight w:val="none"/>
              </w:rPr>
              <w:t>离子色谱法</w:t>
            </w:r>
          </w:p>
        </w:tc>
        <w:tc>
          <w:tcPr>
            <w:tcW w:w="1337" w:type="pct"/>
            <w:tcMar>
              <w:top w:w="0" w:type="dxa"/>
              <w:left w:w="28" w:type="dxa"/>
              <w:bottom w:w="0" w:type="dxa"/>
              <w:right w:w="28" w:type="dxa"/>
            </w:tcMar>
            <w:vAlign w:val="center"/>
          </w:tcPr>
          <w:p>
            <w:pPr>
              <w:topLinePunct/>
              <w:spacing w:line="300" w:lineRule="exact"/>
              <w:jc w:val="center"/>
              <w:rPr>
                <w:color w:val="auto"/>
                <w:szCs w:val="21"/>
                <w:highlight w:val="none"/>
              </w:rPr>
            </w:pPr>
            <w:r>
              <w:rPr>
                <w:color w:val="auto"/>
                <w:szCs w:val="21"/>
                <w:highlight w:val="none"/>
              </w:rPr>
              <w:t>HJ 812-2016</w:t>
            </w:r>
          </w:p>
        </w:tc>
        <w:tc>
          <w:tcPr>
            <w:tcW w:w="830" w:type="pct"/>
            <w:tcMar>
              <w:top w:w="0" w:type="dxa"/>
              <w:left w:w="28" w:type="dxa"/>
              <w:bottom w:w="0" w:type="dxa"/>
              <w:right w:w="28" w:type="dxa"/>
            </w:tcMar>
            <w:vAlign w:val="center"/>
          </w:tcPr>
          <w:p>
            <w:pPr>
              <w:jc w:val="center"/>
              <w:rPr>
                <w:color w:val="auto"/>
                <w:szCs w:val="21"/>
                <w:highlight w:val="none"/>
              </w:rPr>
            </w:pPr>
            <w:r>
              <w:rPr>
                <w:color w:val="auto"/>
                <w:szCs w:val="21"/>
                <w:highlight w:val="none"/>
              </w:rPr>
              <w:t>0.02mg/L</w:t>
            </w:r>
          </w:p>
        </w:tc>
        <w:tc>
          <w:tcPr>
            <w:tcW w:w="445" w:type="pct"/>
            <w:vAlign w:val="center"/>
          </w:tcPr>
          <w:p>
            <w:pPr>
              <w:pStyle w:val="105"/>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9" w:hRule="atLeast"/>
          <w:jc w:val="center"/>
        </w:trPr>
        <w:tc>
          <w:tcPr>
            <w:tcW w:w="203"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27</w:t>
            </w:r>
          </w:p>
        </w:tc>
        <w:tc>
          <w:tcPr>
            <w:tcW w:w="744" w:type="pct"/>
            <w:tcMar>
              <w:top w:w="0" w:type="dxa"/>
              <w:left w:w="28" w:type="dxa"/>
              <w:bottom w:w="0" w:type="dxa"/>
              <w:right w:w="28" w:type="dxa"/>
            </w:tcMar>
            <w:vAlign w:val="center"/>
          </w:tcPr>
          <w:p>
            <w:pPr>
              <w:jc w:val="center"/>
              <w:rPr>
                <w:color w:val="auto"/>
                <w:szCs w:val="21"/>
                <w:highlight w:val="none"/>
              </w:rPr>
            </w:pPr>
            <w:r>
              <w:rPr>
                <w:color w:val="auto"/>
                <w:szCs w:val="21"/>
                <w:highlight w:val="none"/>
              </w:rPr>
              <w:t>Na</w:t>
            </w:r>
            <w:r>
              <w:rPr>
                <w:color w:val="auto"/>
                <w:szCs w:val="21"/>
                <w:highlight w:val="none"/>
                <w:vertAlign w:val="superscript"/>
              </w:rPr>
              <w:t>+</w:t>
            </w:r>
          </w:p>
        </w:tc>
        <w:tc>
          <w:tcPr>
            <w:tcW w:w="1438" w:type="pct"/>
            <w:vAlign w:val="center"/>
          </w:tcPr>
          <w:p>
            <w:pPr>
              <w:pStyle w:val="105"/>
              <w:rPr>
                <w:color w:val="auto"/>
                <w:szCs w:val="21"/>
                <w:highlight w:val="none"/>
              </w:rPr>
            </w:pPr>
            <w:r>
              <w:rPr>
                <w:color w:val="auto"/>
                <w:szCs w:val="21"/>
                <w:highlight w:val="none"/>
              </w:rPr>
              <w:t>离子色谱法</w:t>
            </w:r>
          </w:p>
        </w:tc>
        <w:tc>
          <w:tcPr>
            <w:tcW w:w="1337" w:type="pct"/>
            <w:tcMar>
              <w:top w:w="0" w:type="dxa"/>
              <w:left w:w="28" w:type="dxa"/>
              <w:bottom w:w="0" w:type="dxa"/>
              <w:right w:w="28" w:type="dxa"/>
            </w:tcMar>
            <w:vAlign w:val="center"/>
          </w:tcPr>
          <w:p>
            <w:pPr>
              <w:topLinePunct/>
              <w:spacing w:line="300" w:lineRule="exact"/>
              <w:jc w:val="center"/>
              <w:rPr>
                <w:color w:val="auto"/>
                <w:szCs w:val="21"/>
                <w:highlight w:val="none"/>
              </w:rPr>
            </w:pPr>
            <w:r>
              <w:rPr>
                <w:color w:val="auto"/>
                <w:szCs w:val="21"/>
                <w:highlight w:val="none"/>
              </w:rPr>
              <w:t>HJ 812-2016</w:t>
            </w:r>
          </w:p>
        </w:tc>
        <w:tc>
          <w:tcPr>
            <w:tcW w:w="830" w:type="pct"/>
            <w:tcMar>
              <w:top w:w="0" w:type="dxa"/>
              <w:left w:w="28" w:type="dxa"/>
              <w:bottom w:w="0" w:type="dxa"/>
              <w:right w:w="28" w:type="dxa"/>
            </w:tcMar>
            <w:vAlign w:val="center"/>
          </w:tcPr>
          <w:p>
            <w:pPr>
              <w:jc w:val="center"/>
              <w:rPr>
                <w:color w:val="auto"/>
                <w:szCs w:val="21"/>
                <w:highlight w:val="none"/>
              </w:rPr>
            </w:pPr>
            <w:r>
              <w:rPr>
                <w:color w:val="auto"/>
                <w:szCs w:val="21"/>
                <w:highlight w:val="none"/>
              </w:rPr>
              <w:t>0.02mg/L</w:t>
            </w:r>
          </w:p>
        </w:tc>
        <w:tc>
          <w:tcPr>
            <w:tcW w:w="445" w:type="pct"/>
            <w:vAlign w:val="center"/>
          </w:tcPr>
          <w:p>
            <w:pPr>
              <w:pStyle w:val="105"/>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203"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28</w:t>
            </w:r>
          </w:p>
        </w:tc>
        <w:tc>
          <w:tcPr>
            <w:tcW w:w="744" w:type="pct"/>
            <w:tcMar>
              <w:top w:w="0" w:type="dxa"/>
              <w:left w:w="28" w:type="dxa"/>
              <w:bottom w:w="0" w:type="dxa"/>
              <w:right w:w="28" w:type="dxa"/>
            </w:tcMar>
            <w:vAlign w:val="center"/>
          </w:tcPr>
          <w:p>
            <w:pPr>
              <w:spacing w:line="260" w:lineRule="exact"/>
              <w:jc w:val="center"/>
              <w:rPr>
                <w:color w:val="auto"/>
                <w:szCs w:val="21"/>
                <w:highlight w:val="none"/>
              </w:rPr>
            </w:pPr>
            <w:r>
              <w:rPr>
                <w:color w:val="auto"/>
                <w:szCs w:val="21"/>
                <w:highlight w:val="none"/>
              </w:rPr>
              <w:t>Mg</w:t>
            </w:r>
            <w:r>
              <w:rPr>
                <w:color w:val="auto"/>
                <w:szCs w:val="21"/>
                <w:highlight w:val="none"/>
                <w:vertAlign w:val="superscript"/>
              </w:rPr>
              <w:t>2+</w:t>
            </w:r>
          </w:p>
        </w:tc>
        <w:tc>
          <w:tcPr>
            <w:tcW w:w="1438" w:type="pct"/>
            <w:vAlign w:val="center"/>
          </w:tcPr>
          <w:p>
            <w:pPr>
              <w:pStyle w:val="105"/>
              <w:rPr>
                <w:color w:val="auto"/>
                <w:szCs w:val="21"/>
                <w:highlight w:val="none"/>
              </w:rPr>
            </w:pPr>
            <w:r>
              <w:rPr>
                <w:color w:val="auto"/>
                <w:szCs w:val="21"/>
                <w:highlight w:val="none"/>
              </w:rPr>
              <w:t>离子色谱法</w:t>
            </w:r>
          </w:p>
        </w:tc>
        <w:tc>
          <w:tcPr>
            <w:tcW w:w="1337" w:type="pct"/>
            <w:tcMar>
              <w:top w:w="0" w:type="dxa"/>
              <w:left w:w="28" w:type="dxa"/>
              <w:bottom w:w="0" w:type="dxa"/>
              <w:right w:w="28" w:type="dxa"/>
            </w:tcMar>
            <w:vAlign w:val="center"/>
          </w:tcPr>
          <w:p>
            <w:pPr>
              <w:topLinePunct/>
              <w:spacing w:line="300" w:lineRule="exact"/>
              <w:jc w:val="center"/>
              <w:rPr>
                <w:color w:val="auto"/>
                <w:szCs w:val="21"/>
                <w:highlight w:val="none"/>
              </w:rPr>
            </w:pPr>
            <w:r>
              <w:rPr>
                <w:color w:val="auto"/>
                <w:szCs w:val="21"/>
                <w:highlight w:val="none"/>
              </w:rPr>
              <w:t>HJ 812-2016</w:t>
            </w:r>
          </w:p>
        </w:tc>
        <w:tc>
          <w:tcPr>
            <w:tcW w:w="830" w:type="pct"/>
            <w:tcMar>
              <w:top w:w="0" w:type="dxa"/>
              <w:left w:w="28" w:type="dxa"/>
              <w:bottom w:w="0" w:type="dxa"/>
              <w:right w:w="28" w:type="dxa"/>
            </w:tcMar>
            <w:vAlign w:val="center"/>
          </w:tcPr>
          <w:p>
            <w:pPr>
              <w:jc w:val="center"/>
              <w:rPr>
                <w:color w:val="auto"/>
                <w:szCs w:val="21"/>
                <w:highlight w:val="none"/>
              </w:rPr>
            </w:pPr>
            <w:r>
              <w:rPr>
                <w:color w:val="auto"/>
                <w:szCs w:val="21"/>
                <w:highlight w:val="none"/>
              </w:rPr>
              <w:t>0.02mg/L</w:t>
            </w:r>
          </w:p>
        </w:tc>
        <w:tc>
          <w:tcPr>
            <w:tcW w:w="445" w:type="pct"/>
            <w:vAlign w:val="center"/>
          </w:tcPr>
          <w:p>
            <w:pPr>
              <w:pStyle w:val="105"/>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9" w:hRule="atLeast"/>
          <w:jc w:val="center"/>
        </w:trPr>
        <w:tc>
          <w:tcPr>
            <w:tcW w:w="203" w:type="pct"/>
            <w:tcMar>
              <w:top w:w="0" w:type="dxa"/>
              <w:left w:w="28" w:type="dxa"/>
              <w:bottom w:w="0" w:type="dxa"/>
              <w:right w:w="28" w:type="dxa"/>
            </w:tcMar>
            <w:vAlign w:val="center"/>
          </w:tcPr>
          <w:p>
            <w:pPr>
              <w:pStyle w:val="105"/>
              <w:rPr>
                <w:color w:val="auto"/>
                <w:szCs w:val="21"/>
                <w:highlight w:val="none"/>
              </w:rPr>
            </w:pPr>
            <w:r>
              <w:rPr>
                <w:color w:val="auto"/>
                <w:szCs w:val="21"/>
                <w:highlight w:val="none"/>
              </w:rPr>
              <w:t>29</w:t>
            </w:r>
          </w:p>
        </w:tc>
        <w:tc>
          <w:tcPr>
            <w:tcW w:w="744" w:type="pct"/>
            <w:tcMar>
              <w:top w:w="0" w:type="dxa"/>
              <w:left w:w="28" w:type="dxa"/>
              <w:bottom w:w="0" w:type="dxa"/>
              <w:right w:w="28" w:type="dxa"/>
            </w:tcMar>
            <w:vAlign w:val="center"/>
          </w:tcPr>
          <w:p>
            <w:pPr>
              <w:spacing w:line="260" w:lineRule="exact"/>
              <w:jc w:val="center"/>
              <w:rPr>
                <w:color w:val="auto"/>
                <w:szCs w:val="21"/>
                <w:highlight w:val="none"/>
                <w:vertAlign w:val="superscript"/>
              </w:rPr>
            </w:pPr>
            <w:r>
              <w:rPr>
                <w:color w:val="auto"/>
                <w:szCs w:val="21"/>
                <w:highlight w:val="none"/>
              </w:rPr>
              <w:t>Ca</w:t>
            </w:r>
            <w:r>
              <w:rPr>
                <w:color w:val="auto"/>
                <w:szCs w:val="21"/>
                <w:highlight w:val="none"/>
                <w:vertAlign w:val="superscript"/>
              </w:rPr>
              <w:t>2+</w:t>
            </w:r>
          </w:p>
        </w:tc>
        <w:tc>
          <w:tcPr>
            <w:tcW w:w="1438" w:type="pct"/>
            <w:vAlign w:val="center"/>
          </w:tcPr>
          <w:p>
            <w:pPr>
              <w:pStyle w:val="105"/>
              <w:rPr>
                <w:color w:val="auto"/>
                <w:szCs w:val="21"/>
                <w:highlight w:val="none"/>
              </w:rPr>
            </w:pPr>
            <w:r>
              <w:rPr>
                <w:color w:val="auto"/>
                <w:szCs w:val="21"/>
                <w:highlight w:val="none"/>
              </w:rPr>
              <w:t>离子色谱法</w:t>
            </w:r>
          </w:p>
        </w:tc>
        <w:tc>
          <w:tcPr>
            <w:tcW w:w="1337" w:type="pct"/>
            <w:tcMar>
              <w:top w:w="0" w:type="dxa"/>
              <w:left w:w="28" w:type="dxa"/>
              <w:bottom w:w="0" w:type="dxa"/>
              <w:right w:w="28" w:type="dxa"/>
            </w:tcMar>
            <w:vAlign w:val="center"/>
          </w:tcPr>
          <w:p>
            <w:pPr>
              <w:topLinePunct/>
              <w:spacing w:line="300" w:lineRule="exact"/>
              <w:jc w:val="center"/>
              <w:rPr>
                <w:color w:val="auto"/>
                <w:szCs w:val="21"/>
                <w:highlight w:val="none"/>
              </w:rPr>
            </w:pPr>
            <w:r>
              <w:rPr>
                <w:color w:val="auto"/>
                <w:szCs w:val="21"/>
                <w:highlight w:val="none"/>
              </w:rPr>
              <w:t>HJ 812-2016</w:t>
            </w:r>
          </w:p>
        </w:tc>
        <w:tc>
          <w:tcPr>
            <w:tcW w:w="830" w:type="pct"/>
            <w:tcMar>
              <w:top w:w="0" w:type="dxa"/>
              <w:left w:w="28" w:type="dxa"/>
              <w:bottom w:w="0" w:type="dxa"/>
              <w:right w:w="28" w:type="dxa"/>
            </w:tcMar>
            <w:vAlign w:val="center"/>
          </w:tcPr>
          <w:p>
            <w:pPr>
              <w:jc w:val="center"/>
              <w:rPr>
                <w:color w:val="auto"/>
                <w:szCs w:val="21"/>
                <w:highlight w:val="none"/>
              </w:rPr>
            </w:pPr>
            <w:r>
              <w:rPr>
                <w:color w:val="auto"/>
                <w:szCs w:val="21"/>
                <w:highlight w:val="none"/>
              </w:rPr>
              <w:t>0.03mg/L</w:t>
            </w:r>
          </w:p>
        </w:tc>
        <w:tc>
          <w:tcPr>
            <w:tcW w:w="445" w:type="pct"/>
            <w:vAlign w:val="center"/>
          </w:tcPr>
          <w:p>
            <w:pPr>
              <w:pStyle w:val="105"/>
              <w:rPr>
                <w:color w:val="auto"/>
                <w:szCs w:val="21"/>
                <w:highlight w:val="none"/>
              </w:rPr>
            </w:pPr>
          </w:p>
        </w:tc>
      </w:tr>
    </w:tbl>
    <w:p>
      <w:pPr>
        <w:spacing w:before="109" w:beforeLines="35" w:line="348" w:lineRule="auto"/>
        <w:ind w:firstLine="482" w:firstLineChars="200"/>
        <w:rPr>
          <w:b/>
          <w:bCs/>
          <w:color w:val="auto"/>
          <w:sz w:val="24"/>
          <w:highlight w:val="none"/>
        </w:rPr>
      </w:pPr>
      <w:r>
        <w:rPr>
          <w:b/>
          <w:bCs/>
          <w:color w:val="auto"/>
          <w:sz w:val="24"/>
          <w:highlight w:val="none"/>
        </w:rPr>
        <w:t>5、监测结果</w:t>
      </w:r>
    </w:p>
    <w:p>
      <w:pPr>
        <w:spacing w:line="360" w:lineRule="auto"/>
        <w:ind w:firstLine="436" w:firstLineChars="182"/>
        <w:rPr>
          <w:color w:val="auto"/>
          <w:sz w:val="24"/>
          <w:highlight w:val="none"/>
        </w:rPr>
      </w:pPr>
      <w:r>
        <w:rPr>
          <w:color w:val="auto"/>
          <w:sz w:val="24"/>
          <w:highlight w:val="none"/>
        </w:rPr>
        <w:t>地下水水质监测情况见表3.5-3，水位监测情况见表3.5-4。</w:t>
      </w:r>
    </w:p>
    <w:p>
      <w:pPr>
        <w:spacing w:line="360" w:lineRule="auto"/>
        <w:jc w:val="center"/>
        <w:rPr>
          <w:rFonts w:eastAsia="黑体"/>
          <w:bCs/>
          <w:color w:val="auto"/>
          <w:kern w:val="0"/>
          <w:sz w:val="24"/>
          <w:highlight w:val="none"/>
        </w:rPr>
      </w:pPr>
      <w:r>
        <w:rPr>
          <w:rFonts w:eastAsia="黑体"/>
          <w:bCs/>
          <w:color w:val="auto"/>
          <w:kern w:val="0"/>
          <w:sz w:val="24"/>
          <w:highlight w:val="none"/>
        </w:rPr>
        <w:t>表</w:t>
      </w:r>
      <w:r>
        <w:rPr>
          <w:rFonts w:eastAsia="黑体"/>
          <w:color w:val="auto"/>
          <w:sz w:val="24"/>
          <w:highlight w:val="none"/>
        </w:rPr>
        <w:t>3.5-3</w:t>
      </w:r>
      <w:r>
        <w:rPr>
          <w:rFonts w:eastAsia="黑体"/>
          <w:bCs/>
          <w:color w:val="auto"/>
          <w:kern w:val="0"/>
          <w:sz w:val="24"/>
          <w:highlight w:val="none"/>
        </w:rPr>
        <w:t xml:space="preserve">   地下水水质检测结果统计表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657"/>
        <w:gridCol w:w="1203"/>
        <w:gridCol w:w="1438"/>
        <w:gridCol w:w="1770"/>
        <w:gridCol w:w="17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03" w:type="pct"/>
            <w:vAlign w:val="center"/>
          </w:tcPr>
          <w:p>
            <w:pPr>
              <w:pStyle w:val="105"/>
              <w:rPr>
                <w:color w:val="auto"/>
                <w:szCs w:val="21"/>
                <w:highlight w:val="none"/>
              </w:rPr>
            </w:pPr>
            <w:r>
              <w:rPr>
                <w:color w:val="auto"/>
                <w:szCs w:val="21"/>
                <w:highlight w:val="none"/>
              </w:rPr>
              <w:t>监测项目</w:t>
            </w:r>
          </w:p>
        </w:tc>
        <w:tc>
          <w:tcPr>
            <w:tcW w:w="680" w:type="pct"/>
            <w:vAlign w:val="center"/>
          </w:tcPr>
          <w:p>
            <w:pPr>
              <w:pStyle w:val="105"/>
              <w:rPr>
                <w:color w:val="auto"/>
                <w:szCs w:val="21"/>
                <w:highlight w:val="none"/>
              </w:rPr>
            </w:pPr>
            <w:r>
              <w:rPr>
                <w:color w:val="auto"/>
                <w:szCs w:val="21"/>
                <w:highlight w:val="none"/>
              </w:rPr>
              <w:t>单位</w:t>
            </w:r>
          </w:p>
        </w:tc>
        <w:tc>
          <w:tcPr>
            <w:tcW w:w="813" w:type="pct"/>
            <w:vAlign w:val="center"/>
          </w:tcPr>
          <w:p>
            <w:pPr>
              <w:jc w:val="center"/>
              <w:rPr>
                <w:color w:val="auto"/>
                <w:szCs w:val="21"/>
                <w:highlight w:val="none"/>
              </w:rPr>
            </w:pPr>
            <w:r>
              <w:rPr>
                <w:color w:val="auto"/>
                <w:szCs w:val="21"/>
                <w:highlight w:val="none"/>
              </w:rPr>
              <w:t>横山头</w:t>
            </w:r>
          </w:p>
        </w:tc>
        <w:tc>
          <w:tcPr>
            <w:tcW w:w="1001" w:type="pct"/>
            <w:vAlign w:val="center"/>
          </w:tcPr>
          <w:p>
            <w:pPr>
              <w:jc w:val="center"/>
              <w:rPr>
                <w:color w:val="auto"/>
                <w:szCs w:val="21"/>
                <w:highlight w:val="none"/>
              </w:rPr>
            </w:pPr>
            <w:r>
              <w:rPr>
                <w:color w:val="auto"/>
                <w:szCs w:val="21"/>
                <w:highlight w:val="none"/>
              </w:rPr>
              <w:t>大官庄</w:t>
            </w:r>
          </w:p>
        </w:tc>
        <w:tc>
          <w:tcPr>
            <w:tcW w:w="1001" w:type="pct"/>
            <w:vAlign w:val="center"/>
          </w:tcPr>
          <w:p>
            <w:pPr>
              <w:jc w:val="center"/>
              <w:rPr>
                <w:color w:val="auto"/>
                <w:szCs w:val="21"/>
                <w:highlight w:val="none"/>
              </w:rPr>
            </w:pPr>
            <w:r>
              <w:rPr>
                <w:color w:val="auto"/>
                <w:szCs w:val="21"/>
                <w:highlight w:val="none"/>
              </w:rPr>
              <w:t>小官庄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03" w:type="pct"/>
            <w:vAlign w:val="center"/>
          </w:tcPr>
          <w:p>
            <w:pPr>
              <w:widowControl/>
              <w:jc w:val="center"/>
              <w:textAlignment w:val="center"/>
              <w:rPr>
                <w:color w:val="auto"/>
                <w:szCs w:val="21"/>
                <w:highlight w:val="none"/>
              </w:rPr>
            </w:pPr>
            <w:r>
              <w:rPr>
                <w:color w:val="auto"/>
                <w:szCs w:val="21"/>
                <w:highlight w:val="none"/>
              </w:rPr>
              <w:t>pH</w:t>
            </w:r>
          </w:p>
        </w:tc>
        <w:tc>
          <w:tcPr>
            <w:tcW w:w="680" w:type="pct"/>
            <w:vAlign w:val="center"/>
          </w:tcPr>
          <w:p>
            <w:pPr>
              <w:spacing w:line="300" w:lineRule="exact"/>
              <w:jc w:val="center"/>
              <w:rPr>
                <w:color w:val="auto"/>
                <w:szCs w:val="21"/>
                <w:highlight w:val="none"/>
              </w:rPr>
            </w:pPr>
            <w:r>
              <w:rPr>
                <w:color w:val="auto"/>
                <w:szCs w:val="21"/>
                <w:highlight w:val="none"/>
              </w:rPr>
              <w:t>无量纲</w:t>
            </w:r>
          </w:p>
        </w:tc>
        <w:tc>
          <w:tcPr>
            <w:tcW w:w="813" w:type="pct"/>
            <w:vAlign w:val="center"/>
          </w:tcPr>
          <w:p>
            <w:pPr>
              <w:jc w:val="center"/>
              <w:rPr>
                <w:color w:val="auto"/>
                <w:szCs w:val="21"/>
                <w:highlight w:val="none"/>
              </w:rPr>
            </w:pPr>
            <w:r>
              <w:rPr>
                <w:color w:val="auto"/>
                <w:szCs w:val="21"/>
                <w:highlight w:val="none"/>
              </w:rPr>
              <w:t>7.2（19.8℃）</w:t>
            </w:r>
          </w:p>
        </w:tc>
        <w:tc>
          <w:tcPr>
            <w:tcW w:w="1001" w:type="pct"/>
            <w:vAlign w:val="center"/>
          </w:tcPr>
          <w:p>
            <w:pPr>
              <w:jc w:val="center"/>
              <w:rPr>
                <w:color w:val="auto"/>
                <w:szCs w:val="21"/>
                <w:highlight w:val="none"/>
              </w:rPr>
            </w:pPr>
            <w:r>
              <w:rPr>
                <w:color w:val="auto"/>
                <w:szCs w:val="21"/>
                <w:highlight w:val="none"/>
              </w:rPr>
              <w:t>7.4（18.8℃）</w:t>
            </w:r>
          </w:p>
        </w:tc>
        <w:tc>
          <w:tcPr>
            <w:tcW w:w="1001" w:type="pct"/>
            <w:vAlign w:val="center"/>
          </w:tcPr>
          <w:p>
            <w:pPr>
              <w:jc w:val="center"/>
              <w:rPr>
                <w:color w:val="auto"/>
                <w:szCs w:val="21"/>
                <w:highlight w:val="none"/>
              </w:rPr>
            </w:pPr>
            <w:r>
              <w:rPr>
                <w:color w:val="auto"/>
                <w:szCs w:val="21"/>
                <w:highlight w:val="none"/>
              </w:rPr>
              <w:t>7.4（19.0℃）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03" w:type="pct"/>
            <w:vAlign w:val="center"/>
          </w:tcPr>
          <w:p>
            <w:pPr>
              <w:widowControl/>
              <w:jc w:val="center"/>
              <w:textAlignment w:val="center"/>
              <w:rPr>
                <w:color w:val="auto"/>
                <w:szCs w:val="21"/>
                <w:highlight w:val="none"/>
              </w:rPr>
            </w:pPr>
            <w:r>
              <w:rPr>
                <w:color w:val="auto"/>
                <w:szCs w:val="21"/>
                <w:highlight w:val="none"/>
              </w:rPr>
              <w:t>色（铂钴色度单位）</w:t>
            </w:r>
          </w:p>
        </w:tc>
        <w:tc>
          <w:tcPr>
            <w:tcW w:w="680" w:type="pct"/>
            <w:vAlign w:val="center"/>
          </w:tcPr>
          <w:p>
            <w:pPr>
              <w:widowControl/>
              <w:jc w:val="center"/>
              <w:textAlignment w:val="center"/>
              <w:rPr>
                <w:color w:val="auto"/>
                <w:szCs w:val="21"/>
                <w:highlight w:val="none"/>
              </w:rPr>
            </w:pPr>
            <w:r>
              <w:rPr>
                <w:color w:val="auto"/>
                <w:szCs w:val="21"/>
                <w:highlight w:val="none"/>
              </w:rPr>
              <w:t>度</w:t>
            </w:r>
          </w:p>
        </w:tc>
        <w:tc>
          <w:tcPr>
            <w:tcW w:w="813" w:type="pct"/>
            <w:vAlign w:val="center"/>
          </w:tcPr>
          <w:p>
            <w:pPr>
              <w:widowControl/>
              <w:jc w:val="center"/>
              <w:textAlignment w:val="center"/>
              <w:rPr>
                <w:color w:val="auto"/>
                <w:szCs w:val="21"/>
                <w:highlight w:val="none"/>
              </w:rPr>
            </w:pPr>
            <w:r>
              <w:rPr>
                <w:color w:val="auto"/>
                <w:szCs w:val="21"/>
                <w:highlight w:val="none"/>
              </w:rPr>
              <w:t>ND</w:t>
            </w:r>
          </w:p>
        </w:tc>
        <w:tc>
          <w:tcPr>
            <w:tcW w:w="1001" w:type="pct"/>
            <w:vAlign w:val="center"/>
          </w:tcPr>
          <w:p>
            <w:pPr>
              <w:widowControl/>
              <w:jc w:val="center"/>
              <w:rPr>
                <w:color w:val="auto"/>
                <w:szCs w:val="21"/>
                <w:highlight w:val="none"/>
              </w:rPr>
            </w:pPr>
            <w:r>
              <w:rPr>
                <w:color w:val="auto"/>
                <w:szCs w:val="21"/>
                <w:highlight w:val="none"/>
              </w:rPr>
              <w:t>ND</w:t>
            </w:r>
          </w:p>
        </w:tc>
        <w:tc>
          <w:tcPr>
            <w:tcW w:w="1001" w:type="pct"/>
            <w:vAlign w:val="center"/>
          </w:tcPr>
          <w:p>
            <w:pPr>
              <w:widowControl/>
              <w:jc w:val="center"/>
              <w:rPr>
                <w:color w:val="auto"/>
                <w:szCs w:val="21"/>
                <w:highlight w:val="none"/>
              </w:rPr>
            </w:pPr>
            <w:r>
              <w:rPr>
                <w:color w:val="auto"/>
                <w:szCs w:val="21"/>
                <w:highlight w:val="none"/>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03" w:type="pct"/>
            <w:vAlign w:val="center"/>
          </w:tcPr>
          <w:p>
            <w:pPr>
              <w:widowControl/>
              <w:jc w:val="center"/>
              <w:textAlignment w:val="center"/>
              <w:rPr>
                <w:color w:val="auto"/>
                <w:szCs w:val="21"/>
                <w:highlight w:val="none"/>
              </w:rPr>
            </w:pPr>
            <w:r>
              <w:rPr>
                <w:color w:val="auto"/>
                <w:szCs w:val="21"/>
                <w:highlight w:val="none"/>
              </w:rPr>
              <w:t>总硬度（以CaCO</w:t>
            </w:r>
            <w:r>
              <w:rPr>
                <w:color w:val="auto"/>
                <w:szCs w:val="21"/>
                <w:highlight w:val="none"/>
                <w:vertAlign w:val="subscript"/>
              </w:rPr>
              <w:t>3</w:t>
            </w:r>
            <w:r>
              <w:rPr>
                <w:color w:val="auto"/>
                <w:szCs w:val="21"/>
                <w:highlight w:val="none"/>
              </w:rPr>
              <w:t>计）</w:t>
            </w:r>
          </w:p>
        </w:tc>
        <w:tc>
          <w:tcPr>
            <w:tcW w:w="680" w:type="pct"/>
            <w:vAlign w:val="center"/>
          </w:tcPr>
          <w:p>
            <w:pPr>
              <w:spacing w:line="300" w:lineRule="exact"/>
              <w:jc w:val="center"/>
              <w:rPr>
                <w:color w:val="auto"/>
                <w:szCs w:val="21"/>
                <w:highlight w:val="none"/>
              </w:rPr>
            </w:pPr>
            <w:r>
              <w:rPr>
                <w:color w:val="auto"/>
                <w:szCs w:val="21"/>
                <w:highlight w:val="none"/>
              </w:rPr>
              <w:t>mg/L</w:t>
            </w:r>
          </w:p>
        </w:tc>
        <w:tc>
          <w:tcPr>
            <w:tcW w:w="813" w:type="pct"/>
            <w:vAlign w:val="center"/>
          </w:tcPr>
          <w:p>
            <w:pPr>
              <w:spacing w:line="260" w:lineRule="exact"/>
              <w:jc w:val="center"/>
              <w:rPr>
                <w:color w:val="auto"/>
                <w:szCs w:val="21"/>
                <w:highlight w:val="none"/>
              </w:rPr>
            </w:pPr>
            <w:r>
              <w:rPr>
                <w:color w:val="auto"/>
                <w:szCs w:val="21"/>
                <w:highlight w:val="none"/>
              </w:rPr>
              <w:t>414</w:t>
            </w:r>
          </w:p>
        </w:tc>
        <w:tc>
          <w:tcPr>
            <w:tcW w:w="1001" w:type="pct"/>
            <w:vAlign w:val="center"/>
          </w:tcPr>
          <w:p>
            <w:pPr>
              <w:widowControl/>
              <w:jc w:val="center"/>
              <w:rPr>
                <w:color w:val="auto"/>
                <w:szCs w:val="21"/>
                <w:highlight w:val="none"/>
              </w:rPr>
            </w:pPr>
            <w:r>
              <w:rPr>
                <w:color w:val="auto"/>
                <w:szCs w:val="21"/>
                <w:highlight w:val="none"/>
              </w:rPr>
              <w:t>386</w:t>
            </w:r>
          </w:p>
        </w:tc>
        <w:tc>
          <w:tcPr>
            <w:tcW w:w="1001" w:type="pct"/>
            <w:vAlign w:val="center"/>
          </w:tcPr>
          <w:p>
            <w:pPr>
              <w:widowControl/>
              <w:jc w:val="center"/>
              <w:rPr>
                <w:color w:val="auto"/>
                <w:szCs w:val="21"/>
                <w:highlight w:val="none"/>
              </w:rPr>
            </w:pPr>
            <w:r>
              <w:rPr>
                <w:color w:val="auto"/>
                <w:szCs w:val="21"/>
                <w:highlight w:val="none"/>
              </w:rPr>
              <w:t>429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03" w:type="pct"/>
            <w:vAlign w:val="center"/>
          </w:tcPr>
          <w:p>
            <w:pPr>
              <w:spacing w:line="260" w:lineRule="exact"/>
              <w:jc w:val="center"/>
              <w:rPr>
                <w:color w:val="auto"/>
                <w:szCs w:val="21"/>
                <w:highlight w:val="none"/>
              </w:rPr>
            </w:pPr>
            <w:r>
              <w:rPr>
                <w:color w:val="auto"/>
                <w:szCs w:val="21"/>
                <w:highlight w:val="none"/>
              </w:rPr>
              <w:t>溶解性总固体</w:t>
            </w:r>
          </w:p>
        </w:tc>
        <w:tc>
          <w:tcPr>
            <w:tcW w:w="680" w:type="pct"/>
            <w:vAlign w:val="center"/>
          </w:tcPr>
          <w:p>
            <w:pPr>
              <w:widowControl/>
              <w:jc w:val="center"/>
              <w:rPr>
                <w:color w:val="auto"/>
                <w:szCs w:val="21"/>
                <w:highlight w:val="none"/>
              </w:rPr>
            </w:pPr>
            <w:r>
              <w:rPr>
                <w:color w:val="auto"/>
                <w:szCs w:val="21"/>
                <w:highlight w:val="none"/>
              </w:rPr>
              <w:t>mg/L</w:t>
            </w:r>
          </w:p>
        </w:tc>
        <w:tc>
          <w:tcPr>
            <w:tcW w:w="813" w:type="pct"/>
            <w:vAlign w:val="center"/>
          </w:tcPr>
          <w:p>
            <w:pPr>
              <w:spacing w:line="260" w:lineRule="exact"/>
              <w:jc w:val="center"/>
              <w:rPr>
                <w:color w:val="auto"/>
                <w:szCs w:val="21"/>
                <w:highlight w:val="none"/>
              </w:rPr>
            </w:pPr>
            <w:r>
              <w:rPr>
                <w:color w:val="auto"/>
                <w:szCs w:val="21"/>
                <w:highlight w:val="none"/>
              </w:rPr>
              <w:t>760</w:t>
            </w:r>
          </w:p>
        </w:tc>
        <w:tc>
          <w:tcPr>
            <w:tcW w:w="1001" w:type="pct"/>
            <w:vAlign w:val="center"/>
          </w:tcPr>
          <w:p>
            <w:pPr>
              <w:widowControl/>
              <w:jc w:val="center"/>
              <w:rPr>
                <w:color w:val="auto"/>
                <w:szCs w:val="21"/>
                <w:highlight w:val="none"/>
              </w:rPr>
            </w:pPr>
            <w:r>
              <w:rPr>
                <w:color w:val="auto"/>
                <w:szCs w:val="21"/>
                <w:highlight w:val="none"/>
              </w:rPr>
              <w:t>712</w:t>
            </w:r>
          </w:p>
        </w:tc>
        <w:tc>
          <w:tcPr>
            <w:tcW w:w="1001" w:type="pct"/>
            <w:vAlign w:val="center"/>
          </w:tcPr>
          <w:p>
            <w:pPr>
              <w:widowControl/>
              <w:jc w:val="center"/>
              <w:rPr>
                <w:color w:val="auto"/>
                <w:szCs w:val="21"/>
                <w:highlight w:val="none"/>
              </w:rPr>
            </w:pPr>
            <w:r>
              <w:rPr>
                <w:color w:val="auto"/>
                <w:szCs w:val="21"/>
                <w:highlight w:val="none"/>
              </w:rPr>
              <w:t>780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03" w:type="pct"/>
            <w:vAlign w:val="center"/>
          </w:tcPr>
          <w:p>
            <w:pPr>
              <w:spacing w:line="260" w:lineRule="exact"/>
              <w:jc w:val="center"/>
              <w:rPr>
                <w:color w:val="auto"/>
                <w:szCs w:val="21"/>
                <w:highlight w:val="none"/>
              </w:rPr>
            </w:pPr>
            <w:r>
              <w:rPr>
                <w:color w:val="auto"/>
                <w:szCs w:val="21"/>
                <w:highlight w:val="none"/>
              </w:rPr>
              <w:t>氟化物</w:t>
            </w:r>
          </w:p>
        </w:tc>
        <w:tc>
          <w:tcPr>
            <w:tcW w:w="680" w:type="pct"/>
            <w:vAlign w:val="center"/>
          </w:tcPr>
          <w:p>
            <w:pPr>
              <w:spacing w:line="300" w:lineRule="exact"/>
              <w:jc w:val="center"/>
              <w:rPr>
                <w:color w:val="auto"/>
                <w:szCs w:val="21"/>
                <w:highlight w:val="none"/>
              </w:rPr>
            </w:pPr>
            <w:r>
              <w:rPr>
                <w:color w:val="auto"/>
                <w:szCs w:val="21"/>
                <w:highlight w:val="none"/>
              </w:rPr>
              <w:t>mg/L</w:t>
            </w:r>
          </w:p>
        </w:tc>
        <w:tc>
          <w:tcPr>
            <w:tcW w:w="813" w:type="pct"/>
            <w:vAlign w:val="center"/>
          </w:tcPr>
          <w:p>
            <w:pPr>
              <w:spacing w:line="260" w:lineRule="exact"/>
              <w:jc w:val="center"/>
              <w:rPr>
                <w:color w:val="auto"/>
                <w:szCs w:val="21"/>
                <w:highlight w:val="none"/>
              </w:rPr>
            </w:pPr>
            <w:r>
              <w:rPr>
                <w:color w:val="auto"/>
                <w:szCs w:val="21"/>
                <w:highlight w:val="none"/>
              </w:rPr>
              <w:t>0.182</w:t>
            </w:r>
          </w:p>
        </w:tc>
        <w:tc>
          <w:tcPr>
            <w:tcW w:w="1001" w:type="pct"/>
            <w:vAlign w:val="center"/>
          </w:tcPr>
          <w:p>
            <w:pPr>
              <w:widowControl/>
              <w:jc w:val="center"/>
              <w:rPr>
                <w:color w:val="auto"/>
                <w:szCs w:val="21"/>
                <w:highlight w:val="none"/>
              </w:rPr>
            </w:pPr>
            <w:r>
              <w:rPr>
                <w:color w:val="auto"/>
                <w:szCs w:val="21"/>
                <w:highlight w:val="none"/>
              </w:rPr>
              <w:t>0.251</w:t>
            </w:r>
          </w:p>
        </w:tc>
        <w:tc>
          <w:tcPr>
            <w:tcW w:w="1001" w:type="pct"/>
            <w:vAlign w:val="center"/>
          </w:tcPr>
          <w:p>
            <w:pPr>
              <w:widowControl/>
              <w:jc w:val="center"/>
              <w:rPr>
                <w:color w:val="auto"/>
                <w:szCs w:val="21"/>
                <w:highlight w:val="none"/>
              </w:rPr>
            </w:pPr>
            <w:r>
              <w:rPr>
                <w:color w:val="auto"/>
                <w:szCs w:val="21"/>
                <w:highlight w:val="none"/>
              </w:rPr>
              <w:t>0.290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03" w:type="pct"/>
            <w:vAlign w:val="center"/>
          </w:tcPr>
          <w:p>
            <w:pPr>
              <w:spacing w:line="260" w:lineRule="exact"/>
              <w:jc w:val="center"/>
              <w:rPr>
                <w:color w:val="auto"/>
                <w:szCs w:val="21"/>
                <w:highlight w:val="none"/>
              </w:rPr>
            </w:pPr>
            <w:r>
              <w:rPr>
                <w:color w:val="auto"/>
                <w:szCs w:val="21"/>
                <w:highlight w:val="none"/>
              </w:rPr>
              <w:t>氯化物</w:t>
            </w:r>
          </w:p>
        </w:tc>
        <w:tc>
          <w:tcPr>
            <w:tcW w:w="680" w:type="pct"/>
            <w:vAlign w:val="center"/>
          </w:tcPr>
          <w:p>
            <w:pPr>
              <w:spacing w:line="300" w:lineRule="exact"/>
              <w:jc w:val="center"/>
              <w:rPr>
                <w:color w:val="auto"/>
                <w:szCs w:val="21"/>
                <w:highlight w:val="none"/>
              </w:rPr>
            </w:pPr>
            <w:r>
              <w:rPr>
                <w:color w:val="auto"/>
                <w:szCs w:val="21"/>
                <w:highlight w:val="none"/>
              </w:rPr>
              <w:t>mg/L</w:t>
            </w:r>
          </w:p>
        </w:tc>
        <w:tc>
          <w:tcPr>
            <w:tcW w:w="813" w:type="pct"/>
            <w:vAlign w:val="center"/>
          </w:tcPr>
          <w:p>
            <w:pPr>
              <w:spacing w:line="260" w:lineRule="exact"/>
              <w:jc w:val="center"/>
              <w:rPr>
                <w:color w:val="auto"/>
                <w:szCs w:val="21"/>
                <w:highlight w:val="none"/>
              </w:rPr>
            </w:pPr>
            <w:r>
              <w:rPr>
                <w:color w:val="auto"/>
                <w:szCs w:val="21"/>
                <w:highlight w:val="none"/>
              </w:rPr>
              <w:t>28.7</w:t>
            </w:r>
          </w:p>
        </w:tc>
        <w:tc>
          <w:tcPr>
            <w:tcW w:w="1001" w:type="pct"/>
            <w:vAlign w:val="center"/>
          </w:tcPr>
          <w:p>
            <w:pPr>
              <w:jc w:val="center"/>
              <w:rPr>
                <w:color w:val="auto"/>
                <w:szCs w:val="21"/>
                <w:highlight w:val="none"/>
              </w:rPr>
            </w:pPr>
            <w:r>
              <w:rPr>
                <w:color w:val="auto"/>
                <w:szCs w:val="21"/>
                <w:highlight w:val="none"/>
              </w:rPr>
              <w:t>40.4</w:t>
            </w:r>
          </w:p>
        </w:tc>
        <w:tc>
          <w:tcPr>
            <w:tcW w:w="1001" w:type="pct"/>
            <w:vAlign w:val="center"/>
          </w:tcPr>
          <w:p>
            <w:pPr>
              <w:jc w:val="center"/>
              <w:rPr>
                <w:color w:val="auto"/>
                <w:szCs w:val="21"/>
                <w:highlight w:val="none"/>
              </w:rPr>
            </w:pPr>
            <w:r>
              <w:rPr>
                <w:color w:val="auto"/>
                <w:szCs w:val="21"/>
                <w:highlight w:val="none"/>
              </w:rPr>
              <w:t>48.5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2" w:hRule="atLeast"/>
          <w:jc w:val="center"/>
        </w:trPr>
        <w:tc>
          <w:tcPr>
            <w:tcW w:w="1503" w:type="pct"/>
            <w:vAlign w:val="center"/>
          </w:tcPr>
          <w:p>
            <w:pPr>
              <w:spacing w:line="260" w:lineRule="exact"/>
              <w:jc w:val="center"/>
              <w:rPr>
                <w:color w:val="auto"/>
                <w:szCs w:val="21"/>
                <w:highlight w:val="none"/>
              </w:rPr>
            </w:pPr>
            <w:r>
              <w:rPr>
                <w:color w:val="auto"/>
                <w:szCs w:val="21"/>
                <w:highlight w:val="none"/>
              </w:rPr>
              <w:t>硝酸盐（以N计）</w:t>
            </w:r>
          </w:p>
        </w:tc>
        <w:tc>
          <w:tcPr>
            <w:tcW w:w="680" w:type="pct"/>
            <w:vAlign w:val="center"/>
          </w:tcPr>
          <w:p>
            <w:pPr>
              <w:spacing w:line="300" w:lineRule="exact"/>
              <w:jc w:val="center"/>
              <w:rPr>
                <w:color w:val="auto"/>
                <w:szCs w:val="21"/>
                <w:highlight w:val="none"/>
              </w:rPr>
            </w:pPr>
            <w:r>
              <w:rPr>
                <w:color w:val="auto"/>
                <w:szCs w:val="21"/>
                <w:highlight w:val="none"/>
              </w:rPr>
              <w:t>mg/L</w:t>
            </w:r>
          </w:p>
        </w:tc>
        <w:tc>
          <w:tcPr>
            <w:tcW w:w="813" w:type="pct"/>
            <w:vAlign w:val="center"/>
          </w:tcPr>
          <w:p>
            <w:pPr>
              <w:spacing w:line="260" w:lineRule="exact"/>
              <w:jc w:val="center"/>
              <w:rPr>
                <w:color w:val="auto"/>
                <w:szCs w:val="21"/>
                <w:highlight w:val="none"/>
              </w:rPr>
            </w:pPr>
            <w:r>
              <w:rPr>
                <w:color w:val="auto"/>
                <w:szCs w:val="21"/>
                <w:highlight w:val="none"/>
              </w:rPr>
              <w:t>8.74</w:t>
            </w:r>
          </w:p>
        </w:tc>
        <w:tc>
          <w:tcPr>
            <w:tcW w:w="1001" w:type="pct"/>
            <w:vAlign w:val="center"/>
          </w:tcPr>
          <w:p>
            <w:pPr>
              <w:widowControl/>
              <w:jc w:val="center"/>
              <w:rPr>
                <w:color w:val="auto"/>
                <w:szCs w:val="21"/>
                <w:highlight w:val="none"/>
              </w:rPr>
            </w:pPr>
            <w:r>
              <w:rPr>
                <w:color w:val="auto"/>
                <w:szCs w:val="21"/>
                <w:highlight w:val="none"/>
              </w:rPr>
              <w:t>12.2</w:t>
            </w:r>
          </w:p>
        </w:tc>
        <w:tc>
          <w:tcPr>
            <w:tcW w:w="1001" w:type="pct"/>
            <w:vAlign w:val="center"/>
          </w:tcPr>
          <w:p>
            <w:pPr>
              <w:widowControl/>
              <w:jc w:val="center"/>
              <w:rPr>
                <w:color w:val="auto"/>
                <w:szCs w:val="21"/>
                <w:highlight w:val="none"/>
              </w:rPr>
            </w:pPr>
            <w:r>
              <w:rPr>
                <w:rFonts w:hint="eastAsia"/>
                <w:color w:val="auto"/>
                <w:szCs w:val="21"/>
                <w:highlight w:val="none"/>
              </w:rPr>
              <w:t>18.1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2" w:hRule="atLeast"/>
          <w:jc w:val="center"/>
        </w:trPr>
        <w:tc>
          <w:tcPr>
            <w:tcW w:w="1503" w:type="pct"/>
            <w:vAlign w:val="center"/>
          </w:tcPr>
          <w:p>
            <w:pPr>
              <w:spacing w:line="260" w:lineRule="exact"/>
              <w:jc w:val="center"/>
              <w:rPr>
                <w:color w:val="auto"/>
                <w:szCs w:val="21"/>
                <w:highlight w:val="none"/>
              </w:rPr>
            </w:pPr>
            <w:r>
              <w:rPr>
                <w:color w:val="auto"/>
                <w:szCs w:val="21"/>
                <w:highlight w:val="none"/>
              </w:rPr>
              <w:t>硫酸盐</w:t>
            </w:r>
          </w:p>
        </w:tc>
        <w:tc>
          <w:tcPr>
            <w:tcW w:w="680" w:type="pct"/>
            <w:vAlign w:val="center"/>
          </w:tcPr>
          <w:p>
            <w:pPr>
              <w:spacing w:line="300" w:lineRule="exact"/>
              <w:jc w:val="center"/>
              <w:rPr>
                <w:color w:val="auto"/>
                <w:szCs w:val="21"/>
                <w:highlight w:val="none"/>
              </w:rPr>
            </w:pPr>
            <w:r>
              <w:rPr>
                <w:color w:val="auto"/>
                <w:szCs w:val="21"/>
                <w:highlight w:val="none"/>
              </w:rPr>
              <w:t>mg/L</w:t>
            </w:r>
          </w:p>
        </w:tc>
        <w:tc>
          <w:tcPr>
            <w:tcW w:w="813" w:type="pct"/>
            <w:vAlign w:val="center"/>
          </w:tcPr>
          <w:p>
            <w:pPr>
              <w:spacing w:line="260" w:lineRule="exact"/>
              <w:jc w:val="center"/>
              <w:rPr>
                <w:color w:val="auto"/>
                <w:szCs w:val="21"/>
                <w:highlight w:val="none"/>
              </w:rPr>
            </w:pPr>
            <w:r>
              <w:rPr>
                <w:color w:val="auto"/>
                <w:szCs w:val="21"/>
                <w:highlight w:val="none"/>
              </w:rPr>
              <w:t>71.0</w:t>
            </w:r>
          </w:p>
        </w:tc>
        <w:tc>
          <w:tcPr>
            <w:tcW w:w="1001" w:type="pct"/>
            <w:vAlign w:val="center"/>
          </w:tcPr>
          <w:p>
            <w:pPr>
              <w:widowControl/>
              <w:jc w:val="center"/>
              <w:rPr>
                <w:color w:val="auto"/>
                <w:szCs w:val="21"/>
                <w:highlight w:val="none"/>
              </w:rPr>
            </w:pPr>
            <w:r>
              <w:rPr>
                <w:color w:val="auto"/>
                <w:szCs w:val="21"/>
                <w:highlight w:val="none"/>
              </w:rPr>
              <w:t>73.0</w:t>
            </w:r>
          </w:p>
        </w:tc>
        <w:tc>
          <w:tcPr>
            <w:tcW w:w="1001" w:type="pct"/>
            <w:vAlign w:val="center"/>
          </w:tcPr>
          <w:p>
            <w:pPr>
              <w:widowControl/>
              <w:jc w:val="center"/>
              <w:rPr>
                <w:color w:val="auto"/>
                <w:szCs w:val="21"/>
                <w:highlight w:val="none"/>
              </w:rPr>
            </w:pPr>
            <w:r>
              <w:rPr>
                <w:color w:val="auto"/>
                <w:szCs w:val="21"/>
                <w:highlight w:val="none"/>
              </w:rPr>
              <w:t>76.4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2" w:hRule="atLeast"/>
          <w:jc w:val="center"/>
        </w:trPr>
        <w:tc>
          <w:tcPr>
            <w:tcW w:w="1503" w:type="pct"/>
            <w:vAlign w:val="center"/>
          </w:tcPr>
          <w:p>
            <w:pPr>
              <w:spacing w:line="260" w:lineRule="exact"/>
              <w:jc w:val="center"/>
              <w:rPr>
                <w:color w:val="auto"/>
                <w:szCs w:val="21"/>
                <w:highlight w:val="none"/>
              </w:rPr>
            </w:pPr>
            <w:r>
              <w:rPr>
                <w:color w:val="auto"/>
                <w:szCs w:val="21"/>
                <w:highlight w:val="none"/>
              </w:rPr>
              <w:t>亚硝酸盐（以N计）</w:t>
            </w:r>
          </w:p>
        </w:tc>
        <w:tc>
          <w:tcPr>
            <w:tcW w:w="680" w:type="pct"/>
            <w:vAlign w:val="center"/>
          </w:tcPr>
          <w:p>
            <w:pPr>
              <w:spacing w:line="300" w:lineRule="exact"/>
              <w:jc w:val="center"/>
              <w:rPr>
                <w:color w:val="auto"/>
                <w:szCs w:val="21"/>
                <w:highlight w:val="none"/>
              </w:rPr>
            </w:pPr>
            <w:r>
              <w:rPr>
                <w:color w:val="auto"/>
                <w:szCs w:val="21"/>
                <w:highlight w:val="none"/>
              </w:rPr>
              <w:t>mg/L</w:t>
            </w:r>
          </w:p>
        </w:tc>
        <w:tc>
          <w:tcPr>
            <w:tcW w:w="813" w:type="pct"/>
            <w:vAlign w:val="center"/>
          </w:tcPr>
          <w:p>
            <w:pPr>
              <w:spacing w:line="260" w:lineRule="exact"/>
              <w:jc w:val="center"/>
              <w:rPr>
                <w:color w:val="auto"/>
                <w:szCs w:val="21"/>
                <w:highlight w:val="none"/>
              </w:rPr>
            </w:pPr>
            <w:r>
              <w:rPr>
                <w:color w:val="auto"/>
                <w:szCs w:val="21"/>
                <w:highlight w:val="none"/>
              </w:rPr>
              <w:t>0.003</w:t>
            </w:r>
          </w:p>
        </w:tc>
        <w:tc>
          <w:tcPr>
            <w:tcW w:w="1001" w:type="pct"/>
            <w:vAlign w:val="center"/>
          </w:tcPr>
          <w:p>
            <w:pPr>
              <w:widowControl/>
              <w:jc w:val="center"/>
              <w:rPr>
                <w:color w:val="auto"/>
                <w:szCs w:val="21"/>
                <w:highlight w:val="none"/>
              </w:rPr>
            </w:pPr>
            <w:r>
              <w:rPr>
                <w:color w:val="auto"/>
                <w:szCs w:val="21"/>
                <w:highlight w:val="none"/>
              </w:rPr>
              <w:t>0.002</w:t>
            </w:r>
          </w:p>
        </w:tc>
        <w:tc>
          <w:tcPr>
            <w:tcW w:w="1001" w:type="pct"/>
            <w:vAlign w:val="center"/>
          </w:tcPr>
          <w:p>
            <w:pPr>
              <w:widowControl/>
              <w:jc w:val="center"/>
              <w:rPr>
                <w:color w:val="auto"/>
                <w:szCs w:val="21"/>
                <w:highlight w:val="none"/>
              </w:rPr>
            </w:pPr>
            <w:r>
              <w:rPr>
                <w:color w:val="auto"/>
                <w:szCs w:val="21"/>
                <w:highlight w:val="none"/>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2" w:hRule="atLeast"/>
          <w:jc w:val="center"/>
        </w:trPr>
        <w:tc>
          <w:tcPr>
            <w:tcW w:w="1503" w:type="pct"/>
            <w:vAlign w:val="center"/>
          </w:tcPr>
          <w:p>
            <w:pPr>
              <w:spacing w:line="260" w:lineRule="exact"/>
              <w:jc w:val="center"/>
              <w:rPr>
                <w:color w:val="auto"/>
                <w:szCs w:val="21"/>
                <w:highlight w:val="none"/>
              </w:rPr>
            </w:pPr>
            <w:r>
              <w:rPr>
                <w:color w:val="auto"/>
                <w:szCs w:val="21"/>
                <w:highlight w:val="none"/>
              </w:rPr>
              <w:t>铬（六价）</w:t>
            </w:r>
          </w:p>
        </w:tc>
        <w:tc>
          <w:tcPr>
            <w:tcW w:w="680" w:type="pct"/>
            <w:vAlign w:val="center"/>
          </w:tcPr>
          <w:p>
            <w:pPr>
              <w:spacing w:line="300" w:lineRule="exact"/>
              <w:jc w:val="center"/>
              <w:rPr>
                <w:color w:val="auto"/>
                <w:szCs w:val="21"/>
                <w:highlight w:val="none"/>
              </w:rPr>
            </w:pPr>
            <w:r>
              <w:rPr>
                <w:color w:val="auto"/>
                <w:szCs w:val="21"/>
                <w:highlight w:val="none"/>
              </w:rPr>
              <w:t>mg/L</w:t>
            </w:r>
          </w:p>
        </w:tc>
        <w:tc>
          <w:tcPr>
            <w:tcW w:w="813" w:type="pct"/>
            <w:vAlign w:val="center"/>
          </w:tcPr>
          <w:p>
            <w:pPr>
              <w:jc w:val="center"/>
              <w:rPr>
                <w:color w:val="auto"/>
                <w:kern w:val="0"/>
                <w:szCs w:val="21"/>
                <w:highlight w:val="none"/>
                <w:lang w:bidi="ar"/>
              </w:rPr>
            </w:pPr>
            <w:r>
              <w:rPr>
                <w:color w:val="auto"/>
                <w:szCs w:val="21"/>
                <w:highlight w:val="none"/>
              </w:rPr>
              <w:t>ND</w:t>
            </w:r>
          </w:p>
        </w:tc>
        <w:tc>
          <w:tcPr>
            <w:tcW w:w="1001" w:type="pct"/>
            <w:vAlign w:val="center"/>
          </w:tcPr>
          <w:p>
            <w:pPr>
              <w:widowControl/>
              <w:jc w:val="center"/>
              <w:rPr>
                <w:color w:val="auto"/>
                <w:szCs w:val="21"/>
                <w:highlight w:val="none"/>
              </w:rPr>
            </w:pPr>
            <w:r>
              <w:rPr>
                <w:color w:val="auto"/>
                <w:szCs w:val="21"/>
                <w:highlight w:val="none"/>
              </w:rPr>
              <w:t>ND</w:t>
            </w:r>
          </w:p>
        </w:tc>
        <w:tc>
          <w:tcPr>
            <w:tcW w:w="1001" w:type="pct"/>
            <w:vAlign w:val="center"/>
          </w:tcPr>
          <w:p>
            <w:pPr>
              <w:widowControl/>
              <w:jc w:val="center"/>
              <w:rPr>
                <w:color w:val="auto"/>
                <w:szCs w:val="21"/>
                <w:highlight w:val="none"/>
              </w:rPr>
            </w:pPr>
            <w:r>
              <w:rPr>
                <w:color w:val="auto"/>
                <w:szCs w:val="21"/>
                <w:highlight w:val="none"/>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2" w:hRule="atLeast"/>
          <w:jc w:val="center"/>
        </w:trPr>
        <w:tc>
          <w:tcPr>
            <w:tcW w:w="1503" w:type="pct"/>
            <w:vAlign w:val="center"/>
          </w:tcPr>
          <w:p>
            <w:pPr>
              <w:jc w:val="center"/>
              <w:rPr>
                <w:color w:val="auto"/>
                <w:szCs w:val="21"/>
                <w:highlight w:val="none"/>
              </w:rPr>
            </w:pPr>
            <w:r>
              <w:rPr>
                <w:color w:val="auto"/>
                <w:szCs w:val="21"/>
                <w:highlight w:val="none"/>
              </w:rPr>
              <w:t>氨氮（以N计）</w:t>
            </w:r>
          </w:p>
        </w:tc>
        <w:tc>
          <w:tcPr>
            <w:tcW w:w="680" w:type="pct"/>
            <w:vAlign w:val="center"/>
          </w:tcPr>
          <w:p>
            <w:pPr>
              <w:spacing w:line="300" w:lineRule="exact"/>
              <w:jc w:val="center"/>
              <w:rPr>
                <w:color w:val="auto"/>
                <w:szCs w:val="21"/>
                <w:highlight w:val="none"/>
              </w:rPr>
            </w:pPr>
            <w:r>
              <w:rPr>
                <w:color w:val="auto"/>
                <w:szCs w:val="21"/>
                <w:highlight w:val="none"/>
              </w:rPr>
              <w:t>mg/L</w:t>
            </w:r>
          </w:p>
        </w:tc>
        <w:tc>
          <w:tcPr>
            <w:tcW w:w="813" w:type="pct"/>
            <w:vAlign w:val="center"/>
          </w:tcPr>
          <w:p>
            <w:pPr>
              <w:jc w:val="center"/>
              <w:rPr>
                <w:color w:val="auto"/>
                <w:szCs w:val="21"/>
                <w:highlight w:val="none"/>
              </w:rPr>
            </w:pPr>
            <w:r>
              <w:rPr>
                <w:color w:val="auto"/>
                <w:szCs w:val="21"/>
                <w:highlight w:val="none"/>
              </w:rPr>
              <w:t>0.182</w:t>
            </w:r>
          </w:p>
        </w:tc>
        <w:tc>
          <w:tcPr>
            <w:tcW w:w="1001" w:type="pct"/>
            <w:vAlign w:val="center"/>
          </w:tcPr>
          <w:p>
            <w:pPr>
              <w:widowControl/>
              <w:jc w:val="center"/>
              <w:rPr>
                <w:color w:val="auto"/>
                <w:szCs w:val="21"/>
                <w:highlight w:val="none"/>
              </w:rPr>
            </w:pPr>
            <w:r>
              <w:rPr>
                <w:color w:val="auto"/>
                <w:szCs w:val="21"/>
                <w:highlight w:val="none"/>
              </w:rPr>
              <w:t>0.470</w:t>
            </w:r>
          </w:p>
        </w:tc>
        <w:tc>
          <w:tcPr>
            <w:tcW w:w="1001" w:type="pct"/>
            <w:vAlign w:val="center"/>
          </w:tcPr>
          <w:p>
            <w:pPr>
              <w:widowControl/>
              <w:jc w:val="center"/>
              <w:rPr>
                <w:color w:val="auto"/>
                <w:szCs w:val="21"/>
                <w:highlight w:val="none"/>
              </w:rPr>
            </w:pPr>
            <w:r>
              <w:rPr>
                <w:color w:val="auto"/>
                <w:szCs w:val="21"/>
                <w:highlight w:val="none"/>
              </w:rPr>
              <w:t>0.139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2" w:hRule="atLeast"/>
          <w:jc w:val="center"/>
        </w:trPr>
        <w:tc>
          <w:tcPr>
            <w:tcW w:w="1503" w:type="pct"/>
            <w:vAlign w:val="center"/>
          </w:tcPr>
          <w:p>
            <w:pPr>
              <w:spacing w:line="300" w:lineRule="exact"/>
              <w:jc w:val="center"/>
              <w:rPr>
                <w:color w:val="auto"/>
                <w:szCs w:val="21"/>
                <w:highlight w:val="none"/>
              </w:rPr>
            </w:pPr>
            <w:r>
              <w:rPr>
                <w:color w:val="auto"/>
                <w:szCs w:val="21"/>
                <w:highlight w:val="none"/>
              </w:rPr>
              <w:t>总大肠菌群</w:t>
            </w:r>
          </w:p>
        </w:tc>
        <w:tc>
          <w:tcPr>
            <w:tcW w:w="680" w:type="pct"/>
            <w:vAlign w:val="center"/>
          </w:tcPr>
          <w:p>
            <w:pPr>
              <w:spacing w:line="300" w:lineRule="exact"/>
              <w:jc w:val="center"/>
              <w:rPr>
                <w:color w:val="auto"/>
                <w:szCs w:val="21"/>
                <w:highlight w:val="none"/>
              </w:rPr>
            </w:pPr>
            <w:r>
              <w:rPr>
                <w:color w:val="auto"/>
                <w:szCs w:val="21"/>
                <w:highlight w:val="none"/>
              </w:rPr>
              <w:t>MPN/100mL</w:t>
            </w:r>
          </w:p>
        </w:tc>
        <w:tc>
          <w:tcPr>
            <w:tcW w:w="813" w:type="pct"/>
            <w:vAlign w:val="center"/>
          </w:tcPr>
          <w:p>
            <w:pPr>
              <w:widowControl/>
              <w:jc w:val="center"/>
              <w:rPr>
                <w:color w:val="auto"/>
                <w:szCs w:val="21"/>
                <w:highlight w:val="none"/>
              </w:rPr>
            </w:pPr>
            <w:r>
              <w:rPr>
                <w:color w:val="auto"/>
                <w:szCs w:val="21"/>
                <w:highlight w:val="none"/>
              </w:rPr>
              <w:t>ND</w:t>
            </w:r>
          </w:p>
        </w:tc>
        <w:tc>
          <w:tcPr>
            <w:tcW w:w="1001" w:type="pct"/>
            <w:vAlign w:val="center"/>
          </w:tcPr>
          <w:p>
            <w:pPr>
              <w:widowControl/>
              <w:jc w:val="center"/>
              <w:rPr>
                <w:color w:val="auto"/>
                <w:szCs w:val="21"/>
                <w:highlight w:val="none"/>
              </w:rPr>
            </w:pPr>
            <w:r>
              <w:rPr>
                <w:color w:val="auto"/>
                <w:szCs w:val="21"/>
                <w:highlight w:val="none"/>
              </w:rPr>
              <w:t>ND</w:t>
            </w:r>
          </w:p>
        </w:tc>
        <w:tc>
          <w:tcPr>
            <w:tcW w:w="1001" w:type="pct"/>
            <w:vAlign w:val="center"/>
          </w:tcPr>
          <w:p>
            <w:pPr>
              <w:widowControl/>
              <w:jc w:val="center"/>
              <w:rPr>
                <w:color w:val="auto"/>
                <w:szCs w:val="21"/>
                <w:highlight w:val="none"/>
              </w:rPr>
            </w:pPr>
            <w:r>
              <w:rPr>
                <w:color w:val="auto"/>
                <w:szCs w:val="21"/>
                <w:highlight w:val="none"/>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2" w:hRule="atLeast"/>
          <w:jc w:val="center"/>
        </w:trPr>
        <w:tc>
          <w:tcPr>
            <w:tcW w:w="1503" w:type="pct"/>
            <w:vAlign w:val="center"/>
          </w:tcPr>
          <w:p>
            <w:pPr>
              <w:spacing w:line="300" w:lineRule="exact"/>
              <w:jc w:val="center"/>
              <w:rPr>
                <w:color w:val="auto"/>
                <w:szCs w:val="21"/>
                <w:highlight w:val="none"/>
              </w:rPr>
            </w:pPr>
            <w:r>
              <w:rPr>
                <w:color w:val="auto"/>
                <w:szCs w:val="21"/>
                <w:highlight w:val="none"/>
              </w:rPr>
              <w:t>菌落总数</w:t>
            </w:r>
          </w:p>
        </w:tc>
        <w:tc>
          <w:tcPr>
            <w:tcW w:w="680" w:type="pct"/>
            <w:vAlign w:val="center"/>
          </w:tcPr>
          <w:p>
            <w:pPr>
              <w:spacing w:line="300" w:lineRule="exact"/>
              <w:jc w:val="center"/>
              <w:rPr>
                <w:color w:val="auto"/>
                <w:szCs w:val="21"/>
                <w:highlight w:val="none"/>
              </w:rPr>
            </w:pPr>
            <w:r>
              <w:rPr>
                <w:color w:val="auto"/>
                <w:szCs w:val="21"/>
                <w:highlight w:val="none"/>
              </w:rPr>
              <w:t>CFU/mL</w:t>
            </w:r>
          </w:p>
        </w:tc>
        <w:tc>
          <w:tcPr>
            <w:tcW w:w="813" w:type="pct"/>
            <w:vAlign w:val="center"/>
          </w:tcPr>
          <w:p>
            <w:pPr>
              <w:jc w:val="center"/>
              <w:rPr>
                <w:color w:val="auto"/>
                <w:szCs w:val="21"/>
                <w:highlight w:val="none"/>
              </w:rPr>
            </w:pPr>
            <w:r>
              <w:rPr>
                <w:color w:val="auto"/>
                <w:szCs w:val="21"/>
                <w:highlight w:val="none"/>
              </w:rPr>
              <w:t>70</w:t>
            </w:r>
          </w:p>
        </w:tc>
        <w:tc>
          <w:tcPr>
            <w:tcW w:w="1001" w:type="pct"/>
            <w:vAlign w:val="center"/>
          </w:tcPr>
          <w:p>
            <w:pPr>
              <w:jc w:val="center"/>
              <w:rPr>
                <w:color w:val="auto"/>
                <w:szCs w:val="21"/>
                <w:highlight w:val="none"/>
              </w:rPr>
            </w:pPr>
            <w:r>
              <w:rPr>
                <w:color w:val="auto"/>
                <w:szCs w:val="21"/>
                <w:highlight w:val="none"/>
              </w:rPr>
              <w:t>93</w:t>
            </w:r>
          </w:p>
        </w:tc>
        <w:tc>
          <w:tcPr>
            <w:tcW w:w="1001" w:type="pct"/>
            <w:vAlign w:val="center"/>
          </w:tcPr>
          <w:p>
            <w:pPr>
              <w:jc w:val="center"/>
              <w:rPr>
                <w:color w:val="auto"/>
                <w:szCs w:val="21"/>
                <w:highlight w:val="none"/>
              </w:rPr>
            </w:pPr>
            <w:r>
              <w:rPr>
                <w:color w:val="auto"/>
                <w:szCs w:val="21"/>
                <w:highlight w:val="none"/>
              </w:rPr>
              <w:t>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503" w:type="pct"/>
            <w:vAlign w:val="center"/>
          </w:tcPr>
          <w:p>
            <w:pPr>
              <w:widowControl/>
              <w:jc w:val="center"/>
              <w:textAlignment w:val="center"/>
              <w:rPr>
                <w:color w:val="auto"/>
                <w:szCs w:val="21"/>
                <w:highlight w:val="none"/>
              </w:rPr>
            </w:pPr>
            <w:r>
              <w:rPr>
                <w:color w:val="auto"/>
                <w:szCs w:val="21"/>
                <w:highlight w:val="none"/>
              </w:rPr>
              <w:t>耗氧量（COD</w:t>
            </w:r>
            <w:r>
              <w:rPr>
                <w:color w:val="auto"/>
                <w:szCs w:val="21"/>
                <w:highlight w:val="none"/>
                <w:vertAlign w:val="subscript"/>
              </w:rPr>
              <w:t>Mn</w:t>
            </w:r>
            <w:r>
              <w:rPr>
                <w:color w:val="auto"/>
                <w:szCs w:val="21"/>
                <w:highlight w:val="none"/>
              </w:rPr>
              <w:t>法，以O</w:t>
            </w:r>
            <w:r>
              <w:rPr>
                <w:color w:val="auto"/>
                <w:szCs w:val="21"/>
                <w:highlight w:val="none"/>
                <w:vertAlign w:val="subscript"/>
              </w:rPr>
              <w:t>2</w:t>
            </w:r>
            <w:r>
              <w:rPr>
                <w:color w:val="auto"/>
                <w:szCs w:val="21"/>
                <w:highlight w:val="none"/>
              </w:rPr>
              <w:t>计）</w:t>
            </w:r>
          </w:p>
        </w:tc>
        <w:tc>
          <w:tcPr>
            <w:tcW w:w="680" w:type="pct"/>
            <w:vAlign w:val="center"/>
          </w:tcPr>
          <w:p>
            <w:pPr>
              <w:spacing w:line="300" w:lineRule="exact"/>
              <w:jc w:val="center"/>
              <w:rPr>
                <w:color w:val="auto"/>
                <w:szCs w:val="21"/>
                <w:highlight w:val="none"/>
              </w:rPr>
            </w:pPr>
            <w:r>
              <w:rPr>
                <w:color w:val="auto"/>
                <w:szCs w:val="21"/>
                <w:highlight w:val="none"/>
              </w:rPr>
              <w:t>mg/L</w:t>
            </w:r>
          </w:p>
        </w:tc>
        <w:tc>
          <w:tcPr>
            <w:tcW w:w="813" w:type="pct"/>
            <w:vAlign w:val="center"/>
          </w:tcPr>
          <w:p>
            <w:pPr>
              <w:jc w:val="center"/>
              <w:rPr>
                <w:color w:val="auto"/>
                <w:szCs w:val="21"/>
                <w:highlight w:val="none"/>
              </w:rPr>
            </w:pPr>
            <w:r>
              <w:rPr>
                <w:color w:val="auto"/>
                <w:szCs w:val="21"/>
                <w:highlight w:val="none"/>
              </w:rPr>
              <w:t>0.32</w:t>
            </w:r>
          </w:p>
        </w:tc>
        <w:tc>
          <w:tcPr>
            <w:tcW w:w="1001" w:type="pct"/>
            <w:vAlign w:val="center"/>
          </w:tcPr>
          <w:p>
            <w:pPr>
              <w:jc w:val="center"/>
              <w:rPr>
                <w:color w:val="auto"/>
                <w:szCs w:val="21"/>
                <w:highlight w:val="none"/>
              </w:rPr>
            </w:pPr>
            <w:r>
              <w:rPr>
                <w:color w:val="auto"/>
                <w:szCs w:val="21"/>
                <w:highlight w:val="none"/>
              </w:rPr>
              <w:t>0.44</w:t>
            </w:r>
          </w:p>
        </w:tc>
        <w:tc>
          <w:tcPr>
            <w:tcW w:w="1001" w:type="pct"/>
            <w:vAlign w:val="center"/>
          </w:tcPr>
          <w:p>
            <w:pPr>
              <w:jc w:val="center"/>
              <w:rPr>
                <w:color w:val="auto"/>
                <w:szCs w:val="21"/>
                <w:highlight w:val="none"/>
              </w:rPr>
            </w:pPr>
            <w:r>
              <w:rPr>
                <w:color w:val="auto"/>
                <w:szCs w:val="21"/>
                <w:highlight w:val="none"/>
              </w:rPr>
              <w:t>0.37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2" w:hRule="atLeast"/>
          <w:jc w:val="center"/>
        </w:trPr>
        <w:tc>
          <w:tcPr>
            <w:tcW w:w="1503" w:type="pct"/>
            <w:vAlign w:val="center"/>
          </w:tcPr>
          <w:p>
            <w:pPr>
              <w:spacing w:line="260" w:lineRule="exact"/>
              <w:jc w:val="center"/>
              <w:rPr>
                <w:color w:val="auto"/>
                <w:szCs w:val="21"/>
                <w:highlight w:val="none"/>
              </w:rPr>
            </w:pPr>
            <w:r>
              <w:rPr>
                <w:color w:val="auto"/>
                <w:szCs w:val="21"/>
                <w:highlight w:val="none"/>
              </w:rPr>
              <w:t>挥发性酚类（以苯酚计）</w:t>
            </w:r>
          </w:p>
        </w:tc>
        <w:tc>
          <w:tcPr>
            <w:tcW w:w="680" w:type="pct"/>
            <w:vAlign w:val="center"/>
          </w:tcPr>
          <w:p>
            <w:pPr>
              <w:spacing w:line="300" w:lineRule="exact"/>
              <w:jc w:val="center"/>
              <w:rPr>
                <w:color w:val="auto"/>
                <w:szCs w:val="21"/>
                <w:highlight w:val="none"/>
              </w:rPr>
            </w:pPr>
            <w:r>
              <w:rPr>
                <w:color w:val="auto"/>
                <w:szCs w:val="21"/>
                <w:highlight w:val="none"/>
              </w:rPr>
              <w:t>mg/L</w:t>
            </w:r>
          </w:p>
        </w:tc>
        <w:tc>
          <w:tcPr>
            <w:tcW w:w="813" w:type="pct"/>
            <w:vAlign w:val="center"/>
          </w:tcPr>
          <w:p>
            <w:pPr>
              <w:jc w:val="center"/>
              <w:rPr>
                <w:color w:val="auto"/>
                <w:szCs w:val="21"/>
                <w:highlight w:val="none"/>
              </w:rPr>
            </w:pPr>
            <w:r>
              <w:rPr>
                <w:color w:val="auto"/>
                <w:szCs w:val="21"/>
                <w:highlight w:val="none"/>
              </w:rPr>
              <w:t>ND</w:t>
            </w:r>
          </w:p>
        </w:tc>
        <w:tc>
          <w:tcPr>
            <w:tcW w:w="1001" w:type="pct"/>
            <w:vAlign w:val="center"/>
          </w:tcPr>
          <w:p>
            <w:pPr>
              <w:jc w:val="center"/>
              <w:rPr>
                <w:color w:val="auto"/>
                <w:szCs w:val="21"/>
                <w:highlight w:val="none"/>
              </w:rPr>
            </w:pPr>
            <w:r>
              <w:rPr>
                <w:color w:val="auto"/>
                <w:szCs w:val="21"/>
                <w:highlight w:val="none"/>
              </w:rPr>
              <w:t>ND</w:t>
            </w:r>
          </w:p>
        </w:tc>
        <w:tc>
          <w:tcPr>
            <w:tcW w:w="1001" w:type="pct"/>
            <w:vAlign w:val="center"/>
          </w:tcPr>
          <w:p>
            <w:pPr>
              <w:jc w:val="center"/>
              <w:rPr>
                <w:color w:val="auto"/>
                <w:szCs w:val="21"/>
                <w:highlight w:val="none"/>
              </w:rPr>
            </w:pPr>
            <w:r>
              <w:rPr>
                <w:color w:val="auto"/>
                <w:szCs w:val="21"/>
                <w:highlight w:val="none"/>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2" w:hRule="atLeast"/>
          <w:jc w:val="center"/>
        </w:trPr>
        <w:tc>
          <w:tcPr>
            <w:tcW w:w="1503" w:type="pct"/>
            <w:vAlign w:val="center"/>
          </w:tcPr>
          <w:p>
            <w:pPr>
              <w:spacing w:line="260" w:lineRule="exact"/>
              <w:jc w:val="center"/>
              <w:rPr>
                <w:color w:val="auto"/>
                <w:szCs w:val="21"/>
                <w:highlight w:val="none"/>
              </w:rPr>
            </w:pPr>
            <w:r>
              <w:rPr>
                <w:color w:val="auto"/>
                <w:szCs w:val="21"/>
                <w:highlight w:val="none"/>
              </w:rPr>
              <w:t>氰化物</w:t>
            </w:r>
          </w:p>
        </w:tc>
        <w:tc>
          <w:tcPr>
            <w:tcW w:w="680" w:type="pct"/>
            <w:vAlign w:val="center"/>
          </w:tcPr>
          <w:p>
            <w:pPr>
              <w:spacing w:line="300" w:lineRule="exact"/>
              <w:jc w:val="center"/>
              <w:rPr>
                <w:color w:val="auto"/>
                <w:szCs w:val="21"/>
                <w:highlight w:val="none"/>
              </w:rPr>
            </w:pPr>
            <w:r>
              <w:rPr>
                <w:color w:val="auto"/>
                <w:szCs w:val="21"/>
                <w:highlight w:val="none"/>
              </w:rPr>
              <w:t>mg/L</w:t>
            </w:r>
          </w:p>
        </w:tc>
        <w:tc>
          <w:tcPr>
            <w:tcW w:w="813" w:type="pct"/>
            <w:vAlign w:val="center"/>
          </w:tcPr>
          <w:p>
            <w:pPr>
              <w:jc w:val="center"/>
              <w:rPr>
                <w:color w:val="auto"/>
                <w:szCs w:val="21"/>
                <w:highlight w:val="none"/>
              </w:rPr>
            </w:pPr>
            <w:r>
              <w:rPr>
                <w:color w:val="auto"/>
                <w:szCs w:val="21"/>
                <w:highlight w:val="none"/>
              </w:rPr>
              <w:t>ND</w:t>
            </w:r>
          </w:p>
        </w:tc>
        <w:tc>
          <w:tcPr>
            <w:tcW w:w="1001" w:type="pct"/>
            <w:vAlign w:val="center"/>
          </w:tcPr>
          <w:p>
            <w:pPr>
              <w:jc w:val="center"/>
              <w:rPr>
                <w:color w:val="auto"/>
                <w:szCs w:val="21"/>
                <w:highlight w:val="none"/>
              </w:rPr>
            </w:pPr>
            <w:r>
              <w:rPr>
                <w:color w:val="auto"/>
                <w:szCs w:val="21"/>
                <w:highlight w:val="none"/>
              </w:rPr>
              <w:t>ND</w:t>
            </w:r>
          </w:p>
        </w:tc>
        <w:tc>
          <w:tcPr>
            <w:tcW w:w="1001" w:type="pct"/>
            <w:vAlign w:val="center"/>
          </w:tcPr>
          <w:p>
            <w:pPr>
              <w:jc w:val="center"/>
              <w:rPr>
                <w:color w:val="auto"/>
                <w:szCs w:val="21"/>
                <w:highlight w:val="none"/>
              </w:rPr>
            </w:pPr>
            <w:r>
              <w:rPr>
                <w:color w:val="auto"/>
                <w:szCs w:val="21"/>
                <w:highlight w:val="none"/>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2" w:hRule="atLeast"/>
          <w:jc w:val="center"/>
        </w:trPr>
        <w:tc>
          <w:tcPr>
            <w:tcW w:w="1503" w:type="pct"/>
            <w:vAlign w:val="center"/>
          </w:tcPr>
          <w:p>
            <w:pPr>
              <w:widowControl/>
              <w:jc w:val="center"/>
              <w:textAlignment w:val="center"/>
              <w:rPr>
                <w:color w:val="auto"/>
                <w:kern w:val="0"/>
                <w:szCs w:val="21"/>
                <w:highlight w:val="none"/>
              </w:rPr>
            </w:pPr>
            <w:r>
              <w:rPr>
                <w:color w:val="auto"/>
                <w:szCs w:val="21"/>
                <w:highlight w:val="none"/>
              </w:rPr>
              <w:t>阴离子表面活性剂</w:t>
            </w:r>
          </w:p>
        </w:tc>
        <w:tc>
          <w:tcPr>
            <w:tcW w:w="680" w:type="pct"/>
            <w:vAlign w:val="center"/>
          </w:tcPr>
          <w:p>
            <w:pPr>
              <w:spacing w:line="300" w:lineRule="exact"/>
              <w:jc w:val="center"/>
              <w:rPr>
                <w:color w:val="auto"/>
                <w:szCs w:val="21"/>
                <w:highlight w:val="none"/>
              </w:rPr>
            </w:pPr>
            <w:r>
              <w:rPr>
                <w:color w:val="auto"/>
                <w:szCs w:val="21"/>
                <w:highlight w:val="none"/>
              </w:rPr>
              <w:t>mg/L</w:t>
            </w:r>
          </w:p>
        </w:tc>
        <w:tc>
          <w:tcPr>
            <w:tcW w:w="813" w:type="pct"/>
            <w:vAlign w:val="center"/>
          </w:tcPr>
          <w:p>
            <w:pPr>
              <w:jc w:val="center"/>
              <w:rPr>
                <w:color w:val="auto"/>
                <w:szCs w:val="21"/>
                <w:highlight w:val="none"/>
              </w:rPr>
            </w:pPr>
            <w:r>
              <w:rPr>
                <w:color w:val="auto"/>
                <w:szCs w:val="21"/>
                <w:highlight w:val="none"/>
              </w:rPr>
              <w:t>ND</w:t>
            </w:r>
          </w:p>
        </w:tc>
        <w:tc>
          <w:tcPr>
            <w:tcW w:w="1001" w:type="pct"/>
            <w:vAlign w:val="center"/>
          </w:tcPr>
          <w:p>
            <w:pPr>
              <w:jc w:val="center"/>
              <w:rPr>
                <w:color w:val="auto"/>
                <w:szCs w:val="21"/>
                <w:highlight w:val="none"/>
              </w:rPr>
            </w:pPr>
            <w:r>
              <w:rPr>
                <w:color w:val="auto"/>
                <w:szCs w:val="21"/>
                <w:highlight w:val="none"/>
              </w:rPr>
              <w:t>ND</w:t>
            </w:r>
          </w:p>
        </w:tc>
        <w:tc>
          <w:tcPr>
            <w:tcW w:w="1001" w:type="pct"/>
            <w:vAlign w:val="center"/>
          </w:tcPr>
          <w:p>
            <w:pPr>
              <w:jc w:val="center"/>
              <w:rPr>
                <w:color w:val="auto"/>
                <w:szCs w:val="21"/>
                <w:highlight w:val="none"/>
              </w:rPr>
            </w:pPr>
            <w:r>
              <w:rPr>
                <w:color w:val="auto"/>
                <w:szCs w:val="21"/>
                <w:highlight w:val="none"/>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2" w:hRule="atLeast"/>
          <w:jc w:val="center"/>
        </w:trPr>
        <w:tc>
          <w:tcPr>
            <w:tcW w:w="1503" w:type="pct"/>
            <w:vAlign w:val="center"/>
          </w:tcPr>
          <w:p>
            <w:pPr>
              <w:spacing w:line="260" w:lineRule="exact"/>
              <w:jc w:val="center"/>
              <w:rPr>
                <w:color w:val="auto"/>
                <w:szCs w:val="21"/>
                <w:highlight w:val="none"/>
              </w:rPr>
            </w:pPr>
            <w:r>
              <w:rPr>
                <w:color w:val="auto"/>
                <w:szCs w:val="21"/>
                <w:highlight w:val="none"/>
              </w:rPr>
              <w:t>汞</w:t>
            </w:r>
          </w:p>
        </w:tc>
        <w:tc>
          <w:tcPr>
            <w:tcW w:w="680" w:type="pct"/>
            <w:vAlign w:val="center"/>
          </w:tcPr>
          <w:p>
            <w:pPr>
              <w:spacing w:line="300" w:lineRule="exact"/>
              <w:jc w:val="center"/>
              <w:rPr>
                <w:color w:val="auto"/>
                <w:szCs w:val="21"/>
                <w:highlight w:val="none"/>
              </w:rPr>
            </w:pPr>
            <w:r>
              <w:rPr>
                <w:color w:val="auto"/>
                <w:szCs w:val="21"/>
                <w:highlight w:val="none"/>
              </w:rPr>
              <w:t>ug/L</w:t>
            </w:r>
          </w:p>
        </w:tc>
        <w:tc>
          <w:tcPr>
            <w:tcW w:w="813" w:type="pct"/>
            <w:vAlign w:val="center"/>
          </w:tcPr>
          <w:p>
            <w:pPr>
              <w:jc w:val="center"/>
              <w:rPr>
                <w:color w:val="auto"/>
                <w:szCs w:val="21"/>
                <w:highlight w:val="none"/>
              </w:rPr>
            </w:pPr>
            <w:r>
              <w:rPr>
                <w:color w:val="auto"/>
                <w:szCs w:val="21"/>
                <w:highlight w:val="none"/>
              </w:rPr>
              <w:t>ND</w:t>
            </w:r>
          </w:p>
        </w:tc>
        <w:tc>
          <w:tcPr>
            <w:tcW w:w="1001" w:type="pct"/>
            <w:vAlign w:val="center"/>
          </w:tcPr>
          <w:p>
            <w:pPr>
              <w:jc w:val="center"/>
              <w:rPr>
                <w:color w:val="auto"/>
                <w:szCs w:val="21"/>
                <w:highlight w:val="none"/>
              </w:rPr>
            </w:pPr>
            <w:r>
              <w:rPr>
                <w:color w:val="auto"/>
                <w:szCs w:val="21"/>
                <w:highlight w:val="none"/>
              </w:rPr>
              <w:t>ND</w:t>
            </w:r>
          </w:p>
        </w:tc>
        <w:tc>
          <w:tcPr>
            <w:tcW w:w="1001" w:type="pct"/>
            <w:vAlign w:val="center"/>
          </w:tcPr>
          <w:p>
            <w:pPr>
              <w:jc w:val="center"/>
              <w:rPr>
                <w:color w:val="auto"/>
                <w:szCs w:val="21"/>
                <w:highlight w:val="none"/>
              </w:rPr>
            </w:pPr>
            <w:r>
              <w:rPr>
                <w:color w:val="auto"/>
                <w:szCs w:val="21"/>
                <w:highlight w:val="none"/>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03" w:type="pct"/>
            <w:vAlign w:val="center"/>
          </w:tcPr>
          <w:p>
            <w:pPr>
              <w:jc w:val="center"/>
              <w:rPr>
                <w:color w:val="auto"/>
                <w:szCs w:val="21"/>
                <w:highlight w:val="none"/>
              </w:rPr>
            </w:pPr>
            <w:r>
              <w:rPr>
                <w:color w:val="auto"/>
                <w:szCs w:val="21"/>
                <w:highlight w:val="none"/>
              </w:rPr>
              <w:t>砷</w:t>
            </w:r>
          </w:p>
        </w:tc>
        <w:tc>
          <w:tcPr>
            <w:tcW w:w="680" w:type="pct"/>
            <w:vAlign w:val="center"/>
          </w:tcPr>
          <w:p>
            <w:pPr>
              <w:spacing w:line="300" w:lineRule="exact"/>
              <w:jc w:val="center"/>
              <w:rPr>
                <w:color w:val="auto"/>
                <w:szCs w:val="21"/>
                <w:highlight w:val="none"/>
              </w:rPr>
            </w:pPr>
            <w:r>
              <w:rPr>
                <w:color w:val="auto"/>
                <w:szCs w:val="21"/>
                <w:highlight w:val="none"/>
              </w:rPr>
              <w:t>ug/L</w:t>
            </w:r>
          </w:p>
        </w:tc>
        <w:tc>
          <w:tcPr>
            <w:tcW w:w="813" w:type="pct"/>
            <w:vAlign w:val="center"/>
          </w:tcPr>
          <w:p>
            <w:pPr>
              <w:jc w:val="center"/>
              <w:rPr>
                <w:color w:val="auto"/>
                <w:szCs w:val="21"/>
                <w:highlight w:val="none"/>
              </w:rPr>
            </w:pPr>
            <w:r>
              <w:rPr>
                <w:color w:val="auto"/>
                <w:szCs w:val="21"/>
                <w:highlight w:val="none"/>
              </w:rPr>
              <w:t>0.98</w:t>
            </w:r>
          </w:p>
        </w:tc>
        <w:tc>
          <w:tcPr>
            <w:tcW w:w="1001" w:type="pct"/>
            <w:vAlign w:val="center"/>
          </w:tcPr>
          <w:p>
            <w:pPr>
              <w:jc w:val="center"/>
              <w:rPr>
                <w:color w:val="auto"/>
                <w:szCs w:val="21"/>
                <w:highlight w:val="none"/>
              </w:rPr>
            </w:pPr>
            <w:r>
              <w:rPr>
                <w:color w:val="auto"/>
                <w:szCs w:val="21"/>
                <w:highlight w:val="none"/>
              </w:rPr>
              <w:t>0.79</w:t>
            </w:r>
          </w:p>
        </w:tc>
        <w:tc>
          <w:tcPr>
            <w:tcW w:w="1001" w:type="pct"/>
            <w:vAlign w:val="center"/>
          </w:tcPr>
          <w:p>
            <w:pPr>
              <w:jc w:val="center"/>
              <w:rPr>
                <w:color w:val="auto"/>
                <w:szCs w:val="21"/>
                <w:highlight w:val="none"/>
              </w:rPr>
            </w:pPr>
            <w:r>
              <w:rPr>
                <w:color w:val="auto"/>
                <w:szCs w:val="21"/>
                <w:highlight w:val="none"/>
              </w:rPr>
              <w:t>0.97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03" w:type="pct"/>
            <w:vAlign w:val="center"/>
          </w:tcPr>
          <w:p>
            <w:pPr>
              <w:spacing w:line="260" w:lineRule="exact"/>
              <w:jc w:val="center"/>
              <w:rPr>
                <w:color w:val="auto"/>
                <w:kern w:val="0"/>
                <w:szCs w:val="21"/>
                <w:highlight w:val="none"/>
              </w:rPr>
            </w:pPr>
            <w:r>
              <w:rPr>
                <w:color w:val="auto"/>
                <w:szCs w:val="21"/>
                <w:highlight w:val="none"/>
              </w:rPr>
              <w:t>锰</w:t>
            </w:r>
          </w:p>
        </w:tc>
        <w:tc>
          <w:tcPr>
            <w:tcW w:w="680" w:type="pct"/>
            <w:vAlign w:val="center"/>
          </w:tcPr>
          <w:p>
            <w:pPr>
              <w:spacing w:line="300" w:lineRule="exact"/>
              <w:jc w:val="center"/>
              <w:rPr>
                <w:color w:val="auto"/>
                <w:szCs w:val="21"/>
                <w:highlight w:val="none"/>
              </w:rPr>
            </w:pPr>
            <w:r>
              <w:rPr>
                <w:color w:val="auto"/>
                <w:szCs w:val="21"/>
                <w:highlight w:val="none"/>
              </w:rPr>
              <w:t>ug/L</w:t>
            </w:r>
          </w:p>
        </w:tc>
        <w:tc>
          <w:tcPr>
            <w:tcW w:w="813" w:type="pct"/>
            <w:vAlign w:val="center"/>
          </w:tcPr>
          <w:p>
            <w:pPr>
              <w:jc w:val="center"/>
              <w:rPr>
                <w:color w:val="auto"/>
                <w:szCs w:val="21"/>
                <w:highlight w:val="none"/>
              </w:rPr>
            </w:pPr>
            <w:r>
              <w:rPr>
                <w:color w:val="auto"/>
                <w:szCs w:val="21"/>
                <w:highlight w:val="none"/>
              </w:rPr>
              <w:t>2.84</w:t>
            </w:r>
          </w:p>
        </w:tc>
        <w:tc>
          <w:tcPr>
            <w:tcW w:w="1001" w:type="pct"/>
            <w:vAlign w:val="center"/>
          </w:tcPr>
          <w:p>
            <w:pPr>
              <w:jc w:val="center"/>
              <w:rPr>
                <w:color w:val="auto"/>
                <w:szCs w:val="21"/>
                <w:highlight w:val="none"/>
              </w:rPr>
            </w:pPr>
            <w:r>
              <w:rPr>
                <w:color w:val="auto"/>
                <w:szCs w:val="21"/>
                <w:highlight w:val="none"/>
              </w:rPr>
              <w:t>1.64</w:t>
            </w:r>
          </w:p>
        </w:tc>
        <w:tc>
          <w:tcPr>
            <w:tcW w:w="1001" w:type="pct"/>
            <w:vAlign w:val="center"/>
          </w:tcPr>
          <w:p>
            <w:pPr>
              <w:jc w:val="center"/>
              <w:rPr>
                <w:color w:val="auto"/>
                <w:szCs w:val="21"/>
                <w:highlight w:val="none"/>
              </w:rPr>
            </w:pPr>
            <w:r>
              <w:rPr>
                <w:color w:val="auto"/>
                <w:szCs w:val="21"/>
                <w:highlight w:val="none"/>
              </w:rPr>
              <w:t>2.94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03" w:type="pct"/>
            <w:vAlign w:val="center"/>
          </w:tcPr>
          <w:p>
            <w:pPr>
              <w:spacing w:line="260" w:lineRule="exact"/>
              <w:jc w:val="center"/>
              <w:rPr>
                <w:color w:val="auto"/>
                <w:szCs w:val="21"/>
                <w:highlight w:val="none"/>
              </w:rPr>
            </w:pPr>
            <w:r>
              <w:rPr>
                <w:color w:val="auto"/>
                <w:szCs w:val="21"/>
                <w:highlight w:val="none"/>
              </w:rPr>
              <w:t>铁</w:t>
            </w:r>
          </w:p>
        </w:tc>
        <w:tc>
          <w:tcPr>
            <w:tcW w:w="680" w:type="pct"/>
            <w:vAlign w:val="center"/>
          </w:tcPr>
          <w:p>
            <w:pPr>
              <w:spacing w:line="300" w:lineRule="exact"/>
              <w:jc w:val="center"/>
              <w:rPr>
                <w:color w:val="auto"/>
                <w:szCs w:val="21"/>
                <w:highlight w:val="none"/>
              </w:rPr>
            </w:pPr>
            <w:r>
              <w:rPr>
                <w:color w:val="auto"/>
                <w:szCs w:val="21"/>
                <w:highlight w:val="none"/>
              </w:rPr>
              <w:t>ug/L</w:t>
            </w:r>
          </w:p>
        </w:tc>
        <w:tc>
          <w:tcPr>
            <w:tcW w:w="813" w:type="pct"/>
            <w:vAlign w:val="center"/>
          </w:tcPr>
          <w:p>
            <w:pPr>
              <w:jc w:val="center"/>
              <w:rPr>
                <w:color w:val="auto"/>
                <w:szCs w:val="21"/>
                <w:highlight w:val="none"/>
              </w:rPr>
            </w:pPr>
            <w:r>
              <w:rPr>
                <w:color w:val="auto"/>
                <w:szCs w:val="21"/>
                <w:highlight w:val="none"/>
              </w:rPr>
              <w:t>10.4</w:t>
            </w:r>
          </w:p>
        </w:tc>
        <w:tc>
          <w:tcPr>
            <w:tcW w:w="1001" w:type="pct"/>
            <w:vAlign w:val="center"/>
          </w:tcPr>
          <w:p>
            <w:pPr>
              <w:jc w:val="center"/>
              <w:rPr>
                <w:color w:val="auto"/>
                <w:szCs w:val="21"/>
                <w:highlight w:val="none"/>
              </w:rPr>
            </w:pPr>
            <w:r>
              <w:rPr>
                <w:color w:val="auto"/>
                <w:szCs w:val="21"/>
                <w:highlight w:val="none"/>
              </w:rPr>
              <w:t>7.24</w:t>
            </w:r>
          </w:p>
        </w:tc>
        <w:tc>
          <w:tcPr>
            <w:tcW w:w="1001" w:type="pct"/>
            <w:vAlign w:val="center"/>
          </w:tcPr>
          <w:p>
            <w:pPr>
              <w:jc w:val="center"/>
              <w:rPr>
                <w:color w:val="auto"/>
                <w:szCs w:val="21"/>
                <w:highlight w:val="none"/>
              </w:rPr>
            </w:pPr>
            <w:r>
              <w:rPr>
                <w:color w:val="auto"/>
                <w:szCs w:val="21"/>
                <w:highlight w:val="none"/>
              </w:rPr>
              <w:t>13.3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03" w:type="pct"/>
            <w:vAlign w:val="center"/>
          </w:tcPr>
          <w:p>
            <w:pPr>
              <w:spacing w:line="260" w:lineRule="exact"/>
              <w:jc w:val="center"/>
              <w:rPr>
                <w:color w:val="auto"/>
                <w:szCs w:val="21"/>
                <w:highlight w:val="none"/>
              </w:rPr>
            </w:pPr>
            <w:r>
              <w:rPr>
                <w:color w:val="auto"/>
                <w:szCs w:val="21"/>
                <w:highlight w:val="none"/>
              </w:rPr>
              <w:t>镉</w:t>
            </w:r>
          </w:p>
        </w:tc>
        <w:tc>
          <w:tcPr>
            <w:tcW w:w="680" w:type="pct"/>
            <w:vAlign w:val="center"/>
          </w:tcPr>
          <w:p>
            <w:pPr>
              <w:spacing w:line="300" w:lineRule="exact"/>
              <w:jc w:val="center"/>
              <w:rPr>
                <w:color w:val="auto"/>
                <w:szCs w:val="21"/>
                <w:highlight w:val="none"/>
              </w:rPr>
            </w:pPr>
            <w:r>
              <w:rPr>
                <w:color w:val="auto"/>
                <w:szCs w:val="21"/>
                <w:highlight w:val="none"/>
              </w:rPr>
              <w:t>ug/L</w:t>
            </w:r>
          </w:p>
        </w:tc>
        <w:tc>
          <w:tcPr>
            <w:tcW w:w="813" w:type="pct"/>
            <w:vAlign w:val="center"/>
          </w:tcPr>
          <w:p>
            <w:pPr>
              <w:jc w:val="center"/>
              <w:rPr>
                <w:color w:val="auto"/>
                <w:szCs w:val="21"/>
                <w:highlight w:val="none"/>
              </w:rPr>
            </w:pPr>
            <w:r>
              <w:rPr>
                <w:color w:val="auto"/>
                <w:szCs w:val="21"/>
                <w:highlight w:val="none"/>
              </w:rPr>
              <w:t>ND</w:t>
            </w:r>
          </w:p>
        </w:tc>
        <w:tc>
          <w:tcPr>
            <w:tcW w:w="1001" w:type="pct"/>
            <w:vAlign w:val="center"/>
          </w:tcPr>
          <w:p>
            <w:pPr>
              <w:jc w:val="center"/>
              <w:rPr>
                <w:color w:val="auto"/>
                <w:szCs w:val="21"/>
                <w:highlight w:val="none"/>
              </w:rPr>
            </w:pPr>
            <w:r>
              <w:rPr>
                <w:color w:val="auto"/>
                <w:szCs w:val="21"/>
                <w:highlight w:val="none"/>
              </w:rPr>
              <w:t>ND</w:t>
            </w:r>
          </w:p>
        </w:tc>
        <w:tc>
          <w:tcPr>
            <w:tcW w:w="1001" w:type="pct"/>
            <w:vAlign w:val="center"/>
          </w:tcPr>
          <w:p>
            <w:pPr>
              <w:jc w:val="center"/>
              <w:rPr>
                <w:color w:val="auto"/>
                <w:szCs w:val="21"/>
                <w:highlight w:val="none"/>
              </w:rPr>
            </w:pPr>
            <w:r>
              <w:rPr>
                <w:color w:val="auto"/>
                <w:szCs w:val="21"/>
                <w:highlight w:val="none"/>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03" w:type="pct"/>
            <w:vAlign w:val="center"/>
          </w:tcPr>
          <w:p>
            <w:pPr>
              <w:spacing w:line="260" w:lineRule="exact"/>
              <w:jc w:val="center"/>
              <w:rPr>
                <w:color w:val="auto"/>
                <w:szCs w:val="21"/>
                <w:highlight w:val="none"/>
              </w:rPr>
            </w:pPr>
            <w:r>
              <w:rPr>
                <w:color w:val="auto"/>
                <w:szCs w:val="21"/>
                <w:highlight w:val="none"/>
              </w:rPr>
              <w:t>铅</w:t>
            </w:r>
          </w:p>
        </w:tc>
        <w:tc>
          <w:tcPr>
            <w:tcW w:w="680" w:type="pct"/>
            <w:vAlign w:val="center"/>
          </w:tcPr>
          <w:p>
            <w:pPr>
              <w:widowControl/>
              <w:jc w:val="center"/>
              <w:textAlignment w:val="center"/>
              <w:rPr>
                <w:color w:val="auto"/>
                <w:szCs w:val="21"/>
                <w:highlight w:val="none"/>
              </w:rPr>
            </w:pPr>
            <w:r>
              <w:rPr>
                <w:color w:val="auto"/>
                <w:szCs w:val="21"/>
                <w:highlight w:val="none"/>
              </w:rPr>
              <w:t>ug/L</w:t>
            </w:r>
          </w:p>
        </w:tc>
        <w:tc>
          <w:tcPr>
            <w:tcW w:w="813" w:type="pct"/>
            <w:vAlign w:val="center"/>
          </w:tcPr>
          <w:p>
            <w:pPr>
              <w:jc w:val="center"/>
              <w:rPr>
                <w:color w:val="auto"/>
                <w:szCs w:val="21"/>
                <w:highlight w:val="none"/>
              </w:rPr>
            </w:pPr>
            <w:r>
              <w:rPr>
                <w:color w:val="auto"/>
                <w:szCs w:val="21"/>
                <w:highlight w:val="none"/>
              </w:rPr>
              <w:t>ND</w:t>
            </w:r>
          </w:p>
        </w:tc>
        <w:tc>
          <w:tcPr>
            <w:tcW w:w="1001" w:type="pct"/>
            <w:vAlign w:val="center"/>
          </w:tcPr>
          <w:p>
            <w:pPr>
              <w:jc w:val="center"/>
              <w:rPr>
                <w:color w:val="auto"/>
                <w:szCs w:val="21"/>
                <w:highlight w:val="none"/>
              </w:rPr>
            </w:pPr>
            <w:r>
              <w:rPr>
                <w:color w:val="auto"/>
                <w:szCs w:val="21"/>
                <w:highlight w:val="none"/>
              </w:rPr>
              <w:t>ND</w:t>
            </w:r>
          </w:p>
        </w:tc>
        <w:tc>
          <w:tcPr>
            <w:tcW w:w="1001" w:type="pct"/>
            <w:vAlign w:val="center"/>
          </w:tcPr>
          <w:p>
            <w:pPr>
              <w:jc w:val="center"/>
              <w:rPr>
                <w:color w:val="auto"/>
                <w:szCs w:val="21"/>
                <w:highlight w:val="none"/>
              </w:rPr>
            </w:pPr>
            <w:r>
              <w:rPr>
                <w:color w:val="auto"/>
                <w:szCs w:val="21"/>
                <w:highlight w:val="none"/>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03" w:type="pct"/>
            <w:vAlign w:val="center"/>
          </w:tcPr>
          <w:p>
            <w:pPr>
              <w:jc w:val="center"/>
              <w:rPr>
                <w:color w:val="auto"/>
                <w:szCs w:val="21"/>
                <w:highlight w:val="none"/>
              </w:rPr>
            </w:pPr>
            <w:r>
              <w:rPr>
                <w:color w:val="auto"/>
                <w:szCs w:val="21"/>
                <w:highlight w:val="none"/>
              </w:rPr>
              <w:t>HCO</w:t>
            </w:r>
            <w:r>
              <w:rPr>
                <w:color w:val="auto"/>
                <w:szCs w:val="21"/>
                <w:highlight w:val="none"/>
                <w:vertAlign w:val="subscript"/>
              </w:rPr>
              <w:t>3</w:t>
            </w:r>
            <w:r>
              <w:rPr>
                <w:color w:val="auto"/>
                <w:szCs w:val="21"/>
                <w:highlight w:val="none"/>
                <w:vertAlign w:val="superscript"/>
              </w:rPr>
              <w:t>-</w:t>
            </w:r>
          </w:p>
        </w:tc>
        <w:tc>
          <w:tcPr>
            <w:tcW w:w="680" w:type="pct"/>
            <w:vAlign w:val="center"/>
          </w:tcPr>
          <w:p>
            <w:pPr>
              <w:topLinePunct/>
              <w:jc w:val="center"/>
              <w:rPr>
                <w:color w:val="auto"/>
                <w:szCs w:val="21"/>
                <w:highlight w:val="none"/>
              </w:rPr>
            </w:pPr>
            <w:r>
              <w:rPr>
                <w:color w:val="auto"/>
                <w:szCs w:val="21"/>
                <w:highlight w:val="none"/>
              </w:rPr>
              <w:t>mg/L</w:t>
            </w:r>
          </w:p>
        </w:tc>
        <w:tc>
          <w:tcPr>
            <w:tcW w:w="813" w:type="pct"/>
            <w:vAlign w:val="center"/>
          </w:tcPr>
          <w:p>
            <w:pPr>
              <w:jc w:val="center"/>
              <w:rPr>
                <w:color w:val="auto"/>
                <w:szCs w:val="21"/>
                <w:highlight w:val="none"/>
              </w:rPr>
            </w:pPr>
            <w:r>
              <w:rPr>
                <w:color w:val="auto"/>
                <w:szCs w:val="21"/>
                <w:highlight w:val="none"/>
              </w:rPr>
              <w:t>219</w:t>
            </w:r>
          </w:p>
        </w:tc>
        <w:tc>
          <w:tcPr>
            <w:tcW w:w="1001" w:type="pct"/>
            <w:vAlign w:val="center"/>
          </w:tcPr>
          <w:p>
            <w:pPr>
              <w:jc w:val="center"/>
              <w:rPr>
                <w:color w:val="auto"/>
                <w:szCs w:val="21"/>
                <w:highlight w:val="none"/>
              </w:rPr>
            </w:pPr>
            <w:r>
              <w:rPr>
                <w:color w:val="auto"/>
                <w:szCs w:val="21"/>
                <w:highlight w:val="none"/>
              </w:rPr>
              <w:t>235</w:t>
            </w:r>
          </w:p>
        </w:tc>
        <w:tc>
          <w:tcPr>
            <w:tcW w:w="1001" w:type="pct"/>
            <w:vAlign w:val="center"/>
          </w:tcPr>
          <w:p>
            <w:pPr>
              <w:jc w:val="center"/>
              <w:rPr>
                <w:color w:val="auto"/>
                <w:szCs w:val="21"/>
                <w:highlight w:val="none"/>
              </w:rPr>
            </w:pPr>
            <w:r>
              <w:rPr>
                <w:color w:val="auto"/>
                <w:szCs w:val="21"/>
                <w:highlight w:val="none"/>
              </w:rPr>
              <w:t>244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03" w:type="pct"/>
            <w:vAlign w:val="center"/>
          </w:tcPr>
          <w:p>
            <w:pPr>
              <w:jc w:val="center"/>
              <w:rPr>
                <w:color w:val="auto"/>
                <w:szCs w:val="21"/>
                <w:highlight w:val="none"/>
              </w:rPr>
            </w:pPr>
            <w:r>
              <w:rPr>
                <w:color w:val="auto"/>
                <w:szCs w:val="21"/>
                <w:highlight w:val="none"/>
              </w:rPr>
              <w:t>CO</w:t>
            </w:r>
            <w:r>
              <w:rPr>
                <w:color w:val="auto"/>
                <w:szCs w:val="21"/>
                <w:highlight w:val="none"/>
                <w:vertAlign w:val="subscript"/>
              </w:rPr>
              <w:t>3</w:t>
            </w:r>
            <w:r>
              <w:rPr>
                <w:color w:val="auto"/>
                <w:szCs w:val="21"/>
                <w:highlight w:val="none"/>
                <w:vertAlign w:val="superscript"/>
              </w:rPr>
              <w:t>2-</w:t>
            </w:r>
          </w:p>
        </w:tc>
        <w:tc>
          <w:tcPr>
            <w:tcW w:w="680" w:type="pct"/>
            <w:vAlign w:val="center"/>
          </w:tcPr>
          <w:p>
            <w:pPr>
              <w:spacing w:line="300" w:lineRule="exact"/>
              <w:jc w:val="center"/>
              <w:rPr>
                <w:color w:val="auto"/>
                <w:szCs w:val="21"/>
                <w:highlight w:val="none"/>
              </w:rPr>
            </w:pPr>
            <w:r>
              <w:rPr>
                <w:color w:val="auto"/>
                <w:szCs w:val="21"/>
                <w:highlight w:val="none"/>
              </w:rPr>
              <w:t>mg/L</w:t>
            </w:r>
          </w:p>
        </w:tc>
        <w:tc>
          <w:tcPr>
            <w:tcW w:w="813" w:type="pct"/>
            <w:vAlign w:val="center"/>
          </w:tcPr>
          <w:p>
            <w:pPr>
              <w:jc w:val="center"/>
              <w:rPr>
                <w:color w:val="auto"/>
                <w:szCs w:val="21"/>
                <w:highlight w:val="none"/>
              </w:rPr>
            </w:pPr>
            <w:r>
              <w:rPr>
                <w:color w:val="auto"/>
                <w:szCs w:val="21"/>
                <w:highlight w:val="none"/>
              </w:rPr>
              <w:t>0</w:t>
            </w:r>
          </w:p>
        </w:tc>
        <w:tc>
          <w:tcPr>
            <w:tcW w:w="1001" w:type="pct"/>
            <w:vAlign w:val="center"/>
          </w:tcPr>
          <w:p>
            <w:pPr>
              <w:jc w:val="center"/>
              <w:rPr>
                <w:color w:val="auto"/>
                <w:szCs w:val="21"/>
                <w:highlight w:val="none"/>
              </w:rPr>
            </w:pPr>
            <w:r>
              <w:rPr>
                <w:color w:val="auto"/>
                <w:szCs w:val="21"/>
                <w:highlight w:val="none"/>
              </w:rPr>
              <w:t>0</w:t>
            </w:r>
          </w:p>
        </w:tc>
        <w:tc>
          <w:tcPr>
            <w:tcW w:w="1001" w:type="pct"/>
            <w:vAlign w:val="center"/>
          </w:tcPr>
          <w:p>
            <w:pPr>
              <w:jc w:val="center"/>
              <w:rPr>
                <w:color w:val="auto"/>
                <w:szCs w:val="21"/>
                <w:highlight w:val="none"/>
              </w:rPr>
            </w:pPr>
            <w:r>
              <w:rPr>
                <w:color w:val="auto"/>
                <w:szCs w:val="21"/>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03" w:type="pct"/>
            <w:vAlign w:val="center"/>
          </w:tcPr>
          <w:p>
            <w:pPr>
              <w:jc w:val="center"/>
              <w:rPr>
                <w:color w:val="auto"/>
                <w:szCs w:val="21"/>
                <w:highlight w:val="none"/>
              </w:rPr>
            </w:pPr>
            <w:r>
              <w:rPr>
                <w:color w:val="auto"/>
                <w:szCs w:val="21"/>
                <w:highlight w:val="none"/>
              </w:rPr>
              <w:t>K</w:t>
            </w:r>
            <w:r>
              <w:rPr>
                <w:color w:val="auto"/>
                <w:szCs w:val="21"/>
                <w:highlight w:val="none"/>
                <w:vertAlign w:val="superscript"/>
              </w:rPr>
              <w:t>+</w:t>
            </w:r>
          </w:p>
        </w:tc>
        <w:tc>
          <w:tcPr>
            <w:tcW w:w="680" w:type="pct"/>
            <w:vAlign w:val="center"/>
          </w:tcPr>
          <w:p>
            <w:pPr>
              <w:spacing w:line="300" w:lineRule="exact"/>
              <w:jc w:val="center"/>
              <w:rPr>
                <w:color w:val="auto"/>
                <w:szCs w:val="21"/>
                <w:highlight w:val="none"/>
              </w:rPr>
            </w:pPr>
            <w:r>
              <w:rPr>
                <w:color w:val="auto"/>
                <w:szCs w:val="21"/>
                <w:highlight w:val="none"/>
              </w:rPr>
              <w:t>mg/L</w:t>
            </w:r>
          </w:p>
        </w:tc>
        <w:tc>
          <w:tcPr>
            <w:tcW w:w="813" w:type="pct"/>
            <w:vAlign w:val="center"/>
          </w:tcPr>
          <w:p>
            <w:pPr>
              <w:jc w:val="center"/>
              <w:rPr>
                <w:color w:val="auto"/>
                <w:szCs w:val="21"/>
                <w:highlight w:val="none"/>
              </w:rPr>
            </w:pPr>
            <w:r>
              <w:rPr>
                <w:color w:val="auto"/>
                <w:szCs w:val="21"/>
                <w:highlight w:val="none"/>
              </w:rPr>
              <w:t>0.21</w:t>
            </w:r>
          </w:p>
        </w:tc>
        <w:tc>
          <w:tcPr>
            <w:tcW w:w="1001" w:type="pct"/>
            <w:vAlign w:val="center"/>
          </w:tcPr>
          <w:p>
            <w:pPr>
              <w:jc w:val="center"/>
              <w:rPr>
                <w:color w:val="auto"/>
                <w:szCs w:val="21"/>
                <w:highlight w:val="none"/>
              </w:rPr>
            </w:pPr>
            <w:r>
              <w:rPr>
                <w:color w:val="auto"/>
                <w:szCs w:val="21"/>
                <w:highlight w:val="none"/>
              </w:rPr>
              <w:t>0.05</w:t>
            </w:r>
          </w:p>
        </w:tc>
        <w:tc>
          <w:tcPr>
            <w:tcW w:w="1001" w:type="pct"/>
            <w:vAlign w:val="center"/>
          </w:tcPr>
          <w:p>
            <w:pPr>
              <w:jc w:val="center"/>
              <w:rPr>
                <w:color w:val="auto"/>
                <w:szCs w:val="21"/>
                <w:highlight w:val="none"/>
              </w:rPr>
            </w:pPr>
            <w:r>
              <w:rPr>
                <w:color w:val="auto"/>
                <w:szCs w:val="21"/>
                <w:highlight w:val="none"/>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03" w:type="pct"/>
            <w:vAlign w:val="center"/>
          </w:tcPr>
          <w:p>
            <w:pPr>
              <w:jc w:val="center"/>
              <w:rPr>
                <w:color w:val="auto"/>
                <w:szCs w:val="21"/>
                <w:highlight w:val="none"/>
              </w:rPr>
            </w:pPr>
            <w:r>
              <w:rPr>
                <w:color w:val="auto"/>
                <w:szCs w:val="21"/>
                <w:highlight w:val="none"/>
              </w:rPr>
              <w:t>Na</w:t>
            </w:r>
            <w:r>
              <w:rPr>
                <w:color w:val="auto"/>
                <w:szCs w:val="21"/>
                <w:highlight w:val="none"/>
                <w:vertAlign w:val="superscript"/>
              </w:rPr>
              <w:t>+</w:t>
            </w:r>
          </w:p>
        </w:tc>
        <w:tc>
          <w:tcPr>
            <w:tcW w:w="680" w:type="pct"/>
            <w:vAlign w:val="center"/>
          </w:tcPr>
          <w:p>
            <w:pPr>
              <w:spacing w:line="300" w:lineRule="exact"/>
              <w:jc w:val="center"/>
              <w:rPr>
                <w:color w:val="auto"/>
                <w:szCs w:val="21"/>
                <w:highlight w:val="none"/>
              </w:rPr>
            </w:pPr>
            <w:r>
              <w:rPr>
                <w:color w:val="auto"/>
                <w:szCs w:val="21"/>
                <w:highlight w:val="none"/>
              </w:rPr>
              <w:t>mg/L</w:t>
            </w:r>
          </w:p>
        </w:tc>
        <w:tc>
          <w:tcPr>
            <w:tcW w:w="813" w:type="pct"/>
            <w:vAlign w:val="center"/>
          </w:tcPr>
          <w:p>
            <w:pPr>
              <w:jc w:val="center"/>
              <w:rPr>
                <w:color w:val="auto"/>
                <w:szCs w:val="21"/>
                <w:highlight w:val="none"/>
              </w:rPr>
            </w:pPr>
            <w:r>
              <w:rPr>
                <w:color w:val="auto"/>
                <w:szCs w:val="21"/>
                <w:highlight w:val="none"/>
              </w:rPr>
              <w:t>21.9</w:t>
            </w:r>
          </w:p>
        </w:tc>
        <w:tc>
          <w:tcPr>
            <w:tcW w:w="1001" w:type="pct"/>
            <w:vAlign w:val="center"/>
          </w:tcPr>
          <w:p>
            <w:pPr>
              <w:jc w:val="center"/>
              <w:rPr>
                <w:color w:val="auto"/>
                <w:szCs w:val="21"/>
                <w:highlight w:val="none"/>
              </w:rPr>
            </w:pPr>
            <w:r>
              <w:rPr>
                <w:color w:val="auto"/>
                <w:szCs w:val="21"/>
                <w:highlight w:val="none"/>
              </w:rPr>
              <w:t>12.2</w:t>
            </w:r>
          </w:p>
        </w:tc>
        <w:tc>
          <w:tcPr>
            <w:tcW w:w="1001" w:type="pct"/>
            <w:vAlign w:val="center"/>
          </w:tcPr>
          <w:p>
            <w:pPr>
              <w:jc w:val="center"/>
              <w:rPr>
                <w:color w:val="auto"/>
                <w:szCs w:val="21"/>
                <w:highlight w:val="none"/>
              </w:rPr>
            </w:pPr>
            <w:r>
              <w:rPr>
                <w:color w:val="auto"/>
                <w:szCs w:val="21"/>
                <w:highlight w:val="none"/>
              </w:rPr>
              <w:t>12.6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03" w:type="pct"/>
            <w:vAlign w:val="center"/>
          </w:tcPr>
          <w:p>
            <w:pPr>
              <w:spacing w:line="260" w:lineRule="exact"/>
              <w:jc w:val="center"/>
              <w:rPr>
                <w:color w:val="auto"/>
                <w:szCs w:val="21"/>
                <w:highlight w:val="none"/>
              </w:rPr>
            </w:pPr>
            <w:r>
              <w:rPr>
                <w:color w:val="auto"/>
                <w:szCs w:val="21"/>
                <w:highlight w:val="none"/>
              </w:rPr>
              <w:t>Mg</w:t>
            </w:r>
            <w:r>
              <w:rPr>
                <w:color w:val="auto"/>
                <w:szCs w:val="21"/>
                <w:highlight w:val="none"/>
                <w:vertAlign w:val="superscript"/>
              </w:rPr>
              <w:t>2+</w:t>
            </w:r>
          </w:p>
        </w:tc>
        <w:tc>
          <w:tcPr>
            <w:tcW w:w="680" w:type="pct"/>
            <w:vAlign w:val="center"/>
          </w:tcPr>
          <w:p>
            <w:pPr>
              <w:spacing w:line="300" w:lineRule="exact"/>
              <w:jc w:val="center"/>
              <w:rPr>
                <w:color w:val="auto"/>
                <w:szCs w:val="21"/>
                <w:highlight w:val="none"/>
              </w:rPr>
            </w:pPr>
            <w:r>
              <w:rPr>
                <w:color w:val="auto"/>
                <w:szCs w:val="21"/>
                <w:highlight w:val="none"/>
              </w:rPr>
              <w:t>mg/L</w:t>
            </w:r>
          </w:p>
        </w:tc>
        <w:tc>
          <w:tcPr>
            <w:tcW w:w="813" w:type="pct"/>
            <w:vAlign w:val="center"/>
          </w:tcPr>
          <w:p>
            <w:pPr>
              <w:jc w:val="center"/>
              <w:rPr>
                <w:color w:val="auto"/>
                <w:szCs w:val="21"/>
                <w:highlight w:val="none"/>
              </w:rPr>
            </w:pPr>
            <w:r>
              <w:rPr>
                <w:color w:val="auto"/>
                <w:szCs w:val="21"/>
                <w:highlight w:val="none"/>
              </w:rPr>
              <w:t>8.70</w:t>
            </w:r>
          </w:p>
        </w:tc>
        <w:tc>
          <w:tcPr>
            <w:tcW w:w="1001" w:type="pct"/>
            <w:vAlign w:val="center"/>
          </w:tcPr>
          <w:p>
            <w:pPr>
              <w:jc w:val="center"/>
              <w:rPr>
                <w:color w:val="auto"/>
                <w:szCs w:val="21"/>
                <w:highlight w:val="none"/>
              </w:rPr>
            </w:pPr>
            <w:r>
              <w:rPr>
                <w:color w:val="auto"/>
                <w:szCs w:val="21"/>
                <w:highlight w:val="none"/>
              </w:rPr>
              <w:t>8.93</w:t>
            </w:r>
          </w:p>
        </w:tc>
        <w:tc>
          <w:tcPr>
            <w:tcW w:w="1001" w:type="pct"/>
            <w:vAlign w:val="center"/>
          </w:tcPr>
          <w:p>
            <w:pPr>
              <w:jc w:val="center"/>
              <w:rPr>
                <w:color w:val="auto"/>
                <w:szCs w:val="21"/>
                <w:highlight w:val="none"/>
              </w:rPr>
            </w:pPr>
            <w:r>
              <w:rPr>
                <w:color w:val="auto"/>
                <w:szCs w:val="21"/>
                <w:highlight w:val="none"/>
              </w:rPr>
              <w:t>9.06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03" w:type="pct"/>
            <w:vAlign w:val="center"/>
          </w:tcPr>
          <w:p>
            <w:pPr>
              <w:spacing w:line="260" w:lineRule="exact"/>
              <w:jc w:val="center"/>
              <w:rPr>
                <w:color w:val="auto"/>
                <w:szCs w:val="21"/>
                <w:highlight w:val="none"/>
              </w:rPr>
            </w:pPr>
            <w:r>
              <w:rPr>
                <w:color w:val="auto"/>
                <w:szCs w:val="21"/>
                <w:highlight w:val="none"/>
              </w:rPr>
              <w:t>Ca</w:t>
            </w:r>
            <w:r>
              <w:rPr>
                <w:color w:val="auto"/>
                <w:szCs w:val="21"/>
                <w:highlight w:val="none"/>
                <w:vertAlign w:val="superscript"/>
              </w:rPr>
              <w:t>2+</w:t>
            </w:r>
          </w:p>
        </w:tc>
        <w:tc>
          <w:tcPr>
            <w:tcW w:w="680" w:type="pct"/>
            <w:vAlign w:val="center"/>
          </w:tcPr>
          <w:p>
            <w:pPr>
              <w:spacing w:line="300" w:lineRule="exact"/>
              <w:jc w:val="center"/>
              <w:rPr>
                <w:color w:val="auto"/>
                <w:szCs w:val="21"/>
                <w:highlight w:val="none"/>
              </w:rPr>
            </w:pPr>
            <w:r>
              <w:rPr>
                <w:color w:val="auto"/>
                <w:szCs w:val="21"/>
                <w:highlight w:val="none"/>
              </w:rPr>
              <w:t>mg/L</w:t>
            </w:r>
          </w:p>
        </w:tc>
        <w:tc>
          <w:tcPr>
            <w:tcW w:w="813" w:type="pct"/>
            <w:vAlign w:val="center"/>
          </w:tcPr>
          <w:p>
            <w:pPr>
              <w:jc w:val="center"/>
              <w:rPr>
                <w:color w:val="auto"/>
                <w:szCs w:val="21"/>
                <w:highlight w:val="none"/>
              </w:rPr>
            </w:pPr>
            <w:r>
              <w:rPr>
                <w:color w:val="auto"/>
                <w:szCs w:val="21"/>
                <w:highlight w:val="none"/>
              </w:rPr>
              <w:t>46.6</w:t>
            </w:r>
          </w:p>
        </w:tc>
        <w:tc>
          <w:tcPr>
            <w:tcW w:w="1001" w:type="pct"/>
            <w:vAlign w:val="center"/>
          </w:tcPr>
          <w:p>
            <w:pPr>
              <w:jc w:val="center"/>
              <w:rPr>
                <w:color w:val="auto"/>
                <w:szCs w:val="21"/>
                <w:highlight w:val="none"/>
              </w:rPr>
            </w:pPr>
            <w:r>
              <w:rPr>
                <w:color w:val="auto"/>
                <w:szCs w:val="21"/>
                <w:highlight w:val="none"/>
              </w:rPr>
              <w:t>47.8</w:t>
            </w:r>
          </w:p>
        </w:tc>
        <w:tc>
          <w:tcPr>
            <w:tcW w:w="1001" w:type="pct"/>
            <w:vAlign w:val="center"/>
          </w:tcPr>
          <w:p>
            <w:pPr>
              <w:jc w:val="center"/>
              <w:rPr>
                <w:color w:val="auto"/>
                <w:szCs w:val="21"/>
                <w:highlight w:val="none"/>
              </w:rPr>
            </w:pPr>
            <w:r>
              <w:rPr>
                <w:color w:val="auto"/>
                <w:szCs w:val="21"/>
                <w:highlight w:val="none"/>
              </w:rPr>
              <w:t>49.1</w:t>
            </w:r>
          </w:p>
        </w:tc>
      </w:tr>
    </w:tbl>
    <w:p>
      <w:pPr>
        <w:spacing w:line="360" w:lineRule="auto"/>
        <w:jc w:val="center"/>
        <w:rPr>
          <w:rFonts w:eastAsia="黑体"/>
          <w:bCs/>
          <w:color w:val="auto"/>
          <w:kern w:val="0"/>
          <w:sz w:val="24"/>
          <w:highlight w:val="none"/>
        </w:rPr>
      </w:pPr>
      <w:r>
        <w:rPr>
          <w:rFonts w:eastAsia="黑体"/>
          <w:bCs/>
          <w:color w:val="auto"/>
          <w:kern w:val="0"/>
          <w:sz w:val="24"/>
          <w:highlight w:val="none"/>
        </w:rPr>
        <w:t>表</w:t>
      </w:r>
      <w:r>
        <w:rPr>
          <w:rFonts w:eastAsia="黑体"/>
          <w:color w:val="auto"/>
          <w:sz w:val="24"/>
          <w:highlight w:val="none"/>
        </w:rPr>
        <w:t>3.5-4</w:t>
      </w:r>
      <w:r>
        <w:rPr>
          <w:rFonts w:eastAsia="黑体"/>
          <w:bCs/>
          <w:color w:val="auto"/>
          <w:kern w:val="0"/>
          <w:sz w:val="24"/>
          <w:highlight w:val="none"/>
        </w:rPr>
        <w:t xml:space="preserve">   地下水水文参数调查结果统计表</w:t>
      </w:r>
    </w:p>
    <w:tbl>
      <w:tblPr>
        <w:tblStyle w:val="5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023"/>
        <w:gridCol w:w="1134"/>
        <w:gridCol w:w="1136"/>
        <w:gridCol w:w="1137"/>
        <w:gridCol w:w="1136"/>
        <w:gridCol w:w="1136"/>
        <w:gridCol w:w="1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144" w:type="pct"/>
            <w:tcBorders>
              <w:top w:val="single" w:color="auto" w:sz="12" w:space="0"/>
              <w:left w:val="nil"/>
              <w:bottom w:val="single" w:color="auto" w:sz="4" w:space="0"/>
              <w:right w:val="single" w:color="auto" w:sz="4" w:space="0"/>
              <w:tl2br w:val="nil"/>
            </w:tcBorders>
            <w:tcMar>
              <w:top w:w="17" w:type="dxa"/>
              <w:left w:w="28" w:type="dxa"/>
              <w:bottom w:w="17" w:type="dxa"/>
              <w:right w:w="28" w:type="dxa"/>
            </w:tcMar>
            <w:vAlign w:val="center"/>
          </w:tcPr>
          <w:p>
            <w:pPr>
              <w:pStyle w:val="105"/>
              <w:rPr>
                <w:color w:val="auto"/>
                <w:highlight w:val="none"/>
              </w:rPr>
            </w:pPr>
            <w:r>
              <w:rPr>
                <w:color w:val="auto"/>
                <w:highlight w:val="none"/>
              </w:rPr>
              <w:t>监测项目</w:t>
            </w:r>
          </w:p>
        </w:tc>
        <w:tc>
          <w:tcPr>
            <w:tcW w:w="641" w:type="pct"/>
            <w:tcBorders>
              <w:top w:val="single" w:color="auto" w:sz="12"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105"/>
              <w:rPr>
                <w:color w:val="auto"/>
                <w:highlight w:val="none"/>
              </w:rPr>
            </w:pPr>
            <w:r>
              <w:rPr>
                <w:rFonts w:hint="eastAsia" w:hAnsi="宋体" w:cs="宋体"/>
                <w:color w:val="auto"/>
                <w:szCs w:val="21"/>
                <w:highlight w:val="none"/>
              </w:rPr>
              <w:t>横山头</w:t>
            </w:r>
          </w:p>
        </w:tc>
        <w:tc>
          <w:tcPr>
            <w:tcW w:w="642" w:type="pct"/>
            <w:tcBorders>
              <w:top w:val="single" w:color="auto" w:sz="12"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105"/>
              <w:rPr>
                <w:color w:val="auto"/>
                <w:highlight w:val="none"/>
              </w:rPr>
            </w:pPr>
            <w:r>
              <w:rPr>
                <w:rFonts w:hint="eastAsia" w:hAnsi="宋体" w:cs="宋体"/>
                <w:color w:val="auto"/>
                <w:szCs w:val="21"/>
                <w:highlight w:val="none"/>
              </w:rPr>
              <w:t>大官庄</w:t>
            </w:r>
          </w:p>
        </w:tc>
        <w:tc>
          <w:tcPr>
            <w:tcW w:w="643" w:type="pct"/>
            <w:tcBorders>
              <w:top w:val="single" w:color="auto" w:sz="12"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105"/>
              <w:rPr>
                <w:color w:val="auto"/>
                <w:highlight w:val="none"/>
              </w:rPr>
            </w:pPr>
            <w:r>
              <w:rPr>
                <w:rFonts w:hint="eastAsia" w:hAnsi="宋体" w:cs="宋体"/>
                <w:color w:val="auto"/>
                <w:szCs w:val="21"/>
                <w:highlight w:val="none"/>
              </w:rPr>
              <w:t>小官庄</w:t>
            </w:r>
          </w:p>
        </w:tc>
        <w:tc>
          <w:tcPr>
            <w:tcW w:w="642" w:type="pct"/>
            <w:tcBorders>
              <w:top w:val="single" w:color="auto" w:sz="12" w:space="0"/>
              <w:left w:val="single" w:color="auto" w:sz="4" w:space="0"/>
              <w:bottom w:val="single" w:color="auto" w:sz="4" w:space="0"/>
              <w:right w:val="single" w:color="auto" w:sz="4" w:space="0"/>
            </w:tcBorders>
            <w:tcMar>
              <w:top w:w="17" w:type="dxa"/>
              <w:left w:w="28" w:type="dxa"/>
              <w:bottom w:w="17" w:type="dxa"/>
              <w:right w:w="28" w:type="dxa"/>
            </w:tcMar>
            <w:vAlign w:val="center"/>
          </w:tcPr>
          <w:p>
            <w:pPr>
              <w:pStyle w:val="105"/>
              <w:rPr>
                <w:color w:val="auto"/>
                <w:highlight w:val="none"/>
              </w:rPr>
            </w:pPr>
            <w:r>
              <w:rPr>
                <w:rFonts w:hint="eastAsia"/>
                <w:color w:val="auto"/>
                <w:szCs w:val="21"/>
                <w:highlight w:val="none"/>
              </w:rPr>
              <w:t>万垄村</w:t>
            </w:r>
          </w:p>
        </w:tc>
        <w:tc>
          <w:tcPr>
            <w:tcW w:w="642" w:type="pct"/>
            <w:tcBorders>
              <w:top w:val="single" w:color="auto" w:sz="12" w:space="0"/>
              <w:left w:val="single" w:color="auto" w:sz="4" w:space="0"/>
              <w:bottom w:val="single" w:color="auto" w:sz="4" w:space="0"/>
              <w:right w:val="nil"/>
            </w:tcBorders>
            <w:tcMar>
              <w:top w:w="17" w:type="dxa"/>
              <w:left w:w="28" w:type="dxa"/>
              <w:bottom w:w="17" w:type="dxa"/>
              <w:right w:w="28" w:type="dxa"/>
            </w:tcMar>
            <w:vAlign w:val="center"/>
          </w:tcPr>
          <w:p>
            <w:pPr>
              <w:pStyle w:val="105"/>
              <w:rPr>
                <w:color w:val="auto"/>
                <w:highlight w:val="none"/>
              </w:rPr>
            </w:pPr>
            <w:r>
              <w:rPr>
                <w:rFonts w:hint="eastAsia"/>
                <w:color w:val="auto"/>
                <w:szCs w:val="21"/>
                <w:highlight w:val="none"/>
              </w:rPr>
              <w:t>仙桥村</w:t>
            </w:r>
          </w:p>
        </w:tc>
        <w:tc>
          <w:tcPr>
            <w:tcW w:w="642" w:type="pct"/>
            <w:tcBorders>
              <w:top w:val="single" w:color="auto" w:sz="12" w:space="0"/>
              <w:left w:val="single" w:color="auto" w:sz="4" w:space="0"/>
              <w:bottom w:val="single" w:color="auto" w:sz="4" w:space="0"/>
              <w:right w:val="nil"/>
            </w:tcBorders>
            <w:tcMar>
              <w:top w:w="17" w:type="dxa"/>
              <w:left w:w="28" w:type="dxa"/>
              <w:bottom w:w="17" w:type="dxa"/>
              <w:right w:w="28" w:type="dxa"/>
            </w:tcMar>
            <w:vAlign w:val="center"/>
          </w:tcPr>
          <w:p>
            <w:pPr>
              <w:pStyle w:val="105"/>
              <w:rPr>
                <w:color w:val="auto"/>
                <w:szCs w:val="21"/>
                <w:highlight w:val="none"/>
              </w:rPr>
            </w:pPr>
            <w:r>
              <w:rPr>
                <w:rFonts w:hint="eastAsia"/>
                <w:color w:val="auto"/>
                <w:szCs w:val="21"/>
                <w:highlight w:val="none"/>
              </w:rPr>
              <w:t>左庄村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44" w:type="pct"/>
            <w:tcBorders>
              <w:top w:val="single" w:color="auto" w:sz="4" w:space="0"/>
              <w:left w:val="nil"/>
              <w:bottom w:val="single" w:color="auto" w:sz="12" w:space="0"/>
              <w:right w:val="single" w:color="auto" w:sz="4" w:space="0"/>
            </w:tcBorders>
            <w:vAlign w:val="center"/>
          </w:tcPr>
          <w:p>
            <w:pPr>
              <w:pStyle w:val="105"/>
              <w:rPr>
                <w:color w:val="auto"/>
                <w:highlight w:val="none"/>
              </w:rPr>
            </w:pPr>
            <w:r>
              <w:rPr>
                <w:rFonts w:hint="eastAsia"/>
                <w:color w:val="auto"/>
                <w:highlight w:val="none"/>
              </w:rPr>
              <w:t>水位</w:t>
            </w:r>
            <w:r>
              <w:rPr>
                <w:color w:val="auto"/>
                <w:highlight w:val="none"/>
              </w:rPr>
              <w:t>(m)</w:t>
            </w:r>
          </w:p>
        </w:tc>
        <w:tc>
          <w:tcPr>
            <w:tcW w:w="641" w:type="pct"/>
            <w:tcBorders>
              <w:top w:val="single" w:color="auto" w:sz="4" w:space="0"/>
              <w:left w:val="single" w:color="auto" w:sz="4" w:space="0"/>
              <w:bottom w:val="single" w:color="auto" w:sz="12" w:space="0"/>
              <w:right w:val="single" w:color="auto" w:sz="4" w:space="0"/>
            </w:tcBorders>
            <w:vAlign w:val="center"/>
          </w:tcPr>
          <w:p>
            <w:pPr>
              <w:pStyle w:val="105"/>
              <w:rPr>
                <w:color w:val="auto"/>
                <w:szCs w:val="21"/>
                <w:highlight w:val="none"/>
              </w:rPr>
            </w:pPr>
            <w:r>
              <w:rPr>
                <w:rFonts w:hint="eastAsia" w:eastAsia="等线"/>
                <w:color w:val="auto"/>
                <w:szCs w:val="21"/>
                <w:highlight w:val="none"/>
              </w:rPr>
              <w:t>17</w:t>
            </w:r>
          </w:p>
        </w:tc>
        <w:tc>
          <w:tcPr>
            <w:tcW w:w="642" w:type="pct"/>
            <w:tcBorders>
              <w:top w:val="single" w:color="auto" w:sz="4" w:space="0"/>
              <w:left w:val="single" w:color="auto" w:sz="4" w:space="0"/>
              <w:bottom w:val="single" w:color="auto" w:sz="12" w:space="0"/>
              <w:right w:val="single" w:color="auto" w:sz="4" w:space="0"/>
            </w:tcBorders>
            <w:vAlign w:val="center"/>
          </w:tcPr>
          <w:p>
            <w:pPr>
              <w:pStyle w:val="105"/>
              <w:rPr>
                <w:color w:val="auto"/>
                <w:szCs w:val="21"/>
                <w:highlight w:val="none"/>
              </w:rPr>
            </w:pPr>
            <w:r>
              <w:rPr>
                <w:rFonts w:hint="eastAsia" w:eastAsia="等线"/>
                <w:color w:val="auto"/>
                <w:szCs w:val="21"/>
                <w:highlight w:val="none"/>
              </w:rPr>
              <w:t>38</w:t>
            </w:r>
          </w:p>
        </w:tc>
        <w:tc>
          <w:tcPr>
            <w:tcW w:w="643" w:type="pct"/>
            <w:tcBorders>
              <w:top w:val="single" w:color="auto" w:sz="4" w:space="0"/>
              <w:left w:val="single" w:color="auto" w:sz="4" w:space="0"/>
              <w:bottom w:val="single" w:color="auto" w:sz="12" w:space="0"/>
              <w:right w:val="single" w:color="auto" w:sz="4" w:space="0"/>
            </w:tcBorders>
            <w:vAlign w:val="center"/>
          </w:tcPr>
          <w:p>
            <w:pPr>
              <w:pStyle w:val="105"/>
              <w:rPr>
                <w:color w:val="auto"/>
                <w:szCs w:val="21"/>
                <w:highlight w:val="none"/>
              </w:rPr>
            </w:pPr>
            <w:r>
              <w:rPr>
                <w:rFonts w:hint="eastAsia" w:eastAsia="等线"/>
                <w:color w:val="auto"/>
                <w:szCs w:val="21"/>
                <w:highlight w:val="none"/>
              </w:rPr>
              <w:t>36</w:t>
            </w:r>
          </w:p>
        </w:tc>
        <w:tc>
          <w:tcPr>
            <w:tcW w:w="642" w:type="pct"/>
            <w:tcBorders>
              <w:top w:val="single" w:color="auto" w:sz="4" w:space="0"/>
              <w:left w:val="single" w:color="auto" w:sz="4" w:space="0"/>
              <w:bottom w:val="single" w:color="auto" w:sz="12" w:space="0"/>
              <w:right w:val="single" w:color="auto" w:sz="4" w:space="0"/>
            </w:tcBorders>
            <w:vAlign w:val="center"/>
          </w:tcPr>
          <w:p>
            <w:pPr>
              <w:pStyle w:val="105"/>
              <w:rPr>
                <w:color w:val="auto"/>
                <w:szCs w:val="21"/>
                <w:highlight w:val="none"/>
              </w:rPr>
            </w:pPr>
            <w:r>
              <w:rPr>
                <w:rFonts w:hint="eastAsia" w:eastAsia="等线"/>
                <w:color w:val="auto"/>
                <w:szCs w:val="21"/>
                <w:highlight w:val="none"/>
              </w:rPr>
              <w:t>39</w:t>
            </w:r>
          </w:p>
        </w:tc>
        <w:tc>
          <w:tcPr>
            <w:tcW w:w="642" w:type="pct"/>
            <w:tcBorders>
              <w:top w:val="single" w:color="auto" w:sz="4" w:space="0"/>
              <w:left w:val="single" w:color="auto" w:sz="4" w:space="0"/>
              <w:bottom w:val="single" w:color="auto" w:sz="12" w:space="0"/>
              <w:right w:val="nil"/>
            </w:tcBorders>
            <w:vAlign w:val="center"/>
          </w:tcPr>
          <w:p>
            <w:pPr>
              <w:pStyle w:val="105"/>
              <w:rPr>
                <w:color w:val="auto"/>
                <w:szCs w:val="21"/>
                <w:highlight w:val="none"/>
              </w:rPr>
            </w:pPr>
            <w:r>
              <w:rPr>
                <w:rFonts w:hint="eastAsia" w:eastAsia="等线"/>
                <w:color w:val="auto"/>
                <w:szCs w:val="21"/>
                <w:highlight w:val="none"/>
              </w:rPr>
              <w:t>44</w:t>
            </w:r>
          </w:p>
        </w:tc>
        <w:tc>
          <w:tcPr>
            <w:tcW w:w="642" w:type="pct"/>
            <w:tcBorders>
              <w:top w:val="single" w:color="auto" w:sz="4" w:space="0"/>
              <w:left w:val="single" w:color="auto" w:sz="4" w:space="0"/>
              <w:bottom w:val="single" w:color="auto" w:sz="12" w:space="0"/>
              <w:right w:val="nil"/>
            </w:tcBorders>
            <w:vAlign w:val="center"/>
          </w:tcPr>
          <w:p>
            <w:pPr>
              <w:pStyle w:val="105"/>
              <w:rPr>
                <w:rFonts w:eastAsia="等线"/>
                <w:color w:val="auto"/>
                <w:szCs w:val="21"/>
                <w:highlight w:val="none"/>
              </w:rPr>
            </w:pPr>
            <w:r>
              <w:rPr>
                <w:rFonts w:hint="eastAsia" w:eastAsia="等线"/>
                <w:color w:val="auto"/>
                <w:szCs w:val="21"/>
                <w:highlight w:val="none"/>
              </w:rPr>
              <w:t>50</w:t>
            </w:r>
          </w:p>
        </w:tc>
      </w:tr>
    </w:tbl>
    <w:p>
      <w:pPr>
        <w:pStyle w:val="101"/>
        <w:spacing w:before="78"/>
        <w:rPr>
          <w:rFonts w:ascii="Times New Roman" w:hAnsi="Times New Roman"/>
          <w:color w:val="auto"/>
          <w:highlight w:val="none"/>
        </w:rPr>
      </w:pPr>
      <w:r>
        <w:rPr>
          <w:rFonts w:ascii="Times New Roman" w:hAnsi="Times New Roman"/>
          <w:color w:val="auto"/>
          <w:highlight w:val="none"/>
        </w:rPr>
        <w:t>3.5.2地下水质量现状评价</w:t>
      </w:r>
    </w:p>
    <w:p>
      <w:pPr>
        <w:spacing w:line="360" w:lineRule="auto"/>
        <w:ind w:firstLine="482" w:firstLineChars="200"/>
        <w:rPr>
          <w:b/>
          <w:bCs/>
          <w:color w:val="auto"/>
          <w:sz w:val="24"/>
          <w:highlight w:val="none"/>
        </w:rPr>
      </w:pPr>
      <w:r>
        <w:rPr>
          <w:b/>
          <w:bCs/>
          <w:color w:val="auto"/>
          <w:sz w:val="24"/>
          <w:highlight w:val="none"/>
        </w:rPr>
        <w:t>1、评价因子</w:t>
      </w:r>
    </w:p>
    <w:p>
      <w:pPr>
        <w:pStyle w:val="102"/>
        <w:ind w:firstLine="480"/>
        <w:rPr>
          <w:color w:val="auto"/>
          <w:szCs w:val="24"/>
          <w:highlight w:val="none"/>
        </w:rPr>
      </w:pPr>
      <w:r>
        <w:rPr>
          <w:color w:val="auto"/>
          <w:szCs w:val="24"/>
          <w:highlight w:val="none"/>
        </w:rPr>
        <w:t>pH、总硬度、溶解性总固体、氟化物、氯化物、硝酸盐（以N计）、硫酸盐、氨氮（以N计）、菌落总数、耗氧量、砷、锰、铁、Na</w:t>
      </w:r>
      <w:r>
        <w:rPr>
          <w:color w:val="auto"/>
          <w:szCs w:val="24"/>
          <w:highlight w:val="none"/>
          <w:vertAlign w:val="superscript"/>
        </w:rPr>
        <w:t>+</w:t>
      </w:r>
      <w:r>
        <w:rPr>
          <w:color w:val="auto"/>
          <w:szCs w:val="24"/>
          <w:highlight w:val="none"/>
        </w:rPr>
        <w:t>共1</w:t>
      </w:r>
      <w:r>
        <w:rPr>
          <w:rFonts w:hint="eastAsia"/>
          <w:color w:val="auto"/>
          <w:szCs w:val="24"/>
          <w:highlight w:val="none"/>
        </w:rPr>
        <w:t>4</w:t>
      </w:r>
      <w:r>
        <w:rPr>
          <w:color w:val="auto"/>
          <w:szCs w:val="24"/>
          <w:highlight w:val="none"/>
        </w:rPr>
        <w:t>项为评价因子，其余，色（铂钴色度单位）、铬（六价）、汞、氰化物、亚硝酸盐、挥发性酚类、总大肠菌群、阴离子表面活性剂、镉、铅、CO</w:t>
      </w:r>
      <w:r>
        <w:rPr>
          <w:color w:val="auto"/>
          <w:szCs w:val="24"/>
          <w:highlight w:val="none"/>
          <w:vertAlign w:val="subscript"/>
        </w:rPr>
        <w:t>3</w:t>
      </w:r>
      <w:r>
        <w:rPr>
          <w:color w:val="auto"/>
          <w:szCs w:val="24"/>
          <w:highlight w:val="none"/>
          <w:vertAlign w:val="superscript"/>
        </w:rPr>
        <w:t>2-</w:t>
      </w:r>
      <w:r>
        <w:rPr>
          <w:color w:val="auto"/>
          <w:szCs w:val="24"/>
          <w:highlight w:val="none"/>
        </w:rPr>
        <w:t>等均未检出，且检出限小于标准值，不再评价</w:t>
      </w:r>
      <w:r>
        <w:rPr>
          <w:rFonts w:hint="eastAsia"/>
          <w:color w:val="auto"/>
          <w:szCs w:val="24"/>
          <w:highlight w:val="none"/>
        </w:rPr>
        <w:t>，</w:t>
      </w:r>
      <w:r>
        <w:rPr>
          <w:color w:val="auto"/>
          <w:szCs w:val="24"/>
          <w:highlight w:val="none"/>
        </w:rPr>
        <w:t>K</w:t>
      </w:r>
      <w:r>
        <w:rPr>
          <w:color w:val="auto"/>
          <w:szCs w:val="24"/>
          <w:highlight w:val="none"/>
          <w:vertAlign w:val="superscript"/>
        </w:rPr>
        <w:t>+</w:t>
      </w:r>
      <w:r>
        <w:rPr>
          <w:color w:val="auto"/>
          <w:szCs w:val="24"/>
          <w:highlight w:val="none"/>
        </w:rPr>
        <w:t>、HCO</w:t>
      </w:r>
      <w:r>
        <w:rPr>
          <w:color w:val="auto"/>
          <w:szCs w:val="24"/>
          <w:highlight w:val="none"/>
          <w:vertAlign w:val="subscript"/>
        </w:rPr>
        <w:t>3</w:t>
      </w:r>
      <w:r>
        <w:rPr>
          <w:color w:val="auto"/>
          <w:szCs w:val="24"/>
          <w:highlight w:val="none"/>
          <w:vertAlign w:val="superscript"/>
        </w:rPr>
        <w:t>-</w:t>
      </w:r>
      <w:r>
        <w:rPr>
          <w:color w:val="auto"/>
          <w:szCs w:val="24"/>
          <w:highlight w:val="none"/>
        </w:rPr>
        <w:t>、Ca</w:t>
      </w:r>
      <w:r>
        <w:rPr>
          <w:color w:val="auto"/>
          <w:szCs w:val="24"/>
          <w:highlight w:val="none"/>
          <w:vertAlign w:val="superscript"/>
        </w:rPr>
        <w:t>2+</w:t>
      </w:r>
      <w:r>
        <w:rPr>
          <w:color w:val="auto"/>
          <w:szCs w:val="24"/>
          <w:highlight w:val="none"/>
        </w:rPr>
        <w:t>、Mg</w:t>
      </w:r>
      <w:r>
        <w:rPr>
          <w:color w:val="auto"/>
          <w:szCs w:val="24"/>
          <w:highlight w:val="none"/>
          <w:vertAlign w:val="superscript"/>
        </w:rPr>
        <w:t>2+</w:t>
      </w:r>
      <w:r>
        <w:rPr>
          <w:rFonts w:hint="eastAsia"/>
          <w:color w:val="auto"/>
          <w:szCs w:val="24"/>
          <w:highlight w:val="none"/>
        </w:rPr>
        <w:t>无质量标准，不进行评价。</w:t>
      </w:r>
    </w:p>
    <w:p>
      <w:pPr>
        <w:spacing w:line="360" w:lineRule="auto"/>
        <w:ind w:firstLine="482" w:firstLineChars="200"/>
        <w:rPr>
          <w:color w:val="auto"/>
          <w:sz w:val="24"/>
          <w:highlight w:val="none"/>
        </w:rPr>
      </w:pPr>
      <w:r>
        <w:rPr>
          <w:b/>
          <w:bCs/>
          <w:color w:val="auto"/>
          <w:sz w:val="24"/>
          <w:highlight w:val="none"/>
        </w:rPr>
        <w:t>2、评价标准</w:t>
      </w:r>
    </w:p>
    <w:p>
      <w:pPr>
        <w:spacing w:line="360" w:lineRule="auto"/>
        <w:ind w:firstLine="480" w:firstLineChars="200"/>
        <w:rPr>
          <w:color w:val="auto"/>
          <w:sz w:val="24"/>
          <w:highlight w:val="none"/>
        </w:rPr>
      </w:pPr>
      <w:r>
        <w:rPr>
          <w:color w:val="auto"/>
          <w:sz w:val="24"/>
          <w:highlight w:val="none"/>
        </w:rPr>
        <w:t>地下水环境现状评价执行《地下水质量标准》(GB/T14848-2017)中Ⅲ类标准，具体见表3.5-5。</w:t>
      </w:r>
    </w:p>
    <w:p>
      <w:pPr>
        <w:spacing w:line="360" w:lineRule="auto"/>
        <w:jc w:val="center"/>
        <w:rPr>
          <w:rFonts w:eastAsia="黑体"/>
          <w:color w:val="auto"/>
          <w:sz w:val="24"/>
          <w:highlight w:val="none"/>
        </w:rPr>
      </w:pPr>
      <w:r>
        <w:rPr>
          <w:rFonts w:eastAsia="黑体"/>
          <w:color w:val="auto"/>
          <w:sz w:val="24"/>
          <w:highlight w:val="none"/>
        </w:rPr>
        <w:t>表3.5-5   地下水质量标准限值一览表   单位：mg/L，pH无量纲</w:t>
      </w:r>
    </w:p>
    <w:tbl>
      <w:tblPr>
        <w:tblStyle w:val="59"/>
        <w:tblW w:w="892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759"/>
        <w:gridCol w:w="1454"/>
        <w:gridCol w:w="1107"/>
        <w:gridCol w:w="1976"/>
        <w:gridCol w:w="16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序号</w:t>
            </w:r>
          </w:p>
        </w:tc>
        <w:tc>
          <w:tcPr>
            <w:tcW w:w="1759"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项目</w:t>
            </w:r>
          </w:p>
        </w:tc>
        <w:tc>
          <w:tcPr>
            <w:tcW w:w="1454"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标准值</w:t>
            </w:r>
          </w:p>
        </w:tc>
        <w:tc>
          <w:tcPr>
            <w:tcW w:w="1107"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序号</w:t>
            </w:r>
          </w:p>
        </w:tc>
        <w:tc>
          <w:tcPr>
            <w:tcW w:w="1976"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项目</w:t>
            </w:r>
          </w:p>
        </w:tc>
        <w:tc>
          <w:tcPr>
            <w:tcW w:w="1624"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1</w:t>
            </w:r>
          </w:p>
        </w:tc>
        <w:tc>
          <w:tcPr>
            <w:tcW w:w="1759"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pH（无量纲）</w:t>
            </w:r>
          </w:p>
        </w:tc>
        <w:tc>
          <w:tcPr>
            <w:tcW w:w="1454"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6.5~8.5</w:t>
            </w:r>
          </w:p>
        </w:tc>
        <w:tc>
          <w:tcPr>
            <w:tcW w:w="1107" w:type="dxa"/>
            <w:tcBorders>
              <w:tl2br w:val="nil"/>
              <w:tr2bl w:val="nil"/>
            </w:tcBorders>
            <w:vAlign w:val="center"/>
          </w:tcPr>
          <w:p>
            <w:pPr>
              <w:widowControl/>
              <w:spacing w:line="240" w:lineRule="exact"/>
              <w:jc w:val="center"/>
              <w:rPr>
                <w:color w:val="auto"/>
                <w:highlight w:val="none"/>
              </w:rPr>
            </w:pPr>
            <w:r>
              <w:rPr>
                <w:color w:val="auto"/>
                <w:highlight w:val="none"/>
              </w:rPr>
              <w:t>13</w:t>
            </w:r>
          </w:p>
        </w:tc>
        <w:tc>
          <w:tcPr>
            <w:tcW w:w="1976"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亚硝酸盐</w:t>
            </w:r>
          </w:p>
        </w:tc>
        <w:tc>
          <w:tcPr>
            <w:tcW w:w="1624" w:type="dxa"/>
            <w:tcBorders>
              <w:tl2br w:val="nil"/>
              <w:tr2bl w:val="nil"/>
            </w:tcBorders>
            <w:vAlign w:val="center"/>
          </w:tcPr>
          <w:p>
            <w:pPr>
              <w:widowControl/>
              <w:spacing w:line="240" w:lineRule="exact"/>
              <w:jc w:val="center"/>
              <w:rPr>
                <w:rFonts w:eastAsia="等线"/>
                <w:color w:val="auto"/>
                <w:highlight w:val="none"/>
              </w:rPr>
            </w:pPr>
            <w:r>
              <w:rPr>
                <w:color w:val="auto"/>
                <w:highlight w:val="none"/>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color w:val="auto"/>
                <w:highlight w:val="none"/>
              </w:rPr>
            </w:pPr>
            <w:r>
              <w:rPr>
                <w:color w:val="auto"/>
                <w:highlight w:val="none"/>
              </w:rPr>
              <w:t>2</w:t>
            </w:r>
          </w:p>
        </w:tc>
        <w:tc>
          <w:tcPr>
            <w:tcW w:w="1759" w:type="dxa"/>
            <w:tcBorders>
              <w:tl2br w:val="nil"/>
              <w:tr2bl w:val="nil"/>
            </w:tcBorders>
            <w:vAlign w:val="center"/>
          </w:tcPr>
          <w:p>
            <w:pPr>
              <w:widowControl/>
              <w:spacing w:line="240" w:lineRule="exact"/>
              <w:jc w:val="center"/>
              <w:rPr>
                <w:color w:val="auto"/>
                <w:spacing w:val="-80"/>
                <w:highlight w:val="none"/>
              </w:rPr>
            </w:pPr>
            <w:r>
              <w:rPr>
                <w:color w:val="auto"/>
                <w:highlight w:val="none"/>
              </w:rPr>
              <w:t>总硬度</w:t>
            </w:r>
          </w:p>
        </w:tc>
        <w:tc>
          <w:tcPr>
            <w:tcW w:w="1454" w:type="dxa"/>
            <w:tcBorders>
              <w:tl2br w:val="nil"/>
              <w:tr2bl w:val="nil"/>
            </w:tcBorders>
            <w:vAlign w:val="center"/>
          </w:tcPr>
          <w:p>
            <w:pPr>
              <w:widowControl/>
              <w:spacing w:line="240" w:lineRule="exact"/>
              <w:jc w:val="center"/>
              <w:rPr>
                <w:color w:val="auto"/>
                <w:highlight w:val="none"/>
              </w:rPr>
            </w:pPr>
            <w:r>
              <w:rPr>
                <w:color w:val="auto"/>
                <w:highlight w:val="none"/>
              </w:rPr>
              <w:t>≤450</w:t>
            </w:r>
          </w:p>
        </w:tc>
        <w:tc>
          <w:tcPr>
            <w:tcW w:w="1107" w:type="dxa"/>
            <w:tcBorders>
              <w:tl2br w:val="nil"/>
              <w:tr2bl w:val="nil"/>
            </w:tcBorders>
            <w:vAlign w:val="center"/>
          </w:tcPr>
          <w:p>
            <w:pPr>
              <w:widowControl/>
              <w:spacing w:line="240" w:lineRule="exact"/>
              <w:jc w:val="center"/>
              <w:rPr>
                <w:color w:val="auto"/>
                <w:highlight w:val="none"/>
              </w:rPr>
            </w:pPr>
            <w:r>
              <w:rPr>
                <w:color w:val="auto"/>
                <w:highlight w:val="none"/>
              </w:rPr>
              <w:t>14</w:t>
            </w:r>
          </w:p>
        </w:tc>
        <w:tc>
          <w:tcPr>
            <w:tcW w:w="1976" w:type="dxa"/>
            <w:tcBorders>
              <w:tl2br w:val="nil"/>
              <w:tr2bl w:val="nil"/>
            </w:tcBorders>
            <w:vAlign w:val="center"/>
          </w:tcPr>
          <w:p>
            <w:pPr>
              <w:widowControl/>
              <w:spacing w:line="240" w:lineRule="exact"/>
              <w:jc w:val="center"/>
              <w:rPr>
                <w:color w:val="auto"/>
                <w:highlight w:val="none"/>
              </w:rPr>
            </w:pPr>
            <w:r>
              <w:rPr>
                <w:color w:val="auto"/>
                <w:highlight w:val="none"/>
              </w:rPr>
              <w:t>硝酸盐</w:t>
            </w:r>
          </w:p>
        </w:tc>
        <w:tc>
          <w:tcPr>
            <w:tcW w:w="1624" w:type="dxa"/>
            <w:tcBorders>
              <w:tl2br w:val="nil"/>
              <w:tr2bl w:val="nil"/>
            </w:tcBorders>
            <w:vAlign w:val="center"/>
          </w:tcPr>
          <w:p>
            <w:pPr>
              <w:widowControl/>
              <w:spacing w:line="240" w:lineRule="exact"/>
              <w:jc w:val="center"/>
              <w:rPr>
                <w:color w:val="auto"/>
                <w:highlight w:val="none"/>
              </w:rPr>
            </w:pPr>
            <w:r>
              <w:rPr>
                <w:color w:val="auto"/>
                <w:highlight w:val="none"/>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color w:val="auto"/>
                <w:highlight w:val="none"/>
              </w:rPr>
            </w:pPr>
            <w:r>
              <w:rPr>
                <w:color w:val="auto"/>
                <w:highlight w:val="none"/>
              </w:rPr>
              <w:t>3</w:t>
            </w:r>
          </w:p>
        </w:tc>
        <w:tc>
          <w:tcPr>
            <w:tcW w:w="1759" w:type="dxa"/>
            <w:tcBorders>
              <w:tl2br w:val="nil"/>
              <w:tr2bl w:val="nil"/>
            </w:tcBorders>
            <w:vAlign w:val="center"/>
          </w:tcPr>
          <w:p>
            <w:pPr>
              <w:widowControl/>
              <w:spacing w:line="240" w:lineRule="exact"/>
              <w:jc w:val="center"/>
              <w:rPr>
                <w:color w:val="auto"/>
                <w:spacing w:val="-80"/>
                <w:highlight w:val="none"/>
              </w:rPr>
            </w:pPr>
            <w:r>
              <w:rPr>
                <w:color w:val="auto"/>
                <w:highlight w:val="none"/>
              </w:rPr>
              <w:t>溶解性总固体</w:t>
            </w:r>
          </w:p>
        </w:tc>
        <w:tc>
          <w:tcPr>
            <w:tcW w:w="1454" w:type="dxa"/>
            <w:tcBorders>
              <w:tl2br w:val="nil"/>
              <w:tr2bl w:val="nil"/>
            </w:tcBorders>
            <w:vAlign w:val="center"/>
          </w:tcPr>
          <w:p>
            <w:pPr>
              <w:widowControl/>
              <w:spacing w:line="240" w:lineRule="exact"/>
              <w:jc w:val="center"/>
              <w:rPr>
                <w:color w:val="auto"/>
                <w:highlight w:val="none"/>
              </w:rPr>
            </w:pPr>
            <w:r>
              <w:rPr>
                <w:color w:val="auto"/>
                <w:highlight w:val="none"/>
              </w:rPr>
              <w:t>≤1000</w:t>
            </w:r>
          </w:p>
        </w:tc>
        <w:tc>
          <w:tcPr>
            <w:tcW w:w="1107" w:type="dxa"/>
            <w:tcBorders>
              <w:tl2br w:val="nil"/>
              <w:tr2bl w:val="nil"/>
            </w:tcBorders>
            <w:vAlign w:val="center"/>
          </w:tcPr>
          <w:p>
            <w:pPr>
              <w:widowControl/>
              <w:spacing w:line="240" w:lineRule="exact"/>
              <w:jc w:val="center"/>
              <w:rPr>
                <w:color w:val="auto"/>
                <w:highlight w:val="none"/>
              </w:rPr>
            </w:pPr>
            <w:r>
              <w:rPr>
                <w:color w:val="auto"/>
                <w:highlight w:val="none"/>
              </w:rPr>
              <w:t>15</w:t>
            </w:r>
          </w:p>
        </w:tc>
        <w:tc>
          <w:tcPr>
            <w:tcW w:w="1976" w:type="dxa"/>
            <w:tcBorders>
              <w:tl2br w:val="nil"/>
              <w:tr2bl w:val="nil"/>
            </w:tcBorders>
            <w:vAlign w:val="center"/>
          </w:tcPr>
          <w:p>
            <w:pPr>
              <w:widowControl/>
              <w:spacing w:line="240" w:lineRule="exact"/>
              <w:jc w:val="center"/>
              <w:rPr>
                <w:color w:val="auto"/>
                <w:highlight w:val="none"/>
              </w:rPr>
            </w:pPr>
            <w:r>
              <w:rPr>
                <w:color w:val="auto"/>
                <w:highlight w:val="none"/>
              </w:rPr>
              <w:t>氰化物</w:t>
            </w:r>
          </w:p>
        </w:tc>
        <w:tc>
          <w:tcPr>
            <w:tcW w:w="1624" w:type="dxa"/>
            <w:tcBorders>
              <w:tl2br w:val="nil"/>
              <w:tr2bl w:val="nil"/>
            </w:tcBorders>
            <w:vAlign w:val="center"/>
          </w:tcPr>
          <w:p>
            <w:pPr>
              <w:widowControl/>
              <w:spacing w:line="240" w:lineRule="exact"/>
              <w:jc w:val="center"/>
              <w:rPr>
                <w:color w:val="auto"/>
                <w:highlight w:val="none"/>
              </w:rPr>
            </w:pPr>
            <w:r>
              <w:rPr>
                <w:color w:val="auto"/>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color w:val="auto"/>
                <w:highlight w:val="none"/>
              </w:rPr>
            </w:pPr>
            <w:r>
              <w:rPr>
                <w:color w:val="auto"/>
                <w:highlight w:val="none"/>
              </w:rPr>
              <w:t>4</w:t>
            </w:r>
          </w:p>
        </w:tc>
        <w:tc>
          <w:tcPr>
            <w:tcW w:w="1759" w:type="dxa"/>
            <w:tcBorders>
              <w:tl2br w:val="nil"/>
              <w:tr2bl w:val="nil"/>
            </w:tcBorders>
            <w:vAlign w:val="center"/>
          </w:tcPr>
          <w:p>
            <w:pPr>
              <w:widowControl/>
              <w:spacing w:line="240" w:lineRule="exact"/>
              <w:jc w:val="center"/>
              <w:rPr>
                <w:color w:val="auto"/>
                <w:spacing w:val="-80"/>
                <w:highlight w:val="none"/>
              </w:rPr>
            </w:pPr>
            <w:r>
              <w:rPr>
                <w:color w:val="auto"/>
                <w:highlight w:val="none"/>
              </w:rPr>
              <w:t>硫酸盐</w:t>
            </w:r>
          </w:p>
        </w:tc>
        <w:tc>
          <w:tcPr>
            <w:tcW w:w="1454" w:type="dxa"/>
            <w:tcBorders>
              <w:tl2br w:val="nil"/>
              <w:tr2bl w:val="nil"/>
            </w:tcBorders>
            <w:vAlign w:val="center"/>
          </w:tcPr>
          <w:p>
            <w:pPr>
              <w:widowControl/>
              <w:spacing w:line="240" w:lineRule="exact"/>
              <w:jc w:val="center"/>
              <w:rPr>
                <w:color w:val="auto"/>
                <w:highlight w:val="none"/>
              </w:rPr>
            </w:pPr>
            <w:r>
              <w:rPr>
                <w:color w:val="auto"/>
                <w:highlight w:val="none"/>
              </w:rPr>
              <w:t>≤250</w:t>
            </w:r>
          </w:p>
        </w:tc>
        <w:tc>
          <w:tcPr>
            <w:tcW w:w="1107" w:type="dxa"/>
            <w:tcBorders>
              <w:tl2br w:val="nil"/>
              <w:tr2bl w:val="nil"/>
            </w:tcBorders>
            <w:vAlign w:val="center"/>
          </w:tcPr>
          <w:p>
            <w:pPr>
              <w:widowControl/>
              <w:spacing w:line="240" w:lineRule="exact"/>
              <w:jc w:val="center"/>
              <w:rPr>
                <w:color w:val="auto"/>
                <w:highlight w:val="none"/>
              </w:rPr>
            </w:pPr>
            <w:r>
              <w:rPr>
                <w:color w:val="auto"/>
                <w:highlight w:val="none"/>
              </w:rPr>
              <w:t>16</w:t>
            </w:r>
          </w:p>
        </w:tc>
        <w:tc>
          <w:tcPr>
            <w:tcW w:w="1976" w:type="dxa"/>
            <w:tcBorders>
              <w:tl2br w:val="nil"/>
              <w:tr2bl w:val="nil"/>
            </w:tcBorders>
            <w:vAlign w:val="center"/>
          </w:tcPr>
          <w:p>
            <w:pPr>
              <w:widowControl/>
              <w:spacing w:line="240" w:lineRule="exact"/>
              <w:jc w:val="center"/>
              <w:rPr>
                <w:color w:val="auto"/>
                <w:highlight w:val="none"/>
              </w:rPr>
            </w:pPr>
            <w:r>
              <w:rPr>
                <w:color w:val="auto"/>
                <w:highlight w:val="none"/>
              </w:rPr>
              <w:t>氟化物</w:t>
            </w:r>
          </w:p>
        </w:tc>
        <w:tc>
          <w:tcPr>
            <w:tcW w:w="1624" w:type="dxa"/>
            <w:tcBorders>
              <w:tl2br w:val="nil"/>
              <w:tr2bl w:val="nil"/>
            </w:tcBorders>
            <w:vAlign w:val="center"/>
          </w:tcPr>
          <w:p>
            <w:pPr>
              <w:widowControl/>
              <w:spacing w:line="240" w:lineRule="exact"/>
              <w:jc w:val="center"/>
              <w:rPr>
                <w:color w:val="auto"/>
                <w:highlight w:val="none"/>
              </w:rPr>
            </w:pPr>
            <w:r>
              <w:rPr>
                <w:color w:val="auto"/>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color w:val="auto"/>
                <w:highlight w:val="none"/>
              </w:rPr>
            </w:pPr>
            <w:r>
              <w:rPr>
                <w:color w:val="auto"/>
                <w:highlight w:val="none"/>
              </w:rPr>
              <w:t>5</w:t>
            </w:r>
          </w:p>
        </w:tc>
        <w:tc>
          <w:tcPr>
            <w:tcW w:w="1759" w:type="dxa"/>
            <w:tcBorders>
              <w:tl2br w:val="nil"/>
              <w:tr2bl w:val="nil"/>
            </w:tcBorders>
            <w:vAlign w:val="center"/>
          </w:tcPr>
          <w:p>
            <w:pPr>
              <w:widowControl/>
              <w:spacing w:line="240" w:lineRule="exact"/>
              <w:jc w:val="center"/>
              <w:rPr>
                <w:color w:val="auto"/>
                <w:spacing w:val="-80"/>
                <w:highlight w:val="none"/>
              </w:rPr>
            </w:pPr>
            <w:r>
              <w:rPr>
                <w:color w:val="auto"/>
                <w:highlight w:val="none"/>
              </w:rPr>
              <w:t>氯化物</w:t>
            </w:r>
          </w:p>
        </w:tc>
        <w:tc>
          <w:tcPr>
            <w:tcW w:w="1454" w:type="dxa"/>
            <w:tcBorders>
              <w:tl2br w:val="nil"/>
              <w:tr2bl w:val="nil"/>
            </w:tcBorders>
            <w:vAlign w:val="center"/>
          </w:tcPr>
          <w:p>
            <w:pPr>
              <w:widowControl/>
              <w:spacing w:line="240" w:lineRule="exact"/>
              <w:jc w:val="center"/>
              <w:rPr>
                <w:color w:val="auto"/>
                <w:highlight w:val="none"/>
              </w:rPr>
            </w:pPr>
            <w:r>
              <w:rPr>
                <w:color w:val="auto"/>
                <w:highlight w:val="none"/>
              </w:rPr>
              <w:t>≤250</w:t>
            </w:r>
          </w:p>
        </w:tc>
        <w:tc>
          <w:tcPr>
            <w:tcW w:w="1107" w:type="dxa"/>
            <w:tcBorders>
              <w:tl2br w:val="nil"/>
              <w:tr2bl w:val="nil"/>
            </w:tcBorders>
            <w:vAlign w:val="center"/>
          </w:tcPr>
          <w:p>
            <w:pPr>
              <w:widowControl/>
              <w:spacing w:line="240" w:lineRule="exact"/>
              <w:jc w:val="center"/>
              <w:rPr>
                <w:color w:val="auto"/>
                <w:highlight w:val="none"/>
              </w:rPr>
            </w:pPr>
            <w:r>
              <w:rPr>
                <w:color w:val="auto"/>
                <w:highlight w:val="none"/>
              </w:rPr>
              <w:t>17</w:t>
            </w:r>
          </w:p>
        </w:tc>
        <w:tc>
          <w:tcPr>
            <w:tcW w:w="1976" w:type="dxa"/>
            <w:tcBorders>
              <w:tl2br w:val="nil"/>
              <w:tr2bl w:val="nil"/>
            </w:tcBorders>
            <w:vAlign w:val="center"/>
          </w:tcPr>
          <w:p>
            <w:pPr>
              <w:widowControl/>
              <w:spacing w:line="240" w:lineRule="exact"/>
              <w:jc w:val="center"/>
              <w:rPr>
                <w:color w:val="auto"/>
                <w:highlight w:val="none"/>
              </w:rPr>
            </w:pPr>
            <w:r>
              <w:rPr>
                <w:color w:val="auto"/>
                <w:highlight w:val="none"/>
              </w:rPr>
              <w:t>汞</w:t>
            </w:r>
          </w:p>
        </w:tc>
        <w:tc>
          <w:tcPr>
            <w:tcW w:w="1624" w:type="dxa"/>
            <w:tcBorders>
              <w:tl2br w:val="nil"/>
              <w:tr2bl w:val="nil"/>
            </w:tcBorders>
            <w:vAlign w:val="center"/>
          </w:tcPr>
          <w:p>
            <w:pPr>
              <w:widowControl/>
              <w:spacing w:line="240" w:lineRule="exact"/>
              <w:jc w:val="center"/>
              <w:rPr>
                <w:color w:val="auto"/>
                <w:highlight w:val="none"/>
              </w:rPr>
            </w:pPr>
            <w:r>
              <w:rPr>
                <w:color w:val="auto"/>
                <w:highlight w:val="none"/>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color w:val="auto"/>
                <w:highlight w:val="none"/>
              </w:rPr>
            </w:pPr>
            <w:r>
              <w:rPr>
                <w:color w:val="auto"/>
                <w:highlight w:val="none"/>
              </w:rPr>
              <w:t>6</w:t>
            </w:r>
          </w:p>
        </w:tc>
        <w:tc>
          <w:tcPr>
            <w:tcW w:w="1759" w:type="dxa"/>
            <w:tcBorders>
              <w:tl2br w:val="nil"/>
              <w:tr2bl w:val="nil"/>
            </w:tcBorders>
            <w:vAlign w:val="center"/>
          </w:tcPr>
          <w:p>
            <w:pPr>
              <w:widowControl/>
              <w:spacing w:line="240" w:lineRule="exact"/>
              <w:jc w:val="center"/>
              <w:rPr>
                <w:color w:val="auto"/>
                <w:spacing w:val="-80"/>
                <w:highlight w:val="none"/>
              </w:rPr>
            </w:pPr>
            <w:r>
              <w:rPr>
                <w:color w:val="auto"/>
                <w:highlight w:val="none"/>
              </w:rPr>
              <w:t>铁</w:t>
            </w:r>
          </w:p>
        </w:tc>
        <w:tc>
          <w:tcPr>
            <w:tcW w:w="1454" w:type="dxa"/>
            <w:tcBorders>
              <w:tl2br w:val="nil"/>
              <w:tr2bl w:val="nil"/>
            </w:tcBorders>
            <w:vAlign w:val="center"/>
          </w:tcPr>
          <w:p>
            <w:pPr>
              <w:widowControl/>
              <w:spacing w:line="240" w:lineRule="exact"/>
              <w:jc w:val="center"/>
              <w:rPr>
                <w:color w:val="auto"/>
                <w:highlight w:val="none"/>
              </w:rPr>
            </w:pPr>
            <w:r>
              <w:rPr>
                <w:color w:val="auto"/>
                <w:highlight w:val="none"/>
              </w:rPr>
              <w:t>≤0.3</w:t>
            </w:r>
          </w:p>
        </w:tc>
        <w:tc>
          <w:tcPr>
            <w:tcW w:w="1107" w:type="dxa"/>
            <w:tcBorders>
              <w:tl2br w:val="nil"/>
              <w:tr2bl w:val="nil"/>
            </w:tcBorders>
            <w:vAlign w:val="center"/>
          </w:tcPr>
          <w:p>
            <w:pPr>
              <w:widowControl/>
              <w:spacing w:line="240" w:lineRule="exact"/>
              <w:jc w:val="center"/>
              <w:rPr>
                <w:color w:val="auto"/>
                <w:highlight w:val="none"/>
              </w:rPr>
            </w:pPr>
            <w:r>
              <w:rPr>
                <w:color w:val="auto"/>
                <w:highlight w:val="none"/>
              </w:rPr>
              <w:t>18</w:t>
            </w:r>
          </w:p>
        </w:tc>
        <w:tc>
          <w:tcPr>
            <w:tcW w:w="1976" w:type="dxa"/>
            <w:tcBorders>
              <w:tl2br w:val="nil"/>
              <w:tr2bl w:val="nil"/>
            </w:tcBorders>
            <w:vAlign w:val="center"/>
          </w:tcPr>
          <w:p>
            <w:pPr>
              <w:widowControl/>
              <w:spacing w:line="240" w:lineRule="exact"/>
              <w:jc w:val="center"/>
              <w:rPr>
                <w:color w:val="auto"/>
                <w:highlight w:val="none"/>
              </w:rPr>
            </w:pPr>
            <w:r>
              <w:rPr>
                <w:color w:val="auto"/>
                <w:highlight w:val="none"/>
              </w:rPr>
              <w:t>砷</w:t>
            </w:r>
          </w:p>
        </w:tc>
        <w:tc>
          <w:tcPr>
            <w:tcW w:w="1624" w:type="dxa"/>
            <w:tcBorders>
              <w:tl2br w:val="nil"/>
              <w:tr2bl w:val="nil"/>
            </w:tcBorders>
            <w:vAlign w:val="center"/>
          </w:tcPr>
          <w:p>
            <w:pPr>
              <w:widowControl/>
              <w:spacing w:line="240" w:lineRule="exact"/>
              <w:jc w:val="center"/>
              <w:rPr>
                <w:color w:val="auto"/>
                <w:highlight w:val="none"/>
              </w:rPr>
            </w:pPr>
            <w:r>
              <w:rPr>
                <w:color w:val="auto"/>
                <w:highlight w:val="none"/>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color w:val="auto"/>
                <w:highlight w:val="none"/>
              </w:rPr>
            </w:pPr>
            <w:r>
              <w:rPr>
                <w:color w:val="auto"/>
                <w:highlight w:val="none"/>
              </w:rPr>
              <w:t>7</w:t>
            </w:r>
          </w:p>
        </w:tc>
        <w:tc>
          <w:tcPr>
            <w:tcW w:w="1759" w:type="dxa"/>
            <w:tcBorders>
              <w:tl2br w:val="nil"/>
              <w:tr2bl w:val="nil"/>
            </w:tcBorders>
            <w:vAlign w:val="center"/>
          </w:tcPr>
          <w:p>
            <w:pPr>
              <w:widowControl/>
              <w:spacing w:line="240" w:lineRule="exact"/>
              <w:jc w:val="center"/>
              <w:rPr>
                <w:color w:val="auto"/>
                <w:spacing w:val="-80"/>
                <w:highlight w:val="none"/>
              </w:rPr>
            </w:pPr>
            <w:r>
              <w:rPr>
                <w:color w:val="auto"/>
                <w:highlight w:val="none"/>
              </w:rPr>
              <w:t>锰</w:t>
            </w:r>
          </w:p>
        </w:tc>
        <w:tc>
          <w:tcPr>
            <w:tcW w:w="1454" w:type="dxa"/>
            <w:tcBorders>
              <w:tl2br w:val="nil"/>
              <w:tr2bl w:val="nil"/>
            </w:tcBorders>
            <w:vAlign w:val="center"/>
          </w:tcPr>
          <w:p>
            <w:pPr>
              <w:widowControl/>
              <w:spacing w:line="240" w:lineRule="exact"/>
              <w:jc w:val="center"/>
              <w:rPr>
                <w:color w:val="auto"/>
                <w:highlight w:val="none"/>
              </w:rPr>
            </w:pPr>
            <w:r>
              <w:rPr>
                <w:color w:val="auto"/>
                <w:highlight w:val="none"/>
              </w:rPr>
              <w:t>≤0.1</w:t>
            </w:r>
          </w:p>
        </w:tc>
        <w:tc>
          <w:tcPr>
            <w:tcW w:w="1107" w:type="dxa"/>
            <w:tcBorders>
              <w:tl2br w:val="nil"/>
              <w:tr2bl w:val="nil"/>
            </w:tcBorders>
            <w:vAlign w:val="center"/>
          </w:tcPr>
          <w:p>
            <w:pPr>
              <w:widowControl/>
              <w:spacing w:line="240" w:lineRule="exact"/>
              <w:jc w:val="center"/>
              <w:rPr>
                <w:color w:val="auto"/>
                <w:highlight w:val="none"/>
              </w:rPr>
            </w:pPr>
            <w:r>
              <w:rPr>
                <w:color w:val="auto"/>
                <w:highlight w:val="none"/>
              </w:rPr>
              <w:t>19</w:t>
            </w:r>
          </w:p>
        </w:tc>
        <w:tc>
          <w:tcPr>
            <w:tcW w:w="1976" w:type="dxa"/>
            <w:tcBorders>
              <w:tl2br w:val="nil"/>
              <w:tr2bl w:val="nil"/>
            </w:tcBorders>
            <w:vAlign w:val="center"/>
          </w:tcPr>
          <w:p>
            <w:pPr>
              <w:widowControl/>
              <w:spacing w:line="240" w:lineRule="exact"/>
              <w:jc w:val="center"/>
              <w:rPr>
                <w:color w:val="auto"/>
                <w:highlight w:val="none"/>
              </w:rPr>
            </w:pPr>
            <w:r>
              <w:rPr>
                <w:color w:val="auto"/>
                <w:highlight w:val="none"/>
              </w:rPr>
              <w:t>镉</w:t>
            </w:r>
          </w:p>
        </w:tc>
        <w:tc>
          <w:tcPr>
            <w:tcW w:w="1624" w:type="dxa"/>
            <w:tcBorders>
              <w:tl2br w:val="nil"/>
              <w:tr2bl w:val="nil"/>
            </w:tcBorders>
            <w:vAlign w:val="center"/>
          </w:tcPr>
          <w:p>
            <w:pPr>
              <w:widowControl/>
              <w:spacing w:line="240" w:lineRule="exact"/>
              <w:jc w:val="center"/>
              <w:rPr>
                <w:color w:val="auto"/>
                <w:highlight w:val="none"/>
              </w:rPr>
            </w:pPr>
            <w:r>
              <w:rPr>
                <w:color w:val="auto"/>
                <w:highlight w:val="none"/>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color w:val="auto"/>
                <w:highlight w:val="none"/>
              </w:rPr>
            </w:pPr>
            <w:r>
              <w:rPr>
                <w:color w:val="auto"/>
                <w:highlight w:val="none"/>
              </w:rPr>
              <w:t>8</w:t>
            </w:r>
          </w:p>
        </w:tc>
        <w:tc>
          <w:tcPr>
            <w:tcW w:w="1759" w:type="dxa"/>
            <w:tcBorders>
              <w:tl2br w:val="nil"/>
              <w:tr2bl w:val="nil"/>
            </w:tcBorders>
            <w:vAlign w:val="center"/>
          </w:tcPr>
          <w:p>
            <w:pPr>
              <w:widowControl/>
              <w:spacing w:line="240" w:lineRule="exact"/>
              <w:jc w:val="center"/>
              <w:rPr>
                <w:color w:val="auto"/>
                <w:highlight w:val="none"/>
              </w:rPr>
            </w:pPr>
            <w:r>
              <w:rPr>
                <w:color w:val="auto"/>
                <w:highlight w:val="none"/>
              </w:rPr>
              <w:t>挥发性酚类</w:t>
            </w:r>
          </w:p>
        </w:tc>
        <w:tc>
          <w:tcPr>
            <w:tcW w:w="1454" w:type="dxa"/>
            <w:tcBorders>
              <w:tl2br w:val="nil"/>
              <w:tr2bl w:val="nil"/>
            </w:tcBorders>
            <w:vAlign w:val="center"/>
          </w:tcPr>
          <w:p>
            <w:pPr>
              <w:widowControl/>
              <w:spacing w:line="240" w:lineRule="exact"/>
              <w:jc w:val="center"/>
              <w:rPr>
                <w:color w:val="auto"/>
                <w:highlight w:val="none"/>
              </w:rPr>
            </w:pPr>
            <w:r>
              <w:rPr>
                <w:color w:val="auto"/>
                <w:highlight w:val="none"/>
              </w:rPr>
              <w:t>≤0.002</w:t>
            </w:r>
          </w:p>
        </w:tc>
        <w:tc>
          <w:tcPr>
            <w:tcW w:w="1107"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20</w:t>
            </w:r>
          </w:p>
        </w:tc>
        <w:tc>
          <w:tcPr>
            <w:tcW w:w="1976"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铬（六价）</w:t>
            </w:r>
          </w:p>
        </w:tc>
        <w:tc>
          <w:tcPr>
            <w:tcW w:w="1624"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color w:val="auto"/>
                <w:highlight w:val="none"/>
              </w:rPr>
            </w:pPr>
            <w:r>
              <w:rPr>
                <w:color w:val="auto"/>
                <w:highlight w:val="none"/>
              </w:rPr>
              <w:t>9</w:t>
            </w:r>
          </w:p>
        </w:tc>
        <w:tc>
          <w:tcPr>
            <w:tcW w:w="1759"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耗氧量</w:t>
            </w:r>
          </w:p>
        </w:tc>
        <w:tc>
          <w:tcPr>
            <w:tcW w:w="1454"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≤3.0</w:t>
            </w:r>
          </w:p>
        </w:tc>
        <w:tc>
          <w:tcPr>
            <w:tcW w:w="1107" w:type="dxa"/>
            <w:tcBorders>
              <w:tl2br w:val="nil"/>
              <w:tr2bl w:val="nil"/>
            </w:tcBorders>
            <w:vAlign w:val="center"/>
          </w:tcPr>
          <w:p>
            <w:pPr>
              <w:widowControl/>
              <w:spacing w:line="240" w:lineRule="exact"/>
              <w:jc w:val="center"/>
              <w:rPr>
                <w:color w:val="auto"/>
                <w:highlight w:val="none"/>
              </w:rPr>
            </w:pPr>
            <w:r>
              <w:rPr>
                <w:color w:val="auto"/>
                <w:highlight w:val="none"/>
              </w:rPr>
              <w:t>21</w:t>
            </w:r>
          </w:p>
        </w:tc>
        <w:tc>
          <w:tcPr>
            <w:tcW w:w="1976" w:type="dxa"/>
            <w:tcBorders>
              <w:tl2br w:val="nil"/>
              <w:tr2bl w:val="nil"/>
            </w:tcBorders>
            <w:vAlign w:val="center"/>
          </w:tcPr>
          <w:p>
            <w:pPr>
              <w:widowControl/>
              <w:spacing w:line="240" w:lineRule="exact"/>
              <w:jc w:val="center"/>
              <w:rPr>
                <w:color w:val="auto"/>
                <w:highlight w:val="none"/>
              </w:rPr>
            </w:pPr>
            <w:r>
              <w:rPr>
                <w:color w:val="auto"/>
                <w:highlight w:val="none"/>
              </w:rPr>
              <w:t>铅</w:t>
            </w:r>
          </w:p>
        </w:tc>
        <w:tc>
          <w:tcPr>
            <w:tcW w:w="1624" w:type="dxa"/>
            <w:tcBorders>
              <w:tl2br w:val="nil"/>
              <w:tr2bl w:val="nil"/>
            </w:tcBorders>
            <w:vAlign w:val="center"/>
          </w:tcPr>
          <w:p>
            <w:pPr>
              <w:widowControl/>
              <w:spacing w:line="240" w:lineRule="exact"/>
              <w:jc w:val="center"/>
              <w:rPr>
                <w:color w:val="auto"/>
                <w:highlight w:val="none"/>
              </w:rPr>
            </w:pPr>
            <w:r>
              <w:rPr>
                <w:color w:val="auto"/>
                <w:highlight w:val="none"/>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10</w:t>
            </w:r>
          </w:p>
        </w:tc>
        <w:tc>
          <w:tcPr>
            <w:tcW w:w="1759" w:type="dxa"/>
            <w:tcBorders>
              <w:tl2br w:val="nil"/>
              <w:tr2bl w:val="nil"/>
            </w:tcBorders>
            <w:vAlign w:val="center"/>
          </w:tcPr>
          <w:p>
            <w:pPr>
              <w:widowControl/>
              <w:spacing w:line="240" w:lineRule="exact"/>
              <w:jc w:val="center"/>
              <w:rPr>
                <w:color w:val="auto"/>
                <w:highlight w:val="none"/>
              </w:rPr>
            </w:pPr>
            <w:r>
              <w:rPr>
                <w:color w:val="auto"/>
                <w:highlight w:val="none"/>
              </w:rPr>
              <w:t>氨氮</w:t>
            </w:r>
          </w:p>
        </w:tc>
        <w:tc>
          <w:tcPr>
            <w:tcW w:w="1454" w:type="dxa"/>
            <w:tcBorders>
              <w:tl2br w:val="nil"/>
              <w:tr2bl w:val="nil"/>
            </w:tcBorders>
            <w:vAlign w:val="center"/>
          </w:tcPr>
          <w:p>
            <w:pPr>
              <w:widowControl/>
              <w:spacing w:line="240" w:lineRule="exact"/>
              <w:jc w:val="center"/>
              <w:rPr>
                <w:color w:val="auto"/>
                <w:highlight w:val="none"/>
              </w:rPr>
            </w:pPr>
            <w:r>
              <w:rPr>
                <w:color w:val="auto"/>
                <w:highlight w:val="none"/>
              </w:rPr>
              <w:t>≤0.50</w:t>
            </w:r>
          </w:p>
        </w:tc>
        <w:tc>
          <w:tcPr>
            <w:tcW w:w="1107" w:type="dxa"/>
            <w:tcBorders>
              <w:tl2br w:val="nil"/>
              <w:tr2bl w:val="nil"/>
            </w:tcBorders>
            <w:vAlign w:val="center"/>
          </w:tcPr>
          <w:p>
            <w:pPr>
              <w:widowControl/>
              <w:spacing w:line="240" w:lineRule="exact"/>
              <w:jc w:val="center"/>
              <w:rPr>
                <w:color w:val="auto"/>
                <w:highlight w:val="none"/>
              </w:rPr>
            </w:pPr>
            <w:r>
              <w:rPr>
                <w:color w:val="auto"/>
                <w:highlight w:val="none"/>
              </w:rPr>
              <w:t>22</w:t>
            </w:r>
          </w:p>
        </w:tc>
        <w:tc>
          <w:tcPr>
            <w:tcW w:w="1976" w:type="dxa"/>
            <w:tcBorders>
              <w:tl2br w:val="nil"/>
              <w:tr2bl w:val="nil"/>
            </w:tcBorders>
            <w:vAlign w:val="center"/>
          </w:tcPr>
          <w:p>
            <w:pPr>
              <w:widowControl/>
              <w:spacing w:line="240" w:lineRule="exact"/>
              <w:jc w:val="center"/>
              <w:rPr>
                <w:rFonts w:eastAsia="Times New Roman"/>
                <w:color w:val="auto"/>
                <w:highlight w:val="none"/>
              </w:rPr>
            </w:pPr>
            <w:r>
              <w:rPr>
                <w:rFonts w:hint="eastAsia" w:ascii="宋体" w:hAnsi="宋体" w:cs="宋体"/>
                <w:color w:val="auto"/>
                <w:highlight w:val="none"/>
              </w:rPr>
              <w:t>阴离子表面活性剂</w:t>
            </w:r>
          </w:p>
        </w:tc>
        <w:tc>
          <w:tcPr>
            <w:tcW w:w="1624" w:type="dxa"/>
            <w:tcBorders>
              <w:tl2br w:val="nil"/>
              <w:tr2bl w:val="nil"/>
            </w:tcBorders>
            <w:vAlign w:val="center"/>
          </w:tcPr>
          <w:p>
            <w:pPr>
              <w:widowControl/>
              <w:spacing w:line="240" w:lineRule="exact"/>
              <w:jc w:val="center"/>
              <w:rPr>
                <w:rFonts w:eastAsia="等线"/>
                <w:color w:val="auto"/>
                <w:highlight w:val="none"/>
              </w:rPr>
            </w:pPr>
            <w:r>
              <w:rPr>
                <w:color w:val="auto"/>
                <w:highlight w:val="none"/>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11</w:t>
            </w:r>
          </w:p>
        </w:tc>
        <w:tc>
          <w:tcPr>
            <w:tcW w:w="1759"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总大肠菌群(CFU/100mL)</w:t>
            </w:r>
          </w:p>
        </w:tc>
        <w:tc>
          <w:tcPr>
            <w:tcW w:w="1454"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≤3.0</w:t>
            </w:r>
          </w:p>
        </w:tc>
        <w:tc>
          <w:tcPr>
            <w:tcW w:w="1107" w:type="dxa"/>
            <w:tcBorders>
              <w:tl2br w:val="nil"/>
              <w:tr2bl w:val="nil"/>
            </w:tcBorders>
            <w:vAlign w:val="center"/>
          </w:tcPr>
          <w:p>
            <w:pPr>
              <w:widowControl/>
              <w:spacing w:line="240" w:lineRule="exact"/>
              <w:jc w:val="center"/>
              <w:rPr>
                <w:color w:val="auto"/>
                <w:highlight w:val="none"/>
              </w:rPr>
            </w:pPr>
            <w:r>
              <w:rPr>
                <w:rFonts w:hint="eastAsia"/>
                <w:color w:val="auto"/>
                <w:highlight w:val="none"/>
              </w:rPr>
              <w:t>2</w:t>
            </w:r>
            <w:r>
              <w:rPr>
                <w:color w:val="auto"/>
                <w:highlight w:val="none"/>
              </w:rPr>
              <w:t>3</w:t>
            </w:r>
          </w:p>
        </w:tc>
        <w:tc>
          <w:tcPr>
            <w:tcW w:w="1976" w:type="dxa"/>
            <w:tcBorders>
              <w:tl2br w:val="nil"/>
              <w:tr2bl w:val="nil"/>
            </w:tcBorders>
            <w:vAlign w:val="center"/>
          </w:tcPr>
          <w:p>
            <w:pPr>
              <w:widowControl/>
              <w:spacing w:line="240" w:lineRule="exact"/>
              <w:jc w:val="center"/>
              <w:rPr>
                <w:rFonts w:eastAsia="Times New Roman"/>
                <w:color w:val="auto"/>
                <w:highlight w:val="none"/>
              </w:rPr>
            </w:pPr>
            <w:r>
              <w:rPr>
                <w:rFonts w:hint="eastAsia" w:ascii="宋体" w:hAnsi="宋体" w:cs="宋体"/>
                <w:color w:val="auto"/>
                <w:highlight w:val="none"/>
              </w:rPr>
              <w:t>钠</w:t>
            </w:r>
          </w:p>
        </w:tc>
        <w:tc>
          <w:tcPr>
            <w:tcW w:w="1624" w:type="dxa"/>
            <w:tcBorders>
              <w:tl2br w:val="nil"/>
              <w:tr2bl w:val="nil"/>
            </w:tcBorders>
            <w:vAlign w:val="center"/>
          </w:tcPr>
          <w:p>
            <w:pPr>
              <w:widowControl/>
              <w:spacing w:line="240" w:lineRule="exact"/>
              <w:jc w:val="center"/>
              <w:rPr>
                <w:rFonts w:eastAsia="Times New Roman"/>
                <w:color w:val="auto"/>
                <w:highlight w:val="none"/>
              </w:rPr>
            </w:pPr>
            <w:r>
              <w:rPr>
                <w:color w:val="auto"/>
                <w:highlight w:val="none"/>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tcBorders>
              <w:tl2br w:val="nil"/>
              <w:tr2bl w:val="nil"/>
            </w:tcBorders>
            <w:vAlign w:val="center"/>
          </w:tcPr>
          <w:p>
            <w:pPr>
              <w:widowControl/>
              <w:spacing w:line="240" w:lineRule="exact"/>
              <w:jc w:val="center"/>
              <w:rPr>
                <w:color w:val="auto"/>
                <w:highlight w:val="none"/>
              </w:rPr>
            </w:pPr>
            <w:r>
              <w:rPr>
                <w:color w:val="auto"/>
                <w:highlight w:val="none"/>
              </w:rPr>
              <w:t>12</w:t>
            </w:r>
          </w:p>
        </w:tc>
        <w:tc>
          <w:tcPr>
            <w:tcW w:w="1759" w:type="dxa"/>
            <w:tcBorders>
              <w:tl2br w:val="nil"/>
              <w:tr2bl w:val="nil"/>
            </w:tcBorders>
            <w:vAlign w:val="center"/>
          </w:tcPr>
          <w:p>
            <w:pPr>
              <w:widowControl/>
              <w:spacing w:line="240" w:lineRule="exact"/>
              <w:jc w:val="center"/>
              <w:rPr>
                <w:color w:val="auto"/>
                <w:highlight w:val="none"/>
              </w:rPr>
            </w:pPr>
            <w:r>
              <w:rPr>
                <w:color w:val="auto"/>
                <w:highlight w:val="none"/>
              </w:rPr>
              <w:t>菌落总数(CFU/mL)</w:t>
            </w:r>
          </w:p>
        </w:tc>
        <w:tc>
          <w:tcPr>
            <w:tcW w:w="1454" w:type="dxa"/>
            <w:tcBorders>
              <w:tl2br w:val="nil"/>
              <w:tr2bl w:val="nil"/>
            </w:tcBorders>
            <w:vAlign w:val="center"/>
          </w:tcPr>
          <w:p>
            <w:pPr>
              <w:widowControl/>
              <w:spacing w:line="240" w:lineRule="exact"/>
              <w:jc w:val="center"/>
              <w:rPr>
                <w:color w:val="auto"/>
                <w:highlight w:val="none"/>
              </w:rPr>
            </w:pPr>
            <w:r>
              <w:rPr>
                <w:color w:val="auto"/>
                <w:highlight w:val="none"/>
              </w:rPr>
              <w:t>≤100</w:t>
            </w:r>
          </w:p>
        </w:tc>
        <w:tc>
          <w:tcPr>
            <w:tcW w:w="1107" w:type="dxa"/>
            <w:tcBorders>
              <w:tl2br w:val="nil"/>
              <w:tr2bl w:val="nil"/>
            </w:tcBorders>
            <w:vAlign w:val="center"/>
          </w:tcPr>
          <w:p>
            <w:pPr>
              <w:widowControl/>
              <w:spacing w:line="240" w:lineRule="exact"/>
              <w:jc w:val="center"/>
              <w:rPr>
                <w:color w:val="auto"/>
                <w:highlight w:val="none"/>
              </w:rPr>
            </w:pPr>
          </w:p>
        </w:tc>
        <w:tc>
          <w:tcPr>
            <w:tcW w:w="1976" w:type="dxa"/>
            <w:tcBorders>
              <w:tl2br w:val="nil"/>
              <w:tr2bl w:val="nil"/>
            </w:tcBorders>
            <w:vAlign w:val="center"/>
          </w:tcPr>
          <w:p>
            <w:pPr>
              <w:widowControl/>
              <w:spacing w:line="240" w:lineRule="exact"/>
              <w:jc w:val="center"/>
              <w:rPr>
                <w:rFonts w:ascii="宋体" w:hAnsi="宋体" w:cs="宋体"/>
                <w:color w:val="auto"/>
                <w:highlight w:val="none"/>
              </w:rPr>
            </w:pPr>
          </w:p>
        </w:tc>
        <w:tc>
          <w:tcPr>
            <w:tcW w:w="1624" w:type="dxa"/>
            <w:tcBorders>
              <w:tl2br w:val="nil"/>
              <w:tr2bl w:val="nil"/>
            </w:tcBorders>
            <w:vAlign w:val="center"/>
          </w:tcPr>
          <w:p>
            <w:pPr>
              <w:widowControl/>
              <w:spacing w:line="240" w:lineRule="exact"/>
              <w:jc w:val="center"/>
              <w:rPr>
                <w:color w:val="auto"/>
                <w:highlight w:val="none"/>
              </w:rPr>
            </w:pPr>
          </w:p>
        </w:tc>
      </w:tr>
    </w:tbl>
    <w:p>
      <w:pPr>
        <w:spacing w:line="360" w:lineRule="auto"/>
        <w:ind w:firstLine="482" w:firstLineChars="200"/>
        <w:rPr>
          <w:b/>
          <w:bCs/>
          <w:color w:val="auto"/>
          <w:sz w:val="24"/>
          <w:highlight w:val="none"/>
        </w:rPr>
      </w:pPr>
      <w:r>
        <w:rPr>
          <w:b/>
          <w:bCs/>
          <w:color w:val="auto"/>
          <w:sz w:val="24"/>
          <w:highlight w:val="none"/>
        </w:rPr>
        <w:t>3、评价方法</w:t>
      </w:r>
    </w:p>
    <w:p>
      <w:pPr>
        <w:spacing w:line="360" w:lineRule="auto"/>
        <w:ind w:firstLine="480" w:firstLineChars="200"/>
        <w:rPr>
          <w:color w:val="auto"/>
          <w:sz w:val="24"/>
          <w:highlight w:val="none"/>
        </w:rPr>
      </w:pPr>
      <w:r>
        <w:rPr>
          <w:color w:val="auto"/>
          <w:sz w:val="24"/>
          <w:highlight w:val="none"/>
        </w:rPr>
        <w:t>采用单因子指数法进行现状评价，评价公式等同地表水。</w:t>
      </w:r>
    </w:p>
    <w:p>
      <w:pPr>
        <w:spacing w:line="360" w:lineRule="auto"/>
        <w:ind w:firstLine="482" w:firstLineChars="200"/>
        <w:rPr>
          <w:b/>
          <w:bCs/>
          <w:color w:val="auto"/>
          <w:sz w:val="24"/>
          <w:highlight w:val="none"/>
        </w:rPr>
      </w:pPr>
      <w:r>
        <w:rPr>
          <w:b/>
          <w:bCs/>
          <w:color w:val="auto"/>
          <w:sz w:val="24"/>
          <w:highlight w:val="none"/>
        </w:rPr>
        <w:t>4、评价结果与分析</w:t>
      </w:r>
    </w:p>
    <w:p>
      <w:pPr>
        <w:spacing w:line="360" w:lineRule="auto"/>
        <w:ind w:firstLine="480" w:firstLineChars="200"/>
        <w:rPr>
          <w:color w:val="auto"/>
          <w:sz w:val="24"/>
          <w:highlight w:val="none"/>
        </w:rPr>
      </w:pPr>
      <w:r>
        <w:rPr>
          <w:color w:val="auto"/>
          <w:sz w:val="24"/>
          <w:highlight w:val="none"/>
        </w:rPr>
        <w:t>评价结果见表3.5-6。</w:t>
      </w:r>
    </w:p>
    <w:p>
      <w:pPr>
        <w:spacing w:line="360" w:lineRule="auto"/>
        <w:jc w:val="center"/>
        <w:rPr>
          <w:rFonts w:eastAsia="黑体"/>
          <w:bCs/>
          <w:color w:val="auto"/>
          <w:kern w:val="0"/>
          <w:sz w:val="24"/>
          <w:highlight w:val="none"/>
        </w:rPr>
      </w:pPr>
      <w:r>
        <w:rPr>
          <w:rFonts w:eastAsia="黑体"/>
          <w:bCs/>
          <w:color w:val="auto"/>
          <w:kern w:val="0"/>
          <w:sz w:val="24"/>
          <w:highlight w:val="none"/>
        </w:rPr>
        <w:t>表</w:t>
      </w:r>
      <w:r>
        <w:rPr>
          <w:rFonts w:eastAsia="黑体"/>
          <w:color w:val="auto"/>
          <w:sz w:val="24"/>
          <w:highlight w:val="none"/>
        </w:rPr>
        <w:t>3.5-6</w:t>
      </w:r>
      <w:r>
        <w:rPr>
          <w:rFonts w:eastAsia="黑体"/>
          <w:bCs/>
          <w:color w:val="auto"/>
          <w:kern w:val="0"/>
          <w:sz w:val="24"/>
          <w:highlight w:val="none"/>
        </w:rPr>
        <w:t xml:space="preserve">   地下水水质现状评价结果</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659"/>
        <w:gridCol w:w="1960"/>
        <w:gridCol w:w="2110"/>
        <w:gridCol w:w="21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04" w:type="pct"/>
            <w:vAlign w:val="center"/>
          </w:tcPr>
          <w:p>
            <w:pPr>
              <w:widowControl/>
              <w:spacing w:line="240" w:lineRule="exact"/>
              <w:jc w:val="center"/>
              <w:rPr>
                <w:color w:val="auto"/>
                <w:szCs w:val="21"/>
                <w:highlight w:val="none"/>
              </w:rPr>
            </w:pPr>
            <w:r>
              <w:rPr>
                <w:color w:val="auto"/>
                <w:szCs w:val="21"/>
                <w:highlight w:val="none"/>
              </w:rPr>
              <w:t>监测项目</w:t>
            </w:r>
          </w:p>
        </w:tc>
        <w:tc>
          <w:tcPr>
            <w:tcW w:w="1108" w:type="pct"/>
            <w:vAlign w:val="center"/>
          </w:tcPr>
          <w:p>
            <w:pPr>
              <w:widowControl/>
              <w:spacing w:line="240" w:lineRule="exact"/>
              <w:jc w:val="center"/>
              <w:rPr>
                <w:color w:val="auto"/>
                <w:szCs w:val="21"/>
                <w:highlight w:val="none"/>
              </w:rPr>
            </w:pPr>
            <w:r>
              <w:rPr>
                <w:color w:val="auto"/>
                <w:szCs w:val="21"/>
                <w:highlight w:val="none"/>
              </w:rPr>
              <w:t>横山头</w:t>
            </w:r>
          </w:p>
        </w:tc>
        <w:tc>
          <w:tcPr>
            <w:tcW w:w="1193" w:type="pct"/>
            <w:vAlign w:val="center"/>
          </w:tcPr>
          <w:p>
            <w:pPr>
              <w:widowControl/>
              <w:spacing w:line="240" w:lineRule="exact"/>
              <w:jc w:val="center"/>
              <w:rPr>
                <w:color w:val="auto"/>
                <w:szCs w:val="21"/>
                <w:highlight w:val="none"/>
              </w:rPr>
            </w:pPr>
            <w:r>
              <w:rPr>
                <w:color w:val="auto"/>
                <w:szCs w:val="21"/>
                <w:highlight w:val="none"/>
              </w:rPr>
              <w:t>大官庄</w:t>
            </w:r>
          </w:p>
        </w:tc>
        <w:tc>
          <w:tcPr>
            <w:tcW w:w="1193" w:type="pct"/>
            <w:vAlign w:val="center"/>
          </w:tcPr>
          <w:p>
            <w:pPr>
              <w:widowControl/>
              <w:spacing w:line="240" w:lineRule="exact"/>
              <w:jc w:val="center"/>
              <w:rPr>
                <w:color w:val="auto"/>
                <w:szCs w:val="21"/>
                <w:highlight w:val="none"/>
              </w:rPr>
            </w:pPr>
            <w:r>
              <w:rPr>
                <w:color w:val="auto"/>
                <w:szCs w:val="21"/>
                <w:highlight w:val="none"/>
              </w:rPr>
              <w:t>小官庄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04" w:type="pct"/>
            <w:vAlign w:val="center"/>
          </w:tcPr>
          <w:p>
            <w:pPr>
              <w:pStyle w:val="105"/>
              <w:rPr>
                <w:color w:val="auto"/>
                <w:szCs w:val="21"/>
                <w:highlight w:val="none"/>
              </w:rPr>
            </w:pPr>
            <w:r>
              <w:rPr>
                <w:color w:val="auto"/>
                <w:szCs w:val="21"/>
                <w:highlight w:val="none"/>
              </w:rPr>
              <w:t>pH值</w:t>
            </w:r>
          </w:p>
        </w:tc>
        <w:tc>
          <w:tcPr>
            <w:tcW w:w="1108" w:type="pct"/>
            <w:vAlign w:val="center"/>
          </w:tcPr>
          <w:p>
            <w:pPr>
              <w:pStyle w:val="105"/>
              <w:rPr>
                <w:color w:val="auto"/>
                <w:szCs w:val="21"/>
                <w:highlight w:val="none"/>
              </w:rPr>
            </w:pPr>
            <w:r>
              <w:rPr>
                <w:color w:val="auto"/>
                <w:szCs w:val="21"/>
                <w:highlight w:val="none"/>
              </w:rPr>
              <w:t>0.13</w:t>
            </w:r>
          </w:p>
        </w:tc>
        <w:tc>
          <w:tcPr>
            <w:tcW w:w="1193" w:type="pct"/>
            <w:vAlign w:val="center"/>
          </w:tcPr>
          <w:p>
            <w:pPr>
              <w:pStyle w:val="105"/>
              <w:rPr>
                <w:color w:val="auto"/>
                <w:szCs w:val="21"/>
                <w:highlight w:val="none"/>
              </w:rPr>
            </w:pPr>
            <w:r>
              <w:rPr>
                <w:color w:val="auto"/>
                <w:szCs w:val="21"/>
                <w:highlight w:val="none"/>
              </w:rPr>
              <w:t>0.27</w:t>
            </w:r>
          </w:p>
        </w:tc>
        <w:tc>
          <w:tcPr>
            <w:tcW w:w="1193" w:type="pct"/>
            <w:vAlign w:val="center"/>
          </w:tcPr>
          <w:p>
            <w:pPr>
              <w:pStyle w:val="105"/>
              <w:rPr>
                <w:color w:val="auto"/>
                <w:szCs w:val="21"/>
                <w:highlight w:val="none"/>
              </w:rPr>
            </w:pPr>
            <w:r>
              <w:rPr>
                <w:color w:val="auto"/>
                <w:szCs w:val="21"/>
                <w:highlight w:val="none"/>
              </w:rPr>
              <w:t>0.27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04" w:type="pct"/>
            <w:vAlign w:val="center"/>
          </w:tcPr>
          <w:p>
            <w:pPr>
              <w:pStyle w:val="105"/>
              <w:rPr>
                <w:color w:val="auto"/>
                <w:szCs w:val="21"/>
                <w:highlight w:val="none"/>
              </w:rPr>
            </w:pPr>
            <w:r>
              <w:rPr>
                <w:color w:val="auto"/>
                <w:szCs w:val="21"/>
                <w:highlight w:val="none"/>
              </w:rPr>
              <w:t>钠（Na</w:t>
            </w:r>
            <w:r>
              <w:rPr>
                <w:color w:val="auto"/>
                <w:szCs w:val="21"/>
                <w:highlight w:val="none"/>
                <w:vertAlign w:val="superscript"/>
              </w:rPr>
              <w:t>+</w:t>
            </w:r>
            <w:r>
              <w:rPr>
                <w:color w:val="auto"/>
                <w:szCs w:val="21"/>
                <w:highlight w:val="none"/>
              </w:rPr>
              <w:t>）</w:t>
            </w:r>
          </w:p>
        </w:tc>
        <w:tc>
          <w:tcPr>
            <w:tcW w:w="1108" w:type="pct"/>
            <w:vAlign w:val="center"/>
          </w:tcPr>
          <w:p>
            <w:pPr>
              <w:pStyle w:val="105"/>
              <w:rPr>
                <w:color w:val="auto"/>
                <w:szCs w:val="21"/>
                <w:highlight w:val="none"/>
              </w:rPr>
            </w:pPr>
            <w:r>
              <w:rPr>
                <w:color w:val="auto"/>
                <w:szCs w:val="21"/>
                <w:highlight w:val="none"/>
              </w:rPr>
              <w:t>0.11</w:t>
            </w:r>
          </w:p>
        </w:tc>
        <w:tc>
          <w:tcPr>
            <w:tcW w:w="1193" w:type="pct"/>
            <w:vAlign w:val="center"/>
          </w:tcPr>
          <w:p>
            <w:pPr>
              <w:pStyle w:val="105"/>
              <w:rPr>
                <w:color w:val="auto"/>
                <w:szCs w:val="21"/>
                <w:highlight w:val="none"/>
              </w:rPr>
            </w:pPr>
            <w:r>
              <w:rPr>
                <w:color w:val="auto"/>
                <w:szCs w:val="21"/>
                <w:highlight w:val="none"/>
              </w:rPr>
              <w:t>0.06</w:t>
            </w:r>
          </w:p>
        </w:tc>
        <w:tc>
          <w:tcPr>
            <w:tcW w:w="1193" w:type="pct"/>
            <w:vAlign w:val="center"/>
          </w:tcPr>
          <w:p>
            <w:pPr>
              <w:pStyle w:val="105"/>
              <w:rPr>
                <w:color w:val="auto"/>
                <w:szCs w:val="21"/>
                <w:highlight w:val="none"/>
              </w:rPr>
            </w:pPr>
            <w:r>
              <w:rPr>
                <w:color w:val="auto"/>
                <w:szCs w:val="21"/>
                <w:highlight w:val="none"/>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04" w:type="pct"/>
            <w:vAlign w:val="center"/>
          </w:tcPr>
          <w:p>
            <w:pPr>
              <w:pStyle w:val="105"/>
              <w:rPr>
                <w:color w:val="auto"/>
                <w:szCs w:val="21"/>
                <w:highlight w:val="none"/>
              </w:rPr>
            </w:pPr>
            <w:r>
              <w:rPr>
                <w:color w:val="auto"/>
                <w:szCs w:val="21"/>
                <w:highlight w:val="none"/>
              </w:rPr>
              <w:t>总硬度</w:t>
            </w:r>
          </w:p>
        </w:tc>
        <w:tc>
          <w:tcPr>
            <w:tcW w:w="1108" w:type="pct"/>
            <w:vAlign w:val="center"/>
          </w:tcPr>
          <w:p>
            <w:pPr>
              <w:pStyle w:val="105"/>
              <w:rPr>
                <w:color w:val="auto"/>
                <w:szCs w:val="21"/>
                <w:highlight w:val="none"/>
              </w:rPr>
            </w:pPr>
            <w:r>
              <w:rPr>
                <w:color w:val="auto"/>
                <w:szCs w:val="21"/>
                <w:highlight w:val="none"/>
              </w:rPr>
              <w:t>0.92</w:t>
            </w:r>
          </w:p>
        </w:tc>
        <w:tc>
          <w:tcPr>
            <w:tcW w:w="1193" w:type="pct"/>
            <w:vAlign w:val="center"/>
          </w:tcPr>
          <w:p>
            <w:pPr>
              <w:pStyle w:val="105"/>
              <w:rPr>
                <w:color w:val="auto"/>
                <w:szCs w:val="21"/>
                <w:highlight w:val="none"/>
              </w:rPr>
            </w:pPr>
            <w:r>
              <w:rPr>
                <w:color w:val="auto"/>
                <w:szCs w:val="21"/>
                <w:highlight w:val="none"/>
              </w:rPr>
              <w:t>0.86</w:t>
            </w:r>
          </w:p>
        </w:tc>
        <w:tc>
          <w:tcPr>
            <w:tcW w:w="1193" w:type="pct"/>
            <w:vAlign w:val="center"/>
          </w:tcPr>
          <w:p>
            <w:pPr>
              <w:pStyle w:val="105"/>
              <w:rPr>
                <w:color w:val="auto"/>
                <w:szCs w:val="21"/>
                <w:highlight w:val="none"/>
              </w:rPr>
            </w:pPr>
            <w:r>
              <w:rPr>
                <w:color w:val="auto"/>
                <w:szCs w:val="21"/>
                <w:highlight w:val="none"/>
              </w:rPr>
              <w:t>0.95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04" w:type="pct"/>
            <w:vAlign w:val="center"/>
          </w:tcPr>
          <w:p>
            <w:pPr>
              <w:pStyle w:val="105"/>
              <w:rPr>
                <w:color w:val="auto"/>
                <w:szCs w:val="21"/>
                <w:highlight w:val="none"/>
              </w:rPr>
            </w:pPr>
            <w:r>
              <w:rPr>
                <w:color w:val="auto"/>
                <w:szCs w:val="21"/>
                <w:highlight w:val="none"/>
              </w:rPr>
              <w:t>溶解性总固体</w:t>
            </w:r>
          </w:p>
        </w:tc>
        <w:tc>
          <w:tcPr>
            <w:tcW w:w="1108" w:type="pct"/>
            <w:vAlign w:val="center"/>
          </w:tcPr>
          <w:p>
            <w:pPr>
              <w:pStyle w:val="105"/>
              <w:rPr>
                <w:color w:val="auto"/>
                <w:szCs w:val="21"/>
                <w:highlight w:val="none"/>
              </w:rPr>
            </w:pPr>
            <w:r>
              <w:rPr>
                <w:color w:val="auto"/>
                <w:szCs w:val="21"/>
                <w:highlight w:val="none"/>
              </w:rPr>
              <w:t>0.76</w:t>
            </w:r>
          </w:p>
        </w:tc>
        <w:tc>
          <w:tcPr>
            <w:tcW w:w="1193" w:type="pct"/>
            <w:vAlign w:val="center"/>
          </w:tcPr>
          <w:p>
            <w:pPr>
              <w:pStyle w:val="105"/>
              <w:rPr>
                <w:color w:val="auto"/>
                <w:szCs w:val="21"/>
                <w:highlight w:val="none"/>
              </w:rPr>
            </w:pPr>
            <w:r>
              <w:rPr>
                <w:color w:val="auto"/>
                <w:szCs w:val="21"/>
                <w:highlight w:val="none"/>
              </w:rPr>
              <w:t>0.71</w:t>
            </w:r>
          </w:p>
        </w:tc>
        <w:tc>
          <w:tcPr>
            <w:tcW w:w="1193" w:type="pct"/>
            <w:vAlign w:val="center"/>
          </w:tcPr>
          <w:p>
            <w:pPr>
              <w:pStyle w:val="105"/>
              <w:rPr>
                <w:color w:val="auto"/>
                <w:szCs w:val="21"/>
                <w:highlight w:val="none"/>
              </w:rPr>
            </w:pPr>
            <w:r>
              <w:rPr>
                <w:color w:val="auto"/>
                <w:szCs w:val="21"/>
                <w:highlight w:val="none"/>
              </w:rPr>
              <w:t>0.78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2" w:hRule="atLeast"/>
          <w:jc w:val="center"/>
        </w:trPr>
        <w:tc>
          <w:tcPr>
            <w:tcW w:w="1504" w:type="pct"/>
            <w:vAlign w:val="center"/>
          </w:tcPr>
          <w:p>
            <w:pPr>
              <w:pStyle w:val="105"/>
              <w:rPr>
                <w:color w:val="auto"/>
                <w:szCs w:val="21"/>
                <w:highlight w:val="none"/>
              </w:rPr>
            </w:pPr>
            <w:r>
              <w:rPr>
                <w:color w:val="auto"/>
                <w:szCs w:val="21"/>
                <w:highlight w:val="none"/>
              </w:rPr>
              <w:t>耗氧量</w:t>
            </w:r>
          </w:p>
        </w:tc>
        <w:tc>
          <w:tcPr>
            <w:tcW w:w="1108" w:type="pct"/>
            <w:vAlign w:val="center"/>
          </w:tcPr>
          <w:p>
            <w:pPr>
              <w:pStyle w:val="105"/>
              <w:rPr>
                <w:color w:val="auto"/>
                <w:szCs w:val="21"/>
                <w:highlight w:val="none"/>
              </w:rPr>
            </w:pPr>
            <w:r>
              <w:rPr>
                <w:color w:val="auto"/>
                <w:szCs w:val="21"/>
                <w:highlight w:val="none"/>
              </w:rPr>
              <w:t>0.11</w:t>
            </w:r>
          </w:p>
        </w:tc>
        <w:tc>
          <w:tcPr>
            <w:tcW w:w="1193" w:type="pct"/>
            <w:vAlign w:val="center"/>
          </w:tcPr>
          <w:p>
            <w:pPr>
              <w:pStyle w:val="105"/>
              <w:rPr>
                <w:color w:val="auto"/>
                <w:szCs w:val="21"/>
                <w:highlight w:val="none"/>
              </w:rPr>
            </w:pPr>
            <w:r>
              <w:rPr>
                <w:color w:val="auto"/>
                <w:szCs w:val="21"/>
                <w:highlight w:val="none"/>
              </w:rPr>
              <w:t>0.15</w:t>
            </w:r>
          </w:p>
        </w:tc>
        <w:tc>
          <w:tcPr>
            <w:tcW w:w="1193" w:type="pct"/>
            <w:vAlign w:val="center"/>
          </w:tcPr>
          <w:p>
            <w:pPr>
              <w:pStyle w:val="105"/>
              <w:rPr>
                <w:color w:val="auto"/>
                <w:szCs w:val="21"/>
                <w:highlight w:val="none"/>
              </w:rPr>
            </w:pPr>
            <w:r>
              <w:rPr>
                <w:color w:val="auto"/>
                <w:szCs w:val="21"/>
                <w:highlight w:val="none"/>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2" w:hRule="atLeast"/>
          <w:jc w:val="center"/>
        </w:trPr>
        <w:tc>
          <w:tcPr>
            <w:tcW w:w="1504" w:type="pct"/>
            <w:vAlign w:val="center"/>
          </w:tcPr>
          <w:p>
            <w:pPr>
              <w:pStyle w:val="105"/>
              <w:rPr>
                <w:color w:val="auto"/>
                <w:szCs w:val="21"/>
                <w:highlight w:val="none"/>
              </w:rPr>
            </w:pPr>
            <w:r>
              <w:rPr>
                <w:color w:val="auto"/>
                <w:szCs w:val="21"/>
                <w:highlight w:val="none"/>
              </w:rPr>
              <w:t>氟化物</w:t>
            </w:r>
          </w:p>
        </w:tc>
        <w:tc>
          <w:tcPr>
            <w:tcW w:w="1108" w:type="pct"/>
            <w:vAlign w:val="center"/>
          </w:tcPr>
          <w:p>
            <w:pPr>
              <w:pStyle w:val="105"/>
              <w:rPr>
                <w:color w:val="auto"/>
                <w:szCs w:val="21"/>
                <w:highlight w:val="none"/>
              </w:rPr>
            </w:pPr>
            <w:r>
              <w:rPr>
                <w:color w:val="auto"/>
                <w:szCs w:val="21"/>
                <w:highlight w:val="none"/>
              </w:rPr>
              <w:t>0.18</w:t>
            </w:r>
          </w:p>
        </w:tc>
        <w:tc>
          <w:tcPr>
            <w:tcW w:w="1193" w:type="pct"/>
            <w:vAlign w:val="center"/>
          </w:tcPr>
          <w:p>
            <w:pPr>
              <w:pStyle w:val="105"/>
              <w:rPr>
                <w:color w:val="auto"/>
                <w:szCs w:val="21"/>
                <w:highlight w:val="none"/>
              </w:rPr>
            </w:pPr>
            <w:r>
              <w:rPr>
                <w:color w:val="auto"/>
                <w:szCs w:val="21"/>
                <w:highlight w:val="none"/>
              </w:rPr>
              <w:t>0.25</w:t>
            </w:r>
          </w:p>
        </w:tc>
        <w:tc>
          <w:tcPr>
            <w:tcW w:w="1193" w:type="pct"/>
            <w:vAlign w:val="center"/>
          </w:tcPr>
          <w:p>
            <w:pPr>
              <w:pStyle w:val="105"/>
              <w:rPr>
                <w:color w:val="auto"/>
                <w:szCs w:val="21"/>
                <w:highlight w:val="none"/>
              </w:rPr>
            </w:pPr>
            <w:r>
              <w:rPr>
                <w:color w:val="auto"/>
                <w:szCs w:val="21"/>
                <w:highlight w:val="none"/>
              </w:rPr>
              <w:t>0.29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2" w:hRule="atLeast"/>
          <w:jc w:val="center"/>
        </w:trPr>
        <w:tc>
          <w:tcPr>
            <w:tcW w:w="1504" w:type="pct"/>
            <w:vAlign w:val="center"/>
          </w:tcPr>
          <w:p>
            <w:pPr>
              <w:pStyle w:val="105"/>
              <w:rPr>
                <w:color w:val="auto"/>
                <w:szCs w:val="21"/>
                <w:highlight w:val="none"/>
              </w:rPr>
            </w:pPr>
            <w:r>
              <w:rPr>
                <w:color w:val="auto"/>
                <w:szCs w:val="21"/>
                <w:highlight w:val="none"/>
              </w:rPr>
              <w:t>氯化物</w:t>
            </w:r>
          </w:p>
        </w:tc>
        <w:tc>
          <w:tcPr>
            <w:tcW w:w="1108" w:type="pct"/>
            <w:vAlign w:val="center"/>
          </w:tcPr>
          <w:p>
            <w:pPr>
              <w:pStyle w:val="105"/>
              <w:rPr>
                <w:color w:val="auto"/>
                <w:szCs w:val="21"/>
                <w:highlight w:val="none"/>
              </w:rPr>
            </w:pPr>
            <w:r>
              <w:rPr>
                <w:color w:val="auto"/>
                <w:szCs w:val="21"/>
                <w:highlight w:val="none"/>
              </w:rPr>
              <w:t>0.11</w:t>
            </w:r>
          </w:p>
        </w:tc>
        <w:tc>
          <w:tcPr>
            <w:tcW w:w="1193" w:type="pct"/>
            <w:vAlign w:val="center"/>
          </w:tcPr>
          <w:p>
            <w:pPr>
              <w:pStyle w:val="105"/>
              <w:rPr>
                <w:color w:val="auto"/>
                <w:szCs w:val="21"/>
                <w:highlight w:val="none"/>
              </w:rPr>
            </w:pPr>
            <w:r>
              <w:rPr>
                <w:color w:val="auto"/>
                <w:szCs w:val="21"/>
                <w:highlight w:val="none"/>
              </w:rPr>
              <w:t>0.16</w:t>
            </w:r>
          </w:p>
        </w:tc>
        <w:tc>
          <w:tcPr>
            <w:tcW w:w="1193" w:type="pct"/>
            <w:vAlign w:val="center"/>
          </w:tcPr>
          <w:p>
            <w:pPr>
              <w:pStyle w:val="105"/>
              <w:rPr>
                <w:color w:val="auto"/>
                <w:szCs w:val="21"/>
                <w:highlight w:val="none"/>
              </w:rPr>
            </w:pPr>
            <w:r>
              <w:rPr>
                <w:color w:val="auto"/>
                <w:szCs w:val="21"/>
                <w:highlight w:val="none"/>
              </w:rPr>
              <w:t>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2" w:hRule="atLeast"/>
          <w:jc w:val="center"/>
        </w:trPr>
        <w:tc>
          <w:tcPr>
            <w:tcW w:w="1504" w:type="pct"/>
            <w:vAlign w:val="center"/>
          </w:tcPr>
          <w:p>
            <w:pPr>
              <w:pStyle w:val="105"/>
              <w:rPr>
                <w:color w:val="auto"/>
                <w:szCs w:val="21"/>
                <w:highlight w:val="none"/>
              </w:rPr>
            </w:pPr>
            <w:r>
              <w:rPr>
                <w:color w:val="auto"/>
                <w:szCs w:val="21"/>
                <w:highlight w:val="none"/>
              </w:rPr>
              <w:t>硝酸盐</w:t>
            </w:r>
          </w:p>
        </w:tc>
        <w:tc>
          <w:tcPr>
            <w:tcW w:w="1108" w:type="pct"/>
            <w:vAlign w:val="center"/>
          </w:tcPr>
          <w:p>
            <w:pPr>
              <w:pStyle w:val="105"/>
              <w:rPr>
                <w:color w:val="auto"/>
                <w:szCs w:val="21"/>
                <w:highlight w:val="none"/>
              </w:rPr>
            </w:pPr>
            <w:r>
              <w:rPr>
                <w:color w:val="auto"/>
                <w:szCs w:val="21"/>
                <w:highlight w:val="none"/>
              </w:rPr>
              <w:t>0.44</w:t>
            </w:r>
          </w:p>
        </w:tc>
        <w:tc>
          <w:tcPr>
            <w:tcW w:w="1193" w:type="pct"/>
            <w:vAlign w:val="center"/>
          </w:tcPr>
          <w:p>
            <w:pPr>
              <w:pStyle w:val="105"/>
              <w:rPr>
                <w:color w:val="auto"/>
                <w:szCs w:val="21"/>
                <w:highlight w:val="none"/>
              </w:rPr>
            </w:pPr>
            <w:r>
              <w:rPr>
                <w:color w:val="auto"/>
                <w:szCs w:val="21"/>
                <w:highlight w:val="none"/>
              </w:rPr>
              <w:t>0.61</w:t>
            </w:r>
          </w:p>
        </w:tc>
        <w:tc>
          <w:tcPr>
            <w:tcW w:w="1193" w:type="pct"/>
            <w:vAlign w:val="center"/>
          </w:tcPr>
          <w:p>
            <w:pPr>
              <w:pStyle w:val="105"/>
              <w:rPr>
                <w:color w:val="auto"/>
                <w:szCs w:val="21"/>
                <w:highlight w:val="none"/>
              </w:rPr>
            </w:pPr>
            <w:r>
              <w:rPr>
                <w:rFonts w:hint="eastAsia"/>
                <w:color w:val="auto"/>
                <w:szCs w:val="21"/>
                <w:highlight w:val="none"/>
              </w:rPr>
              <w:t>0.905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2" w:hRule="atLeast"/>
          <w:jc w:val="center"/>
        </w:trPr>
        <w:tc>
          <w:tcPr>
            <w:tcW w:w="1504" w:type="pct"/>
            <w:vAlign w:val="center"/>
          </w:tcPr>
          <w:p>
            <w:pPr>
              <w:pStyle w:val="105"/>
              <w:rPr>
                <w:color w:val="auto"/>
                <w:szCs w:val="21"/>
                <w:highlight w:val="none"/>
              </w:rPr>
            </w:pPr>
            <w:r>
              <w:rPr>
                <w:color w:val="auto"/>
                <w:szCs w:val="21"/>
                <w:highlight w:val="none"/>
              </w:rPr>
              <w:t>硫酸盐</w:t>
            </w:r>
          </w:p>
        </w:tc>
        <w:tc>
          <w:tcPr>
            <w:tcW w:w="1108" w:type="pct"/>
            <w:vAlign w:val="center"/>
          </w:tcPr>
          <w:p>
            <w:pPr>
              <w:pStyle w:val="105"/>
              <w:rPr>
                <w:color w:val="auto"/>
                <w:szCs w:val="21"/>
                <w:highlight w:val="none"/>
              </w:rPr>
            </w:pPr>
            <w:r>
              <w:rPr>
                <w:color w:val="auto"/>
                <w:szCs w:val="21"/>
                <w:highlight w:val="none"/>
              </w:rPr>
              <w:t>0.28</w:t>
            </w:r>
          </w:p>
        </w:tc>
        <w:tc>
          <w:tcPr>
            <w:tcW w:w="1193" w:type="pct"/>
            <w:vAlign w:val="center"/>
          </w:tcPr>
          <w:p>
            <w:pPr>
              <w:pStyle w:val="105"/>
              <w:rPr>
                <w:color w:val="auto"/>
                <w:szCs w:val="21"/>
                <w:highlight w:val="none"/>
              </w:rPr>
            </w:pPr>
            <w:r>
              <w:rPr>
                <w:color w:val="auto"/>
                <w:szCs w:val="21"/>
                <w:highlight w:val="none"/>
              </w:rPr>
              <w:t>0.29</w:t>
            </w:r>
          </w:p>
        </w:tc>
        <w:tc>
          <w:tcPr>
            <w:tcW w:w="1193" w:type="pct"/>
            <w:vAlign w:val="center"/>
          </w:tcPr>
          <w:p>
            <w:pPr>
              <w:pStyle w:val="105"/>
              <w:rPr>
                <w:color w:val="auto"/>
                <w:szCs w:val="21"/>
                <w:highlight w:val="none"/>
              </w:rPr>
            </w:pPr>
            <w:r>
              <w:rPr>
                <w:color w:val="auto"/>
                <w:szCs w:val="21"/>
                <w:highlight w:val="none"/>
              </w:rPr>
              <w:t>0.31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2" w:hRule="atLeast"/>
          <w:jc w:val="center"/>
        </w:trPr>
        <w:tc>
          <w:tcPr>
            <w:tcW w:w="1504" w:type="pct"/>
            <w:vAlign w:val="center"/>
          </w:tcPr>
          <w:p>
            <w:pPr>
              <w:pStyle w:val="105"/>
              <w:rPr>
                <w:color w:val="auto"/>
                <w:szCs w:val="21"/>
                <w:highlight w:val="none"/>
              </w:rPr>
            </w:pPr>
            <w:r>
              <w:rPr>
                <w:color w:val="auto"/>
                <w:szCs w:val="21"/>
                <w:highlight w:val="none"/>
              </w:rPr>
              <w:t>细菌总数</w:t>
            </w:r>
          </w:p>
        </w:tc>
        <w:tc>
          <w:tcPr>
            <w:tcW w:w="1108" w:type="pct"/>
            <w:vAlign w:val="center"/>
          </w:tcPr>
          <w:p>
            <w:pPr>
              <w:pStyle w:val="105"/>
              <w:rPr>
                <w:color w:val="auto"/>
                <w:szCs w:val="21"/>
                <w:highlight w:val="none"/>
              </w:rPr>
            </w:pPr>
            <w:r>
              <w:rPr>
                <w:color w:val="auto"/>
                <w:szCs w:val="21"/>
                <w:highlight w:val="none"/>
              </w:rPr>
              <w:t>0.7</w:t>
            </w:r>
          </w:p>
        </w:tc>
        <w:tc>
          <w:tcPr>
            <w:tcW w:w="1193" w:type="pct"/>
            <w:vAlign w:val="center"/>
          </w:tcPr>
          <w:p>
            <w:pPr>
              <w:pStyle w:val="105"/>
              <w:rPr>
                <w:color w:val="auto"/>
                <w:szCs w:val="21"/>
                <w:highlight w:val="none"/>
              </w:rPr>
            </w:pPr>
            <w:r>
              <w:rPr>
                <w:color w:val="auto"/>
                <w:szCs w:val="21"/>
                <w:highlight w:val="none"/>
              </w:rPr>
              <w:t>0.93</w:t>
            </w:r>
          </w:p>
        </w:tc>
        <w:tc>
          <w:tcPr>
            <w:tcW w:w="1193" w:type="pct"/>
            <w:vAlign w:val="center"/>
          </w:tcPr>
          <w:p>
            <w:pPr>
              <w:pStyle w:val="105"/>
              <w:rPr>
                <w:color w:val="auto"/>
                <w:szCs w:val="21"/>
                <w:highlight w:val="none"/>
              </w:rPr>
            </w:pPr>
            <w:r>
              <w:rPr>
                <w:color w:val="auto"/>
                <w:szCs w:val="21"/>
                <w:highlight w:val="none"/>
              </w:rPr>
              <w:t>0.83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2" w:hRule="atLeast"/>
          <w:jc w:val="center"/>
        </w:trPr>
        <w:tc>
          <w:tcPr>
            <w:tcW w:w="1504" w:type="pct"/>
            <w:vAlign w:val="center"/>
          </w:tcPr>
          <w:p>
            <w:pPr>
              <w:pStyle w:val="105"/>
              <w:rPr>
                <w:color w:val="auto"/>
                <w:szCs w:val="21"/>
                <w:highlight w:val="none"/>
              </w:rPr>
            </w:pPr>
            <w:r>
              <w:rPr>
                <w:color w:val="auto"/>
                <w:szCs w:val="21"/>
                <w:highlight w:val="none"/>
              </w:rPr>
              <w:t>砷</w:t>
            </w:r>
          </w:p>
        </w:tc>
        <w:tc>
          <w:tcPr>
            <w:tcW w:w="1108" w:type="pct"/>
            <w:vAlign w:val="center"/>
          </w:tcPr>
          <w:p>
            <w:pPr>
              <w:pStyle w:val="105"/>
              <w:rPr>
                <w:color w:val="auto"/>
                <w:szCs w:val="21"/>
                <w:highlight w:val="none"/>
              </w:rPr>
            </w:pPr>
            <w:r>
              <w:rPr>
                <w:color w:val="auto"/>
                <w:szCs w:val="21"/>
                <w:highlight w:val="none"/>
              </w:rPr>
              <w:t>0.1</w:t>
            </w:r>
          </w:p>
        </w:tc>
        <w:tc>
          <w:tcPr>
            <w:tcW w:w="1193" w:type="pct"/>
            <w:vAlign w:val="center"/>
          </w:tcPr>
          <w:p>
            <w:pPr>
              <w:pStyle w:val="105"/>
              <w:rPr>
                <w:color w:val="auto"/>
                <w:szCs w:val="21"/>
                <w:highlight w:val="none"/>
              </w:rPr>
            </w:pPr>
            <w:r>
              <w:rPr>
                <w:color w:val="auto"/>
                <w:szCs w:val="21"/>
                <w:highlight w:val="none"/>
              </w:rPr>
              <w:t>0.08</w:t>
            </w:r>
          </w:p>
        </w:tc>
        <w:tc>
          <w:tcPr>
            <w:tcW w:w="1193" w:type="pct"/>
            <w:vAlign w:val="center"/>
          </w:tcPr>
          <w:p>
            <w:pPr>
              <w:pStyle w:val="105"/>
              <w:rPr>
                <w:color w:val="auto"/>
                <w:szCs w:val="21"/>
                <w:highlight w:val="none"/>
              </w:rPr>
            </w:pPr>
            <w:r>
              <w:rPr>
                <w:color w:val="auto"/>
                <w:szCs w:val="21"/>
                <w:highlight w:val="none"/>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2" w:hRule="atLeast"/>
          <w:jc w:val="center"/>
        </w:trPr>
        <w:tc>
          <w:tcPr>
            <w:tcW w:w="1504" w:type="pct"/>
            <w:vAlign w:val="center"/>
          </w:tcPr>
          <w:p>
            <w:pPr>
              <w:pStyle w:val="105"/>
              <w:rPr>
                <w:color w:val="auto"/>
                <w:szCs w:val="21"/>
                <w:highlight w:val="none"/>
              </w:rPr>
            </w:pPr>
            <w:r>
              <w:rPr>
                <w:color w:val="auto"/>
                <w:szCs w:val="21"/>
                <w:highlight w:val="none"/>
              </w:rPr>
              <w:t>锰</w:t>
            </w:r>
          </w:p>
        </w:tc>
        <w:tc>
          <w:tcPr>
            <w:tcW w:w="1108" w:type="pct"/>
            <w:vAlign w:val="center"/>
          </w:tcPr>
          <w:p>
            <w:pPr>
              <w:pStyle w:val="105"/>
              <w:rPr>
                <w:color w:val="auto"/>
                <w:szCs w:val="21"/>
                <w:highlight w:val="none"/>
              </w:rPr>
            </w:pPr>
            <w:r>
              <w:rPr>
                <w:color w:val="auto"/>
                <w:szCs w:val="21"/>
                <w:highlight w:val="none"/>
              </w:rPr>
              <w:t>0.03</w:t>
            </w:r>
          </w:p>
        </w:tc>
        <w:tc>
          <w:tcPr>
            <w:tcW w:w="1193" w:type="pct"/>
            <w:vAlign w:val="center"/>
          </w:tcPr>
          <w:p>
            <w:pPr>
              <w:pStyle w:val="105"/>
              <w:rPr>
                <w:color w:val="auto"/>
                <w:szCs w:val="21"/>
                <w:highlight w:val="none"/>
              </w:rPr>
            </w:pPr>
            <w:r>
              <w:rPr>
                <w:color w:val="auto"/>
                <w:szCs w:val="21"/>
                <w:highlight w:val="none"/>
              </w:rPr>
              <w:t>0.02</w:t>
            </w:r>
          </w:p>
        </w:tc>
        <w:tc>
          <w:tcPr>
            <w:tcW w:w="1193" w:type="pct"/>
            <w:vAlign w:val="center"/>
          </w:tcPr>
          <w:p>
            <w:pPr>
              <w:pStyle w:val="105"/>
              <w:rPr>
                <w:color w:val="auto"/>
                <w:szCs w:val="21"/>
                <w:highlight w:val="none"/>
              </w:rPr>
            </w:pPr>
            <w:r>
              <w:rPr>
                <w:color w:val="auto"/>
                <w:szCs w:val="21"/>
                <w:highlight w:val="none"/>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2" w:hRule="atLeast"/>
          <w:jc w:val="center"/>
        </w:trPr>
        <w:tc>
          <w:tcPr>
            <w:tcW w:w="1504" w:type="pct"/>
            <w:vAlign w:val="center"/>
          </w:tcPr>
          <w:p>
            <w:pPr>
              <w:pStyle w:val="105"/>
              <w:rPr>
                <w:color w:val="auto"/>
                <w:szCs w:val="21"/>
                <w:highlight w:val="none"/>
              </w:rPr>
            </w:pPr>
            <w:r>
              <w:rPr>
                <w:color w:val="auto"/>
                <w:szCs w:val="21"/>
                <w:highlight w:val="none"/>
              </w:rPr>
              <w:t>铁</w:t>
            </w:r>
          </w:p>
        </w:tc>
        <w:tc>
          <w:tcPr>
            <w:tcW w:w="1108" w:type="pct"/>
            <w:vAlign w:val="center"/>
          </w:tcPr>
          <w:p>
            <w:pPr>
              <w:pStyle w:val="105"/>
              <w:rPr>
                <w:color w:val="auto"/>
                <w:szCs w:val="21"/>
                <w:highlight w:val="none"/>
              </w:rPr>
            </w:pPr>
            <w:r>
              <w:rPr>
                <w:color w:val="auto"/>
                <w:szCs w:val="21"/>
                <w:highlight w:val="none"/>
              </w:rPr>
              <w:t>0.035</w:t>
            </w:r>
          </w:p>
        </w:tc>
        <w:tc>
          <w:tcPr>
            <w:tcW w:w="1193" w:type="pct"/>
            <w:vAlign w:val="center"/>
          </w:tcPr>
          <w:p>
            <w:pPr>
              <w:pStyle w:val="105"/>
              <w:rPr>
                <w:color w:val="auto"/>
                <w:szCs w:val="21"/>
                <w:highlight w:val="none"/>
              </w:rPr>
            </w:pPr>
            <w:r>
              <w:rPr>
                <w:color w:val="auto"/>
                <w:szCs w:val="21"/>
                <w:highlight w:val="none"/>
              </w:rPr>
              <w:t>0.024</w:t>
            </w:r>
          </w:p>
        </w:tc>
        <w:tc>
          <w:tcPr>
            <w:tcW w:w="1193" w:type="pct"/>
            <w:vAlign w:val="center"/>
          </w:tcPr>
          <w:p>
            <w:pPr>
              <w:pStyle w:val="105"/>
              <w:rPr>
                <w:color w:val="auto"/>
                <w:szCs w:val="21"/>
                <w:highlight w:val="none"/>
              </w:rPr>
            </w:pPr>
            <w:r>
              <w:rPr>
                <w:color w:val="auto"/>
                <w:szCs w:val="21"/>
                <w:highlight w:val="none"/>
              </w:rPr>
              <w:t>0.044</w:t>
            </w:r>
          </w:p>
        </w:tc>
      </w:tr>
    </w:tbl>
    <w:p>
      <w:pPr>
        <w:pStyle w:val="102"/>
        <w:ind w:firstLine="480"/>
        <w:rPr>
          <w:color w:val="auto"/>
          <w:highlight w:val="none"/>
        </w:rPr>
      </w:pPr>
      <w:r>
        <w:rPr>
          <w:rFonts w:hint="eastAsia"/>
          <w:color w:val="auto"/>
          <w:highlight w:val="none"/>
        </w:rPr>
        <w:t>根据监测结果</w:t>
      </w:r>
      <w:r>
        <w:rPr>
          <w:color w:val="auto"/>
          <w:spacing w:val="-2"/>
          <w:highlight w:val="none"/>
        </w:rPr>
        <w:t>可</w:t>
      </w:r>
      <w:r>
        <w:rPr>
          <w:rFonts w:hint="eastAsia"/>
          <w:color w:val="auto"/>
          <w:spacing w:val="-2"/>
          <w:highlight w:val="none"/>
        </w:rPr>
        <w:t>知</w:t>
      </w:r>
      <w:r>
        <w:rPr>
          <w:color w:val="auto"/>
          <w:spacing w:val="-2"/>
          <w:highlight w:val="none"/>
        </w:rPr>
        <w:t>，</w:t>
      </w:r>
      <w:r>
        <w:rPr>
          <w:rFonts w:hint="eastAsia"/>
          <w:color w:val="auto"/>
          <w:spacing w:val="-2"/>
          <w:highlight w:val="none"/>
        </w:rPr>
        <w:t>项目所在区域地下水</w:t>
      </w:r>
      <w:r>
        <w:rPr>
          <w:color w:val="auto"/>
          <w:spacing w:val="-7"/>
          <w:highlight w:val="none"/>
        </w:rPr>
        <w:t>各监测点位监</w:t>
      </w:r>
      <w:r>
        <w:rPr>
          <w:color w:val="auto"/>
          <w:spacing w:val="-3"/>
          <w:highlight w:val="none"/>
        </w:rPr>
        <w:t>测因子均符合《地下水质量标准》</w:t>
      </w:r>
      <w:r>
        <w:rPr>
          <w:rFonts w:eastAsia="Times New Roman"/>
          <w:color w:val="auto"/>
          <w:highlight w:val="none"/>
        </w:rPr>
        <w:t>(GB/T14848-2017)</w:t>
      </w:r>
      <w:r>
        <w:rPr>
          <w:color w:val="auto"/>
          <w:spacing w:val="-4"/>
          <w:highlight w:val="none"/>
        </w:rPr>
        <w:t>Ⅲ类标准</w:t>
      </w:r>
      <w:r>
        <w:rPr>
          <w:color w:val="auto"/>
          <w:highlight w:val="none"/>
        </w:rPr>
        <w:t>。</w:t>
      </w:r>
    </w:p>
    <w:p>
      <w:pPr>
        <w:pStyle w:val="100"/>
        <w:spacing w:before="156"/>
        <w:rPr>
          <w:rFonts w:ascii="Times New Roman" w:hAnsi="Times New Roman"/>
          <w:color w:val="auto"/>
          <w:highlight w:val="none"/>
        </w:rPr>
      </w:pPr>
      <w:bookmarkStart w:id="132" w:name="_Toc66281283"/>
      <w:bookmarkStart w:id="133" w:name="_Toc13123"/>
      <w:r>
        <w:rPr>
          <w:rFonts w:ascii="Times New Roman" w:hAnsi="Times New Roman"/>
          <w:color w:val="auto"/>
          <w:highlight w:val="none"/>
        </w:rPr>
        <w:t>3.6声环境质量现状</w:t>
      </w:r>
      <w:bookmarkEnd w:id="132"/>
      <w:bookmarkEnd w:id="133"/>
    </w:p>
    <w:p>
      <w:pPr>
        <w:keepNext/>
        <w:keepLines/>
        <w:spacing w:before="78" w:beforeLines="25" w:line="360" w:lineRule="auto"/>
        <w:outlineLvl w:val="2"/>
        <w:rPr>
          <w:rFonts w:eastAsia="黑体"/>
          <w:bCs/>
          <w:color w:val="auto"/>
          <w:sz w:val="24"/>
          <w:szCs w:val="32"/>
          <w:highlight w:val="none"/>
        </w:rPr>
      </w:pPr>
      <w:r>
        <w:rPr>
          <w:rFonts w:eastAsia="黑体"/>
          <w:bCs/>
          <w:color w:val="auto"/>
          <w:sz w:val="24"/>
          <w:szCs w:val="32"/>
          <w:highlight w:val="none"/>
        </w:rPr>
        <w:t>3.6.1声环境质量现状监测</w:t>
      </w:r>
    </w:p>
    <w:p>
      <w:pPr>
        <w:spacing w:line="360" w:lineRule="auto"/>
        <w:ind w:firstLine="482" w:firstLineChars="200"/>
        <w:rPr>
          <w:b/>
          <w:color w:val="auto"/>
          <w:sz w:val="24"/>
          <w:highlight w:val="none"/>
        </w:rPr>
      </w:pPr>
      <w:r>
        <w:rPr>
          <w:b/>
          <w:color w:val="auto"/>
          <w:sz w:val="24"/>
          <w:highlight w:val="none"/>
        </w:rPr>
        <w:t>1、监测点布设</w:t>
      </w:r>
    </w:p>
    <w:p>
      <w:pPr>
        <w:spacing w:line="360" w:lineRule="auto"/>
        <w:ind w:firstLine="480" w:firstLineChars="200"/>
        <w:rPr>
          <w:bCs/>
          <w:color w:val="auto"/>
          <w:sz w:val="24"/>
          <w:highlight w:val="none"/>
        </w:rPr>
      </w:pPr>
      <w:r>
        <w:rPr>
          <w:color w:val="auto"/>
          <w:sz w:val="24"/>
          <w:highlight w:val="none"/>
        </w:rPr>
        <w:t>厂区四场界各设一个监测点，</w:t>
      </w:r>
      <w:r>
        <w:rPr>
          <w:color w:val="auto"/>
          <w:kern w:val="0"/>
          <w:sz w:val="24"/>
          <w:highlight w:val="none"/>
        </w:rPr>
        <w:t>测厂界环境噪声；在大官庄村西侧居民楼（1楼、3楼、5楼）各设</w:t>
      </w:r>
      <w:r>
        <w:rPr>
          <w:color w:val="auto"/>
          <w:sz w:val="24"/>
          <w:highlight w:val="none"/>
        </w:rPr>
        <w:t>一个监测点，</w:t>
      </w:r>
      <w:r>
        <w:rPr>
          <w:color w:val="auto"/>
          <w:kern w:val="0"/>
          <w:sz w:val="24"/>
          <w:highlight w:val="none"/>
        </w:rPr>
        <w:t>测附近敏感点环境噪声</w:t>
      </w:r>
      <w:r>
        <w:rPr>
          <w:rFonts w:hint="eastAsia"/>
          <w:color w:val="auto"/>
          <w:kern w:val="0"/>
          <w:sz w:val="24"/>
          <w:highlight w:val="none"/>
        </w:rPr>
        <w:t>，</w:t>
      </w:r>
      <w:r>
        <w:rPr>
          <w:bCs/>
          <w:color w:val="auto"/>
          <w:sz w:val="24"/>
          <w:highlight w:val="none"/>
        </w:rPr>
        <w:t>布点位置见图3.</w:t>
      </w:r>
      <w:r>
        <w:rPr>
          <w:rFonts w:hint="eastAsia"/>
          <w:bCs/>
          <w:color w:val="auto"/>
          <w:sz w:val="24"/>
          <w:highlight w:val="none"/>
          <w:lang w:val="en-US" w:eastAsia="zh-CN"/>
        </w:rPr>
        <w:t>3</w:t>
      </w:r>
      <w:r>
        <w:rPr>
          <w:bCs/>
          <w:color w:val="auto"/>
          <w:sz w:val="24"/>
          <w:highlight w:val="none"/>
        </w:rPr>
        <w:t>-1。</w:t>
      </w:r>
    </w:p>
    <w:p>
      <w:pPr>
        <w:spacing w:line="360" w:lineRule="auto"/>
        <w:ind w:firstLine="482"/>
        <w:rPr>
          <w:b/>
          <w:bCs/>
          <w:color w:val="auto"/>
          <w:sz w:val="24"/>
          <w:szCs w:val="24"/>
          <w:highlight w:val="none"/>
        </w:rPr>
      </w:pPr>
      <w:r>
        <w:rPr>
          <w:b/>
          <w:bCs/>
          <w:color w:val="auto"/>
          <w:sz w:val="24"/>
          <w:szCs w:val="24"/>
          <w:highlight w:val="none"/>
        </w:rPr>
        <w:t>2、监测仪器和方法</w:t>
      </w:r>
    </w:p>
    <w:p>
      <w:pPr>
        <w:spacing w:line="360" w:lineRule="auto"/>
        <w:ind w:firstLine="480"/>
        <w:rPr>
          <w:color w:val="auto"/>
          <w:sz w:val="24"/>
          <w:szCs w:val="24"/>
          <w:highlight w:val="none"/>
        </w:rPr>
      </w:pPr>
      <w:r>
        <w:rPr>
          <w:color w:val="auto"/>
          <w:sz w:val="24"/>
          <w:szCs w:val="24"/>
          <w:highlight w:val="none"/>
        </w:rPr>
        <w:t>测量方法依据《声环境质量标准》</w:t>
      </w:r>
      <w:r>
        <w:rPr>
          <w:color w:val="auto"/>
          <w:spacing w:val="-8"/>
          <w:sz w:val="24"/>
          <w:szCs w:val="18"/>
          <w:highlight w:val="none"/>
        </w:rPr>
        <w:t>(GB3096-2008)，</w:t>
      </w:r>
      <w:r>
        <w:rPr>
          <w:color w:val="auto"/>
          <w:sz w:val="24"/>
          <w:szCs w:val="24"/>
          <w:highlight w:val="none"/>
        </w:rPr>
        <w:t>测量仪器采用AWA6228+多功能声级计。</w:t>
      </w:r>
    </w:p>
    <w:p>
      <w:pPr>
        <w:spacing w:line="360" w:lineRule="auto"/>
        <w:ind w:firstLine="482"/>
        <w:rPr>
          <w:b/>
          <w:color w:val="auto"/>
          <w:sz w:val="24"/>
          <w:szCs w:val="24"/>
          <w:highlight w:val="none"/>
        </w:rPr>
      </w:pPr>
      <w:r>
        <w:rPr>
          <w:b/>
          <w:color w:val="auto"/>
          <w:sz w:val="24"/>
          <w:szCs w:val="24"/>
          <w:highlight w:val="none"/>
        </w:rPr>
        <w:t>3、监测单位、时间和频率</w:t>
      </w:r>
    </w:p>
    <w:p>
      <w:pPr>
        <w:spacing w:before="93" w:beforeLines="30" w:after="93" w:afterLines="30" w:line="0" w:lineRule="atLeast"/>
        <w:jc w:val="center"/>
        <w:rPr>
          <w:color w:val="auto"/>
          <w:sz w:val="24"/>
          <w:szCs w:val="24"/>
          <w:highlight w:val="none"/>
        </w:rPr>
      </w:pPr>
      <w:r>
        <w:rPr>
          <w:color w:val="auto"/>
          <w:sz w:val="24"/>
          <w:szCs w:val="24"/>
          <w:highlight w:val="none"/>
        </w:rPr>
        <w:t>由</w:t>
      </w:r>
      <w:r>
        <w:rPr>
          <w:rFonts w:hint="eastAsia" w:hAnsi="宋体" w:cs="宋体"/>
          <w:color w:val="auto"/>
          <w:sz w:val="24"/>
          <w:szCs w:val="24"/>
          <w:highlight w:val="none"/>
        </w:rPr>
        <w:t>山东宜维检测有限公司</w:t>
      </w:r>
      <w:r>
        <w:rPr>
          <w:color w:val="auto"/>
          <w:sz w:val="24"/>
          <w:szCs w:val="24"/>
          <w:highlight w:val="none"/>
        </w:rPr>
        <w:t>于2021年</w:t>
      </w:r>
      <w:r>
        <w:rPr>
          <w:rFonts w:hint="eastAsia"/>
          <w:color w:val="auto"/>
          <w:sz w:val="24"/>
          <w:szCs w:val="24"/>
          <w:highlight w:val="none"/>
        </w:rPr>
        <w:t>7</w:t>
      </w:r>
      <w:r>
        <w:rPr>
          <w:color w:val="auto"/>
          <w:sz w:val="24"/>
          <w:szCs w:val="24"/>
          <w:highlight w:val="none"/>
        </w:rPr>
        <w:t>月</w:t>
      </w:r>
      <w:r>
        <w:rPr>
          <w:rFonts w:hint="eastAsia"/>
          <w:color w:val="auto"/>
          <w:sz w:val="24"/>
          <w:szCs w:val="24"/>
          <w:highlight w:val="none"/>
        </w:rPr>
        <w:t>8</w:t>
      </w:r>
      <w:r>
        <w:rPr>
          <w:color w:val="auto"/>
          <w:sz w:val="24"/>
          <w:szCs w:val="24"/>
          <w:highlight w:val="none"/>
        </w:rPr>
        <w:t>~</w:t>
      </w:r>
      <w:r>
        <w:rPr>
          <w:rFonts w:hint="eastAsia"/>
          <w:color w:val="auto"/>
          <w:sz w:val="24"/>
          <w:szCs w:val="24"/>
          <w:highlight w:val="none"/>
        </w:rPr>
        <w:t>9</w:t>
      </w:r>
      <w:r>
        <w:rPr>
          <w:color w:val="auto"/>
          <w:sz w:val="24"/>
          <w:szCs w:val="24"/>
          <w:highlight w:val="none"/>
        </w:rPr>
        <w:t>日监测2天，在昼间、夜间各监测一次。</w:t>
      </w:r>
    </w:p>
    <w:p>
      <w:pPr>
        <w:pStyle w:val="102"/>
        <w:ind w:firstLine="482"/>
        <w:rPr>
          <w:b/>
          <w:bCs/>
          <w:color w:val="auto"/>
          <w:highlight w:val="none"/>
        </w:rPr>
      </w:pPr>
      <w:r>
        <w:rPr>
          <w:b/>
          <w:bCs/>
          <w:color w:val="auto"/>
          <w:highlight w:val="none"/>
        </w:rPr>
        <w:t>4、监测项目</w:t>
      </w:r>
    </w:p>
    <w:p>
      <w:pPr>
        <w:pStyle w:val="102"/>
        <w:ind w:firstLine="480"/>
        <w:rPr>
          <w:color w:val="auto"/>
          <w:highlight w:val="none"/>
        </w:rPr>
      </w:pPr>
      <w:r>
        <w:rPr>
          <w:color w:val="auto"/>
          <w:highlight w:val="none"/>
        </w:rPr>
        <w:t>测量各监测点的连续等效A声级：Leq[dB(A)]。</w:t>
      </w:r>
    </w:p>
    <w:p>
      <w:pPr>
        <w:pStyle w:val="102"/>
        <w:ind w:firstLine="482"/>
        <w:rPr>
          <w:b/>
          <w:bCs/>
          <w:color w:val="auto"/>
          <w:highlight w:val="none"/>
        </w:rPr>
      </w:pPr>
      <w:r>
        <w:rPr>
          <w:b/>
          <w:bCs/>
          <w:color w:val="auto"/>
          <w:highlight w:val="none"/>
        </w:rPr>
        <w:t>5、监测结果</w:t>
      </w:r>
    </w:p>
    <w:p>
      <w:pPr>
        <w:pStyle w:val="102"/>
        <w:ind w:firstLine="480"/>
        <w:rPr>
          <w:color w:val="auto"/>
          <w:highlight w:val="none"/>
        </w:rPr>
      </w:pPr>
      <w:r>
        <w:rPr>
          <w:color w:val="auto"/>
          <w:highlight w:val="none"/>
        </w:rPr>
        <w:t>监测结果见表3.6-1。</w:t>
      </w:r>
    </w:p>
    <w:p>
      <w:pPr>
        <w:spacing w:line="360" w:lineRule="auto"/>
        <w:jc w:val="center"/>
        <w:rPr>
          <w:rFonts w:eastAsia="黑体"/>
          <w:color w:val="auto"/>
          <w:sz w:val="24"/>
          <w:highlight w:val="none"/>
        </w:rPr>
      </w:pPr>
      <w:r>
        <w:rPr>
          <w:rFonts w:eastAsia="黑体"/>
          <w:color w:val="auto"/>
          <w:sz w:val="24"/>
          <w:highlight w:val="none"/>
        </w:rPr>
        <w:t>表3.6-1   噪声监测结果表   单位: LeqdB(A)</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2522"/>
        <w:gridCol w:w="1558"/>
        <w:gridCol w:w="1918"/>
        <w:gridCol w:w="14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4" w:type="pct"/>
            <w:vAlign w:val="center"/>
          </w:tcPr>
          <w:p>
            <w:pPr>
              <w:jc w:val="center"/>
              <w:rPr>
                <w:color w:val="auto"/>
                <w:highlight w:val="none"/>
              </w:rPr>
            </w:pPr>
            <w:r>
              <w:rPr>
                <w:color w:val="auto"/>
                <w:highlight w:val="none"/>
              </w:rPr>
              <w:t>采样日期</w:t>
            </w:r>
          </w:p>
        </w:tc>
        <w:tc>
          <w:tcPr>
            <w:tcW w:w="1400" w:type="pct"/>
            <w:vAlign w:val="center"/>
          </w:tcPr>
          <w:p>
            <w:pPr>
              <w:jc w:val="center"/>
              <w:rPr>
                <w:color w:val="auto"/>
                <w:highlight w:val="none"/>
              </w:rPr>
            </w:pPr>
            <w:r>
              <w:rPr>
                <w:color w:val="auto"/>
                <w:highlight w:val="none"/>
              </w:rPr>
              <w:t>检测点位</w:t>
            </w:r>
          </w:p>
        </w:tc>
        <w:tc>
          <w:tcPr>
            <w:tcW w:w="865" w:type="pct"/>
            <w:vAlign w:val="center"/>
          </w:tcPr>
          <w:p>
            <w:pPr>
              <w:jc w:val="center"/>
              <w:rPr>
                <w:color w:val="auto"/>
                <w:highlight w:val="none"/>
              </w:rPr>
            </w:pPr>
            <w:r>
              <w:rPr>
                <w:color w:val="auto"/>
                <w:highlight w:val="none"/>
              </w:rPr>
              <w:t>风速（m/s）</w:t>
            </w:r>
          </w:p>
        </w:tc>
        <w:tc>
          <w:tcPr>
            <w:tcW w:w="1065" w:type="pct"/>
            <w:vAlign w:val="center"/>
          </w:tcPr>
          <w:p>
            <w:pPr>
              <w:jc w:val="center"/>
              <w:rPr>
                <w:color w:val="auto"/>
                <w:highlight w:val="none"/>
              </w:rPr>
            </w:pPr>
            <w:r>
              <w:rPr>
                <w:color w:val="auto"/>
                <w:highlight w:val="none"/>
              </w:rPr>
              <w:t>噪声检测结果</w:t>
            </w:r>
          </w:p>
        </w:tc>
        <w:tc>
          <w:tcPr>
            <w:tcW w:w="804" w:type="pct"/>
            <w:vAlign w:val="center"/>
          </w:tcPr>
          <w:p>
            <w:pPr>
              <w:jc w:val="center"/>
              <w:rPr>
                <w:color w:val="auto"/>
                <w:highlight w:val="none"/>
              </w:rPr>
            </w:pPr>
            <w:r>
              <w:rPr>
                <w:color w:val="auto"/>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4" w:type="pct"/>
            <w:vMerge w:val="restart"/>
            <w:vAlign w:val="center"/>
          </w:tcPr>
          <w:p>
            <w:pPr>
              <w:jc w:val="center"/>
              <w:rPr>
                <w:color w:val="auto"/>
                <w:highlight w:val="none"/>
              </w:rPr>
            </w:pPr>
            <w:r>
              <w:rPr>
                <w:color w:val="auto"/>
                <w:highlight w:val="none"/>
              </w:rPr>
              <w:t>2022.07.08</w:t>
            </w:r>
          </w:p>
        </w:tc>
        <w:tc>
          <w:tcPr>
            <w:tcW w:w="1400" w:type="pct"/>
            <w:vMerge w:val="restart"/>
            <w:vAlign w:val="center"/>
          </w:tcPr>
          <w:p>
            <w:pPr>
              <w:jc w:val="center"/>
              <w:rPr>
                <w:color w:val="auto"/>
                <w:highlight w:val="none"/>
              </w:rPr>
            </w:pPr>
            <w:r>
              <w:rPr>
                <w:color w:val="auto"/>
                <w:highlight w:val="none"/>
              </w:rPr>
              <w:t>东厂界</w:t>
            </w:r>
            <w:r>
              <w:rPr>
                <w:color w:val="auto"/>
                <w:szCs w:val="21"/>
                <w:highlight w:val="none"/>
              </w:rPr>
              <w:t>外1m处</w:t>
            </w:r>
          </w:p>
        </w:tc>
        <w:tc>
          <w:tcPr>
            <w:tcW w:w="865" w:type="pct"/>
            <w:vAlign w:val="center"/>
          </w:tcPr>
          <w:p>
            <w:pPr>
              <w:pStyle w:val="105"/>
              <w:rPr>
                <w:color w:val="auto"/>
                <w:highlight w:val="none"/>
              </w:rPr>
            </w:pPr>
            <w:r>
              <w:rPr>
                <w:color w:val="auto"/>
                <w:highlight w:val="none"/>
              </w:rPr>
              <w:t>1.4</w:t>
            </w:r>
          </w:p>
        </w:tc>
        <w:tc>
          <w:tcPr>
            <w:tcW w:w="1065" w:type="pct"/>
            <w:vAlign w:val="center"/>
          </w:tcPr>
          <w:p>
            <w:pPr>
              <w:pStyle w:val="105"/>
              <w:rPr>
                <w:color w:val="auto"/>
                <w:highlight w:val="none"/>
              </w:rPr>
            </w:pPr>
            <w:r>
              <w:rPr>
                <w:color w:val="auto"/>
                <w:highlight w:val="none"/>
              </w:rPr>
              <w:t>47</w:t>
            </w:r>
          </w:p>
        </w:tc>
        <w:tc>
          <w:tcPr>
            <w:tcW w:w="804" w:type="pct"/>
            <w:vAlign w:val="center"/>
          </w:tcPr>
          <w:p>
            <w:pPr>
              <w:jc w:val="center"/>
              <w:rPr>
                <w:color w:val="auto"/>
                <w:highlight w:val="none"/>
              </w:rPr>
            </w:pPr>
            <w:r>
              <w:rPr>
                <w:color w:val="auto"/>
                <w:highlight w:val="none"/>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4" w:type="pct"/>
            <w:vMerge w:val="continue"/>
            <w:vAlign w:val="center"/>
          </w:tcPr>
          <w:p>
            <w:pPr>
              <w:jc w:val="center"/>
              <w:rPr>
                <w:color w:val="auto"/>
                <w:highlight w:val="none"/>
              </w:rPr>
            </w:pPr>
          </w:p>
        </w:tc>
        <w:tc>
          <w:tcPr>
            <w:tcW w:w="1400" w:type="pct"/>
            <w:vMerge w:val="continue"/>
            <w:vAlign w:val="center"/>
          </w:tcPr>
          <w:p>
            <w:pPr>
              <w:jc w:val="center"/>
              <w:rPr>
                <w:color w:val="auto"/>
                <w:highlight w:val="none"/>
              </w:rPr>
            </w:pPr>
          </w:p>
        </w:tc>
        <w:tc>
          <w:tcPr>
            <w:tcW w:w="865" w:type="pct"/>
            <w:vAlign w:val="center"/>
          </w:tcPr>
          <w:p>
            <w:pPr>
              <w:pStyle w:val="105"/>
              <w:rPr>
                <w:color w:val="auto"/>
                <w:highlight w:val="none"/>
              </w:rPr>
            </w:pPr>
            <w:r>
              <w:rPr>
                <w:color w:val="auto"/>
                <w:highlight w:val="none"/>
              </w:rPr>
              <w:t>1.0</w:t>
            </w:r>
          </w:p>
        </w:tc>
        <w:tc>
          <w:tcPr>
            <w:tcW w:w="1065" w:type="pct"/>
            <w:vAlign w:val="center"/>
          </w:tcPr>
          <w:p>
            <w:pPr>
              <w:pStyle w:val="105"/>
              <w:rPr>
                <w:color w:val="auto"/>
                <w:highlight w:val="none"/>
              </w:rPr>
            </w:pPr>
            <w:r>
              <w:rPr>
                <w:color w:val="auto"/>
                <w:highlight w:val="none"/>
              </w:rPr>
              <w:t>41</w:t>
            </w:r>
          </w:p>
        </w:tc>
        <w:tc>
          <w:tcPr>
            <w:tcW w:w="804" w:type="pct"/>
            <w:vAlign w:val="center"/>
          </w:tcPr>
          <w:p>
            <w:pPr>
              <w:jc w:val="center"/>
              <w:rPr>
                <w:color w:val="auto"/>
                <w:highlight w:val="none"/>
              </w:rPr>
            </w:pPr>
            <w:r>
              <w:rPr>
                <w:color w:val="auto"/>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10" w:hRule="atLeast"/>
          <w:jc w:val="center"/>
        </w:trPr>
        <w:tc>
          <w:tcPr>
            <w:tcW w:w="864" w:type="pct"/>
            <w:vMerge w:val="continue"/>
            <w:vAlign w:val="center"/>
          </w:tcPr>
          <w:p>
            <w:pPr>
              <w:jc w:val="center"/>
              <w:rPr>
                <w:color w:val="auto"/>
                <w:highlight w:val="none"/>
              </w:rPr>
            </w:pPr>
          </w:p>
        </w:tc>
        <w:tc>
          <w:tcPr>
            <w:tcW w:w="1400" w:type="pct"/>
            <w:vMerge w:val="restart"/>
            <w:vAlign w:val="center"/>
          </w:tcPr>
          <w:p>
            <w:pPr>
              <w:jc w:val="center"/>
              <w:rPr>
                <w:color w:val="auto"/>
                <w:highlight w:val="none"/>
              </w:rPr>
            </w:pPr>
            <w:r>
              <w:rPr>
                <w:color w:val="auto"/>
                <w:highlight w:val="none"/>
              </w:rPr>
              <w:t>北厂界</w:t>
            </w:r>
            <w:r>
              <w:rPr>
                <w:color w:val="auto"/>
                <w:szCs w:val="21"/>
                <w:highlight w:val="none"/>
              </w:rPr>
              <w:t>外1m处</w:t>
            </w:r>
          </w:p>
        </w:tc>
        <w:tc>
          <w:tcPr>
            <w:tcW w:w="865" w:type="pct"/>
            <w:vAlign w:val="center"/>
          </w:tcPr>
          <w:p>
            <w:pPr>
              <w:pStyle w:val="105"/>
              <w:rPr>
                <w:color w:val="auto"/>
                <w:highlight w:val="none"/>
              </w:rPr>
            </w:pPr>
            <w:r>
              <w:rPr>
                <w:color w:val="auto"/>
                <w:highlight w:val="none"/>
              </w:rPr>
              <w:t>1.4</w:t>
            </w:r>
          </w:p>
        </w:tc>
        <w:tc>
          <w:tcPr>
            <w:tcW w:w="1065" w:type="pct"/>
            <w:vAlign w:val="center"/>
          </w:tcPr>
          <w:p>
            <w:pPr>
              <w:pStyle w:val="105"/>
              <w:rPr>
                <w:color w:val="auto"/>
                <w:highlight w:val="none"/>
              </w:rPr>
            </w:pPr>
            <w:r>
              <w:rPr>
                <w:color w:val="auto"/>
                <w:highlight w:val="none"/>
              </w:rPr>
              <w:t>46</w:t>
            </w:r>
          </w:p>
        </w:tc>
        <w:tc>
          <w:tcPr>
            <w:tcW w:w="804" w:type="pct"/>
            <w:vAlign w:val="center"/>
          </w:tcPr>
          <w:p>
            <w:pPr>
              <w:jc w:val="center"/>
              <w:rPr>
                <w:color w:val="auto"/>
                <w:highlight w:val="none"/>
              </w:rPr>
            </w:pPr>
            <w:r>
              <w:rPr>
                <w:color w:val="auto"/>
                <w:highlight w:val="none"/>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4" w:type="pct"/>
            <w:vMerge w:val="continue"/>
            <w:vAlign w:val="center"/>
          </w:tcPr>
          <w:p>
            <w:pPr>
              <w:jc w:val="center"/>
              <w:rPr>
                <w:color w:val="auto"/>
                <w:highlight w:val="none"/>
              </w:rPr>
            </w:pPr>
          </w:p>
        </w:tc>
        <w:tc>
          <w:tcPr>
            <w:tcW w:w="1400" w:type="pct"/>
            <w:vMerge w:val="continue"/>
            <w:vAlign w:val="center"/>
          </w:tcPr>
          <w:p>
            <w:pPr>
              <w:jc w:val="center"/>
              <w:rPr>
                <w:color w:val="auto"/>
                <w:highlight w:val="none"/>
              </w:rPr>
            </w:pPr>
          </w:p>
        </w:tc>
        <w:tc>
          <w:tcPr>
            <w:tcW w:w="865" w:type="pct"/>
            <w:vAlign w:val="center"/>
          </w:tcPr>
          <w:p>
            <w:pPr>
              <w:pStyle w:val="105"/>
              <w:rPr>
                <w:color w:val="auto"/>
                <w:highlight w:val="none"/>
              </w:rPr>
            </w:pPr>
            <w:r>
              <w:rPr>
                <w:color w:val="auto"/>
                <w:highlight w:val="none"/>
              </w:rPr>
              <w:t>1.0</w:t>
            </w:r>
          </w:p>
        </w:tc>
        <w:tc>
          <w:tcPr>
            <w:tcW w:w="1065" w:type="pct"/>
            <w:vAlign w:val="center"/>
          </w:tcPr>
          <w:p>
            <w:pPr>
              <w:pStyle w:val="105"/>
              <w:rPr>
                <w:color w:val="auto"/>
                <w:highlight w:val="none"/>
              </w:rPr>
            </w:pPr>
            <w:r>
              <w:rPr>
                <w:color w:val="auto"/>
                <w:highlight w:val="none"/>
              </w:rPr>
              <w:t>45</w:t>
            </w:r>
          </w:p>
        </w:tc>
        <w:tc>
          <w:tcPr>
            <w:tcW w:w="804" w:type="pct"/>
            <w:vAlign w:val="center"/>
          </w:tcPr>
          <w:p>
            <w:pPr>
              <w:jc w:val="center"/>
              <w:rPr>
                <w:color w:val="auto"/>
                <w:highlight w:val="none"/>
              </w:rPr>
            </w:pPr>
            <w:r>
              <w:rPr>
                <w:color w:val="auto"/>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4" w:type="pct"/>
            <w:vMerge w:val="continue"/>
            <w:vAlign w:val="center"/>
          </w:tcPr>
          <w:p>
            <w:pPr>
              <w:jc w:val="center"/>
              <w:rPr>
                <w:color w:val="auto"/>
                <w:highlight w:val="none"/>
              </w:rPr>
            </w:pPr>
          </w:p>
        </w:tc>
        <w:tc>
          <w:tcPr>
            <w:tcW w:w="1400" w:type="pct"/>
            <w:vMerge w:val="restart"/>
            <w:vAlign w:val="center"/>
          </w:tcPr>
          <w:p>
            <w:pPr>
              <w:jc w:val="center"/>
              <w:rPr>
                <w:color w:val="auto"/>
                <w:highlight w:val="none"/>
              </w:rPr>
            </w:pPr>
            <w:r>
              <w:rPr>
                <w:color w:val="auto"/>
                <w:highlight w:val="none"/>
              </w:rPr>
              <w:t>西厂界</w:t>
            </w:r>
            <w:r>
              <w:rPr>
                <w:color w:val="auto"/>
                <w:szCs w:val="21"/>
                <w:highlight w:val="none"/>
              </w:rPr>
              <w:t>外1m处</w:t>
            </w:r>
          </w:p>
        </w:tc>
        <w:tc>
          <w:tcPr>
            <w:tcW w:w="865" w:type="pct"/>
            <w:vAlign w:val="center"/>
          </w:tcPr>
          <w:p>
            <w:pPr>
              <w:pStyle w:val="105"/>
              <w:rPr>
                <w:color w:val="auto"/>
                <w:highlight w:val="none"/>
              </w:rPr>
            </w:pPr>
            <w:r>
              <w:rPr>
                <w:color w:val="auto"/>
                <w:highlight w:val="none"/>
              </w:rPr>
              <w:t>1.4</w:t>
            </w:r>
          </w:p>
        </w:tc>
        <w:tc>
          <w:tcPr>
            <w:tcW w:w="1065" w:type="pct"/>
            <w:vAlign w:val="center"/>
          </w:tcPr>
          <w:p>
            <w:pPr>
              <w:pStyle w:val="105"/>
              <w:rPr>
                <w:color w:val="auto"/>
                <w:highlight w:val="none"/>
              </w:rPr>
            </w:pPr>
            <w:r>
              <w:rPr>
                <w:color w:val="auto"/>
                <w:highlight w:val="none"/>
              </w:rPr>
              <w:t>45</w:t>
            </w:r>
          </w:p>
        </w:tc>
        <w:tc>
          <w:tcPr>
            <w:tcW w:w="804" w:type="pct"/>
            <w:vAlign w:val="center"/>
          </w:tcPr>
          <w:p>
            <w:pPr>
              <w:jc w:val="center"/>
              <w:rPr>
                <w:color w:val="auto"/>
                <w:highlight w:val="none"/>
              </w:rPr>
            </w:pPr>
            <w:r>
              <w:rPr>
                <w:color w:val="auto"/>
                <w:highlight w:val="none"/>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4" w:type="pct"/>
            <w:vMerge w:val="continue"/>
            <w:vAlign w:val="center"/>
          </w:tcPr>
          <w:p>
            <w:pPr>
              <w:jc w:val="center"/>
              <w:rPr>
                <w:color w:val="auto"/>
                <w:highlight w:val="none"/>
              </w:rPr>
            </w:pPr>
          </w:p>
        </w:tc>
        <w:tc>
          <w:tcPr>
            <w:tcW w:w="1400" w:type="pct"/>
            <w:vMerge w:val="continue"/>
            <w:vAlign w:val="center"/>
          </w:tcPr>
          <w:p>
            <w:pPr>
              <w:jc w:val="center"/>
              <w:rPr>
                <w:color w:val="auto"/>
                <w:highlight w:val="none"/>
              </w:rPr>
            </w:pPr>
          </w:p>
        </w:tc>
        <w:tc>
          <w:tcPr>
            <w:tcW w:w="865" w:type="pct"/>
            <w:vAlign w:val="center"/>
          </w:tcPr>
          <w:p>
            <w:pPr>
              <w:pStyle w:val="105"/>
              <w:rPr>
                <w:color w:val="auto"/>
                <w:highlight w:val="none"/>
              </w:rPr>
            </w:pPr>
            <w:r>
              <w:rPr>
                <w:color w:val="auto"/>
                <w:highlight w:val="none"/>
              </w:rPr>
              <w:t>1.0</w:t>
            </w:r>
          </w:p>
        </w:tc>
        <w:tc>
          <w:tcPr>
            <w:tcW w:w="1065" w:type="pct"/>
            <w:vAlign w:val="center"/>
          </w:tcPr>
          <w:p>
            <w:pPr>
              <w:pStyle w:val="105"/>
              <w:rPr>
                <w:color w:val="auto"/>
                <w:highlight w:val="none"/>
              </w:rPr>
            </w:pPr>
            <w:r>
              <w:rPr>
                <w:color w:val="auto"/>
                <w:highlight w:val="none"/>
              </w:rPr>
              <w:t>46</w:t>
            </w:r>
          </w:p>
        </w:tc>
        <w:tc>
          <w:tcPr>
            <w:tcW w:w="804" w:type="pct"/>
            <w:vAlign w:val="center"/>
          </w:tcPr>
          <w:p>
            <w:pPr>
              <w:jc w:val="center"/>
              <w:rPr>
                <w:color w:val="auto"/>
                <w:highlight w:val="none"/>
              </w:rPr>
            </w:pPr>
            <w:r>
              <w:rPr>
                <w:color w:val="auto"/>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4" w:type="pct"/>
            <w:vMerge w:val="continue"/>
            <w:vAlign w:val="center"/>
          </w:tcPr>
          <w:p>
            <w:pPr>
              <w:jc w:val="center"/>
              <w:rPr>
                <w:color w:val="auto"/>
                <w:highlight w:val="none"/>
              </w:rPr>
            </w:pPr>
          </w:p>
        </w:tc>
        <w:tc>
          <w:tcPr>
            <w:tcW w:w="1400" w:type="pct"/>
            <w:vMerge w:val="restart"/>
            <w:vAlign w:val="center"/>
          </w:tcPr>
          <w:p>
            <w:pPr>
              <w:jc w:val="center"/>
              <w:rPr>
                <w:color w:val="auto"/>
                <w:highlight w:val="none"/>
              </w:rPr>
            </w:pPr>
            <w:r>
              <w:rPr>
                <w:color w:val="auto"/>
                <w:highlight w:val="none"/>
              </w:rPr>
              <w:t>南厂界</w:t>
            </w:r>
            <w:r>
              <w:rPr>
                <w:color w:val="auto"/>
                <w:szCs w:val="21"/>
                <w:highlight w:val="none"/>
              </w:rPr>
              <w:t>外1m处</w:t>
            </w:r>
          </w:p>
        </w:tc>
        <w:tc>
          <w:tcPr>
            <w:tcW w:w="865" w:type="pct"/>
            <w:vAlign w:val="center"/>
          </w:tcPr>
          <w:p>
            <w:pPr>
              <w:pStyle w:val="105"/>
              <w:rPr>
                <w:color w:val="auto"/>
                <w:highlight w:val="none"/>
              </w:rPr>
            </w:pPr>
            <w:r>
              <w:rPr>
                <w:color w:val="auto"/>
                <w:highlight w:val="none"/>
              </w:rPr>
              <w:t>1.4</w:t>
            </w:r>
          </w:p>
        </w:tc>
        <w:tc>
          <w:tcPr>
            <w:tcW w:w="1065" w:type="pct"/>
            <w:vAlign w:val="center"/>
          </w:tcPr>
          <w:p>
            <w:pPr>
              <w:pStyle w:val="105"/>
              <w:rPr>
                <w:color w:val="auto"/>
                <w:highlight w:val="none"/>
              </w:rPr>
            </w:pPr>
            <w:r>
              <w:rPr>
                <w:color w:val="auto"/>
                <w:highlight w:val="none"/>
              </w:rPr>
              <w:t>48</w:t>
            </w:r>
          </w:p>
        </w:tc>
        <w:tc>
          <w:tcPr>
            <w:tcW w:w="804" w:type="pct"/>
            <w:vAlign w:val="center"/>
          </w:tcPr>
          <w:p>
            <w:pPr>
              <w:jc w:val="center"/>
              <w:rPr>
                <w:color w:val="auto"/>
                <w:highlight w:val="none"/>
              </w:rPr>
            </w:pPr>
            <w:r>
              <w:rPr>
                <w:color w:val="auto"/>
                <w:highlight w:val="none"/>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4" w:type="pct"/>
            <w:vMerge w:val="continue"/>
            <w:vAlign w:val="center"/>
          </w:tcPr>
          <w:p>
            <w:pPr>
              <w:jc w:val="center"/>
              <w:rPr>
                <w:color w:val="auto"/>
                <w:highlight w:val="none"/>
              </w:rPr>
            </w:pPr>
          </w:p>
        </w:tc>
        <w:tc>
          <w:tcPr>
            <w:tcW w:w="1400" w:type="pct"/>
            <w:vMerge w:val="continue"/>
            <w:vAlign w:val="center"/>
          </w:tcPr>
          <w:p>
            <w:pPr>
              <w:jc w:val="center"/>
              <w:rPr>
                <w:color w:val="auto"/>
                <w:highlight w:val="none"/>
              </w:rPr>
            </w:pPr>
          </w:p>
        </w:tc>
        <w:tc>
          <w:tcPr>
            <w:tcW w:w="865" w:type="pct"/>
            <w:vAlign w:val="center"/>
          </w:tcPr>
          <w:p>
            <w:pPr>
              <w:pStyle w:val="105"/>
              <w:rPr>
                <w:color w:val="auto"/>
                <w:highlight w:val="none"/>
              </w:rPr>
            </w:pPr>
            <w:r>
              <w:rPr>
                <w:color w:val="auto"/>
                <w:highlight w:val="none"/>
              </w:rPr>
              <w:t>1.0</w:t>
            </w:r>
          </w:p>
        </w:tc>
        <w:tc>
          <w:tcPr>
            <w:tcW w:w="1065" w:type="pct"/>
            <w:vAlign w:val="center"/>
          </w:tcPr>
          <w:p>
            <w:pPr>
              <w:pStyle w:val="105"/>
              <w:rPr>
                <w:color w:val="auto"/>
                <w:highlight w:val="none"/>
              </w:rPr>
            </w:pPr>
            <w:r>
              <w:rPr>
                <w:color w:val="auto"/>
                <w:highlight w:val="none"/>
              </w:rPr>
              <w:t>47</w:t>
            </w:r>
          </w:p>
        </w:tc>
        <w:tc>
          <w:tcPr>
            <w:tcW w:w="804" w:type="pct"/>
            <w:vAlign w:val="center"/>
          </w:tcPr>
          <w:p>
            <w:pPr>
              <w:jc w:val="center"/>
              <w:rPr>
                <w:color w:val="auto"/>
                <w:highlight w:val="none"/>
              </w:rPr>
            </w:pPr>
            <w:r>
              <w:rPr>
                <w:color w:val="auto"/>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4" w:type="pct"/>
            <w:vMerge w:val="continue"/>
            <w:vAlign w:val="center"/>
          </w:tcPr>
          <w:p>
            <w:pPr>
              <w:jc w:val="center"/>
              <w:rPr>
                <w:color w:val="auto"/>
                <w:highlight w:val="none"/>
              </w:rPr>
            </w:pPr>
          </w:p>
        </w:tc>
        <w:tc>
          <w:tcPr>
            <w:tcW w:w="1400" w:type="pct"/>
            <w:vMerge w:val="restart"/>
            <w:vAlign w:val="center"/>
          </w:tcPr>
          <w:p>
            <w:pPr>
              <w:jc w:val="center"/>
              <w:rPr>
                <w:color w:val="auto"/>
                <w:highlight w:val="none"/>
              </w:rPr>
            </w:pPr>
            <w:r>
              <w:rPr>
                <w:color w:val="auto"/>
                <w:szCs w:val="21"/>
                <w:highlight w:val="none"/>
              </w:rPr>
              <w:t>大官庄村西侧居民楼1楼</w:t>
            </w:r>
          </w:p>
        </w:tc>
        <w:tc>
          <w:tcPr>
            <w:tcW w:w="865" w:type="pct"/>
            <w:vAlign w:val="center"/>
          </w:tcPr>
          <w:p>
            <w:pPr>
              <w:pStyle w:val="105"/>
              <w:rPr>
                <w:color w:val="auto"/>
                <w:highlight w:val="none"/>
              </w:rPr>
            </w:pPr>
            <w:r>
              <w:rPr>
                <w:color w:val="auto"/>
                <w:highlight w:val="none"/>
              </w:rPr>
              <w:t>1.3</w:t>
            </w:r>
          </w:p>
        </w:tc>
        <w:tc>
          <w:tcPr>
            <w:tcW w:w="1065" w:type="pct"/>
            <w:vAlign w:val="center"/>
          </w:tcPr>
          <w:p>
            <w:pPr>
              <w:pStyle w:val="105"/>
              <w:rPr>
                <w:color w:val="auto"/>
                <w:highlight w:val="none"/>
              </w:rPr>
            </w:pPr>
            <w:r>
              <w:rPr>
                <w:color w:val="auto"/>
                <w:highlight w:val="none"/>
              </w:rPr>
              <w:t>44</w:t>
            </w:r>
          </w:p>
        </w:tc>
        <w:tc>
          <w:tcPr>
            <w:tcW w:w="804" w:type="pct"/>
            <w:vAlign w:val="center"/>
          </w:tcPr>
          <w:p>
            <w:pPr>
              <w:jc w:val="center"/>
              <w:rPr>
                <w:color w:val="auto"/>
                <w:highlight w:val="none"/>
              </w:rPr>
            </w:pPr>
            <w:r>
              <w:rPr>
                <w:color w:val="auto"/>
                <w:highlight w:val="none"/>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4" w:type="pct"/>
            <w:vMerge w:val="continue"/>
            <w:vAlign w:val="center"/>
          </w:tcPr>
          <w:p>
            <w:pPr>
              <w:jc w:val="center"/>
              <w:rPr>
                <w:color w:val="auto"/>
                <w:highlight w:val="none"/>
              </w:rPr>
            </w:pPr>
          </w:p>
        </w:tc>
        <w:tc>
          <w:tcPr>
            <w:tcW w:w="1400" w:type="pct"/>
            <w:vMerge w:val="continue"/>
            <w:vAlign w:val="center"/>
          </w:tcPr>
          <w:p>
            <w:pPr>
              <w:jc w:val="center"/>
              <w:rPr>
                <w:color w:val="auto"/>
                <w:highlight w:val="none"/>
              </w:rPr>
            </w:pPr>
          </w:p>
        </w:tc>
        <w:tc>
          <w:tcPr>
            <w:tcW w:w="865" w:type="pct"/>
            <w:vAlign w:val="center"/>
          </w:tcPr>
          <w:p>
            <w:pPr>
              <w:pStyle w:val="105"/>
              <w:rPr>
                <w:color w:val="auto"/>
                <w:highlight w:val="none"/>
              </w:rPr>
            </w:pPr>
            <w:r>
              <w:rPr>
                <w:color w:val="auto"/>
                <w:highlight w:val="none"/>
              </w:rPr>
              <w:t>1.0</w:t>
            </w:r>
          </w:p>
        </w:tc>
        <w:tc>
          <w:tcPr>
            <w:tcW w:w="1065" w:type="pct"/>
            <w:vAlign w:val="center"/>
          </w:tcPr>
          <w:p>
            <w:pPr>
              <w:pStyle w:val="105"/>
              <w:rPr>
                <w:color w:val="auto"/>
                <w:highlight w:val="none"/>
              </w:rPr>
            </w:pPr>
            <w:r>
              <w:rPr>
                <w:color w:val="auto"/>
                <w:highlight w:val="none"/>
              </w:rPr>
              <w:t>41</w:t>
            </w:r>
          </w:p>
        </w:tc>
        <w:tc>
          <w:tcPr>
            <w:tcW w:w="804" w:type="pct"/>
            <w:vAlign w:val="center"/>
          </w:tcPr>
          <w:p>
            <w:pPr>
              <w:jc w:val="center"/>
              <w:rPr>
                <w:color w:val="auto"/>
                <w:highlight w:val="none"/>
              </w:rPr>
            </w:pPr>
            <w:r>
              <w:rPr>
                <w:color w:val="auto"/>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4" w:type="pct"/>
            <w:vMerge w:val="continue"/>
            <w:vAlign w:val="center"/>
          </w:tcPr>
          <w:p>
            <w:pPr>
              <w:jc w:val="center"/>
              <w:rPr>
                <w:color w:val="auto"/>
                <w:highlight w:val="none"/>
              </w:rPr>
            </w:pPr>
          </w:p>
        </w:tc>
        <w:tc>
          <w:tcPr>
            <w:tcW w:w="1400" w:type="pct"/>
            <w:vMerge w:val="restart"/>
            <w:vAlign w:val="center"/>
          </w:tcPr>
          <w:p>
            <w:pPr>
              <w:jc w:val="center"/>
              <w:rPr>
                <w:color w:val="auto"/>
                <w:highlight w:val="none"/>
              </w:rPr>
            </w:pPr>
            <w:r>
              <w:rPr>
                <w:color w:val="auto"/>
                <w:szCs w:val="21"/>
                <w:highlight w:val="none"/>
              </w:rPr>
              <w:t>大官庄村西侧居民楼3楼</w:t>
            </w:r>
          </w:p>
        </w:tc>
        <w:tc>
          <w:tcPr>
            <w:tcW w:w="865" w:type="pct"/>
            <w:vAlign w:val="center"/>
          </w:tcPr>
          <w:p>
            <w:pPr>
              <w:pStyle w:val="105"/>
              <w:rPr>
                <w:color w:val="auto"/>
                <w:highlight w:val="none"/>
              </w:rPr>
            </w:pPr>
            <w:r>
              <w:rPr>
                <w:color w:val="auto"/>
                <w:highlight w:val="none"/>
              </w:rPr>
              <w:t>1.3</w:t>
            </w:r>
          </w:p>
        </w:tc>
        <w:tc>
          <w:tcPr>
            <w:tcW w:w="1065" w:type="pct"/>
            <w:vAlign w:val="center"/>
          </w:tcPr>
          <w:p>
            <w:pPr>
              <w:pStyle w:val="105"/>
              <w:rPr>
                <w:color w:val="auto"/>
                <w:highlight w:val="none"/>
              </w:rPr>
            </w:pPr>
            <w:r>
              <w:rPr>
                <w:color w:val="auto"/>
                <w:highlight w:val="none"/>
              </w:rPr>
              <w:t>41</w:t>
            </w:r>
          </w:p>
        </w:tc>
        <w:tc>
          <w:tcPr>
            <w:tcW w:w="804" w:type="pct"/>
            <w:vAlign w:val="center"/>
          </w:tcPr>
          <w:p>
            <w:pPr>
              <w:jc w:val="center"/>
              <w:rPr>
                <w:color w:val="auto"/>
                <w:highlight w:val="none"/>
              </w:rPr>
            </w:pPr>
            <w:r>
              <w:rPr>
                <w:color w:val="auto"/>
                <w:highlight w:val="none"/>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4" w:type="pct"/>
            <w:vMerge w:val="continue"/>
            <w:vAlign w:val="center"/>
          </w:tcPr>
          <w:p>
            <w:pPr>
              <w:jc w:val="center"/>
              <w:rPr>
                <w:color w:val="auto"/>
                <w:highlight w:val="none"/>
              </w:rPr>
            </w:pPr>
          </w:p>
        </w:tc>
        <w:tc>
          <w:tcPr>
            <w:tcW w:w="1400" w:type="pct"/>
            <w:vMerge w:val="continue"/>
            <w:vAlign w:val="center"/>
          </w:tcPr>
          <w:p>
            <w:pPr>
              <w:jc w:val="center"/>
              <w:rPr>
                <w:color w:val="auto"/>
                <w:szCs w:val="21"/>
                <w:highlight w:val="none"/>
              </w:rPr>
            </w:pPr>
          </w:p>
        </w:tc>
        <w:tc>
          <w:tcPr>
            <w:tcW w:w="865" w:type="pct"/>
            <w:vAlign w:val="center"/>
          </w:tcPr>
          <w:p>
            <w:pPr>
              <w:pStyle w:val="105"/>
              <w:rPr>
                <w:color w:val="auto"/>
                <w:highlight w:val="none"/>
              </w:rPr>
            </w:pPr>
            <w:r>
              <w:rPr>
                <w:color w:val="auto"/>
                <w:highlight w:val="none"/>
              </w:rPr>
              <w:t>1.0</w:t>
            </w:r>
          </w:p>
        </w:tc>
        <w:tc>
          <w:tcPr>
            <w:tcW w:w="1065" w:type="pct"/>
            <w:vAlign w:val="center"/>
          </w:tcPr>
          <w:p>
            <w:pPr>
              <w:pStyle w:val="105"/>
              <w:rPr>
                <w:color w:val="auto"/>
                <w:highlight w:val="none"/>
              </w:rPr>
            </w:pPr>
            <w:r>
              <w:rPr>
                <w:color w:val="auto"/>
                <w:highlight w:val="none"/>
              </w:rPr>
              <w:t>45</w:t>
            </w:r>
          </w:p>
        </w:tc>
        <w:tc>
          <w:tcPr>
            <w:tcW w:w="804" w:type="pct"/>
            <w:vAlign w:val="center"/>
          </w:tcPr>
          <w:p>
            <w:pPr>
              <w:jc w:val="center"/>
              <w:rPr>
                <w:color w:val="auto"/>
                <w:highlight w:val="none"/>
              </w:rPr>
            </w:pPr>
            <w:r>
              <w:rPr>
                <w:color w:val="auto"/>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64" w:type="pct"/>
            <w:vMerge w:val="continue"/>
            <w:vAlign w:val="center"/>
          </w:tcPr>
          <w:p>
            <w:pPr>
              <w:jc w:val="center"/>
              <w:rPr>
                <w:color w:val="auto"/>
                <w:highlight w:val="none"/>
              </w:rPr>
            </w:pPr>
          </w:p>
        </w:tc>
        <w:tc>
          <w:tcPr>
            <w:tcW w:w="1400" w:type="pct"/>
            <w:vMerge w:val="restart"/>
            <w:vAlign w:val="center"/>
          </w:tcPr>
          <w:p>
            <w:pPr>
              <w:jc w:val="center"/>
              <w:rPr>
                <w:color w:val="auto"/>
                <w:szCs w:val="21"/>
                <w:highlight w:val="none"/>
              </w:rPr>
            </w:pPr>
            <w:r>
              <w:rPr>
                <w:color w:val="auto"/>
                <w:szCs w:val="21"/>
                <w:highlight w:val="none"/>
              </w:rPr>
              <w:t>大官庄村西侧居民楼5楼</w:t>
            </w:r>
          </w:p>
        </w:tc>
        <w:tc>
          <w:tcPr>
            <w:tcW w:w="865" w:type="pct"/>
            <w:vAlign w:val="center"/>
          </w:tcPr>
          <w:p>
            <w:pPr>
              <w:pStyle w:val="105"/>
              <w:rPr>
                <w:color w:val="auto"/>
                <w:highlight w:val="none"/>
              </w:rPr>
            </w:pPr>
            <w:r>
              <w:rPr>
                <w:color w:val="auto"/>
                <w:highlight w:val="none"/>
              </w:rPr>
              <w:t>1.3</w:t>
            </w:r>
          </w:p>
        </w:tc>
        <w:tc>
          <w:tcPr>
            <w:tcW w:w="1065" w:type="pct"/>
            <w:vAlign w:val="center"/>
          </w:tcPr>
          <w:p>
            <w:pPr>
              <w:pStyle w:val="105"/>
              <w:rPr>
                <w:color w:val="auto"/>
                <w:highlight w:val="none"/>
              </w:rPr>
            </w:pPr>
            <w:r>
              <w:rPr>
                <w:color w:val="auto"/>
                <w:highlight w:val="none"/>
              </w:rPr>
              <w:t>43</w:t>
            </w:r>
          </w:p>
        </w:tc>
        <w:tc>
          <w:tcPr>
            <w:tcW w:w="804" w:type="pct"/>
            <w:vAlign w:val="center"/>
          </w:tcPr>
          <w:p>
            <w:pPr>
              <w:jc w:val="center"/>
              <w:rPr>
                <w:color w:val="auto"/>
                <w:highlight w:val="none"/>
              </w:rPr>
            </w:pPr>
            <w:r>
              <w:rPr>
                <w:color w:val="auto"/>
                <w:highlight w:val="none"/>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4" w:type="pct"/>
            <w:vMerge w:val="continue"/>
            <w:vAlign w:val="center"/>
          </w:tcPr>
          <w:p>
            <w:pPr>
              <w:jc w:val="center"/>
              <w:rPr>
                <w:color w:val="auto"/>
                <w:highlight w:val="none"/>
              </w:rPr>
            </w:pPr>
          </w:p>
        </w:tc>
        <w:tc>
          <w:tcPr>
            <w:tcW w:w="1400" w:type="pct"/>
            <w:vMerge w:val="continue"/>
            <w:vAlign w:val="center"/>
          </w:tcPr>
          <w:p>
            <w:pPr>
              <w:jc w:val="center"/>
              <w:rPr>
                <w:color w:val="auto"/>
                <w:szCs w:val="21"/>
                <w:highlight w:val="none"/>
              </w:rPr>
            </w:pPr>
          </w:p>
        </w:tc>
        <w:tc>
          <w:tcPr>
            <w:tcW w:w="865" w:type="pct"/>
            <w:vAlign w:val="center"/>
          </w:tcPr>
          <w:p>
            <w:pPr>
              <w:pStyle w:val="105"/>
              <w:rPr>
                <w:color w:val="auto"/>
                <w:highlight w:val="none"/>
              </w:rPr>
            </w:pPr>
            <w:r>
              <w:rPr>
                <w:color w:val="auto"/>
                <w:highlight w:val="none"/>
              </w:rPr>
              <w:t>1.0</w:t>
            </w:r>
          </w:p>
        </w:tc>
        <w:tc>
          <w:tcPr>
            <w:tcW w:w="1065" w:type="pct"/>
            <w:vAlign w:val="center"/>
          </w:tcPr>
          <w:p>
            <w:pPr>
              <w:pStyle w:val="105"/>
              <w:rPr>
                <w:color w:val="auto"/>
                <w:highlight w:val="none"/>
              </w:rPr>
            </w:pPr>
            <w:r>
              <w:rPr>
                <w:color w:val="auto"/>
                <w:highlight w:val="none"/>
              </w:rPr>
              <w:t>38</w:t>
            </w:r>
          </w:p>
        </w:tc>
        <w:tc>
          <w:tcPr>
            <w:tcW w:w="804" w:type="pct"/>
            <w:vAlign w:val="center"/>
          </w:tcPr>
          <w:p>
            <w:pPr>
              <w:jc w:val="center"/>
              <w:rPr>
                <w:color w:val="auto"/>
                <w:highlight w:val="none"/>
              </w:rPr>
            </w:pPr>
            <w:r>
              <w:rPr>
                <w:color w:val="auto"/>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4" w:type="pct"/>
            <w:vMerge w:val="restart"/>
            <w:vAlign w:val="center"/>
          </w:tcPr>
          <w:p>
            <w:pPr>
              <w:jc w:val="center"/>
              <w:rPr>
                <w:color w:val="auto"/>
                <w:highlight w:val="none"/>
              </w:rPr>
            </w:pPr>
            <w:r>
              <w:rPr>
                <w:color w:val="auto"/>
                <w:highlight w:val="none"/>
              </w:rPr>
              <w:t>2022.07.09</w:t>
            </w:r>
          </w:p>
        </w:tc>
        <w:tc>
          <w:tcPr>
            <w:tcW w:w="1400" w:type="pct"/>
            <w:vMerge w:val="restart"/>
            <w:vAlign w:val="center"/>
          </w:tcPr>
          <w:p>
            <w:pPr>
              <w:jc w:val="center"/>
              <w:rPr>
                <w:color w:val="auto"/>
                <w:highlight w:val="none"/>
              </w:rPr>
            </w:pPr>
            <w:r>
              <w:rPr>
                <w:color w:val="auto"/>
                <w:highlight w:val="none"/>
              </w:rPr>
              <w:t>东厂界</w:t>
            </w:r>
            <w:r>
              <w:rPr>
                <w:color w:val="auto"/>
                <w:szCs w:val="21"/>
                <w:highlight w:val="none"/>
              </w:rPr>
              <w:t>外1m处</w:t>
            </w:r>
          </w:p>
        </w:tc>
        <w:tc>
          <w:tcPr>
            <w:tcW w:w="865" w:type="pct"/>
            <w:vAlign w:val="center"/>
          </w:tcPr>
          <w:p>
            <w:pPr>
              <w:pStyle w:val="105"/>
              <w:rPr>
                <w:color w:val="auto"/>
                <w:highlight w:val="none"/>
              </w:rPr>
            </w:pPr>
            <w:r>
              <w:rPr>
                <w:color w:val="auto"/>
                <w:highlight w:val="none"/>
              </w:rPr>
              <w:t>1.7</w:t>
            </w:r>
          </w:p>
        </w:tc>
        <w:tc>
          <w:tcPr>
            <w:tcW w:w="1065" w:type="pct"/>
            <w:vAlign w:val="center"/>
          </w:tcPr>
          <w:p>
            <w:pPr>
              <w:pStyle w:val="105"/>
              <w:rPr>
                <w:color w:val="auto"/>
                <w:highlight w:val="none"/>
              </w:rPr>
            </w:pPr>
            <w:r>
              <w:rPr>
                <w:color w:val="auto"/>
                <w:highlight w:val="none"/>
              </w:rPr>
              <w:t>46</w:t>
            </w:r>
          </w:p>
        </w:tc>
        <w:tc>
          <w:tcPr>
            <w:tcW w:w="804" w:type="pct"/>
            <w:vAlign w:val="center"/>
          </w:tcPr>
          <w:p>
            <w:pPr>
              <w:jc w:val="center"/>
              <w:rPr>
                <w:color w:val="auto"/>
                <w:highlight w:val="none"/>
              </w:rPr>
            </w:pPr>
            <w:r>
              <w:rPr>
                <w:color w:val="auto"/>
                <w:highlight w:val="none"/>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4" w:type="pct"/>
            <w:vMerge w:val="continue"/>
            <w:vAlign w:val="center"/>
          </w:tcPr>
          <w:p>
            <w:pPr>
              <w:jc w:val="center"/>
              <w:rPr>
                <w:color w:val="auto"/>
                <w:highlight w:val="none"/>
              </w:rPr>
            </w:pPr>
          </w:p>
        </w:tc>
        <w:tc>
          <w:tcPr>
            <w:tcW w:w="1400" w:type="pct"/>
            <w:vMerge w:val="continue"/>
            <w:vAlign w:val="center"/>
          </w:tcPr>
          <w:p>
            <w:pPr>
              <w:jc w:val="center"/>
              <w:rPr>
                <w:color w:val="auto"/>
                <w:highlight w:val="none"/>
              </w:rPr>
            </w:pPr>
          </w:p>
        </w:tc>
        <w:tc>
          <w:tcPr>
            <w:tcW w:w="865" w:type="pct"/>
            <w:vAlign w:val="center"/>
          </w:tcPr>
          <w:p>
            <w:pPr>
              <w:pStyle w:val="105"/>
              <w:rPr>
                <w:color w:val="auto"/>
                <w:highlight w:val="none"/>
              </w:rPr>
            </w:pPr>
            <w:r>
              <w:rPr>
                <w:color w:val="auto"/>
                <w:highlight w:val="none"/>
              </w:rPr>
              <w:t>1.3</w:t>
            </w:r>
          </w:p>
        </w:tc>
        <w:tc>
          <w:tcPr>
            <w:tcW w:w="1065" w:type="pct"/>
            <w:vAlign w:val="center"/>
          </w:tcPr>
          <w:p>
            <w:pPr>
              <w:pStyle w:val="105"/>
              <w:rPr>
                <w:color w:val="auto"/>
                <w:highlight w:val="none"/>
              </w:rPr>
            </w:pPr>
            <w:r>
              <w:rPr>
                <w:color w:val="auto"/>
                <w:highlight w:val="none"/>
              </w:rPr>
              <w:t>41</w:t>
            </w:r>
          </w:p>
        </w:tc>
        <w:tc>
          <w:tcPr>
            <w:tcW w:w="804" w:type="pct"/>
            <w:vAlign w:val="center"/>
          </w:tcPr>
          <w:p>
            <w:pPr>
              <w:jc w:val="center"/>
              <w:rPr>
                <w:color w:val="auto"/>
                <w:highlight w:val="none"/>
              </w:rPr>
            </w:pPr>
            <w:r>
              <w:rPr>
                <w:color w:val="auto"/>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4" w:type="pct"/>
            <w:vMerge w:val="continue"/>
            <w:vAlign w:val="center"/>
          </w:tcPr>
          <w:p>
            <w:pPr>
              <w:jc w:val="center"/>
              <w:rPr>
                <w:color w:val="auto"/>
                <w:highlight w:val="none"/>
              </w:rPr>
            </w:pPr>
          </w:p>
        </w:tc>
        <w:tc>
          <w:tcPr>
            <w:tcW w:w="1400" w:type="pct"/>
            <w:vMerge w:val="restart"/>
            <w:vAlign w:val="center"/>
          </w:tcPr>
          <w:p>
            <w:pPr>
              <w:jc w:val="center"/>
              <w:rPr>
                <w:color w:val="auto"/>
                <w:highlight w:val="none"/>
              </w:rPr>
            </w:pPr>
            <w:r>
              <w:rPr>
                <w:color w:val="auto"/>
                <w:highlight w:val="none"/>
              </w:rPr>
              <w:t>北厂界</w:t>
            </w:r>
            <w:r>
              <w:rPr>
                <w:color w:val="auto"/>
                <w:szCs w:val="21"/>
                <w:highlight w:val="none"/>
              </w:rPr>
              <w:t>外1m处</w:t>
            </w:r>
          </w:p>
        </w:tc>
        <w:tc>
          <w:tcPr>
            <w:tcW w:w="865" w:type="pct"/>
            <w:vAlign w:val="center"/>
          </w:tcPr>
          <w:p>
            <w:pPr>
              <w:pStyle w:val="105"/>
              <w:rPr>
                <w:color w:val="auto"/>
                <w:highlight w:val="none"/>
              </w:rPr>
            </w:pPr>
            <w:r>
              <w:rPr>
                <w:color w:val="auto"/>
                <w:highlight w:val="none"/>
              </w:rPr>
              <w:t>1.7</w:t>
            </w:r>
          </w:p>
        </w:tc>
        <w:tc>
          <w:tcPr>
            <w:tcW w:w="1065" w:type="pct"/>
            <w:vAlign w:val="center"/>
          </w:tcPr>
          <w:p>
            <w:pPr>
              <w:pStyle w:val="105"/>
              <w:rPr>
                <w:color w:val="auto"/>
                <w:highlight w:val="none"/>
              </w:rPr>
            </w:pPr>
            <w:r>
              <w:rPr>
                <w:color w:val="auto"/>
                <w:highlight w:val="none"/>
              </w:rPr>
              <w:t>46</w:t>
            </w:r>
          </w:p>
        </w:tc>
        <w:tc>
          <w:tcPr>
            <w:tcW w:w="804" w:type="pct"/>
            <w:vAlign w:val="center"/>
          </w:tcPr>
          <w:p>
            <w:pPr>
              <w:jc w:val="center"/>
              <w:rPr>
                <w:color w:val="auto"/>
                <w:highlight w:val="none"/>
              </w:rPr>
            </w:pPr>
            <w:r>
              <w:rPr>
                <w:color w:val="auto"/>
                <w:highlight w:val="none"/>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4" w:type="pct"/>
            <w:vMerge w:val="continue"/>
            <w:vAlign w:val="center"/>
          </w:tcPr>
          <w:p>
            <w:pPr>
              <w:jc w:val="center"/>
              <w:rPr>
                <w:color w:val="auto"/>
                <w:highlight w:val="none"/>
              </w:rPr>
            </w:pPr>
          </w:p>
        </w:tc>
        <w:tc>
          <w:tcPr>
            <w:tcW w:w="1400" w:type="pct"/>
            <w:vMerge w:val="continue"/>
            <w:vAlign w:val="center"/>
          </w:tcPr>
          <w:p>
            <w:pPr>
              <w:jc w:val="center"/>
              <w:rPr>
                <w:color w:val="auto"/>
                <w:highlight w:val="none"/>
              </w:rPr>
            </w:pPr>
          </w:p>
        </w:tc>
        <w:tc>
          <w:tcPr>
            <w:tcW w:w="865" w:type="pct"/>
            <w:vAlign w:val="center"/>
          </w:tcPr>
          <w:p>
            <w:pPr>
              <w:pStyle w:val="105"/>
              <w:rPr>
                <w:color w:val="auto"/>
                <w:highlight w:val="none"/>
              </w:rPr>
            </w:pPr>
            <w:r>
              <w:rPr>
                <w:color w:val="auto"/>
                <w:highlight w:val="none"/>
              </w:rPr>
              <w:t>1.3</w:t>
            </w:r>
          </w:p>
        </w:tc>
        <w:tc>
          <w:tcPr>
            <w:tcW w:w="1065" w:type="pct"/>
            <w:vAlign w:val="center"/>
          </w:tcPr>
          <w:p>
            <w:pPr>
              <w:pStyle w:val="105"/>
              <w:rPr>
                <w:color w:val="auto"/>
                <w:highlight w:val="none"/>
              </w:rPr>
            </w:pPr>
            <w:r>
              <w:rPr>
                <w:color w:val="auto"/>
                <w:highlight w:val="none"/>
              </w:rPr>
              <w:t>43</w:t>
            </w:r>
          </w:p>
        </w:tc>
        <w:tc>
          <w:tcPr>
            <w:tcW w:w="804" w:type="pct"/>
            <w:vAlign w:val="center"/>
          </w:tcPr>
          <w:p>
            <w:pPr>
              <w:jc w:val="center"/>
              <w:rPr>
                <w:color w:val="auto"/>
                <w:highlight w:val="none"/>
              </w:rPr>
            </w:pPr>
            <w:r>
              <w:rPr>
                <w:color w:val="auto"/>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64" w:type="pct"/>
            <w:vMerge w:val="continue"/>
            <w:vAlign w:val="center"/>
          </w:tcPr>
          <w:p>
            <w:pPr>
              <w:jc w:val="center"/>
              <w:rPr>
                <w:color w:val="auto"/>
                <w:highlight w:val="none"/>
              </w:rPr>
            </w:pPr>
          </w:p>
        </w:tc>
        <w:tc>
          <w:tcPr>
            <w:tcW w:w="1400" w:type="pct"/>
            <w:vMerge w:val="restart"/>
            <w:vAlign w:val="center"/>
          </w:tcPr>
          <w:p>
            <w:pPr>
              <w:jc w:val="center"/>
              <w:rPr>
                <w:color w:val="auto"/>
                <w:highlight w:val="none"/>
              </w:rPr>
            </w:pPr>
            <w:r>
              <w:rPr>
                <w:color w:val="auto"/>
                <w:highlight w:val="none"/>
              </w:rPr>
              <w:t>西厂界</w:t>
            </w:r>
            <w:r>
              <w:rPr>
                <w:color w:val="auto"/>
                <w:szCs w:val="21"/>
                <w:highlight w:val="none"/>
              </w:rPr>
              <w:t>外1m处</w:t>
            </w:r>
          </w:p>
        </w:tc>
        <w:tc>
          <w:tcPr>
            <w:tcW w:w="865" w:type="pct"/>
            <w:vAlign w:val="center"/>
          </w:tcPr>
          <w:p>
            <w:pPr>
              <w:pStyle w:val="105"/>
              <w:rPr>
                <w:color w:val="auto"/>
                <w:highlight w:val="none"/>
              </w:rPr>
            </w:pPr>
            <w:r>
              <w:rPr>
                <w:color w:val="auto"/>
                <w:highlight w:val="none"/>
              </w:rPr>
              <w:t>1.7</w:t>
            </w:r>
          </w:p>
        </w:tc>
        <w:tc>
          <w:tcPr>
            <w:tcW w:w="1065" w:type="pct"/>
            <w:vAlign w:val="center"/>
          </w:tcPr>
          <w:p>
            <w:pPr>
              <w:pStyle w:val="105"/>
              <w:rPr>
                <w:color w:val="auto"/>
                <w:highlight w:val="none"/>
              </w:rPr>
            </w:pPr>
            <w:r>
              <w:rPr>
                <w:color w:val="auto"/>
                <w:highlight w:val="none"/>
              </w:rPr>
              <w:t>49</w:t>
            </w:r>
          </w:p>
        </w:tc>
        <w:tc>
          <w:tcPr>
            <w:tcW w:w="804" w:type="pct"/>
            <w:vAlign w:val="center"/>
          </w:tcPr>
          <w:p>
            <w:pPr>
              <w:jc w:val="center"/>
              <w:rPr>
                <w:color w:val="auto"/>
                <w:highlight w:val="none"/>
              </w:rPr>
            </w:pPr>
            <w:r>
              <w:rPr>
                <w:color w:val="auto"/>
                <w:highlight w:val="none"/>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4" w:type="pct"/>
            <w:vMerge w:val="continue"/>
            <w:vAlign w:val="center"/>
          </w:tcPr>
          <w:p>
            <w:pPr>
              <w:jc w:val="center"/>
              <w:rPr>
                <w:color w:val="auto"/>
                <w:highlight w:val="none"/>
              </w:rPr>
            </w:pPr>
          </w:p>
        </w:tc>
        <w:tc>
          <w:tcPr>
            <w:tcW w:w="1400" w:type="pct"/>
            <w:vMerge w:val="continue"/>
            <w:vAlign w:val="center"/>
          </w:tcPr>
          <w:p>
            <w:pPr>
              <w:jc w:val="center"/>
              <w:rPr>
                <w:color w:val="auto"/>
                <w:highlight w:val="none"/>
              </w:rPr>
            </w:pPr>
          </w:p>
        </w:tc>
        <w:tc>
          <w:tcPr>
            <w:tcW w:w="865" w:type="pct"/>
            <w:vAlign w:val="center"/>
          </w:tcPr>
          <w:p>
            <w:pPr>
              <w:pStyle w:val="105"/>
              <w:rPr>
                <w:color w:val="auto"/>
                <w:highlight w:val="none"/>
              </w:rPr>
            </w:pPr>
            <w:r>
              <w:rPr>
                <w:color w:val="auto"/>
                <w:highlight w:val="none"/>
              </w:rPr>
              <w:t>1.3</w:t>
            </w:r>
          </w:p>
        </w:tc>
        <w:tc>
          <w:tcPr>
            <w:tcW w:w="1065" w:type="pct"/>
            <w:vAlign w:val="center"/>
          </w:tcPr>
          <w:p>
            <w:pPr>
              <w:pStyle w:val="105"/>
              <w:rPr>
                <w:color w:val="auto"/>
                <w:highlight w:val="none"/>
              </w:rPr>
            </w:pPr>
            <w:r>
              <w:rPr>
                <w:color w:val="auto"/>
                <w:highlight w:val="none"/>
              </w:rPr>
              <w:t>46</w:t>
            </w:r>
          </w:p>
        </w:tc>
        <w:tc>
          <w:tcPr>
            <w:tcW w:w="804" w:type="pct"/>
            <w:vAlign w:val="center"/>
          </w:tcPr>
          <w:p>
            <w:pPr>
              <w:jc w:val="center"/>
              <w:rPr>
                <w:color w:val="auto"/>
                <w:highlight w:val="none"/>
              </w:rPr>
            </w:pPr>
            <w:r>
              <w:rPr>
                <w:color w:val="auto"/>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64" w:type="pct"/>
            <w:vMerge w:val="continue"/>
            <w:vAlign w:val="center"/>
          </w:tcPr>
          <w:p>
            <w:pPr>
              <w:jc w:val="center"/>
              <w:rPr>
                <w:color w:val="auto"/>
                <w:highlight w:val="none"/>
              </w:rPr>
            </w:pPr>
          </w:p>
        </w:tc>
        <w:tc>
          <w:tcPr>
            <w:tcW w:w="1400" w:type="pct"/>
            <w:vMerge w:val="restart"/>
            <w:vAlign w:val="center"/>
          </w:tcPr>
          <w:p>
            <w:pPr>
              <w:jc w:val="center"/>
              <w:rPr>
                <w:color w:val="auto"/>
                <w:highlight w:val="none"/>
              </w:rPr>
            </w:pPr>
            <w:r>
              <w:rPr>
                <w:color w:val="auto"/>
                <w:highlight w:val="none"/>
              </w:rPr>
              <w:t>南厂界</w:t>
            </w:r>
            <w:r>
              <w:rPr>
                <w:color w:val="auto"/>
                <w:szCs w:val="21"/>
                <w:highlight w:val="none"/>
              </w:rPr>
              <w:t>外1m处</w:t>
            </w:r>
          </w:p>
        </w:tc>
        <w:tc>
          <w:tcPr>
            <w:tcW w:w="865" w:type="pct"/>
            <w:vAlign w:val="center"/>
          </w:tcPr>
          <w:p>
            <w:pPr>
              <w:pStyle w:val="105"/>
              <w:rPr>
                <w:color w:val="auto"/>
                <w:highlight w:val="none"/>
              </w:rPr>
            </w:pPr>
            <w:r>
              <w:rPr>
                <w:color w:val="auto"/>
                <w:highlight w:val="none"/>
              </w:rPr>
              <w:t>1.7</w:t>
            </w:r>
          </w:p>
        </w:tc>
        <w:tc>
          <w:tcPr>
            <w:tcW w:w="1065" w:type="pct"/>
            <w:vAlign w:val="center"/>
          </w:tcPr>
          <w:p>
            <w:pPr>
              <w:pStyle w:val="105"/>
              <w:rPr>
                <w:color w:val="auto"/>
                <w:highlight w:val="none"/>
              </w:rPr>
            </w:pPr>
            <w:r>
              <w:rPr>
                <w:color w:val="auto"/>
                <w:highlight w:val="none"/>
              </w:rPr>
              <w:t>50</w:t>
            </w:r>
          </w:p>
        </w:tc>
        <w:tc>
          <w:tcPr>
            <w:tcW w:w="804" w:type="pct"/>
            <w:vAlign w:val="center"/>
          </w:tcPr>
          <w:p>
            <w:pPr>
              <w:jc w:val="center"/>
              <w:rPr>
                <w:color w:val="auto"/>
                <w:highlight w:val="none"/>
              </w:rPr>
            </w:pPr>
            <w:r>
              <w:rPr>
                <w:color w:val="auto"/>
                <w:highlight w:val="none"/>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4" w:type="pct"/>
            <w:vMerge w:val="continue"/>
            <w:vAlign w:val="center"/>
          </w:tcPr>
          <w:p>
            <w:pPr>
              <w:jc w:val="center"/>
              <w:rPr>
                <w:color w:val="auto"/>
                <w:highlight w:val="none"/>
              </w:rPr>
            </w:pPr>
          </w:p>
        </w:tc>
        <w:tc>
          <w:tcPr>
            <w:tcW w:w="1400" w:type="pct"/>
            <w:vMerge w:val="continue"/>
            <w:vAlign w:val="center"/>
          </w:tcPr>
          <w:p>
            <w:pPr>
              <w:jc w:val="center"/>
              <w:rPr>
                <w:color w:val="auto"/>
                <w:highlight w:val="none"/>
              </w:rPr>
            </w:pPr>
          </w:p>
        </w:tc>
        <w:tc>
          <w:tcPr>
            <w:tcW w:w="865" w:type="pct"/>
            <w:vAlign w:val="center"/>
          </w:tcPr>
          <w:p>
            <w:pPr>
              <w:pStyle w:val="105"/>
              <w:rPr>
                <w:color w:val="auto"/>
                <w:highlight w:val="none"/>
              </w:rPr>
            </w:pPr>
            <w:r>
              <w:rPr>
                <w:color w:val="auto"/>
                <w:highlight w:val="none"/>
              </w:rPr>
              <w:t>1.3</w:t>
            </w:r>
          </w:p>
        </w:tc>
        <w:tc>
          <w:tcPr>
            <w:tcW w:w="1065" w:type="pct"/>
            <w:vAlign w:val="center"/>
          </w:tcPr>
          <w:p>
            <w:pPr>
              <w:pStyle w:val="105"/>
              <w:rPr>
                <w:color w:val="auto"/>
                <w:highlight w:val="none"/>
              </w:rPr>
            </w:pPr>
            <w:r>
              <w:rPr>
                <w:color w:val="auto"/>
                <w:highlight w:val="none"/>
              </w:rPr>
              <w:t>46</w:t>
            </w:r>
          </w:p>
        </w:tc>
        <w:tc>
          <w:tcPr>
            <w:tcW w:w="804" w:type="pct"/>
            <w:vAlign w:val="center"/>
          </w:tcPr>
          <w:p>
            <w:pPr>
              <w:jc w:val="center"/>
              <w:rPr>
                <w:color w:val="auto"/>
                <w:highlight w:val="none"/>
              </w:rPr>
            </w:pPr>
            <w:r>
              <w:rPr>
                <w:color w:val="auto"/>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4" w:type="pct"/>
            <w:vMerge w:val="continue"/>
            <w:vAlign w:val="center"/>
          </w:tcPr>
          <w:p>
            <w:pPr>
              <w:jc w:val="center"/>
              <w:rPr>
                <w:color w:val="auto"/>
                <w:highlight w:val="none"/>
              </w:rPr>
            </w:pPr>
          </w:p>
        </w:tc>
        <w:tc>
          <w:tcPr>
            <w:tcW w:w="1400" w:type="pct"/>
            <w:vMerge w:val="restart"/>
            <w:vAlign w:val="center"/>
          </w:tcPr>
          <w:p>
            <w:pPr>
              <w:jc w:val="center"/>
              <w:rPr>
                <w:color w:val="auto"/>
                <w:highlight w:val="none"/>
              </w:rPr>
            </w:pPr>
            <w:r>
              <w:rPr>
                <w:color w:val="auto"/>
                <w:szCs w:val="21"/>
                <w:highlight w:val="none"/>
              </w:rPr>
              <w:t>大官庄村西侧居民楼1楼</w:t>
            </w:r>
          </w:p>
        </w:tc>
        <w:tc>
          <w:tcPr>
            <w:tcW w:w="865" w:type="pct"/>
            <w:vAlign w:val="center"/>
          </w:tcPr>
          <w:p>
            <w:pPr>
              <w:pStyle w:val="105"/>
              <w:rPr>
                <w:color w:val="auto"/>
                <w:highlight w:val="none"/>
              </w:rPr>
            </w:pPr>
            <w:r>
              <w:rPr>
                <w:color w:val="auto"/>
                <w:highlight w:val="none"/>
              </w:rPr>
              <w:t>1.7</w:t>
            </w:r>
          </w:p>
        </w:tc>
        <w:tc>
          <w:tcPr>
            <w:tcW w:w="1065" w:type="pct"/>
            <w:vAlign w:val="center"/>
          </w:tcPr>
          <w:p>
            <w:pPr>
              <w:pStyle w:val="105"/>
              <w:rPr>
                <w:color w:val="auto"/>
                <w:highlight w:val="none"/>
              </w:rPr>
            </w:pPr>
            <w:r>
              <w:rPr>
                <w:color w:val="auto"/>
                <w:highlight w:val="none"/>
              </w:rPr>
              <w:t>46</w:t>
            </w:r>
          </w:p>
        </w:tc>
        <w:tc>
          <w:tcPr>
            <w:tcW w:w="804" w:type="pct"/>
            <w:vAlign w:val="center"/>
          </w:tcPr>
          <w:p>
            <w:pPr>
              <w:jc w:val="center"/>
              <w:rPr>
                <w:color w:val="auto"/>
                <w:highlight w:val="none"/>
              </w:rPr>
            </w:pPr>
            <w:r>
              <w:rPr>
                <w:color w:val="auto"/>
                <w:highlight w:val="none"/>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4" w:type="pct"/>
            <w:vMerge w:val="continue"/>
            <w:vAlign w:val="center"/>
          </w:tcPr>
          <w:p>
            <w:pPr>
              <w:jc w:val="center"/>
              <w:rPr>
                <w:color w:val="auto"/>
                <w:highlight w:val="none"/>
              </w:rPr>
            </w:pPr>
          </w:p>
        </w:tc>
        <w:tc>
          <w:tcPr>
            <w:tcW w:w="1400" w:type="pct"/>
            <w:vMerge w:val="continue"/>
            <w:vAlign w:val="center"/>
          </w:tcPr>
          <w:p>
            <w:pPr>
              <w:jc w:val="center"/>
              <w:rPr>
                <w:color w:val="auto"/>
                <w:highlight w:val="none"/>
              </w:rPr>
            </w:pPr>
          </w:p>
        </w:tc>
        <w:tc>
          <w:tcPr>
            <w:tcW w:w="865" w:type="pct"/>
            <w:vAlign w:val="center"/>
          </w:tcPr>
          <w:p>
            <w:pPr>
              <w:pStyle w:val="105"/>
              <w:rPr>
                <w:color w:val="auto"/>
                <w:highlight w:val="none"/>
              </w:rPr>
            </w:pPr>
            <w:r>
              <w:rPr>
                <w:color w:val="auto"/>
                <w:highlight w:val="none"/>
              </w:rPr>
              <w:t>1.3</w:t>
            </w:r>
          </w:p>
        </w:tc>
        <w:tc>
          <w:tcPr>
            <w:tcW w:w="1065" w:type="pct"/>
            <w:vAlign w:val="center"/>
          </w:tcPr>
          <w:p>
            <w:pPr>
              <w:pStyle w:val="105"/>
              <w:rPr>
                <w:color w:val="auto"/>
                <w:highlight w:val="none"/>
              </w:rPr>
            </w:pPr>
            <w:r>
              <w:rPr>
                <w:color w:val="auto"/>
                <w:highlight w:val="none"/>
              </w:rPr>
              <w:t>40</w:t>
            </w:r>
          </w:p>
        </w:tc>
        <w:tc>
          <w:tcPr>
            <w:tcW w:w="804" w:type="pct"/>
            <w:vAlign w:val="center"/>
          </w:tcPr>
          <w:p>
            <w:pPr>
              <w:jc w:val="center"/>
              <w:rPr>
                <w:color w:val="auto"/>
                <w:highlight w:val="none"/>
              </w:rPr>
            </w:pPr>
            <w:r>
              <w:rPr>
                <w:color w:val="auto"/>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4" w:type="pct"/>
            <w:vMerge w:val="continue"/>
            <w:vAlign w:val="center"/>
          </w:tcPr>
          <w:p>
            <w:pPr>
              <w:jc w:val="center"/>
              <w:rPr>
                <w:color w:val="auto"/>
                <w:highlight w:val="none"/>
              </w:rPr>
            </w:pPr>
          </w:p>
        </w:tc>
        <w:tc>
          <w:tcPr>
            <w:tcW w:w="1400" w:type="pct"/>
            <w:vMerge w:val="restart"/>
            <w:vAlign w:val="center"/>
          </w:tcPr>
          <w:p>
            <w:pPr>
              <w:jc w:val="center"/>
              <w:rPr>
                <w:color w:val="auto"/>
                <w:highlight w:val="none"/>
              </w:rPr>
            </w:pPr>
            <w:r>
              <w:rPr>
                <w:color w:val="auto"/>
                <w:szCs w:val="21"/>
                <w:highlight w:val="none"/>
              </w:rPr>
              <w:t>大官庄村西侧居民楼3楼</w:t>
            </w:r>
          </w:p>
        </w:tc>
        <w:tc>
          <w:tcPr>
            <w:tcW w:w="865" w:type="pct"/>
            <w:vAlign w:val="center"/>
          </w:tcPr>
          <w:p>
            <w:pPr>
              <w:pStyle w:val="105"/>
              <w:rPr>
                <w:color w:val="auto"/>
                <w:highlight w:val="none"/>
              </w:rPr>
            </w:pPr>
            <w:r>
              <w:rPr>
                <w:color w:val="auto"/>
                <w:highlight w:val="none"/>
              </w:rPr>
              <w:t>1.7</w:t>
            </w:r>
          </w:p>
        </w:tc>
        <w:tc>
          <w:tcPr>
            <w:tcW w:w="1065" w:type="pct"/>
            <w:vAlign w:val="center"/>
          </w:tcPr>
          <w:p>
            <w:pPr>
              <w:pStyle w:val="105"/>
              <w:rPr>
                <w:color w:val="auto"/>
                <w:highlight w:val="none"/>
              </w:rPr>
            </w:pPr>
            <w:r>
              <w:rPr>
                <w:color w:val="auto"/>
                <w:highlight w:val="none"/>
              </w:rPr>
              <w:t>42</w:t>
            </w:r>
          </w:p>
        </w:tc>
        <w:tc>
          <w:tcPr>
            <w:tcW w:w="804" w:type="pct"/>
            <w:vAlign w:val="center"/>
          </w:tcPr>
          <w:p>
            <w:pPr>
              <w:jc w:val="center"/>
              <w:rPr>
                <w:color w:val="auto"/>
                <w:highlight w:val="none"/>
              </w:rPr>
            </w:pPr>
            <w:r>
              <w:rPr>
                <w:color w:val="auto"/>
                <w:highlight w:val="none"/>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4" w:type="pct"/>
            <w:vMerge w:val="continue"/>
            <w:vAlign w:val="center"/>
          </w:tcPr>
          <w:p>
            <w:pPr>
              <w:jc w:val="center"/>
              <w:rPr>
                <w:color w:val="auto"/>
                <w:highlight w:val="none"/>
              </w:rPr>
            </w:pPr>
          </w:p>
        </w:tc>
        <w:tc>
          <w:tcPr>
            <w:tcW w:w="1400" w:type="pct"/>
            <w:vMerge w:val="continue"/>
            <w:vAlign w:val="center"/>
          </w:tcPr>
          <w:p>
            <w:pPr>
              <w:jc w:val="center"/>
              <w:rPr>
                <w:color w:val="auto"/>
                <w:highlight w:val="none"/>
              </w:rPr>
            </w:pPr>
          </w:p>
        </w:tc>
        <w:tc>
          <w:tcPr>
            <w:tcW w:w="865" w:type="pct"/>
            <w:vAlign w:val="center"/>
          </w:tcPr>
          <w:p>
            <w:pPr>
              <w:pStyle w:val="105"/>
              <w:rPr>
                <w:color w:val="auto"/>
                <w:highlight w:val="none"/>
              </w:rPr>
            </w:pPr>
            <w:r>
              <w:rPr>
                <w:color w:val="auto"/>
                <w:highlight w:val="none"/>
              </w:rPr>
              <w:t>1.3</w:t>
            </w:r>
          </w:p>
        </w:tc>
        <w:tc>
          <w:tcPr>
            <w:tcW w:w="1065" w:type="pct"/>
            <w:vAlign w:val="center"/>
          </w:tcPr>
          <w:p>
            <w:pPr>
              <w:pStyle w:val="105"/>
              <w:rPr>
                <w:color w:val="auto"/>
                <w:highlight w:val="none"/>
              </w:rPr>
            </w:pPr>
            <w:r>
              <w:rPr>
                <w:color w:val="auto"/>
                <w:highlight w:val="none"/>
              </w:rPr>
              <w:t>40</w:t>
            </w:r>
          </w:p>
        </w:tc>
        <w:tc>
          <w:tcPr>
            <w:tcW w:w="804" w:type="pct"/>
            <w:vAlign w:val="center"/>
          </w:tcPr>
          <w:p>
            <w:pPr>
              <w:jc w:val="center"/>
              <w:rPr>
                <w:color w:val="auto"/>
                <w:highlight w:val="none"/>
              </w:rPr>
            </w:pPr>
            <w:r>
              <w:rPr>
                <w:color w:val="auto"/>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4" w:type="pct"/>
            <w:vMerge w:val="continue"/>
            <w:vAlign w:val="center"/>
          </w:tcPr>
          <w:p>
            <w:pPr>
              <w:jc w:val="center"/>
              <w:rPr>
                <w:color w:val="auto"/>
                <w:highlight w:val="none"/>
              </w:rPr>
            </w:pPr>
          </w:p>
        </w:tc>
        <w:tc>
          <w:tcPr>
            <w:tcW w:w="1400" w:type="pct"/>
            <w:vMerge w:val="restart"/>
            <w:vAlign w:val="center"/>
          </w:tcPr>
          <w:p>
            <w:pPr>
              <w:jc w:val="center"/>
              <w:rPr>
                <w:color w:val="auto"/>
                <w:szCs w:val="21"/>
                <w:highlight w:val="none"/>
              </w:rPr>
            </w:pPr>
            <w:r>
              <w:rPr>
                <w:color w:val="auto"/>
                <w:szCs w:val="21"/>
                <w:highlight w:val="none"/>
              </w:rPr>
              <w:t>大官庄村西侧居民楼5楼</w:t>
            </w:r>
          </w:p>
        </w:tc>
        <w:tc>
          <w:tcPr>
            <w:tcW w:w="865" w:type="pct"/>
            <w:vAlign w:val="center"/>
          </w:tcPr>
          <w:p>
            <w:pPr>
              <w:pStyle w:val="105"/>
              <w:rPr>
                <w:color w:val="auto"/>
                <w:highlight w:val="none"/>
              </w:rPr>
            </w:pPr>
            <w:r>
              <w:rPr>
                <w:color w:val="auto"/>
                <w:highlight w:val="none"/>
              </w:rPr>
              <w:t>1.7</w:t>
            </w:r>
          </w:p>
        </w:tc>
        <w:tc>
          <w:tcPr>
            <w:tcW w:w="1065" w:type="pct"/>
            <w:vAlign w:val="center"/>
          </w:tcPr>
          <w:p>
            <w:pPr>
              <w:pStyle w:val="105"/>
              <w:rPr>
                <w:color w:val="auto"/>
                <w:highlight w:val="none"/>
              </w:rPr>
            </w:pPr>
            <w:r>
              <w:rPr>
                <w:color w:val="auto"/>
                <w:highlight w:val="none"/>
              </w:rPr>
              <w:t>41</w:t>
            </w:r>
          </w:p>
        </w:tc>
        <w:tc>
          <w:tcPr>
            <w:tcW w:w="804" w:type="pct"/>
            <w:vAlign w:val="center"/>
          </w:tcPr>
          <w:p>
            <w:pPr>
              <w:jc w:val="center"/>
              <w:rPr>
                <w:color w:val="auto"/>
                <w:highlight w:val="none"/>
              </w:rPr>
            </w:pPr>
            <w:r>
              <w:rPr>
                <w:color w:val="auto"/>
                <w:highlight w:val="none"/>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64" w:type="pct"/>
            <w:vMerge w:val="continue"/>
            <w:vAlign w:val="center"/>
          </w:tcPr>
          <w:p>
            <w:pPr>
              <w:jc w:val="center"/>
              <w:rPr>
                <w:color w:val="auto"/>
                <w:highlight w:val="none"/>
              </w:rPr>
            </w:pPr>
          </w:p>
        </w:tc>
        <w:tc>
          <w:tcPr>
            <w:tcW w:w="1400" w:type="pct"/>
            <w:vMerge w:val="continue"/>
            <w:vAlign w:val="center"/>
          </w:tcPr>
          <w:p>
            <w:pPr>
              <w:jc w:val="center"/>
              <w:rPr>
                <w:color w:val="auto"/>
                <w:highlight w:val="none"/>
              </w:rPr>
            </w:pPr>
          </w:p>
        </w:tc>
        <w:tc>
          <w:tcPr>
            <w:tcW w:w="865" w:type="pct"/>
            <w:vAlign w:val="center"/>
          </w:tcPr>
          <w:p>
            <w:pPr>
              <w:pStyle w:val="105"/>
              <w:rPr>
                <w:color w:val="auto"/>
                <w:highlight w:val="none"/>
              </w:rPr>
            </w:pPr>
            <w:r>
              <w:rPr>
                <w:color w:val="auto"/>
                <w:highlight w:val="none"/>
              </w:rPr>
              <w:t>1.3</w:t>
            </w:r>
          </w:p>
        </w:tc>
        <w:tc>
          <w:tcPr>
            <w:tcW w:w="1065" w:type="pct"/>
            <w:vAlign w:val="center"/>
          </w:tcPr>
          <w:p>
            <w:pPr>
              <w:pStyle w:val="105"/>
              <w:rPr>
                <w:color w:val="auto"/>
                <w:highlight w:val="none"/>
              </w:rPr>
            </w:pPr>
            <w:r>
              <w:rPr>
                <w:color w:val="auto"/>
                <w:highlight w:val="none"/>
              </w:rPr>
              <w:t>42</w:t>
            </w:r>
          </w:p>
        </w:tc>
        <w:tc>
          <w:tcPr>
            <w:tcW w:w="804" w:type="pct"/>
            <w:vAlign w:val="center"/>
          </w:tcPr>
          <w:p>
            <w:pPr>
              <w:jc w:val="center"/>
              <w:rPr>
                <w:color w:val="auto"/>
                <w:highlight w:val="none"/>
              </w:rPr>
            </w:pPr>
            <w:r>
              <w:rPr>
                <w:color w:val="auto"/>
                <w:highlight w:val="none"/>
              </w:rPr>
              <w:t>夜间</w:t>
            </w:r>
          </w:p>
        </w:tc>
      </w:tr>
    </w:tbl>
    <w:p>
      <w:pPr>
        <w:keepNext/>
        <w:keepLines/>
        <w:spacing w:before="78" w:beforeLines="25" w:line="360" w:lineRule="auto"/>
        <w:outlineLvl w:val="2"/>
        <w:rPr>
          <w:rFonts w:eastAsia="黑体"/>
          <w:bCs/>
          <w:color w:val="auto"/>
          <w:sz w:val="24"/>
          <w:szCs w:val="32"/>
          <w:highlight w:val="none"/>
        </w:rPr>
      </w:pPr>
      <w:r>
        <w:rPr>
          <w:rFonts w:eastAsia="黑体"/>
          <w:bCs/>
          <w:color w:val="auto"/>
          <w:sz w:val="24"/>
          <w:szCs w:val="32"/>
          <w:highlight w:val="none"/>
        </w:rPr>
        <w:t>3.6.2声环境质量现状评价</w:t>
      </w:r>
    </w:p>
    <w:p>
      <w:pPr>
        <w:spacing w:line="360" w:lineRule="auto"/>
        <w:ind w:firstLine="482" w:firstLineChars="200"/>
        <w:rPr>
          <w:b/>
          <w:bCs/>
          <w:color w:val="auto"/>
          <w:sz w:val="24"/>
          <w:highlight w:val="none"/>
        </w:rPr>
      </w:pPr>
      <w:r>
        <w:rPr>
          <w:b/>
          <w:bCs/>
          <w:color w:val="auto"/>
          <w:sz w:val="24"/>
          <w:highlight w:val="none"/>
        </w:rPr>
        <w:t>1、评价标准</w:t>
      </w:r>
    </w:p>
    <w:p>
      <w:pPr>
        <w:spacing w:line="360" w:lineRule="auto"/>
        <w:ind w:firstLine="480" w:firstLineChars="200"/>
        <w:rPr>
          <w:color w:val="auto"/>
          <w:sz w:val="24"/>
          <w:highlight w:val="none"/>
        </w:rPr>
      </w:pPr>
      <w:r>
        <w:rPr>
          <w:color w:val="auto"/>
          <w:sz w:val="24"/>
          <w:highlight w:val="none"/>
        </w:rPr>
        <w:t>项目</w:t>
      </w:r>
      <w:r>
        <w:rPr>
          <w:rFonts w:hint="eastAsia"/>
          <w:color w:val="auto"/>
          <w:sz w:val="24"/>
          <w:highlight w:val="none"/>
        </w:rPr>
        <w:t>检测噪声</w:t>
      </w:r>
      <w:r>
        <w:rPr>
          <w:color w:val="auto"/>
          <w:sz w:val="24"/>
          <w:highlight w:val="none"/>
        </w:rPr>
        <w:t>执行《声环境质量标准》中的中的</w:t>
      </w:r>
      <w:r>
        <w:rPr>
          <w:rFonts w:hint="eastAsia"/>
          <w:color w:val="auto"/>
          <w:sz w:val="24"/>
          <w:highlight w:val="none"/>
        </w:rPr>
        <w:t>2</w:t>
      </w:r>
      <w:r>
        <w:rPr>
          <w:color w:val="auto"/>
          <w:sz w:val="24"/>
          <w:highlight w:val="none"/>
        </w:rPr>
        <w:t>类标准，即昼间6</w:t>
      </w:r>
      <w:r>
        <w:rPr>
          <w:rFonts w:hint="eastAsia"/>
          <w:color w:val="auto"/>
          <w:sz w:val="24"/>
          <w:highlight w:val="none"/>
        </w:rPr>
        <w:t>0</w:t>
      </w:r>
      <w:r>
        <w:rPr>
          <w:color w:val="auto"/>
          <w:sz w:val="24"/>
          <w:highlight w:val="none"/>
        </w:rPr>
        <w:t>dB(A)，夜间5</w:t>
      </w:r>
      <w:r>
        <w:rPr>
          <w:rFonts w:hint="eastAsia"/>
          <w:color w:val="auto"/>
          <w:sz w:val="24"/>
          <w:highlight w:val="none"/>
        </w:rPr>
        <w:t>0</w:t>
      </w:r>
      <w:r>
        <w:rPr>
          <w:color w:val="auto"/>
          <w:sz w:val="24"/>
          <w:highlight w:val="none"/>
        </w:rPr>
        <w:t>dB(A)</w:t>
      </w:r>
      <w:r>
        <w:rPr>
          <w:rFonts w:hint="eastAsia"/>
          <w:color w:val="auto"/>
          <w:sz w:val="24"/>
          <w:highlight w:val="none"/>
        </w:rPr>
        <w:t>。</w:t>
      </w:r>
    </w:p>
    <w:p>
      <w:pPr>
        <w:spacing w:line="360" w:lineRule="auto"/>
        <w:ind w:firstLine="435"/>
        <w:rPr>
          <w:b/>
          <w:bCs/>
          <w:color w:val="auto"/>
          <w:sz w:val="24"/>
          <w:highlight w:val="none"/>
        </w:rPr>
      </w:pPr>
      <w:r>
        <w:rPr>
          <w:b/>
          <w:bCs/>
          <w:color w:val="auto"/>
          <w:sz w:val="24"/>
          <w:highlight w:val="none"/>
        </w:rPr>
        <w:t>2、评价方法</w:t>
      </w:r>
    </w:p>
    <w:p>
      <w:pPr>
        <w:spacing w:line="360" w:lineRule="auto"/>
        <w:ind w:firstLine="436" w:firstLineChars="182"/>
        <w:rPr>
          <w:color w:val="auto"/>
          <w:sz w:val="24"/>
          <w:highlight w:val="none"/>
        </w:rPr>
      </w:pPr>
      <w:r>
        <w:rPr>
          <w:color w:val="auto"/>
          <w:sz w:val="24"/>
          <w:highlight w:val="none"/>
        </w:rPr>
        <w:t>采用超标值法对噪声环境质量现状进行评价。</w:t>
      </w:r>
    </w:p>
    <w:p>
      <w:pPr>
        <w:spacing w:line="360" w:lineRule="auto"/>
        <w:ind w:firstLine="480" w:firstLineChars="200"/>
        <w:rPr>
          <w:color w:val="auto"/>
          <w:sz w:val="24"/>
          <w:highlight w:val="none"/>
        </w:rPr>
      </w:pPr>
      <w:r>
        <w:rPr>
          <w:color w:val="auto"/>
          <w:sz w:val="24"/>
          <w:highlight w:val="none"/>
        </w:rPr>
        <w:t>计算公式为：</w:t>
      </w:r>
    </w:p>
    <w:p>
      <w:pPr>
        <w:spacing w:before="93" w:beforeLines="30" w:after="93" w:afterLines="30" w:line="360" w:lineRule="auto"/>
        <w:ind w:firstLine="319" w:firstLineChars="133"/>
        <w:jc w:val="center"/>
        <w:rPr>
          <w:color w:val="auto"/>
          <w:sz w:val="24"/>
          <w:highlight w:val="none"/>
        </w:rPr>
      </w:pPr>
      <w:r>
        <w:rPr>
          <w:color w:val="auto"/>
          <w:sz w:val="24"/>
          <w:highlight w:val="none"/>
        </w:rPr>
        <w:t>P = L</w:t>
      </w:r>
      <w:r>
        <w:rPr>
          <w:color w:val="auto"/>
          <w:sz w:val="24"/>
          <w:highlight w:val="none"/>
          <w:vertAlign w:val="subscript"/>
        </w:rPr>
        <w:t>eq</w:t>
      </w:r>
      <w:r>
        <w:rPr>
          <w:color w:val="auto"/>
          <w:sz w:val="24"/>
          <w:highlight w:val="none"/>
        </w:rPr>
        <w:t>-L</w:t>
      </w:r>
      <w:r>
        <w:rPr>
          <w:color w:val="auto"/>
          <w:sz w:val="24"/>
          <w:highlight w:val="none"/>
          <w:vertAlign w:val="subscript"/>
        </w:rPr>
        <w:t>b</w:t>
      </w:r>
    </w:p>
    <w:p>
      <w:pPr>
        <w:spacing w:line="360" w:lineRule="auto"/>
        <w:ind w:firstLine="480" w:firstLineChars="200"/>
        <w:rPr>
          <w:color w:val="auto"/>
          <w:sz w:val="24"/>
          <w:highlight w:val="none"/>
        </w:rPr>
      </w:pPr>
      <w:r>
        <w:rPr>
          <w:color w:val="auto"/>
          <w:sz w:val="24"/>
          <w:highlight w:val="none"/>
        </w:rPr>
        <w:t>式中：P—超标值，dB(A)；</w:t>
      </w:r>
    </w:p>
    <w:p>
      <w:pPr>
        <w:spacing w:line="360" w:lineRule="auto"/>
        <w:ind w:firstLine="200"/>
        <w:rPr>
          <w:color w:val="auto"/>
          <w:sz w:val="24"/>
          <w:highlight w:val="none"/>
        </w:rPr>
      </w:pPr>
      <w:r>
        <w:rPr>
          <w:color w:val="auto"/>
          <w:sz w:val="24"/>
          <w:highlight w:val="none"/>
        </w:rPr>
        <w:t xml:space="preserve">        L</w:t>
      </w:r>
      <w:r>
        <w:rPr>
          <w:color w:val="auto"/>
          <w:sz w:val="24"/>
          <w:highlight w:val="none"/>
          <w:vertAlign w:val="subscript"/>
        </w:rPr>
        <w:t>eq</w:t>
      </w:r>
      <w:r>
        <w:rPr>
          <w:color w:val="auto"/>
          <w:sz w:val="24"/>
          <w:highlight w:val="none"/>
        </w:rPr>
        <w:t>—测点等效A声级，dB(A)；</w:t>
      </w:r>
    </w:p>
    <w:p>
      <w:pPr>
        <w:spacing w:line="360" w:lineRule="auto"/>
        <w:ind w:firstLine="200"/>
        <w:rPr>
          <w:color w:val="auto"/>
          <w:sz w:val="24"/>
          <w:highlight w:val="none"/>
        </w:rPr>
      </w:pPr>
      <w:r>
        <w:rPr>
          <w:color w:val="auto"/>
          <w:sz w:val="24"/>
          <w:highlight w:val="none"/>
        </w:rPr>
        <w:t xml:space="preserve">        L</w:t>
      </w:r>
      <w:r>
        <w:rPr>
          <w:color w:val="auto"/>
          <w:sz w:val="24"/>
          <w:highlight w:val="none"/>
          <w:vertAlign w:val="subscript"/>
        </w:rPr>
        <w:t>b</w:t>
      </w:r>
      <w:r>
        <w:rPr>
          <w:color w:val="auto"/>
          <w:sz w:val="24"/>
          <w:highlight w:val="none"/>
        </w:rPr>
        <w:t>—噪声评价标准，dB(A)。</w:t>
      </w:r>
    </w:p>
    <w:p>
      <w:pPr>
        <w:spacing w:line="360" w:lineRule="auto"/>
        <w:ind w:firstLine="480" w:firstLineChars="200"/>
        <w:rPr>
          <w:color w:val="auto"/>
          <w:sz w:val="24"/>
          <w:highlight w:val="none"/>
        </w:rPr>
      </w:pPr>
      <w:r>
        <w:rPr>
          <w:color w:val="auto"/>
          <w:sz w:val="24"/>
          <w:highlight w:val="none"/>
        </w:rPr>
        <w:t>得出差值，差值为正，说明超标，差值为负，说明达标。</w:t>
      </w:r>
    </w:p>
    <w:p>
      <w:pPr>
        <w:spacing w:line="360" w:lineRule="auto"/>
        <w:ind w:firstLine="482" w:firstLineChars="200"/>
        <w:rPr>
          <w:b/>
          <w:bCs/>
          <w:color w:val="auto"/>
          <w:sz w:val="24"/>
          <w:highlight w:val="none"/>
        </w:rPr>
      </w:pPr>
      <w:r>
        <w:rPr>
          <w:b/>
          <w:bCs/>
          <w:color w:val="auto"/>
          <w:sz w:val="24"/>
          <w:highlight w:val="none"/>
        </w:rPr>
        <w:t>3、评价结果</w:t>
      </w:r>
    </w:p>
    <w:p>
      <w:pPr>
        <w:spacing w:line="360" w:lineRule="auto"/>
        <w:ind w:firstLine="480" w:firstLineChars="200"/>
        <w:rPr>
          <w:color w:val="auto"/>
          <w:sz w:val="24"/>
          <w:highlight w:val="none"/>
        </w:rPr>
      </w:pPr>
      <w:r>
        <w:rPr>
          <w:color w:val="auto"/>
          <w:sz w:val="24"/>
          <w:highlight w:val="none"/>
        </w:rPr>
        <w:t>评价结果见表3.6-2。</w:t>
      </w:r>
    </w:p>
    <w:p>
      <w:pPr>
        <w:spacing w:line="360" w:lineRule="auto"/>
        <w:jc w:val="center"/>
        <w:rPr>
          <w:rFonts w:eastAsia="黑体"/>
          <w:color w:val="auto"/>
          <w:sz w:val="24"/>
          <w:highlight w:val="none"/>
        </w:rPr>
      </w:pPr>
      <w:r>
        <w:rPr>
          <w:rFonts w:eastAsia="黑体"/>
          <w:color w:val="auto"/>
          <w:sz w:val="24"/>
          <w:highlight w:val="none"/>
        </w:rPr>
        <w:t>表3.6-2   声环境质量监测结果评价一览表   单位: LeqdB(A)</w:t>
      </w:r>
    </w:p>
    <w:tbl>
      <w:tblPr>
        <w:tblStyle w:val="5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0"/>
        <w:gridCol w:w="2686"/>
        <w:gridCol w:w="838"/>
        <w:gridCol w:w="868"/>
        <w:gridCol w:w="858"/>
        <w:gridCol w:w="852"/>
        <w:gridCol w:w="959"/>
        <w:gridCol w:w="9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4" w:type="pct"/>
            <w:gridSpan w:val="2"/>
            <w:vMerge w:val="restart"/>
            <w:shd w:val="clear" w:color="auto" w:fill="auto"/>
            <w:tcMar>
              <w:left w:w="28" w:type="dxa"/>
              <w:right w:w="28" w:type="dxa"/>
            </w:tcMar>
            <w:vAlign w:val="center"/>
          </w:tcPr>
          <w:p>
            <w:pPr>
              <w:jc w:val="center"/>
              <w:rPr>
                <w:color w:val="auto"/>
                <w:szCs w:val="21"/>
                <w:highlight w:val="none"/>
              </w:rPr>
            </w:pPr>
            <w:r>
              <w:rPr>
                <w:color w:val="auto"/>
                <w:szCs w:val="21"/>
                <w:highlight w:val="none"/>
              </w:rPr>
              <w:t>监测点位</w:t>
            </w:r>
          </w:p>
        </w:tc>
        <w:tc>
          <w:tcPr>
            <w:tcW w:w="1450" w:type="pct"/>
            <w:gridSpan w:val="3"/>
            <w:shd w:val="clear" w:color="auto" w:fill="auto"/>
            <w:tcMar>
              <w:left w:w="28" w:type="dxa"/>
              <w:right w:w="28" w:type="dxa"/>
            </w:tcMar>
            <w:vAlign w:val="center"/>
          </w:tcPr>
          <w:p>
            <w:pPr>
              <w:jc w:val="center"/>
              <w:rPr>
                <w:color w:val="auto"/>
                <w:szCs w:val="21"/>
                <w:highlight w:val="none"/>
              </w:rPr>
            </w:pPr>
            <w:r>
              <w:rPr>
                <w:color w:val="auto"/>
                <w:szCs w:val="21"/>
                <w:highlight w:val="none"/>
              </w:rPr>
              <w:t>昼间</w:t>
            </w:r>
          </w:p>
        </w:tc>
        <w:tc>
          <w:tcPr>
            <w:tcW w:w="1534" w:type="pct"/>
            <w:gridSpan w:val="3"/>
            <w:shd w:val="clear" w:color="auto" w:fill="auto"/>
            <w:tcMar>
              <w:left w:w="28" w:type="dxa"/>
              <w:right w:w="28" w:type="dxa"/>
            </w:tcMar>
            <w:vAlign w:val="center"/>
          </w:tcPr>
          <w:p>
            <w:pPr>
              <w:jc w:val="center"/>
              <w:rPr>
                <w:color w:val="auto"/>
                <w:szCs w:val="21"/>
                <w:highlight w:val="none"/>
              </w:rPr>
            </w:pPr>
            <w:r>
              <w:rPr>
                <w:color w:val="auto"/>
                <w:szCs w:val="21"/>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4" w:type="pct"/>
            <w:gridSpan w:val="2"/>
            <w:vMerge w:val="continue"/>
            <w:shd w:val="clear" w:color="auto" w:fill="auto"/>
            <w:tcMar>
              <w:left w:w="28" w:type="dxa"/>
              <w:right w:w="28" w:type="dxa"/>
            </w:tcMar>
            <w:vAlign w:val="center"/>
          </w:tcPr>
          <w:p>
            <w:pPr>
              <w:jc w:val="center"/>
              <w:rPr>
                <w:color w:val="auto"/>
                <w:szCs w:val="21"/>
                <w:highlight w:val="none"/>
              </w:rPr>
            </w:pPr>
          </w:p>
        </w:tc>
        <w:tc>
          <w:tcPr>
            <w:tcW w:w="474" w:type="pct"/>
            <w:shd w:val="clear" w:color="auto" w:fill="auto"/>
            <w:tcMar>
              <w:left w:w="28" w:type="dxa"/>
              <w:right w:w="28" w:type="dxa"/>
            </w:tcMar>
            <w:vAlign w:val="center"/>
          </w:tcPr>
          <w:p>
            <w:pPr>
              <w:jc w:val="center"/>
              <w:rPr>
                <w:color w:val="auto"/>
                <w:szCs w:val="21"/>
                <w:highlight w:val="none"/>
              </w:rPr>
            </w:pPr>
            <w:r>
              <w:rPr>
                <w:color w:val="auto"/>
                <w:szCs w:val="21"/>
                <w:highlight w:val="none"/>
              </w:rPr>
              <w:t>监测值</w:t>
            </w:r>
          </w:p>
        </w:tc>
        <w:tc>
          <w:tcPr>
            <w:tcW w:w="491" w:type="pct"/>
            <w:shd w:val="clear" w:color="auto" w:fill="auto"/>
            <w:tcMar>
              <w:left w:w="28" w:type="dxa"/>
              <w:right w:w="28" w:type="dxa"/>
            </w:tcMar>
            <w:vAlign w:val="center"/>
          </w:tcPr>
          <w:p>
            <w:pPr>
              <w:jc w:val="center"/>
              <w:rPr>
                <w:color w:val="auto"/>
                <w:szCs w:val="21"/>
                <w:highlight w:val="none"/>
              </w:rPr>
            </w:pPr>
            <w:r>
              <w:rPr>
                <w:color w:val="auto"/>
                <w:szCs w:val="21"/>
                <w:highlight w:val="none"/>
              </w:rPr>
              <w:t>标准值</w:t>
            </w:r>
          </w:p>
        </w:tc>
        <w:tc>
          <w:tcPr>
            <w:tcW w:w="485" w:type="pct"/>
            <w:shd w:val="clear" w:color="auto" w:fill="auto"/>
            <w:tcMar>
              <w:left w:w="28" w:type="dxa"/>
              <w:right w:w="28" w:type="dxa"/>
            </w:tcMar>
            <w:vAlign w:val="center"/>
          </w:tcPr>
          <w:p>
            <w:pPr>
              <w:jc w:val="center"/>
              <w:rPr>
                <w:color w:val="auto"/>
                <w:szCs w:val="21"/>
                <w:highlight w:val="none"/>
              </w:rPr>
            </w:pPr>
            <w:r>
              <w:rPr>
                <w:color w:val="auto"/>
                <w:szCs w:val="21"/>
                <w:highlight w:val="none"/>
              </w:rPr>
              <w:t>超标值</w:t>
            </w:r>
          </w:p>
        </w:tc>
        <w:tc>
          <w:tcPr>
            <w:tcW w:w="482" w:type="pct"/>
            <w:shd w:val="clear" w:color="auto" w:fill="auto"/>
            <w:tcMar>
              <w:left w:w="28" w:type="dxa"/>
              <w:right w:w="28" w:type="dxa"/>
            </w:tcMar>
            <w:vAlign w:val="center"/>
          </w:tcPr>
          <w:p>
            <w:pPr>
              <w:jc w:val="center"/>
              <w:rPr>
                <w:color w:val="auto"/>
                <w:szCs w:val="21"/>
                <w:highlight w:val="none"/>
              </w:rPr>
            </w:pPr>
            <w:r>
              <w:rPr>
                <w:color w:val="auto"/>
                <w:szCs w:val="21"/>
                <w:highlight w:val="none"/>
              </w:rPr>
              <w:t>监测值</w:t>
            </w:r>
          </w:p>
        </w:tc>
        <w:tc>
          <w:tcPr>
            <w:tcW w:w="542" w:type="pct"/>
            <w:shd w:val="clear" w:color="auto" w:fill="auto"/>
            <w:tcMar>
              <w:left w:w="28" w:type="dxa"/>
              <w:right w:w="28" w:type="dxa"/>
            </w:tcMar>
            <w:vAlign w:val="center"/>
          </w:tcPr>
          <w:p>
            <w:pPr>
              <w:jc w:val="center"/>
              <w:rPr>
                <w:color w:val="auto"/>
                <w:szCs w:val="21"/>
                <w:highlight w:val="none"/>
              </w:rPr>
            </w:pPr>
            <w:r>
              <w:rPr>
                <w:color w:val="auto"/>
                <w:szCs w:val="21"/>
                <w:highlight w:val="none"/>
              </w:rPr>
              <w:t>标准值</w:t>
            </w:r>
          </w:p>
        </w:tc>
        <w:tc>
          <w:tcPr>
            <w:tcW w:w="510" w:type="pct"/>
            <w:shd w:val="clear" w:color="auto" w:fill="auto"/>
            <w:tcMar>
              <w:left w:w="28" w:type="dxa"/>
              <w:right w:w="28" w:type="dxa"/>
            </w:tcMar>
            <w:vAlign w:val="center"/>
          </w:tcPr>
          <w:p>
            <w:pPr>
              <w:jc w:val="center"/>
              <w:rPr>
                <w:color w:val="auto"/>
                <w:szCs w:val="21"/>
                <w:highlight w:val="none"/>
              </w:rPr>
            </w:pPr>
            <w:r>
              <w:rPr>
                <w:color w:val="auto"/>
                <w:szCs w:val="21"/>
                <w:highlight w:val="none"/>
              </w:rPr>
              <w:t>超标值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497" w:type="pct"/>
            <w:vMerge w:val="restart"/>
            <w:tcBorders>
              <w:right w:val="single" w:color="000000" w:sz="4" w:space="0"/>
            </w:tcBorders>
            <w:shd w:val="clear" w:color="auto" w:fill="auto"/>
            <w:tcMar>
              <w:left w:w="28" w:type="dxa"/>
              <w:right w:w="28" w:type="dxa"/>
            </w:tcMar>
            <w:vAlign w:val="center"/>
          </w:tcPr>
          <w:p>
            <w:pPr>
              <w:jc w:val="center"/>
              <w:rPr>
                <w:color w:val="auto"/>
                <w:szCs w:val="21"/>
                <w:highlight w:val="none"/>
              </w:rPr>
            </w:pPr>
            <w:r>
              <w:rPr>
                <w:color w:val="auto"/>
                <w:szCs w:val="21"/>
                <w:highlight w:val="none"/>
              </w:rPr>
              <w:t>2022.0</w:t>
            </w:r>
            <w:r>
              <w:rPr>
                <w:rFonts w:hint="eastAsia"/>
                <w:color w:val="auto"/>
                <w:szCs w:val="21"/>
                <w:highlight w:val="none"/>
              </w:rPr>
              <w:t>7</w:t>
            </w:r>
            <w:r>
              <w:rPr>
                <w:color w:val="auto"/>
                <w:szCs w:val="21"/>
                <w:highlight w:val="none"/>
              </w:rPr>
              <w:t>.</w:t>
            </w:r>
            <w:r>
              <w:rPr>
                <w:rFonts w:hint="eastAsia"/>
                <w:color w:val="auto"/>
                <w:szCs w:val="21"/>
                <w:highlight w:val="none"/>
              </w:rPr>
              <w:t>08</w:t>
            </w:r>
          </w:p>
        </w:tc>
        <w:tc>
          <w:tcPr>
            <w:tcW w:w="1517" w:type="pct"/>
            <w:tcBorders>
              <w:left w:val="single" w:color="000000" w:sz="4" w:space="0"/>
            </w:tcBorders>
            <w:shd w:val="clear" w:color="auto" w:fill="auto"/>
            <w:vAlign w:val="center"/>
          </w:tcPr>
          <w:p>
            <w:pPr>
              <w:jc w:val="center"/>
              <w:rPr>
                <w:color w:val="auto"/>
                <w:szCs w:val="21"/>
                <w:highlight w:val="none"/>
              </w:rPr>
            </w:pPr>
            <w:r>
              <w:rPr>
                <w:color w:val="auto"/>
                <w:szCs w:val="21"/>
                <w:highlight w:val="none"/>
              </w:rPr>
              <w:t>东厂界外1m处</w:t>
            </w:r>
          </w:p>
        </w:tc>
        <w:tc>
          <w:tcPr>
            <w:tcW w:w="474"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47</w:t>
            </w:r>
          </w:p>
        </w:tc>
        <w:tc>
          <w:tcPr>
            <w:tcW w:w="491"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60</w:t>
            </w:r>
          </w:p>
        </w:tc>
        <w:tc>
          <w:tcPr>
            <w:tcW w:w="485"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-13</w:t>
            </w:r>
          </w:p>
        </w:tc>
        <w:tc>
          <w:tcPr>
            <w:tcW w:w="482"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41</w:t>
            </w:r>
          </w:p>
        </w:tc>
        <w:tc>
          <w:tcPr>
            <w:tcW w:w="542"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50</w:t>
            </w:r>
          </w:p>
        </w:tc>
        <w:tc>
          <w:tcPr>
            <w:tcW w:w="510"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7" w:type="pct"/>
            <w:vMerge w:val="continue"/>
            <w:tcBorders>
              <w:right w:val="single" w:color="000000" w:sz="4" w:space="0"/>
            </w:tcBorders>
            <w:shd w:val="clear" w:color="auto" w:fill="auto"/>
            <w:tcMar>
              <w:left w:w="28" w:type="dxa"/>
              <w:right w:w="28" w:type="dxa"/>
            </w:tcMar>
            <w:vAlign w:val="center"/>
          </w:tcPr>
          <w:p>
            <w:pPr>
              <w:jc w:val="center"/>
              <w:rPr>
                <w:color w:val="auto"/>
                <w:szCs w:val="21"/>
                <w:highlight w:val="none"/>
              </w:rPr>
            </w:pPr>
          </w:p>
        </w:tc>
        <w:tc>
          <w:tcPr>
            <w:tcW w:w="1517" w:type="pct"/>
            <w:tcBorders>
              <w:left w:val="single" w:color="000000" w:sz="4" w:space="0"/>
            </w:tcBorders>
            <w:shd w:val="clear" w:color="auto" w:fill="auto"/>
            <w:vAlign w:val="center"/>
          </w:tcPr>
          <w:p>
            <w:pPr>
              <w:jc w:val="center"/>
              <w:rPr>
                <w:color w:val="auto"/>
                <w:szCs w:val="21"/>
                <w:highlight w:val="none"/>
              </w:rPr>
            </w:pPr>
            <w:r>
              <w:rPr>
                <w:color w:val="auto"/>
                <w:szCs w:val="21"/>
                <w:highlight w:val="none"/>
              </w:rPr>
              <w:t>北厂界外1m处</w:t>
            </w:r>
          </w:p>
        </w:tc>
        <w:tc>
          <w:tcPr>
            <w:tcW w:w="474"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46</w:t>
            </w:r>
          </w:p>
        </w:tc>
        <w:tc>
          <w:tcPr>
            <w:tcW w:w="491"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60</w:t>
            </w:r>
          </w:p>
        </w:tc>
        <w:tc>
          <w:tcPr>
            <w:tcW w:w="485"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-14</w:t>
            </w:r>
          </w:p>
        </w:tc>
        <w:tc>
          <w:tcPr>
            <w:tcW w:w="482"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45</w:t>
            </w:r>
          </w:p>
        </w:tc>
        <w:tc>
          <w:tcPr>
            <w:tcW w:w="542"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50</w:t>
            </w:r>
          </w:p>
        </w:tc>
        <w:tc>
          <w:tcPr>
            <w:tcW w:w="510"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7" w:type="pct"/>
            <w:vMerge w:val="continue"/>
            <w:tcBorders>
              <w:right w:val="single" w:color="000000" w:sz="4" w:space="0"/>
            </w:tcBorders>
            <w:shd w:val="clear" w:color="auto" w:fill="auto"/>
            <w:tcMar>
              <w:left w:w="28" w:type="dxa"/>
              <w:right w:w="28" w:type="dxa"/>
            </w:tcMar>
            <w:vAlign w:val="center"/>
          </w:tcPr>
          <w:p>
            <w:pPr>
              <w:jc w:val="center"/>
              <w:rPr>
                <w:color w:val="auto"/>
                <w:szCs w:val="21"/>
                <w:highlight w:val="none"/>
              </w:rPr>
            </w:pPr>
          </w:p>
        </w:tc>
        <w:tc>
          <w:tcPr>
            <w:tcW w:w="1517" w:type="pct"/>
            <w:tcBorders>
              <w:left w:val="single" w:color="000000" w:sz="4" w:space="0"/>
            </w:tcBorders>
            <w:shd w:val="clear" w:color="auto" w:fill="auto"/>
            <w:vAlign w:val="center"/>
          </w:tcPr>
          <w:p>
            <w:pPr>
              <w:jc w:val="center"/>
              <w:rPr>
                <w:color w:val="auto"/>
                <w:szCs w:val="21"/>
                <w:highlight w:val="none"/>
              </w:rPr>
            </w:pPr>
            <w:r>
              <w:rPr>
                <w:color w:val="auto"/>
                <w:szCs w:val="21"/>
                <w:highlight w:val="none"/>
              </w:rPr>
              <w:t>西厂界外1m处</w:t>
            </w:r>
          </w:p>
        </w:tc>
        <w:tc>
          <w:tcPr>
            <w:tcW w:w="474"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45</w:t>
            </w:r>
          </w:p>
        </w:tc>
        <w:tc>
          <w:tcPr>
            <w:tcW w:w="491"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60</w:t>
            </w:r>
          </w:p>
        </w:tc>
        <w:tc>
          <w:tcPr>
            <w:tcW w:w="485"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-15</w:t>
            </w:r>
          </w:p>
        </w:tc>
        <w:tc>
          <w:tcPr>
            <w:tcW w:w="482"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46</w:t>
            </w:r>
          </w:p>
        </w:tc>
        <w:tc>
          <w:tcPr>
            <w:tcW w:w="542"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50</w:t>
            </w:r>
          </w:p>
        </w:tc>
        <w:tc>
          <w:tcPr>
            <w:tcW w:w="510"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7" w:type="pct"/>
            <w:vMerge w:val="continue"/>
            <w:tcBorders>
              <w:right w:val="single" w:color="000000" w:sz="4" w:space="0"/>
            </w:tcBorders>
            <w:shd w:val="clear" w:color="auto" w:fill="auto"/>
            <w:tcMar>
              <w:left w:w="28" w:type="dxa"/>
              <w:right w:w="28" w:type="dxa"/>
            </w:tcMar>
            <w:vAlign w:val="center"/>
          </w:tcPr>
          <w:p>
            <w:pPr>
              <w:jc w:val="center"/>
              <w:rPr>
                <w:color w:val="auto"/>
                <w:szCs w:val="21"/>
                <w:highlight w:val="none"/>
              </w:rPr>
            </w:pPr>
          </w:p>
        </w:tc>
        <w:tc>
          <w:tcPr>
            <w:tcW w:w="1517" w:type="pct"/>
            <w:tcBorders>
              <w:left w:val="single" w:color="000000" w:sz="4" w:space="0"/>
            </w:tcBorders>
            <w:shd w:val="clear" w:color="auto" w:fill="auto"/>
            <w:vAlign w:val="center"/>
          </w:tcPr>
          <w:p>
            <w:pPr>
              <w:jc w:val="center"/>
              <w:rPr>
                <w:color w:val="auto"/>
                <w:szCs w:val="21"/>
                <w:highlight w:val="none"/>
              </w:rPr>
            </w:pPr>
            <w:r>
              <w:rPr>
                <w:color w:val="auto"/>
                <w:szCs w:val="21"/>
                <w:highlight w:val="none"/>
              </w:rPr>
              <w:t>南厂界外1m处</w:t>
            </w:r>
          </w:p>
        </w:tc>
        <w:tc>
          <w:tcPr>
            <w:tcW w:w="474"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48</w:t>
            </w:r>
          </w:p>
        </w:tc>
        <w:tc>
          <w:tcPr>
            <w:tcW w:w="491"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60</w:t>
            </w:r>
          </w:p>
        </w:tc>
        <w:tc>
          <w:tcPr>
            <w:tcW w:w="485"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-12</w:t>
            </w:r>
          </w:p>
        </w:tc>
        <w:tc>
          <w:tcPr>
            <w:tcW w:w="482"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47</w:t>
            </w:r>
          </w:p>
        </w:tc>
        <w:tc>
          <w:tcPr>
            <w:tcW w:w="542"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50</w:t>
            </w:r>
          </w:p>
        </w:tc>
        <w:tc>
          <w:tcPr>
            <w:tcW w:w="510"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7" w:type="pct"/>
            <w:vMerge w:val="continue"/>
            <w:tcBorders>
              <w:right w:val="single" w:color="000000" w:sz="4" w:space="0"/>
            </w:tcBorders>
            <w:shd w:val="clear" w:color="auto" w:fill="auto"/>
            <w:tcMar>
              <w:left w:w="28" w:type="dxa"/>
              <w:right w:w="28" w:type="dxa"/>
            </w:tcMar>
            <w:vAlign w:val="center"/>
          </w:tcPr>
          <w:p>
            <w:pPr>
              <w:jc w:val="center"/>
              <w:rPr>
                <w:color w:val="auto"/>
                <w:szCs w:val="21"/>
                <w:highlight w:val="none"/>
              </w:rPr>
            </w:pPr>
          </w:p>
        </w:tc>
        <w:tc>
          <w:tcPr>
            <w:tcW w:w="1517" w:type="pct"/>
            <w:tcBorders>
              <w:left w:val="single" w:color="000000" w:sz="4" w:space="0"/>
            </w:tcBorders>
            <w:shd w:val="clear" w:color="auto" w:fill="auto"/>
            <w:vAlign w:val="center"/>
          </w:tcPr>
          <w:p>
            <w:pPr>
              <w:jc w:val="center"/>
              <w:rPr>
                <w:color w:val="auto"/>
                <w:szCs w:val="21"/>
                <w:highlight w:val="none"/>
              </w:rPr>
            </w:pPr>
            <w:r>
              <w:rPr>
                <w:color w:val="auto"/>
                <w:szCs w:val="21"/>
                <w:highlight w:val="none"/>
              </w:rPr>
              <w:t>大官庄村西侧居民楼1楼</w:t>
            </w:r>
          </w:p>
        </w:tc>
        <w:tc>
          <w:tcPr>
            <w:tcW w:w="474"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44</w:t>
            </w:r>
          </w:p>
        </w:tc>
        <w:tc>
          <w:tcPr>
            <w:tcW w:w="491"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60</w:t>
            </w:r>
          </w:p>
        </w:tc>
        <w:tc>
          <w:tcPr>
            <w:tcW w:w="485"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-16</w:t>
            </w:r>
          </w:p>
        </w:tc>
        <w:tc>
          <w:tcPr>
            <w:tcW w:w="482"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41</w:t>
            </w:r>
          </w:p>
        </w:tc>
        <w:tc>
          <w:tcPr>
            <w:tcW w:w="542"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50</w:t>
            </w:r>
          </w:p>
        </w:tc>
        <w:tc>
          <w:tcPr>
            <w:tcW w:w="510"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7" w:type="pct"/>
            <w:vMerge w:val="continue"/>
            <w:tcBorders>
              <w:right w:val="single" w:color="000000" w:sz="4" w:space="0"/>
            </w:tcBorders>
            <w:shd w:val="clear" w:color="auto" w:fill="auto"/>
            <w:tcMar>
              <w:left w:w="28" w:type="dxa"/>
              <w:right w:w="28" w:type="dxa"/>
            </w:tcMar>
            <w:vAlign w:val="center"/>
          </w:tcPr>
          <w:p>
            <w:pPr>
              <w:jc w:val="center"/>
              <w:rPr>
                <w:color w:val="auto"/>
                <w:szCs w:val="21"/>
                <w:highlight w:val="none"/>
              </w:rPr>
            </w:pPr>
          </w:p>
        </w:tc>
        <w:tc>
          <w:tcPr>
            <w:tcW w:w="1517" w:type="pct"/>
            <w:tcBorders>
              <w:left w:val="single" w:color="000000" w:sz="4" w:space="0"/>
            </w:tcBorders>
            <w:shd w:val="clear" w:color="auto" w:fill="auto"/>
            <w:vAlign w:val="center"/>
          </w:tcPr>
          <w:p>
            <w:pPr>
              <w:jc w:val="center"/>
              <w:rPr>
                <w:color w:val="auto"/>
                <w:szCs w:val="21"/>
                <w:highlight w:val="none"/>
              </w:rPr>
            </w:pPr>
            <w:r>
              <w:rPr>
                <w:color w:val="auto"/>
                <w:szCs w:val="21"/>
                <w:highlight w:val="none"/>
              </w:rPr>
              <w:t>大官庄村西侧居民楼3楼</w:t>
            </w:r>
          </w:p>
        </w:tc>
        <w:tc>
          <w:tcPr>
            <w:tcW w:w="474"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41</w:t>
            </w:r>
          </w:p>
        </w:tc>
        <w:tc>
          <w:tcPr>
            <w:tcW w:w="491"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60</w:t>
            </w:r>
          </w:p>
        </w:tc>
        <w:tc>
          <w:tcPr>
            <w:tcW w:w="485"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-19</w:t>
            </w:r>
          </w:p>
        </w:tc>
        <w:tc>
          <w:tcPr>
            <w:tcW w:w="482"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45</w:t>
            </w:r>
          </w:p>
        </w:tc>
        <w:tc>
          <w:tcPr>
            <w:tcW w:w="542"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50</w:t>
            </w:r>
          </w:p>
        </w:tc>
        <w:tc>
          <w:tcPr>
            <w:tcW w:w="510"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7" w:type="pct"/>
            <w:vMerge w:val="continue"/>
            <w:tcBorders>
              <w:right w:val="single" w:color="000000" w:sz="4" w:space="0"/>
            </w:tcBorders>
            <w:shd w:val="clear" w:color="auto" w:fill="auto"/>
            <w:tcMar>
              <w:left w:w="28" w:type="dxa"/>
              <w:right w:w="28" w:type="dxa"/>
            </w:tcMar>
            <w:vAlign w:val="center"/>
          </w:tcPr>
          <w:p>
            <w:pPr>
              <w:jc w:val="center"/>
              <w:rPr>
                <w:color w:val="auto"/>
                <w:szCs w:val="21"/>
                <w:highlight w:val="none"/>
              </w:rPr>
            </w:pPr>
          </w:p>
        </w:tc>
        <w:tc>
          <w:tcPr>
            <w:tcW w:w="1517" w:type="pct"/>
            <w:tcBorders>
              <w:left w:val="single" w:color="000000" w:sz="4" w:space="0"/>
            </w:tcBorders>
            <w:shd w:val="clear" w:color="auto" w:fill="auto"/>
            <w:vAlign w:val="center"/>
          </w:tcPr>
          <w:p>
            <w:pPr>
              <w:jc w:val="center"/>
              <w:rPr>
                <w:color w:val="auto"/>
                <w:szCs w:val="21"/>
                <w:highlight w:val="none"/>
              </w:rPr>
            </w:pPr>
            <w:r>
              <w:rPr>
                <w:color w:val="auto"/>
                <w:szCs w:val="21"/>
                <w:highlight w:val="none"/>
              </w:rPr>
              <w:t>大官庄村西侧居民楼5楼</w:t>
            </w:r>
          </w:p>
        </w:tc>
        <w:tc>
          <w:tcPr>
            <w:tcW w:w="474"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43</w:t>
            </w:r>
          </w:p>
        </w:tc>
        <w:tc>
          <w:tcPr>
            <w:tcW w:w="491"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60</w:t>
            </w:r>
          </w:p>
        </w:tc>
        <w:tc>
          <w:tcPr>
            <w:tcW w:w="485"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-17</w:t>
            </w:r>
          </w:p>
        </w:tc>
        <w:tc>
          <w:tcPr>
            <w:tcW w:w="482"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38</w:t>
            </w:r>
          </w:p>
        </w:tc>
        <w:tc>
          <w:tcPr>
            <w:tcW w:w="542"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50</w:t>
            </w:r>
          </w:p>
        </w:tc>
        <w:tc>
          <w:tcPr>
            <w:tcW w:w="510"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7" w:type="pct"/>
            <w:vMerge w:val="restart"/>
            <w:tcBorders>
              <w:right w:val="single" w:color="000000" w:sz="4" w:space="0"/>
            </w:tcBorders>
            <w:shd w:val="clear" w:color="auto" w:fill="auto"/>
            <w:tcMar>
              <w:left w:w="28" w:type="dxa"/>
              <w:right w:w="28" w:type="dxa"/>
            </w:tcMar>
            <w:vAlign w:val="center"/>
          </w:tcPr>
          <w:p>
            <w:pPr>
              <w:jc w:val="center"/>
              <w:rPr>
                <w:color w:val="auto"/>
                <w:szCs w:val="21"/>
                <w:highlight w:val="none"/>
              </w:rPr>
            </w:pPr>
            <w:r>
              <w:rPr>
                <w:color w:val="auto"/>
                <w:szCs w:val="21"/>
                <w:highlight w:val="none"/>
              </w:rPr>
              <w:t>2022.0</w:t>
            </w:r>
            <w:r>
              <w:rPr>
                <w:rFonts w:hint="eastAsia"/>
                <w:color w:val="auto"/>
                <w:szCs w:val="21"/>
                <w:highlight w:val="none"/>
              </w:rPr>
              <w:t>7</w:t>
            </w:r>
            <w:r>
              <w:rPr>
                <w:color w:val="auto"/>
                <w:szCs w:val="21"/>
                <w:highlight w:val="none"/>
              </w:rPr>
              <w:t>.</w:t>
            </w:r>
            <w:r>
              <w:rPr>
                <w:rFonts w:hint="eastAsia"/>
                <w:color w:val="auto"/>
                <w:szCs w:val="21"/>
                <w:highlight w:val="none"/>
              </w:rPr>
              <w:t>09</w:t>
            </w:r>
          </w:p>
        </w:tc>
        <w:tc>
          <w:tcPr>
            <w:tcW w:w="1517" w:type="pct"/>
            <w:tcBorders>
              <w:left w:val="single" w:color="000000" w:sz="4" w:space="0"/>
            </w:tcBorders>
            <w:shd w:val="clear" w:color="auto" w:fill="auto"/>
            <w:vAlign w:val="center"/>
          </w:tcPr>
          <w:p>
            <w:pPr>
              <w:jc w:val="center"/>
              <w:rPr>
                <w:color w:val="auto"/>
                <w:szCs w:val="21"/>
                <w:highlight w:val="none"/>
              </w:rPr>
            </w:pPr>
            <w:r>
              <w:rPr>
                <w:color w:val="auto"/>
                <w:szCs w:val="21"/>
                <w:highlight w:val="none"/>
              </w:rPr>
              <w:t>东厂界外1m处</w:t>
            </w:r>
          </w:p>
        </w:tc>
        <w:tc>
          <w:tcPr>
            <w:tcW w:w="474"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46</w:t>
            </w:r>
          </w:p>
        </w:tc>
        <w:tc>
          <w:tcPr>
            <w:tcW w:w="491"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60</w:t>
            </w:r>
          </w:p>
        </w:tc>
        <w:tc>
          <w:tcPr>
            <w:tcW w:w="485"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-14</w:t>
            </w:r>
          </w:p>
        </w:tc>
        <w:tc>
          <w:tcPr>
            <w:tcW w:w="482"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41</w:t>
            </w:r>
          </w:p>
        </w:tc>
        <w:tc>
          <w:tcPr>
            <w:tcW w:w="542"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50</w:t>
            </w:r>
          </w:p>
        </w:tc>
        <w:tc>
          <w:tcPr>
            <w:tcW w:w="510"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7" w:type="pct"/>
            <w:vMerge w:val="continue"/>
            <w:tcBorders>
              <w:right w:val="single" w:color="000000" w:sz="4" w:space="0"/>
            </w:tcBorders>
            <w:shd w:val="clear" w:color="auto" w:fill="auto"/>
            <w:tcMar>
              <w:left w:w="28" w:type="dxa"/>
              <w:right w:w="28" w:type="dxa"/>
            </w:tcMar>
            <w:vAlign w:val="center"/>
          </w:tcPr>
          <w:p>
            <w:pPr>
              <w:jc w:val="center"/>
              <w:rPr>
                <w:color w:val="auto"/>
                <w:szCs w:val="21"/>
                <w:highlight w:val="none"/>
              </w:rPr>
            </w:pPr>
          </w:p>
        </w:tc>
        <w:tc>
          <w:tcPr>
            <w:tcW w:w="1517" w:type="pct"/>
            <w:tcBorders>
              <w:left w:val="single" w:color="000000" w:sz="4" w:space="0"/>
            </w:tcBorders>
            <w:shd w:val="clear" w:color="auto" w:fill="auto"/>
            <w:vAlign w:val="center"/>
          </w:tcPr>
          <w:p>
            <w:pPr>
              <w:jc w:val="center"/>
              <w:rPr>
                <w:color w:val="auto"/>
                <w:szCs w:val="21"/>
                <w:highlight w:val="none"/>
              </w:rPr>
            </w:pPr>
            <w:r>
              <w:rPr>
                <w:color w:val="auto"/>
                <w:szCs w:val="21"/>
                <w:highlight w:val="none"/>
              </w:rPr>
              <w:t>北厂界外1m处</w:t>
            </w:r>
          </w:p>
        </w:tc>
        <w:tc>
          <w:tcPr>
            <w:tcW w:w="474"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46</w:t>
            </w:r>
          </w:p>
        </w:tc>
        <w:tc>
          <w:tcPr>
            <w:tcW w:w="491"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60</w:t>
            </w:r>
          </w:p>
        </w:tc>
        <w:tc>
          <w:tcPr>
            <w:tcW w:w="485"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-14</w:t>
            </w:r>
          </w:p>
        </w:tc>
        <w:tc>
          <w:tcPr>
            <w:tcW w:w="482"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43</w:t>
            </w:r>
          </w:p>
        </w:tc>
        <w:tc>
          <w:tcPr>
            <w:tcW w:w="542"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50</w:t>
            </w:r>
          </w:p>
        </w:tc>
        <w:tc>
          <w:tcPr>
            <w:tcW w:w="510"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7" w:type="pct"/>
            <w:vMerge w:val="continue"/>
            <w:tcBorders>
              <w:right w:val="single" w:color="000000" w:sz="4" w:space="0"/>
            </w:tcBorders>
            <w:shd w:val="clear" w:color="auto" w:fill="auto"/>
            <w:tcMar>
              <w:left w:w="28" w:type="dxa"/>
              <w:right w:w="28" w:type="dxa"/>
            </w:tcMar>
            <w:vAlign w:val="center"/>
          </w:tcPr>
          <w:p>
            <w:pPr>
              <w:jc w:val="center"/>
              <w:rPr>
                <w:color w:val="auto"/>
                <w:szCs w:val="21"/>
                <w:highlight w:val="none"/>
              </w:rPr>
            </w:pPr>
          </w:p>
        </w:tc>
        <w:tc>
          <w:tcPr>
            <w:tcW w:w="1517" w:type="pct"/>
            <w:tcBorders>
              <w:left w:val="single" w:color="000000" w:sz="4" w:space="0"/>
            </w:tcBorders>
            <w:shd w:val="clear" w:color="auto" w:fill="auto"/>
            <w:vAlign w:val="center"/>
          </w:tcPr>
          <w:p>
            <w:pPr>
              <w:jc w:val="center"/>
              <w:rPr>
                <w:color w:val="auto"/>
                <w:szCs w:val="21"/>
                <w:highlight w:val="none"/>
              </w:rPr>
            </w:pPr>
            <w:r>
              <w:rPr>
                <w:color w:val="auto"/>
                <w:szCs w:val="21"/>
                <w:highlight w:val="none"/>
              </w:rPr>
              <w:t>西厂界外1m处</w:t>
            </w:r>
          </w:p>
        </w:tc>
        <w:tc>
          <w:tcPr>
            <w:tcW w:w="474"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49</w:t>
            </w:r>
          </w:p>
        </w:tc>
        <w:tc>
          <w:tcPr>
            <w:tcW w:w="491"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60</w:t>
            </w:r>
          </w:p>
        </w:tc>
        <w:tc>
          <w:tcPr>
            <w:tcW w:w="485"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-11</w:t>
            </w:r>
          </w:p>
        </w:tc>
        <w:tc>
          <w:tcPr>
            <w:tcW w:w="482"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46</w:t>
            </w:r>
          </w:p>
        </w:tc>
        <w:tc>
          <w:tcPr>
            <w:tcW w:w="542"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50</w:t>
            </w:r>
          </w:p>
        </w:tc>
        <w:tc>
          <w:tcPr>
            <w:tcW w:w="510"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7" w:type="pct"/>
            <w:vMerge w:val="continue"/>
            <w:tcBorders>
              <w:right w:val="single" w:color="000000" w:sz="4" w:space="0"/>
            </w:tcBorders>
            <w:shd w:val="clear" w:color="auto" w:fill="auto"/>
            <w:tcMar>
              <w:left w:w="28" w:type="dxa"/>
              <w:right w:w="28" w:type="dxa"/>
            </w:tcMar>
            <w:vAlign w:val="center"/>
          </w:tcPr>
          <w:p>
            <w:pPr>
              <w:jc w:val="center"/>
              <w:rPr>
                <w:color w:val="auto"/>
                <w:szCs w:val="21"/>
                <w:highlight w:val="none"/>
              </w:rPr>
            </w:pPr>
          </w:p>
        </w:tc>
        <w:tc>
          <w:tcPr>
            <w:tcW w:w="1517" w:type="pct"/>
            <w:tcBorders>
              <w:left w:val="single" w:color="000000" w:sz="4" w:space="0"/>
            </w:tcBorders>
            <w:shd w:val="clear" w:color="auto" w:fill="auto"/>
            <w:vAlign w:val="center"/>
          </w:tcPr>
          <w:p>
            <w:pPr>
              <w:jc w:val="center"/>
              <w:rPr>
                <w:color w:val="auto"/>
                <w:szCs w:val="21"/>
                <w:highlight w:val="none"/>
              </w:rPr>
            </w:pPr>
            <w:r>
              <w:rPr>
                <w:color w:val="auto"/>
                <w:szCs w:val="21"/>
                <w:highlight w:val="none"/>
              </w:rPr>
              <w:t>南厂界外1m处</w:t>
            </w:r>
          </w:p>
        </w:tc>
        <w:tc>
          <w:tcPr>
            <w:tcW w:w="474"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50</w:t>
            </w:r>
          </w:p>
        </w:tc>
        <w:tc>
          <w:tcPr>
            <w:tcW w:w="491"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60</w:t>
            </w:r>
          </w:p>
        </w:tc>
        <w:tc>
          <w:tcPr>
            <w:tcW w:w="485"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-10</w:t>
            </w:r>
          </w:p>
        </w:tc>
        <w:tc>
          <w:tcPr>
            <w:tcW w:w="482"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46</w:t>
            </w:r>
          </w:p>
        </w:tc>
        <w:tc>
          <w:tcPr>
            <w:tcW w:w="542"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50</w:t>
            </w:r>
          </w:p>
        </w:tc>
        <w:tc>
          <w:tcPr>
            <w:tcW w:w="510"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7" w:type="pct"/>
            <w:vMerge w:val="continue"/>
            <w:tcBorders>
              <w:right w:val="single" w:color="000000" w:sz="4" w:space="0"/>
            </w:tcBorders>
            <w:shd w:val="clear" w:color="auto" w:fill="auto"/>
            <w:tcMar>
              <w:left w:w="28" w:type="dxa"/>
              <w:right w:w="28" w:type="dxa"/>
            </w:tcMar>
            <w:vAlign w:val="center"/>
          </w:tcPr>
          <w:p>
            <w:pPr>
              <w:jc w:val="center"/>
              <w:rPr>
                <w:color w:val="auto"/>
                <w:szCs w:val="21"/>
                <w:highlight w:val="none"/>
              </w:rPr>
            </w:pPr>
          </w:p>
        </w:tc>
        <w:tc>
          <w:tcPr>
            <w:tcW w:w="1517" w:type="pct"/>
            <w:tcBorders>
              <w:left w:val="single" w:color="000000" w:sz="4" w:space="0"/>
            </w:tcBorders>
            <w:shd w:val="clear" w:color="auto" w:fill="auto"/>
            <w:vAlign w:val="center"/>
          </w:tcPr>
          <w:p>
            <w:pPr>
              <w:jc w:val="center"/>
              <w:rPr>
                <w:color w:val="auto"/>
                <w:szCs w:val="21"/>
                <w:highlight w:val="none"/>
              </w:rPr>
            </w:pPr>
            <w:r>
              <w:rPr>
                <w:color w:val="auto"/>
                <w:szCs w:val="21"/>
                <w:highlight w:val="none"/>
              </w:rPr>
              <w:t>大官庄村西侧居民楼1楼</w:t>
            </w:r>
          </w:p>
        </w:tc>
        <w:tc>
          <w:tcPr>
            <w:tcW w:w="474"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46</w:t>
            </w:r>
          </w:p>
        </w:tc>
        <w:tc>
          <w:tcPr>
            <w:tcW w:w="491"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60</w:t>
            </w:r>
          </w:p>
        </w:tc>
        <w:tc>
          <w:tcPr>
            <w:tcW w:w="485"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-14</w:t>
            </w:r>
          </w:p>
        </w:tc>
        <w:tc>
          <w:tcPr>
            <w:tcW w:w="482"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40</w:t>
            </w:r>
          </w:p>
        </w:tc>
        <w:tc>
          <w:tcPr>
            <w:tcW w:w="542"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50</w:t>
            </w:r>
          </w:p>
        </w:tc>
        <w:tc>
          <w:tcPr>
            <w:tcW w:w="510"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7" w:type="pct"/>
            <w:vMerge w:val="continue"/>
            <w:tcBorders>
              <w:right w:val="single" w:color="000000" w:sz="4" w:space="0"/>
            </w:tcBorders>
            <w:shd w:val="clear" w:color="auto" w:fill="auto"/>
            <w:tcMar>
              <w:left w:w="28" w:type="dxa"/>
              <w:right w:w="28" w:type="dxa"/>
            </w:tcMar>
            <w:vAlign w:val="center"/>
          </w:tcPr>
          <w:p>
            <w:pPr>
              <w:jc w:val="center"/>
              <w:rPr>
                <w:color w:val="auto"/>
                <w:szCs w:val="21"/>
                <w:highlight w:val="none"/>
              </w:rPr>
            </w:pPr>
          </w:p>
        </w:tc>
        <w:tc>
          <w:tcPr>
            <w:tcW w:w="1517" w:type="pct"/>
            <w:tcBorders>
              <w:left w:val="single" w:color="000000" w:sz="4" w:space="0"/>
            </w:tcBorders>
            <w:shd w:val="clear" w:color="auto" w:fill="auto"/>
            <w:vAlign w:val="center"/>
          </w:tcPr>
          <w:p>
            <w:pPr>
              <w:jc w:val="center"/>
              <w:rPr>
                <w:color w:val="auto"/>
                <w:szCs w:val="21"/>
                <w:highlight w:val="none"/>
              </w:rPr>
            </w:pPr>
            <w:r>
              <w:rPr>
                <w:color w:val="auto"/>
                <w:szCs w:val="21"/>
                <w:highlight w:val="none"/>
              </w:rPr>
              <w:t>大官庄村西侧居民楼3楼</w:t>
            </w:r>
          </w:p>
        </w:tc>
        <w:tc>
          <w:tcPr>
            <w:tcW w:w="474"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42</w:t>
            </w:r>
          </w:p>
        </w:tc>
        <w:tc>
          <w:tcPr>
            <w:tcW w:w="491"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60</w:t>
            </w:r>
          </w:p>
        </w:tc>
        <w:tc>
          <w:tcPr>
            <w:tcW w:w="485"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-18</w:t>
            </w:r>
          </w:p>
        </w:tc>
        <w:tc>
          <w:tcPr>
            <w:tcW w:w="482"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40</w:t>
            </w:r>
          </w:p>
        </w:tc>
        <w:tc>
          <w:tcPr>
            <w:tcW w:w="542"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50</w:t>
            </w:r>
          </w:p>
        </w:tc>
        <w:tc>
          <w:tcPr>
            <w:tcW w:w="510"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7" w:type="pct"/>
            <w:vMerge w:val="continue"/>
            <w:tcBorders>
              <w:right w:val="single" w:color="000000" w:sz="4" w:space="0"/>
            </w:tcBorders>
            <w:shd w:val="clear" w:color="auto" w:fill="auto"/>
            <w:tcMar>
              <w:left w:w="28" w:type="dxa"/>
              <w:right w:w="28" w:type="dxa"/>
            </w:tcMar>
            <w:vAlign w:val="center"/>
          </w:tcPr>
          <w:p>
            <w:pPr>
              <w:jc w:val="center"/>
              <w:rPr>
                <w:color w:val="auto"/>
                <w:szCs w:val="21"/>
                <w:highlight w:val="none"/>
              </w:rPr>
            </w:pPr>
          </w:p>
        </w:tc>
        <w:tc>
          <w:tcPr>
            <w:tcW w:w="1517" w:type="pct"/>
            <w:tcBorders>
              <w:left w:val="single" w:color="000000" w:sz="4" w:space="0"/>
            </w:tcBorders>
            <w:shd w:val="clear" w:color="auto" w:fill="auto"/>
            <w:vAlign w:val="center"/>
          </w:tcPr>
          <w:p>
            <w:pPr>
              <w:jc w:val="center"/>
              <w:rPr>
                <w:color w:val="auto"/>
                <w:szCs w:val="21"/>
                <w:highlight w:val="none"/>
              </w:rPr>
            </w:pPr>
            <w:r>
              <w:rPr>
                <w:color w:val="auto"/>
                <w:szCs w:val="21"/>
                <w:highlight w:val="none"/>
              </w:rPr>
              <w:t>大官庄村西侧居民楼5楼</w:t>
            </w:r>
          </w:p>
        </w:tc>
        <w:tc>
          <w:tcPr>
            <w:tcW w:w="474"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41</w:t>
            </w:r>
          </w:p>
        </w:tc>
        <w:tc>
          <w:tcPr>
            <w:tcW w:w="491"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60</w:t>
            </w:r>
          </w:p>
        </w:tc>
        <w:tc>
          <w:tcPr>
            <w:tcW w:w="485"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-19</w:t>
            </w:r>
          </w:p>
        </w:tc>
        <w:tc>
          <w:tcPr>
            <w:tcW w:w="482"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42</w:t>
            </w:r>
          </w:p>
        </w:tc>
        <w:tc>
          <w:tcPr>
            <w:tcW w:w="542"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50</w:t>
            </w:r>
          </w:p>
        </w:tc>
        <w:tc>
          <w:tcPr>
            <w:tcW w:w="510" w:type="pct"/>
            <w:shd w:val="clear" w:color="auto" w:fill="auto"/>
            <w:tcMar>
              <w:left w:w="28" w:type="dxa"/>
              <w:right w:w="28" w:type="dxa"/>
            </w:tcMar>
            <w:vAlign w:val="center"/>
          </w:tcPr>
          <w:p>
            <w:pPr>
              <w:widowControl/>
              <w:jc w:val="center"/>
              <w:textAlignment w:val="center"/>
              <w:rPr>
                <w:color w:val="auto"/>
                <w:szCs w:val="21"/>
                <w:highlight w:val="none"/>
              </w:rPr>
            </w:pPr>
            <w:r>
              <w:rPr>
                <w:color w:val="auto"/>
                <w:kern w:val="0"/>
                <w:szCs w:val="21"/>
                <w:highlight w:val="none"/>
                <w:lang w:bidi="ar"/>
              </w:rPr>
              <w:t>-8</w:t>
            </w:r>
          </w:p>
        </w:tc>
      </w:tr>
    </w:tbl>
    <w:p>
      <w:pPr>
        <w:pStyle w:val="102"/>
        <w:ind w:firstLine="480"/>
        <w:rPr>
          <w:color w:val="auto"/>
          <w:highlight w:val="none"/>
        </w:rPr>
      </w:pPr>
      <w:r>
        <w:rPr>
          <w:color w:val="auto"/>
          <w:highlight w:val="none"/>
        </w:rPr>
        <w:t>由监测结果可知，</w:t>
      </w:r>
      <w:r>
        <w:rPr>
          <w:rFonts w:hint="eastAsia"/>
          <w:color w:val="auto"/>
          <w:highlight w:val="none"/>
        </w:rPr>
        <w:t>检测数据</w:t>
      </w:r>
      <w:r>
        <w:rPr>
          <w:color w:val="auto"/>
          <w:highlight w:val="none"/>
        </w:rPr>
        <w:t>昼、夜间噪声值均低于《声环境质量标准》(GB3096-2008)</w:t>
      </w:r>
      <w:r>
        <w:rPr>
          <w:rFonts w:hint="eastAsia"/>
          <w:color w:val="auto"/>
          <w:highlight w:val="none"/>
        </w:rPr>
        <w:t>2</w:t>
      </w:r>
      <w:r>
        <w:rPr>
          <w:color w:val="auto"/>
          <w:highlight w:val="none"/>
        </w:rPr>
        <w:t>类标准的要求</w:t>
      </w:r>
      <w:r>
        <w:rPr>
          <w:rFonts w:hint="eastAsia"/>
          <w:color w:val="auto"/>
          <w:highlight w:val="none"/>
        </w:rPr>
        <w:t>，</w:t>
      </w:r>
      <w:r>
        <w:rPr>
          <w:color w:val="auto"/>
          <w:highlight w:val="none"/>
        </w:rPr>
        <w:t>由此可知，该地区噪声环境背景值情况总体良好。</w:t>
      </w:r>
    </w:p>
    <w:p>
      <w:pPr>
        <w:pStyle w:val="100"/>
        <w:spacing w:before="156"/>
        <w:rPr>
          <w:rFonts w:ascii="Times New Roman" w:hAnsi="Times New Roman"/>
          <w:color w:val="auto"/>
          <w:highlight w:val="none"/>
        </w:rPr>
      </w:pPr>
      <w:bookmarkStart w:id="134" w:name="_Toc66281284"/>
      <w:bookmarkStart w:id="135" w:name="_Toc19485"/>
      <w:r>
        <w:rPr>
          <w:rFonts w:ascii="Times New Roman" w:hAnsi="Times New Roman"/>
          <w:color w:val="auto"/>
          <w:highlight w:val="none"/>
        </w:rPr>
        <w:t>3.7土壤环境质量现状</w:t>
      </w:r>
      <w:bookmarkEnd w:id="134"/>
      <w:bookmarkEnd w:id="135"/>
    </w:p>
    <w:p>
      <w:pPr>
        <w:pStyle w:val="101"/>
        <w:spacing w:before="78"/>
        <w:rPr>
          <w:rFonts w:ascii="Times New Roman" w:hAnsi="Times New Roman"/>
          <w:color w:val="auto"/>
          <w:highlight w:val="none"/>
        </w:rPr>
      </w:pPr>
      <w:r>
        <w:rPr>
          <w:rFonts w:ascii="Times New Roman" w:hAnsi="Times New Roman"/>
          <w:color w:val="auto"/>
          <w:highlight w:val="none"/>
        </w:rPr>
        <w:t>3.7.1土壤环境质量现状监测</w:t>
      </w:r>
    </w:p>
    <w:p>
      <w:pPr>
        <w:spacing w:line="360" w:lineRule="auto"/>
        <w:ind w:firstLine="482" w:firstLineChars="200"/>
        <w:rPr>
          <w:b/>
          <w:bCs/>
          <w:color w:val="auto"/>
          <w:sz w:val="24"/>
          <w:highlight w:val="none"/>
        </w:rPr>
      </w:pPr>
      <w:r>
        <w:rPr>
          <w:rFonts w:hint="eastAsia"/>
          <w:b/>
          <w:bCs/>
          <w:color w:val="auto"/>
          <w:sz w:val="24"/>
          <w:highlight w:val="none"/>
        </w:rPr>
        <w:t>1、</w:t>
      </w:r>
      <w:r>
        <w:rPr>
          <w:b/>
          <w:bCs/>
          <w:color w:val="auto"/>
          <w:sz w:val="24"/>
          <w:highlight w:val="none"/>
        </w:rPr>
        <w:t>监测点布设</w:t>
      </w:r>
    </w:p>
    <w:p>
      <w:pPr>
        <w:spacing w:line="360" w:lineRule="auto"/>
        <w:ind w:firstLine="480" w:firstLineChars="200"/>
        <w:rPr>
          <w:color w:val="auto"/>
          <w:sz w:val="24"/>
          <w:highlight w:val="none"/>
        </w:rPr>
      </w:pPr>
      <w:r>
        <w:rPr>
          <w:color w:val="auto"/>
          <w:sz w:val="24"/>
          <w:highlight w:val="none"/>
        </w:rPr>
        <w:t>为了解</w:t>
      </w:r>
      <w:r>
        <w:rPr>
          <w:rFonts w:hint="eastAsia"/>
          <w:color w:val="auto"/>
          <w:sz w:val="24"/>
          <w:highlight w:val="none"/>
          <w:lang w:val="en-US" w:eastAsia="zh-CN"/>
        </w:rPr>
        <w:t>项目厂区</w:t>
      </w:r>
      <w:r>
        <w:rPr>
          <w:color w:val="auto"/>
          <w:sz w:val="24"/>
          <w:highlight w:val="none"/>
        </w:rPr>
        <w:t>土壤环境</w:t>
      </w:r>
      <w:r>
        <w:rPr>
          <w:rFonts w:hint="eastAsia"/>
          <w:color w:val="auto"/>
          <w:sz w:val="24"/>
          <w:highlight w:val="none"/>
          <w:lang w:val="en-US" w:eastAsia="zh-CN"/>
        </w:rPr>
        <w:t>质量现状，在厂区内占地范围内布设</w:t>
      </w:r>
      <w:r>
        <w:rPr>
          <w:color w:val="auto"/>
          <w:sz w:val="24"/>
          <w:highlight w:val="none"/>
        </w:rPr>
        <w:t>3个表</w:t>
      </w:r>
      <w:r>
        <w:rPr>
          <w:rFonts w:hint="eastAsia"/>
          <w:color w:val="auto"/>
          <w:sz w:val="24"/>
          <w:highlight w:val="none"/>
          <w:lang w:val="en-US" w:eastAsia="zh-CN"/>
        </w:rPr>
        <w:t>层</w:t>
      </w:r>
      <w:r>
        <w:rPr>
          <w:color w:val="auto"/>
          <w:sz w:val="24"/>
          <w:highlight w:val="none"/>
        </w:rPr>
        <w:t>样点，</w:t>
      </w:r>
      <w:r>
        <w:rPr>
          <w:color w:val="auto"/>
          <w:kern w:val="0"/>
          <w:sz w:val="24"/>
          <w:highlight w:val="none"/>
        </w:rPr>
        <w:t>表层样在0.2m取样</w:t>
      </w:r>
      <w:r>
        <w:rPr>
          <w:color w:val="auto"/>
          <w:sz w:val="24"/>
          <w:highlight w:val="none"/>
        </w:rPr>
        <w:t>，布点位置见表3.7-1，图3.</w:t>
      </w:r>
      <w:r>
        <w:rPr>
          <w:rFonts w:hint="eastAsia"/>
          <w:color w:val="auto"/>
          <w:sz w:val="24"/>
          <w:highlight w:val="none"/>
          <w:lang w:val="en-US" w:eastAsia="zh-CN"/>
        </w:rPr>
        <w:t>3</w:t>
      </w:r>
      <w:r>
        <w:rPr>
          <w:color w:val="auto"/>
          <w:sz w:val="24"/>
          <w:highlight w:val="none"/>
        </w:rPr>
        <w:t>-1。</w:t>
      </w:r>
    </w:p>
    <w:p>
      <w:pPr>
        <w:spacing w:line="360" w:lineRule="auto"/>
        <w:jc w:val="center"/>
        <w:rPr>
          <w:rFonts w:eastAsia="黑体"/>
          <w:color w:val="auto"/>
          <w:sz w:val="24"/>
          <w:highlight w:val="none"/>
        </w:rPr>
      </w:pPr>
      <w:r>
        <w:rPr>
          <w:rFonts w:eastAsia="黑体"/>
          <w:color w:val="auto"/>
          <w:sz w:val="24"/>
          <w:highlight w:val="none"/>
        </w:rPr>
        <w:t>表3.7-1  土壤监测布点情况表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1630"/>
        <w:gridCol w:w="1374"/>
        <w:gridCol w:w="1780"/>
        <w:gridCol w:w="1776"/>
        <w:gridCol w:w="17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8" w:type="pct"/>
            <w:vAlign w:val="center"/>
          </w:tcPr>
          <w:p>
            <w:pPr>
              <w:jc w:val="center"/>
              <w:rPr>
                <w:color w:val="auto"/>
                <w:highlight w:val="none"/>
              </w:rPr>
            </w:pPr>
            <w:r>
              <w:rPr>
                <w:color w:val="auto"/>
                <w:highlight w:val="none"/>
              </w:rPr>
              <w:t>编号</w:t>
            </w:r>
          </w:p>
        </w:tc>
        <w:tc>
          <w:tcPr>
            <w:tcW w:w="905" w:type="pct"/>
            <w:vAlign w:val="center"/>
          </w:tcPr>
          <w:p>
            <w:pPr>
              <w:jc w:val="center"/>
              <w:rPr>
                <w:color w:val="auto"/>
                <w:highlight w:val="none"/>
              </w:rPr>
            </w:pPr>
            <w:r>
              <w:rPr>
                <w:color w:val="auto"/>
                <w:highlight w:val="none"/>
              </w:rPr>
              <w:t>位置</w:t>
            </w:r>
          </w:p>
        </w:tc>
        <w:tc>
          <w:tcPr>
            <w:tcW w:w="763" w:type="pct"/>
            <w:vAlign w:val="center"/>
          </w:tcPr>
          <w:p>
            <w:pPr>
              <w:jc w:val="center"/>
              <w:rPr>
                <w:color w:val="auto"/>
                <w:highlight w:val="none"/>
              </w:rPr>
            </w:pPr>
            <w:r>
              <w:rPr>
                <w:color w:val="auto"/>
                <w:highlight w:val="none"/>
              </w:rPr>
              <w:t>设置意义</w:t>
            </w:r>
          </w:p>
        </w:tc>
        <w:tc>
          <w:tcPr>
            <w:tcW w:w="988" w:type="pct"/>
            <w:vAlign w:val="center"/>
          </w:tcPr>
          <w:p>
            <w:pPr>
              <w:jc w:val="center"/>
              <w:rPr>
                <w:color w:val="auto"/>
                <w:highlight w:val="none"/>
              </w:rPr>
            </w:pPr>
            <w:r>
              <w:rPr>
                <w:color w:val="auto"/>
                <w:highlight w:val="none"/>
              </w:rPr>
              <w:t>采样</w:t>
            </w:r>
          </w:p>
        </w:tc>
        <w:tc>
          <w:tcPr>
            <w:tcW w:w="986" w:type="pct"/>
            <w:vAlign w:val="center"/>
          </w:tcPr>
          <w:p>
            <w:pPr>
              <w:jc w:val="center"/>
              <w:rPr>
                <w:color w:val="auto"/>
                <w:highlight w:val="none"/>
              </w:rPr>
            </w:pPr>
            <w:r>
              <w:rPr>
                <w:color w:val="auto"/>
                <w:highlight w:val="none"/>
              </w:rPr>
              <w:t>用地性质</w:t>
            </w:r>
          </w:p>
        </w:tc>
        <w:tc>
          <w:tcPr>
            <w:tcW w:w="988" w:type="pct"/>
            <w:vAlign w:val="center"/>
          </w:tcPr>
          <w:p>
            <w:pPr>
              <w:jc w:val="center"/>
              <w:rPr>
                <w:color w:val="auto"/>
                <w:highlight w:val="none"/>
              </w:rPr>
            </w:pPr>
            <w:r>
              <w:rPr>
                <w:color w:val="auto"/>
                <w:highlight w:val="none"/>
              </w:rPr>
              <w:t>监测因子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8" w:type="pct"/>
            <w:vAlign w:val="center"/>
          </w:tcPr>
          <w:p>
            <w:pPr>
              <w:jc w:val="center"/>
              <w:rPr>
                <w:color w:val="auto"/>
                <w:highlight w:val="none"/>
              </w:rPr>
            </w:pPr>
            <w:r>
              <w:rPr>
                <w:rFonts w:hint="eastAsia"/>
                <w:color w:val="auto"/>
                <w:highlight w:val="none"/>
              </w:rPr>
              <w:t>1#</w:t>
            </w:r>
          </w:p>
        </w:tc>
        <w:tc>
          <w:tcPr>
            <w:tcW w:w="905" w:type="pct"/>
            <w:vAlign w:val="center"/>
          </w:tcPr>
          <w:p>
            <w:pPr>
              <w:jc w:val="center"/>
              <w:rPr>
                <w:color w:val="auto"/>
                <w:highlight w:val="none"/>
              </w:rPr>
            </w:pPr>
            <w:r>
              <w:rPr>
                <w:color w:val="auto"/>
                <w:highlight w:val="none"/>
              </w:rPr>
              <w:t>厂区内</w:t>
            </w:r>
          </w:p>
        </w:tc>
        <w:tc>
          <w:tcPr>
            <w:tcW w:w="763" w:type="pct"/>
            <w:vMerge w:val="restart"/>
            <w:vAlign w:val="center"/>
          </w:tcPr>
          <w:p>
            <w:pPr>
              <w:jc w:val="center"/>
              <w:rPr>
                <w:color w:val="auto"/>
                <w:highlight w:val="none"/>
              </w:rPr>
            </w:pPr>
            <w:r>
              <w:rPr>
                <w:color w:val="auto"/>
                <w:highlight w:val="none"/>
              </w:rPr>
              <w:t>了解场地内土壤现状</w:t>
            </w:r>
          </w:p>
        </w:tc>
        <w:tc>
          <w:tcPr>
            <w:tcW w:w="988" w:type="pct"/>
            <w:vAlign w:val="center"/>
          </w:tcPr>
          <w:p>
            <w:pPr>
              <w:jc w:val="center"/>
              <w:rPr>
                <w:color w:val="auto"/>
                <w:highlight w:val="none"/>
              </w:rPr>
            </w:pPr>
            <w:r>
              <w:rPr>
                <w:color w:val="auto"/>
                <w:highlight w:val="none"/>
              </w:rPr>
              <w:t>表层取样点</w:t>
            </w:r>
          </w:p>
        </w:tc>
        <w:tc>
          <w:tcPr>
            <w:tcW w:w="986" w:type="pct"/>
            <w:vAlign w:val="center"/>
          </w:tcPr>
          <w:p>
            <w:pPr>
              <w:jc w:val="center"/>
              <w:rPr>
                <w:color w:val="auto"/>
                <w:highlight w:val="none"/>
              </w:rPr>
            </w:pPr>
            <w:r>
              <w:rPr>
                <w:color w:val="auto"/>
                <w:highlight w:val="none"/>
              </w:rPr>
              <w:t>二类建设用地</w:t>
            </w:r>
          </w:p>
        </w:tc>
        <w:tc>
          <w:tcPr>
            <w:tcW w:w="988" w:type="pct"/>
            <w:vMerge w:val="restart"/>
            <w:vAlign w:val="center"/>
          </w:tcPr>
          <w:p>
            <w:pPr>
              <w:pStyle w:val="105"/>
              <w:rPr>
                <w:color w:val="auto"/>
                <w:highlight w:val="none"/>
              </w:rPr>
            </w:pPr>
            <w:r>
              <w:rPr>
                <w:color w:val="auto"/>
                <w:highlight w:val="none"/>
              </w:rPr>
              <w:t>GB36600-2018表1中45项基本项目因子</w:t>
            </w:r>
            <w:r>
              <w:rPr>
                <w:rFonts w:hint="eastAsia"/>
                <w:color w:val="auto"/>
                <w:highlight w:val="none"/>
              </w:rPr>
              <w:t>及pH值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8" w:type="pct"/>
            <w:vAlign w:val="center"/>
          </w:tcPr>
          <w:p>
            <w:pPr>
              <w:jc w:val="center"/>
              <w:rPr>
                <w:color w:val="auto"/>
                <w:highlight w:val="none"/>
              </w:rPr>
            </w:pPr>
            <w:r>
              <w:rPr>
                <w:rFonts w:hint="eastAsia"/>
                <w:color w:val="auto"/>
                <w:highlight w:val="none"/>
              </w:rPr>
              <w:t>2#</w:t>
            </w:r>
          </w:p>
        </w:tc>
        <w:tc>
          <w:tcPr>
            <w:tcW w:w="905" w:type="pct"/>
            <w:vAlign w:val="center"/>
          </w:tcPr>
          <w:p>
            <w:pPr>
              <w:jc w:val="center"/>
              <w:rPr>
                <w:color w:val="auto"/>
                <w:highlight w:val="none"/>
              </w:rPr>
            </w:pPr>
            <w:r>
              <w:rPr>
                <w:color w:val="auto"/>
                <w:highlight w:val="none"/>
              </w:rPr>
              <w:t>厂区内</w:t>
            </w:r>
          </w:p>
        </w:tc>
        <w:tc>
          <w:tcPr>
            <w:tcW w:w="763" w:type="pct"/>
            <w:vMerge w:val="continue"/>
            <w:vAlign w:val="center"/>
          </w:tcPr>
          <w:p>
            <w:pPr>
              <w:jc w:val="center"/>
              <w:rPr>
                <w:color w:val="auto"/>
                <w:highlight w:val="none"/>
              </w:rPr>
            </w:pPr>
          </w:p>
        </w:tc>
        <w:tc>
          <w:tcPr>
            <w:tcW w:w="988" w:type="pct"/>
            <w:vAlign w:val="center"/>
          </w:tcPr>
          <w:p>
            <w:pPr>
              <w:jc w:val="center"/>
              <w:rPr>
                <w:color w:val="auto"/>
                <w:highlight w:val="none"/>
              </w:rPr>
            </w:pPr>
            <w:r>
              <w:rPr>
                <w:color w:val="auto"/>
                <w:highlight w:val="none"/>
              </w:rPr>
              <w:t>表层取样点</w:t>
            </w:r>
          </w:p>
        </w:tc>
        <w:tc>
          <w:tcPr>
            <w:tcW w:w="986" w:type="pct"/>
            <w:vAlign w:val="center"/>
          </w:tcPr>
          <w:p>
            <w:pPr>
              <w:jc w:val="center"/>
              <w:rPr>
                <w:color w:val="auto"/>
                <w:highlight w:val="none"/>
              </w:rPr>
            </w:pPr>
            <w:r>
              <w:rPr>
                <w:color w:val="auto"/>
                <w:highlight w:val="none"/>
              </w:rPr>
              <w:t>二类建设用地</w:t>
            </w:r>
          </w:p>
        </w:tc>
        <w:tc>
          <w:tcPr>
            <w:tcW w:w="988" w:type="pct"/>
            <w:vMerge w:val="continue"/>
            <w:vAlign w:val="center"/>
          </w:tcPr>
          <w:p>
            <w:pPr>
              <w:jc w:val="center"/>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8" w:type="pct"/>
            <w:vAlign w:val="center"/>
          </w:tcPr>
          <w:p>
            <w:pPr>
              <w:jc w:val="center"/>
              <w:rPr>
                <w:color w:val="auto"/>
                <w:highlight w:val="none"/>
              </w:rPr>
            </w:pPr>
            <w:r>
              <w:rPr>
                <w:rFonts w:hint="eastAsia"/>
                <w:color w:val="auto"/>
                <w:highlight w:val="none"/>
              </w:rPr>
              <w:t>3#</w:t>
            </w:r>
          </w:p>
        </w:tc>
        <w:tc>
          <w:tcPr>
            <w:tcW w:w="905" w:type="pct"/>
            <w:vAlign w:val="center"/>
          </w:tcPr>
          <w:p>
            <w:pPr>
              <w:jc w:val="center"/>
              <w:rPr>
                <w:color w:val="auto"/>
                <w:highlight w:val="none"/>
              </w:rPr>
            </w:pPr>
            <w:r>
              <w:rPr>
                <w:color w:val="auto"/>
                <w:highlight w:val="none"/>
              </w:rPr>
              <w:t>厂区内</w:t>
            </w:r>
          </w:p>
        </w:tc>
        <w:tc>
          <w:tcPr>
            <w:tcW w:w="763" w:type="pct"/>
            <w:vMerge w:val="continue"/>
            <w:vAlign w:val="center"/>
          </w:tcPr>
          <w:p>
            <w:pPr>
              <w:jc w:val="center"/>
              <w:rPr>
                <w:color w:val="auto"/>
                <w:highlight w:val="none"/>
              </w:rPr>
            </w:pPr>
          </w:p>
        </w:tc>
        <w:tc>
          <w:tcPr>
            <w:tcW w:w="988" w:type="pct"/>
            <w:vAlign w:val="center"/>
          </w:tcPr>
          <w:p>
            <w:pPr>
              <w:jc w:val="center"/>
              <w:rPr>
                <w:color w:val="auto"/>
                <w:highlight w:val="none"/>
              </w:rPr>
            </w:pPr>
            <w:r>
              <w:rPr>
                <w:color w:val="auto"/>
                <w:highlight w:val="none"/>
              </w:rPr>
              <w:t>表层取样点</w:t>
            </w:r>
          </w:p>
        </w:tc>
        <w:tc>
          <w:tcPr>
            <w:tcW w:w="986" w:type="pct"/>
            <w:vAlign w:val="center"/>
          </w:tcPr>
          <w:p>
            <w:pPr>
              <w:jc w:val="center"/>
              <w:rPr>
                <w:color w:val="auto"/>
                <w:highlight w:val="none"/>
              </w:rPr>
            </w:pPr>
            <w:r>
              <w:rPr>
                <w:color w:val="auto"/>
                <w:highlight w:val="none"/>
              </w:rPr>
              <w:t>二类建设用地</w:t>
            </w:r>
          </w:p>
        </w:tc>
        <w:tc>
          <w:tcPr>
            <w:tcW w:w="988" w:type="pct"/>
            <w:vMerge w:val="continue"/>
            <w:vAlign w:val="center"/>
          </w:tcPr>
          <w:p>
            <w:pPr>
              <w:jc w:val="center"/>
              <w:rPr>
                <w:color w:val="auto"/>
                <w:highlight w:val="none"/>
              </w:rPr>
            </w:pPr>
          </w:p>
        </w:tc>
      </w:tr>
    </w:tbl>
    <w:p>
      <w:pPr>
        <w:spacing w:before="156" w:beforeLines="50" w:line="360" w:lineRule="auto"/>
        <w:ind w:firstLine="482"/>
        <w:rPr>
          <w:color w:val="auto"/>
          <w:sz w:val="24"/>
          <w:highlight w:val="none"/>
        </w:rPr>
      </w:pPr>
      <w:r>
        <w:rPr>
          <w:b/>
          <w:bCs/>
          <w:color w:val="auto"/>
          <w:sz w:val="24"/>
          <w:highlight w:val="none"/>
        </w:rPr>
        <w:t>2、监测项目</w:t>
      </w:r>
    </w:p>
    <w:p>
      <w:pPr>
        <w:spacing w:line="360" w:lineRule="auto"/>
        <w:ind w:firstLine="480" w:firstLineChars="200"/>
        <w:rPr>
          <w:color w:val="auto"/>
          <w:sz w:val="24"/>
          <w:highlight w:val="none"/>
        </w:rPr>
      </w:pPr>
      <w:r>
        <w:rPr>
          <w:color w:val="auto"/>
          <w:sz w:val="24"/>
          <w:highlight w:val="none"/>
        </w:rPr>
        <w:t>根据评价区内的土地利用性质和土壤监测要求，本次评价</w:t>
      </w:r>
      <w:r>
        <w:rPr>
          <w:rFonts w:hint="eastAsia"/>
          <w:color w:val="auto"/>
          <w:sz w:val="24"/>
          <w:highlight w:val="none"/>
        </w:rPr>
        <w:t>1#、2#、3#</w:t>
      </w:r>
      <w:r>
        <w:rPr>
          <w:color w:val="auto"/>
          <w:sz w:val="24"/>
          <w:highlight w:val="none"/>
        </w:rPr>
        <w:t>点位主要选取《土壤环境质量 建设用地土壤污染风险管控标准（试行）》(GB36600-2018)表1中45项基本项目因子</w:t>
      </w:r>
      <w:r>
        <w:rPr>
          <w:rFonts w:hint="eastAsia"/>
          <w:color w:val="auto"/>
          <w:sz w:val="24"/>
          <w:highlight w:val="none"/>
        </w:rPr>
        <w:t>及pH值</w:t>
      </w:r>
      <w:r>
        <w:rPr>
          <w:color w:val="auto"/>
          <w:sz w:val="24"/>
          <w:highlight w:val="none"/>
        </w:rPr>
        <w:t>进行监测，具体包括砷、镉、六价铬、铜、铅、汞、镍、四氯化碳、氯仿、1，1-二氯乙烷、1，2-二氯乙烷、1，1-二氯乙烯、顺-1，2-二氯乙烯、反-1，2-二氯乙烯、二氯甲烷、1，2-二氯甲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b]蒽、茚并[1，2，3-cd]芘、萘。</w:t>
      </w:r>
    </w:p>
    <w:p>
      <w:pPr>
        <w:spacing w:line="360" w:lineRule="auto"/>
        <w:ind w:firstLine="482"/>
        <w:rPr>
          <w:b/>
          <w:bCs/>
          <w:color w:val="auto"/>
          <w:sz w:val="24"/>
          <w:highlight w:val="none"/>
        </w:rPr>
      </w:pPr>
      <w:r>
        <w:rPr>
          <w:rFonts w:hint="eastAsia"/>
          <w:b/>
          <w:bCs/>
          <w:color w:val="auto"/>
          <w:sz w:val="24"/>
          <w:highlight w:val="none"/>
        </w:rPr>
        <w:t>3</w:t>
      </w:r>
      <w:r>
        <w:rPr>
          <w:b/>
          <w:bCs/>
          <w:color w:val="auto"/>
          <w:sz w:val="24"/>
          <w:highlight w:val="none"/>
        </w:rPr>
        <w:t>、监测时间及频率</w:t>
      </w:r>
    </w:p>
    <w:p>
      <w:pPr>
        <w:pStyle w:val="102"/>
        <w:ind w:firstLine="480"/>
        <w:rPr>
          <w:color w:val="auto"/>
          <w:szCs w:val="24"/>
          <w:highlight w:val="none"/>
        </w:rPr>
      </w:pPr>
      <w:r>
        <w:rPr>
          <w:color w:val="auto"/>
          <w:szCs w:val="24"/>
          <w:highlight w:val="none"/>
          <w:lang w:val="zh-CN"/>
        </w:rPr>
        <w:t>由</w:t>
      </w:r>
      <w:r>
        <w:rPr>
          <w:rFonts w:hint="eastAsia" w:ascii="宋体" w:hAnsi="宋体" w:cs="宋体"/>
          <w:color w:val="auto"/>
          <w:szCs w:val="24"/>
          <w:highlight w:val="none"/>
        </w:rPr>
        <w:t>山东宜维检测有限公司</w:t>
      </w:r>
      <w:r>
        <w:rPr>
          <w:color w:val="auto"/>
          <w:szCs w:val="24"/>
          <w:highlight w:val="none"/>
        </w:rPr>
        <w:t>于2022年</w:t>
      </w:r>
      <w:r>
        <w:rPr>
          <w:rFonts w:hint="eastAsia"/>
          <w:color w:val="auto"/>
          <w:szCs w:val="24"/>
          <w:highlight w:val="none"/>
        </w:rPr>
        <w:t>7</w:t>
      </w:r>
      <w:r>
        <w:rPr>
          <w:color w:val="auto"/>
          <w:szCs w:val="24"/>
          <w:highlight w:val="none"/>
        </w:rPr>
        <w:t>月</w:t>
      </w:r>
      <w:r>
        <w:rPr>
          <w:rFonts w:hint="eastAsia"/>
          <w:color w:val="auto"/>
          <w:szCs w:val="24"/>
          <w:highlight w:val="none"/>
        </w:rPr>
        <w:t>8</w:t>
      </w:r>
      <w:r>
        <w:rPr>
          <w:color w:val="auto"/>
          <w:szCs w:val="24"/>
          <w:highlight w:val="none"/>
        </w:rPr>
        <w:t>日采样一次。</w:t>
      </w:r>
    </w:p>
    <w:p>
      <w:pPr>
        <w:spacing w:line="360" w:lineRule="auto"/>
        <w:ind w:firstLine="482"/>
        <w:rPr>
          <w:b/>
          <w:bCs/>
          <w:color w:val="auto"/>
          <w:sz w:val="24"/>
          <w:highlight w:val="none"/>
        </w:rPr>
      </w:pPr>
      <w:r>
        <w:rPr>
          <w:b/>
          <w:bCs/>
          <w:color w:val="auto"/>
          <w:sz w:val="24"/>
          <w:highlight w:val="none"/>
        </w:rPr>
        <w:t>4、监测方法及仪器</w:t>
      </w:r>
    </w:p>
    <w:p>
      <w:pPr>
        <w:pStyle w:val="102"/>
        <w:ind w:firstLine="480"/>
        <w:rPr>
          <w:color w:val="auto"/>
          <w:highlight w:val="none"/>
        </w:rPr>
      </w:pPr>
      <w:r>
        <w:rPr>
          <w:color w:val="auto"/>
          <w:highlight w:val="none"/>
        </w:rPr>
        <w:t>具体见表3.7-2。</w:t>
      </w:r>
    </w:p>
    <w:p>
      <w:pPr>
        <w:widowControl/>
        <w:spacing w:line="360" w:lineRule="auto"/>
        <w:jc w:val="center"/>
        <w:rPr>
          <w:rFonts w:eastAsia="黑体"/>
          <w:color w:val="auto"/>
          <w:sz w:val="24"/>
          <w:highlight w:val="none"/>
        </w:rPr>
      </w:pPr>
      <w:r>
        <w:rPr>
          <w:rFonts w:eastAsia="黑体"/>
          <w:color w:val="auto"/>
          <w:sz w:val="24"/>
          <w:highlight w:val="none"/>
        </w:rPr>
        <w:t>表3.7-2 土壤监测分析方法一览表</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38"/>
        <w:gridCol w:w="1848"/>
        <w:gridCol w:w="2966"/>
        <w:gridCol w:w="1832"/>
        <w:gridCol w:w="145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序号</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检测项目</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监测依据及名称</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方法依据</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方法检出限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1</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总砷</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微波消解/原子荧光光度法</w:t>
            </w:r>
          </w:p>
        </w:tc>
        <w:tc>
          <w:tcPr>
            <w:tcW w:w="1036" w:type="pct"/>
            <w:shd w:val="clear" w:color="auto" w:fill="auto"/>
            <w:noWrap/>
            <w:tcMar>
              <w:left w:w="28" w:type="dxa"/>
              <w:right w:w="28" w:type="dxa"/>
            </w:tcMar>
            <w:vAlign w:val="center"/>
          </w:tcPr>
          <w:p>
            <w:pPr>
              <w:topLinePunct/>
              <w:spacing w:line="300" w:lineRule="exact"/>
              <w:jc w:val="center"/>
              <w:rPr>
                <w:color w:val="auto"/>
                <w:szCs w:val="21"/>
                <w:highlight w:val="none"/>
              </w:rPr>
            </w:pPr>
            <w:r>
              <w:rPr>
                <w:color w:val="auto"/>
                <w:szCs w:val="21"/>
                <w:highlight w:val="none"/>
              </w:rPr>
              <w:t>HJ 680-2013</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0.01mg/kg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2</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镉</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石墨炉原子吸收分光光度法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GB/T 17141-1997</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0.01mg/kg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3</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铜</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火焰原子吸收分光光度法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 491-2019</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1mg/kg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4</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铅</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火焰原子吸收分光光度法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 491-2019</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10mg/kg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5</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总汞</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微波消解/原子荧光光度法</w:t>
            </w:r>
          </w:p>
        </w:tc>
        <w:tc>
          <w:tcPr>
            <w:tcW w:w="1036" w:type="pct"/>
            <w:shd w:val="clear" w:color="auto" w:fill="auto"/>
            <w:noWrap/>
            <w:tcMar>
              <w:left w:w="28" w:type="dxa"/>
              <w:right w:w="28" w:type="dxa"/>
            </w:tcMar>
            <w:vAlign w:val="center"/>
          </w:tcPr>
          <w:p>
            <w:pPr>
              <w:topLinePunct/>
              <w:spacing w:line="300" w:lineRule="exact"/>
              <w:jc w:val="center"/>
              <w:rPr>
                <w:color w:val="auto"/>
                <w:szCs w:val="21"/>
                <w:highlight w:val="none"/>
              </w:rPr>
            </w:pPr>
            <w:r>
              <w:rPr>
                <w:color w:val="auto"/>
                <w:szCs w:val="21"/>
                <w:highlight w:val="none"/>
              </w:rPr>
              <w:t>HJ 680-2013</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0.002mg/kg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6</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镍</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火焰原子吸收分光光度法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 491-2019</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3mg/kg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7</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六价铬</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碱溶液提取-火焰原子吸收分光光度法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HJ1082-2019</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0.5mg/kg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8</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苯</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吹扫捕集/气相色谱-质谱法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HJ605-2011</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1.9μg/kg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9</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甲苯</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吹扫捕集/气相色谱-质谱法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HJ605-2011</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1.3μg/kg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10</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乙苯</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吹扫捕集/气相色谱-质谱法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HJ605-2011</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1.2μg/kg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11</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苯乙烯</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吹扫捕集/气相色谱-质谱法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HJ605-2011</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1.1μg/kg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12</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间二甲苯+对二甲苯</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吹扫捕集/气相色谱-质谱法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HJ605-2011</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1.2μg/kg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13</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邻二甲苯</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吹扫捕集/气相色谱-质谱法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HJ605-2011</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1.2μg/kg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14</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1,2-二氯丙烷</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吹扫捕集/气相色谱-质谱法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HJ605-2011</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1.1μg/kg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15</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氯甲烷</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吹扫捕集/气相色谱-质谱法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HJ605-2011</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1.0μg/kg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16</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1,1-二氯乙烯</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吹扫捕集/气相色谱-质谱法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HJ605-2011</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1.0μg/kg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17</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二氯甲烷</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吹扫捕集/气相色谱-质谱法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HJ605-2011</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1.5μg/kg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18</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反式-1,2-二氯乙烯</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吹扫捕集/气相色谱-质谱法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HJ605-2011</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1.4μg/kg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19</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1,1-二氯乙烷</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吹扫捕集/气相色谱-质谱法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HJ605-2011</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1.2μg/kg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20</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1,2-二氯乙烷</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吹扫捕集/气相色谱-质谱法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HJ605-2011</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1.3μg/kg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21</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1,1,1-三氯乙烷</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吹扫捕集/气相色谱-质谱法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HJ605-2011</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1.3μg/kg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22</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四氯化碳</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吹扫捕集/气相色谱-质谱法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HJ605-2011</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1.3μg/kg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23</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三氯乙烯</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吹扫捕集/气相色谱-质谱法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HJ605-2011</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1.2μg/kg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24</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1,1,2-三氯乙烷</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吹扫捕集/气相色谱-质谱法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HJ605-2011</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1.2μg/kg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25</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四氯乙烯</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吹扫捕集/气相色谱-质谱法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HJ605-2011</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1.4μg/kg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26</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1,1,1,2-四氯</w:t>
            </w:r>
          </w:p>
          <w:p>
            <w:pPr>
              <w:pStyle w:val="105"/>
              <w:rPr>
                <w:color w:val="auto"/>
                <w:szCs w:val="21"/>
                <w:highlight w:val="none"/>
              </w:rPr>
            </w:pPr>
            <w:r>
              <w:rPr>
                <w:color w:val="auto"/>
                <w:szCs w:val="21"/>
                <w:highlight w:val="none"/>
              </w:rPr>
              <w:t>乙烷</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吹扫捕集/气相色谱-质谱法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HJ605-2011</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1.2μg/kg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27</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1,1,2,2-四氯</w:t>
            </w:r>
          </w:p>
          <w:p>
            <w:pPr>
              <w:pStyle w:val="105"/>
              <w:rPr>
                <w:color w:val="auto"/>
                <w:szCs w:val="21"/>
                <w:highlight w:val="none"/>
              </w:rPr>
            </w:pPr>
            <w:r>
              <w:rPr>
                <w:color w:val="auto"/>
                <w:szCs w:val="21"/>
                <w:highlight w:val="none"/>
              </w:rPr>
              <w:t>乙烷</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吹扫捕集/气相色谱-质谱法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HJ605-2011</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1.2μg/kg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28</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1,2,3-三氯丙烷</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吹扫捕集/气相色谱-质谱法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HJ605-2011</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1.2μg/kg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29</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顺式-1,2-二氯乙烯</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吹扫捕集/气相色谱-质谱法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HJ605-2011</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1.3μg/kg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30</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氯乙烯</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吹扫捕集/气相色谱-质谱法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HJ605-2011</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1.0μg/kg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31</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氯苯</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吹扫捕集/气相色谱-质谱法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HJ605-2011</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1.2μg/kg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32</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1,4-二氯苯</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吹扫捕集/气相色谱-质谱法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HJ605-2011</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1.5μg/kg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33</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1,2-二氯苯</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吹扫捕集/气相色谱-质谱法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HJ605-2011</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1.5μg/kg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34</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氯仿</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吹扫捕集/气相色谱-质谱法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HJ605-2011</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1.1μg/kg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35</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萘</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HJ834-2017</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0.09mg/kg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36</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2-氯酚</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HJ834-2017</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0.06mg/kg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37</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苯并(a)蒽</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HJ834-2017</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0.1mg/kg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38</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䓛</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HJ834-2017</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0.1mg/kg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39</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苯并(b)荧蒽</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HJ834-2017</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0.2mg/kg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40</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苯并(k)荧蒽</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HJ834-2017</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0.1mg/kg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41</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苯并(a)芘</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HJ834-2017</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0.1mg/kg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42</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茚并(1,2,3-c,d)芘</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HJ834-2017</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0.1mg/kg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43</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二苯并(a,h)蒽</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HJ834-2017</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0.1mg/kg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44</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硝基苯</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HJ834-2017</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0.09mg/kg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45</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苯胺</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气相色谱-质谱法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HJ834-2017</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0.08mg/kg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 w:type="pct"/>
            <w:tcMar>
              <w:left w:w="28" w:type="dxa"/>
              <w:right w:w="28" w:type="dxa"/>
            </w:tcMar>
            <w:vAlign w:val="center"/>
          </w:tcPr>
          <w:p>
            <w:pPr>
              <w:pStyle w:val="105"/>
              <w:rPr>
                <w:color w:val="auto"/>
                <w:szCs w:val="21"/>
                <w:highlight w:val="none"/>
              </w:rPr>
            </w:pPr>
            <w:r>
              <w:rPr>
                <w:color w:val="auto"/>
                <w:szCs w:val="21"/>
                <w:highlight w:val="none"/>
              </w:rPr>
              <w:t>46</w:t>
            </w:r>
          </w:p>
        </w:tc>
        <w:tc>
          <w:tcPr>
            <w:tcW w:w="1045" w:type="pct"/>
            <w:tcBorders>
              <w:righ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pH</w:t>
            </w:r>
          </w:p>
        </w:tc>
        <w:tc>
          <w:tcPr>
            <w:tcW w:w="1677" w:type="pct"/>
            <w:tcBorders>
              <w:left w:val="single" w:color="auto" w:sz="4" w:space="0"/>
            </w:tcBorders>
            <w:tcMar>
              <w:left w:w="28" w:type="dxa"/>
              <w:right w:w="28" w:type="dxa"/>
            </w:tcMar>
            <w:vAlign w:val="center"/>
          </w:tcPr>
          <w:p>
            <w:pPr>
              <w:pStyle w:val="105"/>
              <w:rPr>
                <w:color w:val="auto"/>
                <w:szCs w:val="21"/>
                <w:highlight w:val="none"/>
              </w:rPr>
            </w:pPr>
            <w:r>
              <w:rPr>
                <w:color w:val="auto"/>
                <w:szCs w:val="21"/>
                <w:highlight w:val="none"/>
              </w:rPr>
              <w:t>电位法</w:t>
            </w:r>
          </w:p>
        </w:tc>
        <w:tc>
          <w:tcPr>
            <w:tcW w:w="1036"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HJ962-2018</w:t>
            </w:r>
          </w:p>
        </w:tc>
        <w:tc>
          <w:tcPr>
            <w:tcW w:w="822" w:type="pct"/>
            <w:shd w:val="clear" w:color="auto" w:fill="auto"/>
            <w:noWrap/>
            <w:tcMar>
              <w:left w:w="28" w:type="dxa"/>
              <w:right w:w="28" w:type="dxa"/>
            </w:tcMar>
            <w:vAlign w:val="center"/>
          </w:tcPr>
          <w:p>
            <w:pPr>
              <w:pStyle w:val="105"/>
              <w:rPr>
                <w:color w:val="auto"/>
                <w:szCs w:val="21"/>
                <w:highlight w:val="none"/>
              </w:rPr>
            </w:pPr>
            <w:r>
              <w:rPr>
                <w:color w:val="auto"/>
                <w:szCs w:val="21"/>
                <w:highlight w:val="none"/>
              </w:rPr>
              <w:t>/</w:t>
            </w:r>
          </w:p>
        </w:tc>
      </w:tr>
    </w:tbl>
    <w:p>
      <w:pPr>
        <w:spacing w:line="360" w:lineRule="auto"/>
        <w:ind w:firstLine="482"/>
        <w:rPr>
          <w:b/>
          <w:bCs/>
          <w:color w:val="auto"/>
          <w:sz w:val="24"/>
          <w:highlight w:val="none"/>
        </w:rPr>
      </w:pPr>
      <w:r>
        <w:rPr>
          <w:b/>
          <w:bCs/>
          <w:color w:val="auto"/>
          <w:sz w:val="24"/>
          <w:highlight w:val="none"/>
        </w:rPr>
        <w:t>5、监测结果</w:t>
      </w:r>
    </w:p>
    <w:p>
      <w:pPr>
        <w:spacing w:line="360" w:lineRule="auto"/>
        <w:ind w:firstLine="470"/>
        <w:rPr>
          <w:color w:val="auto"/>
          <w:sz w:val="24"/>
          <w:highlight w:val="none"/>
        </w:rPr>
      </w:pPr>
      <w:r>
        <w:rPr>
          <w:color w:val="auto"/>
          <w:sz w:val="24"/>
          <w:highlight w:val="none"/>
        </w:rPr>
        <w:t>各污染因子监测结果见表3.7-3。</w:t>
      </w:r>
    </w:p>
    <w:p>
      <w:pPr>
        <w:spacing w:line="360" w:lineRule="auto"/>
        <w:jc w:val="center"/>
        <w:rPr>
          <w:rFonts w:eastAsia="黑体"/>
          <w:color w:val="auto"/>
          <w:sz w:val="24"/>
          <w:highlight w:val="none"/>
        </w:rPr>
      </w:pPr>
      <w:r>
        <w:rPr>
          <w:rFonts w:eastAsia="黑体"/>
          <w:color w:val="auto"/>
          <w:sz w:val="24"/>
          <w:highlight w:val="none"/>
        </w:rPr>
        <w:t>表3.7-3  厂区</w:t>
      </w:r>
      <w:r>
        <w:rPr>
          <w:rFonts w:hint="eastAsia" w:eastAsia="黑体"/>
          <w:color w:val="auto"/>
          <w:sz w:val="24"/>
          <w:highlight w:val="none"/>
        </w:rPr>
        <w:t>及周边建设用地</w:t>
      </w:r>
      <w:r>
        <w:rPr>
          <w:rFonts w:eastAsia="黑体"/>
          <w:color w:val="auto"/>
          <w:sz w:val="24"/>
          <w:highlight w:val="none"/>
        </w:rPr>
        <w:t>土壤监测结果一览表</w:t>
      </w:r>
    </w:p>
    <w:tbl>
      <w:tblPr>
        <w:tblStyle w:val="59"/>
        <w:tblW w:w="4999"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28" w:type="dxa"/>
          <w:bottom w:w="0" w:type="dxa"/>
          <w:right w:w="28" w:type="dxa"/>
        </w:tblCellMar>
      </w:tblPr>
      <w:tblGrid>
        <w:gridCol w:w="1940"/>
        <w:gridCol w:w="826"/>
        <w:gridCol w:w="661"/>
        <w:gridCol w:w="700"/>
        <w:gridCol w:w="709"/>
        <w:gridCol w:w="752"/>
        <w:gridCol w:w="676"/>
        <w:gridCol w:w="690"/>
        <w:gridCol w:w="932"/>
        <w:gridCol w:w="955"/>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trPr>
        <w:tc>
          <w:tcPr>
            <w:tcW w:w="1097" w:type="pct"/>
            <w:vMerge w:val="restart"/>
            <w:vAlign w:val="center"/>
          </w:tcPr>
          <w:p>
            <w:pPr>
              <w:widowControl/>
              <w:spacing w:line="240" w:lineRule="exact"/>
              <w:jc w:val="center"/>
              <w:rPr>
                <w:color w:val="auto"/>
                <w:highlight w:val="none"/>
              </w:rPr>
            </w:pPr>
            <w:r>
              <w:rPr>
                <w:color w:val="auto"/>
                <w:highlight w:val="none"/>
              </w:rPr>
              <w:t>编号</w:t>
            </w:r>
          </w:p>
        </w:tc>
        <w:tc>
          <w:tcPr>
            <w:tcW w:w="3902" w:type="pct"/>
            <w:gridSpan w:val="9"/>
            <w:vAlign w:val="center"/>
          </w:tcPr>
          <w:p>
            <w:pPr>
              <w:spacing w:line="240" w:lineRule="exact"/>
              <w:jc w:val="center"/>
              <w:rPr>
                <w:color w:val="auto"/>
                <w:highlight w:val="none"/>
              </w:rPr>
            </w:pPr>
            <w:r>
              <w:rPr>
                <w:color w:val="auto"/>
                <w:highlight w:val="none"/>
              </w:rPr>
              <w:t>监测结果（mg/kg）</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trPr>
        <w:tc>
          <w:tcPr>
            <w:tcW w:w="1097" w:type="pct"/>
            <w:vMerge w:val="continue"/>
            <w:vAlign w:val="center"/>
          </w:tcPr>
          <w:p>
            <w:pPr>
              <w:spacing w:line="240" w:lineRule="exact"/>
              <w:jc w:val="center"/>
              <w:rPr>
                <w:color w:val="auto"/>
                <w:highlight w:val="none"/>
              </w:rPr>
            </w:pPr>
          </w:p>
        </w:tc>
        <w:tc>
          <w:tcPr>
            <w:tcW w:w="467" w:type="pct"/>
            <w:vAlign w:val="center"/>
          </w:tcPr>
          <w:p>
            <w:pPr>
              <w:jc w:val="center"/>
              <w:rPr>
                <w:color w:val="auto"/>
                <w:sz w:val="24"/>
                <w:highlight w:val="none"/>
              </w:rPr>
            </w:pPr>
            <w:r>
              <w:rPr>
                <w:color w:val="auto"/>
                <w:highlight w:val="none"/>
              </w:rPr>
              <w:t>铜</w:t>
            </w:r>
          </w:p>
        </w:tc>
        <w:tc>
          <w:tcPr>
            <w:tcW w:w="374" w:type="pct"/>
            <w:vAlign w:val="center"/>
          </w:tcPr>
          <w:p>
            <w:pPr>
              <w:jc w:val="center"/>
              <w:rPr>
                <w:color w:val="auto"/>
                <w:sz w:val="24"/>
                <w:highlight w:val="none"/>
              </w:rPr>
            </w:pPr>
            <w:r>
              <w:rPr>
                <w:color w:val="auto"/>
                <w:highlight w:val="none"/>
              </w:rPr>
              <w:t>镍</w:t>
            </w:r>
          </w:p>
        </w:tc>
        <w:tc>
          <w:tcPr>
            <w:tcW w:w="396" w:type="pct"/>
            <w:vAlign w:val="center"/>
          </w:tcPr>
          <w:p>
            <w:pPr>
              <w:jc w:val="center"/>
              <w:rPr>
                <w:color w:val="auto"/>
                <w:sz w:val="24"/>
                <w:highlight w:val="none"/>
              </w:rPr>
            </w:pPr>
            <w:r>
              <w:rPr>
                <w:color w:val="auto"/>
                <w:highlight w:val="none"/>
              </w:rPr>
              <w:t>镉</w:t>
            </w:r>
          </w:p>
        </w:tc>
        <w:tc>
          <w:tcPr>
            <w:tcW w:w="401" w:type="pct"/>
            <w:vAlign w:val="center"/>
          </w:tcPr>
          <w:p>
            <w:pPr>
              <w:jc w:val="center"/>
              <w:rPr>
                <w:color w:val="auto"/>
                <w:sz w:val="24"/>
                <w:highlight w:val="none"/>
              </w:rPr>
            </w:pPr>
            <w:r>
              <w:rPr>
                <w:color w:val="auto"/>
                <w:highlight w:val="none"/>
              </w:rPr>
              <w:t>铅</w:t>
            </w:r>
          </w:p>
        </w:tc>
        <w:tc>
          <w:tcPr>
            <w:tcW w:w="425" w:type="pct"/>
            <w:vAlign w:val="center"/>
          </w:tcPr>
          <w:p>
            <w:pPr>
              <w:jc w:val="center"/>
              <w:rPr>
                <w:color w:val="auto"/>
                <w:sz w:val="24"/>
                <w:highlight w:val="none"/>
              </w:rPr>
            </w:pPr>
            <w:r>
              <w:rPr>
                <w:color w:val="auto"/>
                <w:highlight w:val="none"/>
              </w:rPr>
              <w:t>总汞</w:t>
            </w:r>
          </w:p>
        </w:tc>
        <w:tc>
          <w:tcPr>
            <w:tcW w:w="382" w:type="pct"/>
            <w:vAlign w:val="center"/>
          </w:tcPr>
          <w:p>
            <w:pPr>
              <w:widowControl/>
              <w:spacing w:line="240" w:lineRule="exact"/>
              <w:jc w:val="center"/>
              <w:rPr>
                <w:color w:val="auto"/>
                <w:highlight w:val="none"/>
              </w:rPr>
            </w:pPr>
            <w:r>
              <w:rPr>
                <w:color w:val="auto"/>
                <w:highlight w:val="none"/>
              </w:rPr>
              <w:t>总砷</w:t>
            </w:r>
          </w:p>
        </w:tc>
        <w:tc>
          <w:tcPr>
            <w:tcW w:w="390" w:type="pct"/>
            <w:vAlign w:val="center"/>
          </w:tcPr>
          <w:p>
            <w:pPr>
              <w:widowControl/>
              <w:spacing w:line="240" w:lineRule="exact"/>
              <w:jc w:val="center"/>
              <w:rPr>
                <w:color w:val="auto"/>
                <w:highlight w:val="none"/>
              </w:rPr>
            </w:pPr>
            <w:r>
              <w:rPr>
                <w:color w:val="auto"/>
                <w:highlight w:val="none"/>
              </w:rPr>
              <w:t>pH</w:t>
            </w:r>
          </w:p>
        </w:tc>
        <w:tc>
          <w:tcPr>
            <w:tcW w:w="527" w:type="pct"/>
            <w:vAlign w:val="center"/>
          </w:tcPr>
          <w:p>
            <w:pPr>
              <w:widowControl/>
              <w:spacing w:line="240" w:lineRule="exact"/>
              <w:jc w:val="center"/>
              <w:rPr>
                <w:color w:val="auto"/>
                <w:highlight w:val="none"/>
              </w:rPr>
            </w:pPr>
            <w:r>
              <w:rPr>
                <w:rFonts w:hint="eastAsia" w:ascii="宋体" w:hAnsi="宋体" w:cs="宋体"/>
                <w:color w:val="auto"/>
                <w:szCs w:val="21"/>
                <w:highlight w:val="none"/>
              </w:rPr>
              <w:t>氯仿</w:t>
            </w:r>
          </w:p>
        </w:tc>
        <w:tc>
          <w:tcPr>
            <w:tcW w:w="536" w:type="pct"/>
            <w:vAlign w:val="center"/>
          </w:tcPr>
          <w:p>
            <w:pPr>
              <w:widowControl/>
              <w:spacing w:line="240" w:lineRule="exact"/>
              <w:jc w:val="center"/>
              <w:rPr>
                <w:color w:val="auto"/>
                <w:highlight w:val="none"/>
              </w:rPr>
            </w:pPr>
            <w:r>
              <w:rPr>
                <w:rFonts w:hint="eastAsia" w:ascii="宋体" w:hAnsi="宋体" w:cs="宋体"/>
                <w:color w:val="auto"/>
                <w:szCs w:val="21"/>
                <w:highlight w:val="none"/>
              </w:rPr>
              <w:t>二氯甲烷</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trPr>
        <w:tc>
          <w:tcPr>
            <w:tcW w:w="1097" w:type="pct"/>
            <w:vAlign w:val="center"/>
          </w:tcPr>
          <w:p>
            <w:pPr>
              <w:jc w:val="center"/>
              <w:rPr>
                <w:color w:val="auto"/>
                <w:highlight w:val="none"/>
              </w:rPr>
            </w:pPr>
            <w:r>
              <w:rPr>
                <w:rFonts w:hint="eastAsia"/>
                <w:color w:val="auto"/>
                <w:highlight w:val="none"/>
              </w:rPr>
              <w:t>1#</w:t>
            </w:r>
            <w:r>
              <w:rPr>
                <w:color w:val="auto"/>
                <w:highlight w:val="none"/>
              </w:rPr>
              <w:t>(0.</w:t>
            </w:r>
            <w:r>
              <w:rPr>
                <w:rFonts w:hint="eastAsia"/>
                <w:color w:val="auto"/>
                <w:highlight w:val="none"/>
              </w:rPr>
              <w:t>2</w:t>
            </w:r>
            <w:r>
              <w:rPr>
                <w:color w:val="auto"/>
                <w:highlight w:val="none"/>
              </w:rPr>
              <w:t>m)</w:t>
            </w:r>
          </w:p>
        </w:tc>
        <w:tc>
          <w:tcPr>
            <w:tcW w:w="467" w:type="pct"/>
            <w:vAlign w:val="center"/>
          </w:tcPr>
          <w:p>
            <w:pPr>
              <w:jc w:val="center"/>
              <w:rPr>
                <w:color w:val="auto"/>
                <w:szCs w:val="21"/>
                <w:highlight w:val="none"/>
              </w:rPr>
            </w:pPr>
            <w:r>
              <w:rPr>
                <w:rFonts w:hint="eastAsia"/>
                <w:color w:val="auto"/>
                <w:szCs w:val="21"/>
                <w:highlight w:val="none"/>
              </w:rPr>
              <w:t>15</w:t>
            </w:r>
          </w:p>
        </w:tc>
        <w:tc>
          <w:tcPr>
            <w:tcW w:w="374" w:type="pct"/>
            <w:vAlign w:val="center"/>
          </w:tcPr>
          <w:p>
            <w:pPr>
              <w:jc w:val="center"/>
              <w:rPr>
                <w:color w:val="auto"/>
                <w:szCs w:val="21"/>
                <w:highlight w:val="none"/>
              </w:rPr>
            </w:pPr>
            <w:r>
              <w:rPr>
                <w:rFonts w:hint="eastAsia"/>
                <w:color w:val="auto"/>
                <w:szCs w:val="21"/>
                <w:highlight w:val="none"/>
              </w:rPr>
              <w:t>26</w:t>
            </w:r>
          </w:p>
        </w:tc>
        <w:tc>
          <w:tcPr>
            <w:tcW w:w="396" w:type="pct"/>
            <w:vAlign w:val="center"/>
          </w:tcPr>
          <w:p>
            <w:pPr>
              <w:jc w:val="center"/>
              <w:rPr>
                <w:color w:val="auto"/>
                <w:szCs w:val="21"/>
                <w:highlight w:val="none"/>
              </w:rPr>
            </w:pPr>
            <w:r>
              <w:rPr>
                <w:rFonts w:hint="eastAsia"/>
                <w:color w:val="auto"/>
                <w:szCs w:val="21"/>
                <w:highlight w:val="none"/>
              </w:rPr>
              <w:t>0</w:t>
            </w:r>
            <w:r>
              <w:rPr>
                <w:color w:val="auto"/>
                <w:szCs w:val="21"/>
                <w:highlight w:val="none"/>
              </w:rPr>
              <w:t>.</w:t>
            </w:r>
            <w:r>
              <w:rPr>
                <w:rFonts w:hint="eastAsia"/>
                <w:color w:val="auto"/>
                <w:szCs w:val="21"/>
                <w:highlight w:val="none"/>
              </w:rPr>
              <w:t>03</w:t>
            </w:r>
          </w:p>
        </w:tc>
        <w:tc>
          <w:tcPr>
            <w:tcW w:w="401" w:type="pct"/>
            <w:vAlign w:val="center"/>
          </w:tcPr>
          <w:p>
            <w:pPr>
              <w:jc w:val="center"/>
              <w:rPr>
                <w:color w:val="auto"/>
                <w:szCs w:val="21"/>
                <w:highlight w:val="none"/>
              </w:rPr>
            </w:pPr>
            <w:r>
              <w:rPr>
                <w:rFonts w:hint="eastAsia"/>
                <w:color w:val="auto"/>
                <w:szCs w:val="21"/>
                <w:highlight w:val="none"/>
              </w:rPr>
              <w:t>20</w:t>
            </w:r>
          </w:p>
        </w:tc>
        <w:tc>
          <w:tcPr>
            <w:tcW w:w="425" w:type="pct"/>
            <w:vAlign w:val="center"/>
          </w:tcPr>
          <w:p>
            <w:pPr>
              <w:jc w:val="center"/>
              <w:rPr>
                <w:color w:val="auto"/>
                <w:szCs w:val="21"/>
                <w:highlight w:val="none"/>
              </w:rPr>
            </w:pPr>
            <w:r>
              <w:rPr>
                <w:rFonts w:hint="eastAsia"/>
                <w:color w:val="auto"/>
                <w:szCs w:val="21"/>
                <w:highlight w:val="none"/>
              </w:rPr>
              <w:t>0</w:t>
            </w:r>
            <w:r>
              <w:rPr>
                <w:color w:val="auto"/>
                <w:szCs w:val="21"/>
                <w:highlight w:val="none"/>
              </w:rPr>
              <w:t>.</w:t>
            </w:r>
            <w:r>
              <w:rPr>
                <w:rFonts w:hint="eastAsia"/>
                <w:color w:val="auto"/>
                <w:szCs w:val="21"/>
                <w:highlight w:val="none"/>
              </w:rPr>
              <w:t>311</w:t>
            </w:r>
          </w:p>
        </w:tc>
        <w:tc>
          <w:tcPr>
            <w:tcW w:w="382" w:type="pct"/>
            <w:vAlign w:val="center"/>
          </w:tcPr>
          <w:p>
            <w:pPr>
              <w:jc w:val="center"/>
              <w:rPr>
                <w:color w:val="auto"/>
                <w:szCs w:val="21"/>
                <w:highlight w:val="none"/>
              </w:rPr>
            </w:pPr>
            <w:r>
              <w:rPr>
                <w:rFonts w:hint="eastAsia"/>
                <w:color w:val="auto"/>
                <w:szCs w:val="21"/>
                <w:highlight w:val="none"/>
              </w:rPr>
              <w:t>7.95</w:t>
            </w:r>
          </w:p>
        </w:tc>
        <w:tc>
          <w:tcPr>
            <w:tcW w:w="390" w:type="pct"/>
            <w:vAlign w:val="center"/>
          </w:tcPr>
          <w:p>
            <w:pPr>
              <w:jc w:val="center"/>
              <w:rPr>
                <w:color w:val="auto"/>
                <w:szCs w:val="21"/>
                <w:highlight w:val="none"/>
              </w:rPr>
            </w:pPr>
            <w:r>
              <w:rPr>
                <w:rFonts w:hint="eastAsia"/>
                <w:color w:val="auto"/>
                <w:szCs w:val="21"/>
                <w:highlight w:val="none"/>
              </w:rPr>
              <w:t>8.27</w:t>
            </w:r>
          </w:p>
        </w:tc>
        <w:tc>
          <w:tcPr>
            <w:tcW w:w="527" w:type="pct"/>
            <w:vAlign w:val="center"/>
          </w:tcPr>
          <w:p>
            <w:pPr>
              <w:jc w:val="center"/>
              <w:rPr>
                <w:color w:val="auto"/>
                <w:szCs w:val="21"/>
                <w:highlight w:val="none"/>
              </w:rPr>
            </w:pPr>
            <w:r>
              <w:rPr>
                <w:rFonts w:hint="eastAsia"/>
                <w:color w:val="auto"/>
                <w:szCs w:val="21"/>
                <w:highlight w:val="none"/>
              </w:rPr>
              <w:t>/</w:t>
            </w:r>
          </w:p>
        </w:tc>
        <w:tc>
          <w:tcPr>
            <w:tcW w:w="536" w:type="pct"/>
            <w:vAlign w:val="center"/>
          </w:tcPr>
          <w:p>
            <w:pPr>
              <w:jc w:val="center"/>
              <w:rPr>
                <w:color w:val="auto"/>
                <w:szCs w:val="21"/>
                <w:highlight w:val="none"/>
              </w:rPr>
            </w:pPr>
            <w:r>
              <w:rPr>
                <w:rFonts w:hint="eastAsia"/>
                <w:color w:val="auto"/>
                <w:szCs w:val="21"/>
                <w:highlight w:val="none"/>
              </w:rPr>
              <w:t>0.0027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trPr>
        <w:tc>
          <w:tcPr>
            <w:tcW w:w="1097" w:type="pct"/>
            <w:vAlign w:val="center"/>
          </w:tcPr>
          <w:p>
            <w:pPr>
              <w:jc w:val="center"/>
              <w:rPr>
                <w:color w:val="auto"/>
                <w:highlight w:val="none"/>
              </w:rPr>
            </w:pPr>
            <w:r>
              <w:rPr>
                <w:rFonts w:hint="eastAsia"/>
                <w:color w:val="auto"/>
                <w:highlight w:val="none"/>
              </w:rPr>
              <w:t>2#</w:t>
            </w:r>
            <w:r>
              <w:rPr>
                <w:color w:val="auto"/>
                <w:highlight w:val="none"/>
              </w:rPr>
              <w:t>(0.</w:t>
            </w:r>
            <w:r>
              <w:rPr>
                <w:rFonts w:hint="eastAsia"/>
                <w:color w:val="auto"/>
                <w:highlight w:val="none"/>
              </w:rPr>
              <w:t>2</w:t>
            </w:r>
            <w:r>
              <w:rPr>
                <w:color w:val="auto"/>
                <w:highlight w:val="none"/>
              </w:rPr>
              <w:t>m)</w:t>
            </w:r>
          </w:p>
        </w:tc>
        <w:tc>
          <w:tcPr>
            <w:tcW w:w="467" w:type="pct"/>
            <w:vAlign w:val="center"/>
          </w:tcPr>
          <w:p>
            <w:pPr>
              <w:jc w:val="center"/>
              <w:rPr>
                <w:color w:val="auto"/>
                <w:szCs w:val="21"/>
                <w:highlight w:val="none"/>
              </w:rPr>
            </w:pPr>
            <w:r>
              <w:rPr>
                <w:rFonts w:hint="eastAsia"/>
                <w:color w:val="auto"/>
                <w:szCs w:val="21"/>
                <w:highlight w:val="none"/>
              </w:rPr>
              <w:t>27</w:t>
            </w:r>
          </w:p>
        </w:tc>
        <w:tc>
          <w:tcPr>
            <w:tcW w:w="374" w:type="pct"/>
            <w:vAlign w:val="center"/>
          </w:tcPr>
          <w:p>
            <w:pPr>
              <w:jc w:val="center"/>
              <w:rPr>
                <w:color w:val="auto"/>
                <w:szCs w:val="21"/>
                <w:highlight w:val="none"/>
              </w:rPr>
            </w:pPr>
            <w:r>
              <w:rPr>
                <w:rFonts w:hint="eastAsia"/>
                <w:color w:val="auto"/>
                <w:szCs w:val="21"/>
                <w:highlight w:val="none"/>
              </w:rPr>
              <w:t>27</w:t>
            </w:r>
          </w:p>
        </w:tc>
        <w:tc>
          <w:tcPr>
            <w:tcW w:w="396" w:type="pct"/>
            <w:vAlign w:val="center"/>
          </w:tcPr>
          <w:p>
            <w:pPr>
              <w:jc w:val="center"/>
              <w:rPr>
                <w:color w:val="auto"/>
                <w:szCs w:val="21"/>
                <w:highlight w:val="none"/>
              </w:rPr>
            </w:pPr>
            <w:r>
              <w:rPr>
                <w:rFonts w:hint="eastAsia"/>
                <w:color w:val="auto"/>
                <w:szCs w:val="21"/>
                <w:highlight w:val="none"/>
              </w:rPr>
              <w:t>0.08</w:t>
            </w:r>
          </w:p>
        </w:tc>
        <w:tc>
          <w:tcPr>
            <w:tcW w:w="401" w:type="pct"/>
            <w:vAlign w:val="center"/>
          </w:tcPr>
          <w:p>
            <w:pPr>
              <w:jc w:val="center"/>
              <w:rPr>
                <w:color w:val="auto"/>
                <w:szCs w:val="21"/>
                <w:highlight w:val="none"/>
              </w:rPr>
            </w:pPr>
            <w:r>
              <w:rPr>
                <w:rFonts w:hint="eastAsia"/>
                <w:color w:val="auto"/>
                <w:szCs w:val="21"/>
                <w:highlight w:val="none"/>
              </w:rPr>
              <w:t>38</w:t>
            </w:r>
          </w:p>
        </w:tc>
        <w:tc>
          <w:tcPr>
            <w:tcW w:w="425" w:type="pct"/>
            <w:vAlign w:val="center"/>
          </w:tcPr>
          <w:p>
            <w:pPr>
              <w:jc w:val="center"/>
              <w:rPr>
                <w:color w:val="auto"/>
                <w:szCs w:val="21"/>
                <w:highlight w:val="none"/>
              </w:rPr>
            </w:pPr>
            <w:r>
              <w:rPr>
                <w:rFonts w:hint="eastAsia"/>
                <w:color w:val="auto"/>
                <w:szCs w:val="21"/>
                <w:highlight w:val="none"/>
              </w:rPr>
              <w:t>0</w:t>
            </w:r>
            <w:r>
              <w:rPr>
                <w:color w:val="auto"/>
                <w:szCs w:val="21"/>
                <w:highlight w:val="none"/>
              </w:rPr>
              <w:t>.</w:t>
            </w:r>
            <w:r>
              <w:rPr>
                <w:rFonts w:hint="eastAsia"/>
                <w:color w:val="auto"/>
                <w:szCs w:val="21"/>
                <w:highlight w:val="none"/>
              </w:rPr>
              <w:t>150</w:t>
            </w:r>
          </w:p>
        </w:tc>
        <w:tc>
          <w:tcPr>
            <w:tcW w:w="382" w:type="pct"/>
            <w:vAlign w:val="center"/>
          </w:tcPr>
          <w:p>
            <w:pPr>
              <w:jc w:val="center"/>
              <w:rPr>
                <w:color w:val="auto"/>
                <w:szCs w:val="21"/>
                <w:highlight w:val="none"/>
              </w:rPr>
            </w:pPr>
            <w:r>
              <w:rPr>
                <w:rFonts w:hint="eastAsia"/>
                <w:color w:val="auto"/>
                <w:szCs w:val="21"/>
                <w:highlight w:val="none"/>
              </w:rPr>
              <w:t>10.8</w:t>
            </w:r>
          </w:p>
        </w:tc>
        <w:tc>
          <w:tcPr>
            <w:tcW w:w="390" w:type="pct"/>
            <w:vAlign w:val="center"/>
          </w:tcPr>
          <w:p>
            <w:pPr>
              <w:jc w:val="center"/>
              <w:rPr>
                <w:color w:val="auto"/>
                <w:szCs w:val="21"/>
                <w:highlight w:val="none"/>
              </w:rPr>
            </w:pPr>
            <w:r>
              <w:rPr>
                <w:rFonts w:hint="eastAsia"/>
                <w:color w:val="auto"/>
                <w:szCs w:val="21"/>
                <w:highlight w:val="none"/>
              </w:rPr>
              <w:t>7.94</w:t>
            </w:r>
          </w:p>
        </w:tc>
        <w:tc>
          <w:tcPr>
            <w:tcW w:w="527" w:type="pct"/>
            <w:vAlign w:val="center"/>
          </w:tcPr>
          <w:p>
            <w:pPr>
              <w:jc w:val="center"/>
              <w:rPr>
                <w:color w:val="auto"/>
                <w:szCs w:val="21"/>
                <w:highlight w:val="none"/>
              </w:rPr>
            </w:pPr>
            <w:r>
              <w:rPr>
                <w:rFonts w:hint="eastAsia"/>
                <w:color w:val="auto"/>
                <w:szCs w:val="21"/>
                <w:highlight w:val="none"/>
              </w:rPr>
              <w:t>0.0013</w:t>
            </w:r>
          </w:p>
        </w:tc>
        <w:tc>
          <w:tcPr>
            <w:tcW w:w="536" w:type="pct"/>
            <w:vAlign w:val="center"/>
          </w:tcPr>
          <w:p>
            <w:pPr>
              <w:jc w:val="center"/>
              <w:rPr>
                <w:color w:val="auto"/>
                <w:szCs w:val="21"/>
                <w:highlight w:val="none"/>
              </w:rPr>
            </w:pPr>
            <w:r>
              <w:rPr>
                <w:rFonts w:hint="eastAsia"/>
                <w:color w:val="auto"/>
                <w:szCs w:val="21"/>
                <w:highlight w:val="none"/>
              </w:rPr>
              <w:t>0.0033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trPr>
        <w:tc>
          <w:tcPr>
            <w:tcW w:w="1097" w:type="pct"/>
            <w:vAlign w:val="center"/>
          </w:tcPr>
          <w:p>
            <w:pPr>
              <w:jc w:val="center"/>
              <w:rPr>
                <w:color w:val="auto"/>
                <w:highlight w:val="none"/>
              </w:rPr>
            </w:pPr>
            <w:r>
              <w:rPr>
                <w:rFonts w:hint="eastAsia"/>
                <w:color w:val="auto"/>
                <w:highlight w:val="none"/>
              </w:rPr>
              <w:t>3#</w:t>
            </w:r>
            <w:r>
              <w:rPr>
                <w:color w:val="auto"/>
                <w:highlight w:val="none"/>
              </w:rPr>
              <w:t>(0.</w:t>
            </w:r>
            <w:r>
              <w:rPr>
                <w:rFonts w:hint="eastAsia"/>
                <w:color w:val="auto"/>
                <w:highlight w:val="none"/>
              </w:rPr>
              <w:t>2</w:t>
            </w:r>
            <w:r>
              <w:rPr>
                <w:color w:val="auto"/>
                <w:highlight w:val="none"/>
              </w:rPr>
              <w:t>m)</w:t>
            </w:r>
          </w:p>
        </w:tc>
        <w:tc>
          <w:tcPr>
            <w:tcW w:w="467" w:type="pct"/>
            <w:vAlign w:val="center"/>
          </w:tcPr>
          <w:p>
            <w:pPr>
              <w:jc w:val="center"/>
              <w:rPr>
                <w:color w:val="auto"/>
                <w:szCs w:val="21"/>
                <w:highlight w:val="none"/>
              </w:rPr>
            </w:pPr>
            <w:r>
              <w:rPr>
                <w:rFonts w:hint="eastAsia"/>
                <w:color w:val="auto"/>
                <w:szCs w:val="21"/>
                <w:highlight w:val="none"/>
              </w:rPr>
              <w:t>20</w:t>
            </w:r>
          </w:p>
        </w:tc>
        <w:tc>
          <w:tcPr>
            <w:tcW w:w="374" w:type="pct"/>
            <w:vAlign w:val="center"/>
          </w:tcPr>
          <w:p>
            <w:pPr>
              <w:jc w:val="center"/>
              <w:rPr>
                <w:color w:val="auto"/>
                <w:szCs w:val="21"/>
                <w:highlight w:val="none"/>
              </w:rPr>
            </w:pPr>
            <w:r>
              <w:rPr>
                <w:rFonts w:hint="eastAsia"/>
                <w:color w:val="auto"/>
                <w:szCs w:val="21"/>
                <w:highlight w:val="none"/>
              </w:rPr>
              <w:t>20</w:t>
            </w:r>
          </w:p>
        </w:tc>
        <w:tc>
          <w:tcPr>
            <w:tcW w:w="396" w:type="pct"/>
            <w:vAlign w:val="center"/>
          </w:tcPr>
          <w:p>
            <w:pPr>
              <w:jc w:val="center"/>
              <w:rPr>
                <w:color w:val="auto"/>
                <w:szCs w:val="21"/>
                <w:highlight w:val="none"/>
              </w:rPr>
            </w:pPr>
            <w:r>
              <w:rPr>
                <w:rFonts w:hint="eastAsia"/>
                <w:color w:val="auto"/>
                <w:szCs w:val="21"/>
                <w:highlight w:val="none"/>
              </w:rPr>
              <w:t>0</w:t>
            </w:r>
            <w:r>
              <w:rPr>
                <w:color w:val="auto"/>
                <w:szCs w:val="21"/>
                <w:highlight w:val="none"/>
              </w:rPr>
              <w:t>.</w:t>
            </w:r>
            <w:r>
              <w:rPr>
                <w:rFonts w:hint="eastAsia"/>
                <w:color w:val="auto"/>
                <w:szCs w:val="21"/>
                <w:highlight w:val="none"/>
              </w:rPr>
              <w:t>03</w:t>
            </w:r>
          </w:p>
        </w:tc>
        <w:tc>
          <w:tcPr>
            <w:tcW w:w="401" w:type="pct"/>
            <w:vAlign w:val="center"/>
          </w:tcPr>
          <w:p>
            <w:pPr>
              <w:jc w:val="center"/>
              <w:rPr>
                <w:color w:val="auto"/>
                <w:szCs w:val="21"/>
                <w:highlight w:val="none"/>
              </w:rPr>
            </w:pPr>
            <w:r>
              <w:rPr>
                <w:rFonts w:hint="eastAsia"/>
                <w:color w:val="auto"/>
                <w:szCs w:val="21"/>
                <w:highlight w:val="none"/>
              </w:rPr>
              <w:t>19</w:t>
            </w:r>
          </w:p>
        </w:tc>
        <w:tc>
          <w:tcPr>
            <w:tcW w:w="425" w:type="pct"/>
            <w:vAlign w:val="center"/>
          </w:tcPr>
          <w:p>
            <w:pPr>
              <w:jc w:val="center"/>
              <w:rPr>
                <w:color w:val="auto"/>
                <w:szCs w:val="21"/>
                <w:highlight w:val="none"/>
              </w:rPr>
            </w:pPr>
            <w:r>
              <w:rPr>
                <w:rFonts w:hint="eastAsia"/>
                <w:color w:val="auto"/>
                <w:szCs w:val="21"/>
                <w:highlight w:val="none"/>
              </w:rPr>
              <w:t>0</w:t>
            </w:r>
            <w:r>
              <w:rPr>
                <w:color w:val="auto"/>
                <w:szCs w:val="21"/>
                <w:highlight w:val="none"/>
              </w:rPr>
              <w:t>.</w:t>
            </w:r>
            <w:r>
              <w:rPr>
                <w:rFonts w:hint="eastAsia"/>
                <w:color w:val="auto"/>
                <w:szCs w:val="21"/>
                <w:highlight w:val="none"/>
              </w:rPr>
              <w:t>119</w:t>
            </w:r>
          </w:p>
        </w:tc>
        <w:tc>
          <w:tcPr>
            <w:tcW w:w="382" w:type="pct"/>
            <w:vAlign w:val="center"/>
          </w:tcPr>
          <w:p>
            <w:pPr>
              <w:jc w:val="center"/>
              <w:rPr>
                <w:color w:val="auto"/>
                <w:szCs w:val="21"/>
                <w:highlight w:val="none"/>
              </w:rPr>
            </w:pPr>
            <w:r>
              <w:rPr>
                <w:rFonts w:hint="eastAsia"/>
                <w:color w:val="auto"/>
                <w:szCs w:val="21"/>
                <w:highlight w:val="none"/>
              </w:rPr>
              <w:t>9.17</w:t>
            </w:r>
          </w:p>
        </w:tc>
        <w:tc>
          <w:tcPr>
            <w:tcW w:w="390" w:type="pct"/>
            <w:vAlign w:val="center"/>
          </w:tcPr>
          <w:p>
            <w:pPr>
              <w:jc w:val="center"/>
              <w:rPr>
                <w:color w:val="auto"/>
                <w:szCs w:val="21"/>
                <w:highlight w:val="none"/>
              </w:rPr>
            </w:pPr>
            <w:r>
              <w:rPr>
                <w:rFonts w:hint="eastAsia"/>
                <w:color w:val="auto"/>
                <w:szCs w:val="21"/>
                <w:highlight w:val="none"/>
              </w:rPr>
              <w:t>8.31</w:t>
            </w:r>
          </w:p>
        </w:tc>
        <w:tc>
          <w:tcPr>
            <w:tcW w:w="527" w:type="pct"/>
            <w:vAlign w:val="center"/>
          </w:tcPr>
          <w:p>
            <w:pPr>
              <w:jc w:val="center"/>
              <w:rPr>
                <w:color w:val="auto"/>
                <w:szCs w:val="21"/>
                <w:highlight w:val="none"/>
              </w:rPr>
            </w:pPr>
            <w:r>
              <w:rPr>
                <w:rFonts w:hint="eastAsia"/>
                <w:color w:val="auto"/>
                <w:szCs w:val="21"/>
                <w:highlight w:val="none"/>
              </w:rPr>
              <w:t>0.0014</w:t>
            </w:r>
          </w:p>
        </w:tc>
        <w:tc>
          <w:tcPr>
            <w:tcW w:w="536" w:type="pct"/>
            <w:vAlign w:val="center"/>
          </w:tcPr>
          <w:p>
            <w:pPr>
              <w:jc w:val="center"/>
              <w:rPr>
                <w:color w:val="auto"/>
                <w:szCs w:val="21"/>
                <w:highlight w:val="none"/>
              </w:rPr>
            </w:pPr>
            <w:r>
              <w:rPr>
                <w:rFonts w:hint="eastAsia"/>
                <w:color w:val="auto"/>
                <w:szCs w:val="21"/>
                <w:highlight w:val="none"/>
              </w:rPr>
              <w:t>0.0033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trPr>
        <w:tc>
          <w:tcPr>
            <w:tcW w:w="1097" w:type="pct"/>
            <w:vAlign w:val="center"/>
          </w:tcPr>
          <w:p>
            <w:pPr>
              <w:spacing w:line="240" w:lineRule="exact"/>
              <w:jc w:val="center"/>
              <w:rPr>
                <w:color w:val="auto"/>
                <w:highlight w:val="none"/>
              </w:rPr>
            </w:pPr>
            <w:r>
              <w:rPr>
                <w:color w:val="auto"/>
                <w:highlight w:val="none"/>
              </w:rPr>
              <w:t>GB36600-2018第二类用地筛选值</w:t>
            </w:r>
          </w:p>
        </w:tc>
        <w:tc>
          <w:tcPr>
            <w:tcW w:w="467" w:type="pct"/>
            <w:vAlign w:val="center"/>
          </w:tcPr>
          <w:p>
            <w:pPr>
              <w:jc w:val="center"/>
              <w:rPr>
                <w:color w:val="auto"/>
                <w:szCs w:val="21"/>
                <w:highlight w:val="none"/>
              </w:rPr>
            </w:pPr>
            <w:r>
              <w:rPr>
                <w:color w:val="auto"/>
                <w:szCs w:val="21"/>
                <w:highlight w:val="none"/>
              </w:rPr>
              <w:t>18000</w:t>
            </w:r>
          </w:p>
        </w:tc>
        <w:tc>
          <w:tcPr>
            <w:tcW w:w="374" w:type="pct"/>
            <w:vAlign w:val="center"/>
          </w:tcPr>
          <w:p>
            <w:pPr>
              <w:jc w:val="center"/>
              <w:rPr>
                <w:color w:val="auto"/>
                <w:szCs w:val="21"/>
                <w:highlight w:val="none"/>
              </w:rPr>
            </w:pPr>
            <w:r>
              <w:rPr>
                <w:color w:val="auto"/>
                <w:szCs w:val="21"/>
                <w:highlight w:val="none"/>
              </w:rPr>
              <w:t>900</w:t>
            </w:r>
          </w:p>
        </w:tc>
        <w:tc>
          <w:tcPr>
            <w:tcW w:w="396" w:type="pct"/>
            <w:vAlign w:val="center"/>
          </w:tcPr>
          <w:p>
            <w:pPr>
              <w:jc w:val="center"/>
              <w:rPr>
                <w:color w:val="auto"/>
                <w:szCs w:val="21"/>
                <w:highlight w:val="none"/>
              </w:rPr>
            </w:pPr>
            <w:r>
              <w:rPr>
                <w:color w:val="auto"/>
                <w:szCs w:val="21"/>
                <w:highlight w:val="none"/>
              </w:rPr>
              <w:t>65</w:t>
            </w:r>
          </w:p>
        </w:tc>
        <w:tc>
          <w:tcPr>
            <w:tcW w:w="401" w:type="pct"/>
            <w:vAlign w:val="center"/>
          </w:tcPr>
          <w:p>
            <w:pPr>
              <w:jc w:val="center"/>
              <w:rPr>
                <w:color w:val="auto"/>
                <w:szCs w:val="21"/>
                <w:highlight w:val="none"/>
              </w:rPr>
            </w:pPr>
            <w:r>
              <w:rPr>
                <w:color w:val="auto"/>
                <w:szCs w:val="21"/>
                <w:highlight w:val="none"/>
              </w:rPr>
              <w:t>800</w:t>
            </w:r>
          </w:p>
        </w:tc>
        <w:tc>
          <w:tcPr>
            <w:tcW w:w="425" w:type="pct"/>
            <w:vAlign w:val="center"/>
          </w:tcPr>
          <w:p>
            <w:pPr>
              <w:jc w:val="center"/>
              <w:rPr>
                <w:color w:val="auto"/>
                <w:szCs w:val="21"/>
                <w:highlight w:val="none"/>
              </w:rPr>
            </w:pPr>
            <w:r>
              <w:rPr>
                <w:color w:val="auto"/>
                <w:szCs w:val="21"/>
                <w:highlight w:val="none"/>
              </w:rPr>
              <w:t>38</w:t>
            </w:r>
          </w:p>
        </w:tc>
        <w:tc>
          <w:tcPr>
            <w:tcW w:w="382" w:type="pct"/>
            <w:vAlign w:val="center"/>
          </w:tcPr>
          <w:p>
            <w:pPr>
              <w:jc w:val="center"/>
              <w:rPr>
                <w:color w:val="auto"/>
                <w:szCs w:val="21"/>
                <w:highlight w:val="none"/>
              </w:rPr>
            </w:pPr>
            <w:r>
              <w:rPr>
                <w:color w:val="auto"/>
                <w:szCs w:val="21"/>
                <w:highlight w:val="none"/>
              </w:rPr>
              <w:t>60</w:t>
            </w:r>
          </w:p>
        </w:tc>
        <w:tc>
          <w:tcPr>
            <w:tcW w:w="390" w:type="pct"/>
            <w:vAlign w:val="center"/>
          </w:tcPr>
          <w:p>
            <w:pPr>
              <w:jc w:val="center"/>
              <w:rPr>
                <w:color w:val="auto"/>
                <w:szCs w:val="21"/>
                <w:highlight w:val="none"/>
              </w:rPr>
            </w:pPr>
            <w:r>
              <w:rPr>
                <w:color w:val="auto"/>
                <w:szCs w:val="21"/>
                <w:highlight w:val="none"/>
              </w:rPr>
              <w:t>-</w:t>
            </w:r>
          </w:p>
        </w:tc>
        <w:tc>
          <w:tcPr>
            <w:tcW w:w="527" w:type="pct"/>
            <w:vAlign w:val="center"/>
          </w:tcPr>
          <w:p>
            <w:pPr>
              <w:jc w:val="center"/>
              <w:rPr>
                <w:color w:val="auto"/>
                <w:szCs w:val="21"/>
                <w:highlight w:val="none"/>
              </w:rPr>
            </w:pPr>
            <w:r>
              <w:rPr>
                <w:rFonts w:hint="eastAsia"/>
                <w:color w:val="auto"/>
                <w:szCs w:val="21"/>
                <w:highlight w:val="none"/>
              </w:rPr>
              <w:t>0.9</w:t>
            </w:r>
          </w:p>
        </w:tc>
        <w:tc>
          <w:tcPr>
            <w:tcW w:w="536" w:type="pct"/>
            <w:vAlign w:val="center"/>
          </w:tcPr>
          <w:p>
            <w:pPr>
              <w:jc w:val="center"/>
              <w:rPr>
                <w:color w:val="auto"/>
                <w:szCs w:val="21"/>
                <w:highlight w:val="none"/>
              </w:rPr>
            </w:pPr>
            <w:r>
              <w:rPr>
                <w:rFonts w:hint="eastAsia"/>
                <w:color w:val="auto"/>
                <w:szCs w:val="21"/>
                <w:highlight w:val="none"/>
              </w:rPr>
              <w:t>616</w:t>
            </w:r>
          </w:p>
        </w:tc>
      </w:tr>
    </w:tbl>
    <w:p>
      <w:pPr>
        <w:spacing w:before="62" w:beforeLines="20" w:line="260" w:lineRule="exact"/>
        <w:ind w:firstLine="420" w:firstLineChars="200"/>
        <w:rPr>
          <w:color w:val="auto"/>
          <w:szCs w:val="21"/>
          <w:highlight w:val="none"/>
        </w:rPr>
      </w:pPr>
      <w:r>
        <w:rPr>
          <w:rFonts w:hint="eastAsia"/>
          <w:color w:val="auto"/>
          <w:szCs w:val="21"/>
          <w:highlight w:val="none"/>
        </w:rPr>
        <w:t>厂区内1#、3#土壤：棕色、壤土、湿；厂区内2#土壤：浅棕色、壤土、潮。</w:t>
      </w:r>
    </w:p>
    <w:p>
      <w:pPr>
        <w:spacing w:before="62" w:beforeLines="20" w:line="260" w:lineRule="exact"/>
        <w:ind w:firstLine="420" w:firstLineChars="200"/>
        <w:rPr>
          <w:color w:val="auto"/>
          <w:szCs w:val="21"/>
          <w:highlight w:val="none"/>
        </w:rPr>
      </w:pPr>
      <w:r>
        <w:rPr>
          <w:color w:val="auto"/>
          <w:szCs w:val="21"/>
          <w:highlight w:val="none"/>
        </w:rPr>
        <w:t>备注：1,1,1,2-四氯乙烷、1,1,1-三氯乙烷、1,1,2,2-四氯乙烷、1,1,2-三氯乙烷、1,1-二氯乙烷、1,1-二氯乙烯、1,2,3-三氯丙烷、1,2-二氯苯、1,2-二氯丙烷、1,2-二氯乙烷、1,4-二氯苯、苯乙烯、苯、</w:t>
      </w:r>
      <w:r>
        <w:rPr>
          <w:rFonts w:hint="eastAsia"/>
          <w:color w:val="auto"/>
          <w:szCs w:val="21"/>
          <w:highlight w:val="none"/>
        </w:rPr>
        <w:t>甲苯、</w:t>
      </w:r>
      <w:r>
        <w:rPr>
          <w:color w:val="auto"/>
          <w:szCs w:val="21"/>
          <w:highlight w:val="none"/>
        </w:rPr>
        <w:t>对二甲苯、间二甲苯、邻二甲苯、氯苯、氯甲烷、氯乙烯、三氯乙烯、顺-1,2-二氯乙烯、反-1,2-二氯乙烯、四氯化碳、四氯乙烯、乙苯、2-氯酚、苯胺、硝基苯、苯并（a）蒽、苯并（a）芘、苯并（b）荧蒽、苯并（k）荧蒽、铬（六价）、䓛、二苯并[a,h]蒽、茚并[1,2,3-cd]芘、萘共计39项</w:t>
      </w:r>
      <w:r>
        <w:rPr>
          <w:rStyle w:val="147"/>
          <w:color w:val="auto"/>
          <w:sz w:val="21"/>
          <w:szCs w:val="21"/>
          <w:highlight w:val="none"/>
        </w:rPr>
        <w:t>在各监测点</w:t>
      </w:r>
      <w:r>
        <w:rPr>
          <w:color w:val="auto"/>
          <w:szCs w:val="21"/>
          <w:highlight w:val="none"/>
        </w:rPr>
        <w:t>均未检出。</w:t>
      </w:r>
    </w:p>
    <w:p>
      <w:pPr>
        <w:pStyle w:val="101"/>
        <w:spacing w:before="78"/>
        <w:rPr>
          <w:rFonts w:ascii="Times New Roman" w:hAnsi="Times New Roman"/>
          <w:color w:val="auto"/>
          <w:highlight w:val="none"/>
        </w:rPr>
      </w:pPr>
      <w:r>
        <w:rPr>
          <w:rFonts w:ascii="Times New Roman" w:hAnsi="Times New Roman"/>
          <w:color w:val="auto"/>
          <w:highlight w:val="none"/>
        </w:rPr>
        <w:t>3.7.2 土壤环境质量现状评价</w:t>
      </w:r>
    </w:p>
    <w:p>
      <w:pPr>
        <w:pStyle w:val="102"/>
        <w:ind w:firstLine="482"/>
        <w:rPr>
          <w:b/>
          <w:bCs/>
          <w:color w:val="auto"/>
          <w:highlight w:val="none"/>
        </w:rPr>
      </w:pPr>
      <w:r>
        <w:rPr>
          <w:b/>
          <w:bCs/>
          <w:color w:val="auto"/>
          <w:highlight w:val="none"/>
        </w:rPr>
        <w:t>1、评价标准及评价因子</w:t>
      </w:r>
    </w:p>
    <w:p>
      <w:pPr>
        <w:spacing w:line="360" w:lineRule="auto"/>
        <w:ind w:firstLine="436" w:firstLineChars="182"/>
        <w:rPr>
          <w:color w:val="auto"/>
          <w:sz w:val="24"/>
          <w:highlight w:val="none"/>
        </w:rPr>
      </w:pPr>
      <w:r>
        <w:rPr>
          <w:color w:val="auto"/>
          <w:sz w:val="24"/>
          <w:highlight w:val="none"/>
        </w:rPr>
        <w:t>项目厂区内及厂区周边用地性质，</w:t>
      </w:r>
      <w:r>
        <w:rPr>
          <w:rFonts w:hint="eastAsia"/>
          <w:color w:val="auto"/>
          <w:sz w:val="24"/>
          <w:highlight w:val="none"/>
        </w:rPr>
        <w:t>1#~3#</w:t>
      </w:r>
      <w:r>
        <w:rPr>
          <w:color w:val="auto"/>
          <w:sz w:val="24"/>
          <w:highlight w:val="none"/>
        </w:rPr>
        <w:t>点位为工业用地，属于二类建设用地，土壤执行《土壤环境质量 建设用地土壤污染风险管控标准（试行）》(GB36600-2018)中表1第二类用地标准；标准值见表1.4-6。</w:t>
      </w:r>
    </w:p>
    <w:p>
      <w:pPr>
        <w:spacing w:line="360" w:lineRule="auto"/>
        <w:ind w:firstLine="436" w:firstLineChars="182"/>
        <w:rPr>
          <w:rStyle w:val="130"/>
          <w:color w:val="auto"/>
          <w:szCs w:val="24"/>
          <w:highlight w:val="none"/>
        </w:rPr>
      </w:pPr>
      <w:r>
        <w:rPr>
          <w:color w:val="auto"/>
          <w:sz w:val="24"/>
          <w:szCs w:val="24"/>
          <w:highlight w:val="none"/>
        </w:rPr>
        <w:t>1#~3#</w:t>
      </w:r>
      <w:r>
        <w:rPr>
          <w:rFonts w:hint="eastAsia"/>
          <w:color w:val="auto"/>
          <w:sz w:val="24"/>
          <w:szCs w:val="24"/>
          <w:highlight w:val="none"/>
        </w:rPr>
        <w:t>点位</w:t>
      </w:r>
      <w:r>
        <w:rPr>
          <w:rStyle w:val="130"/>
          <w:color w:val="auto"/>
          <w:szCs w:val="24"/>
          <w:highlight w:val="none"/>
        </w:rPr>
        <w:t>评</w:t>
      </w:r>
      <w:r>
        <w:rPr>
          <w:color w:val="auto"/>
          <w:sz w:val="24"/>
          <w:szCs w:val="24"/>
          <w:highlight w:val="none"/>
        </w:rPr>
        <w:t>价因子为</w:t>
      </w:r>
      <w:r>
        <w:rPr>
          <w:color w:val="auto"/>
          <w:kern w:val="1"/>
          <w:sz w:val="24"/>
          <w:szCs w:val="24"/>
          <w:highlight w:val="none"/>
          <w:lang w:bidi="he-IL"/>
        </w:rPr>
        <w:t>砷</w:t>
      </w:r>
      <w:r>
        <w:rPr>
          <w:color w:val="auto"/>
          <w:sz w:val="24"/>
          <w:szCs w:val="24"/>
          <w:highlight w:val="none"/>
        </w:rPr>
        <w:t>、</w:t>
      </w:r>
      <w:r>
        <w:rPr>
          <w:color w:val="auto"/>
          <w:kern w:val="1"/>
          <w:sz w:val="24"/>
          <w:szCs w:val="24"/>
          <w:highlight w:val="none"/>
          <w:lang w:bidi="he-IL"/>
        </w:rPr>
        <w:t>镉、铜、铅、汞、镍</w:t>
      </w:r>
      <w:r>
        <w:rPr>
          <w:color w:val="auto"/>
          <w:sz w:val="24"/>
          <w:szCs w:val="24"/>
          <w:highlight w:val="none"/>
        </w:rPr>
        <w:t>，氯仿</w:t>
      </w:r>
      <w:r>
        <w:rPr>
          <w:rFonts w:hint="eastAsia"/>
          <w:color w:val="auto"/>
          <w:sz w:val="24"/>
          <w:szCs w:val="24"/>
          <w:highlight w:val="none"/>
        </w:rPr>
        <w:t>，</w:t>
      </w:r>
      <w:r>
        <w:rPr>
          <w:color w:val="auto"/>
          <w:sz w:val="24"/>
          <w:szCs w:val="24"/>
          <w:highlight w:val="none"/>
        </w:rPr>
        <w:t>二氯甲烷</w:t>
      </w:r>
      <w:r>
        <w:rPr>
          <w:rFonts w:hint="eastAsia"/>
          <w:color w:val="auto"/>
          <w:sz w:val="24"/>
          <w:szCs w:val="24"/>
          <w:highlight w:val="none"/>
        </w:rPr>
        <w:t>，</w:t>
      </w:r>
      <w:r>
        <w:rPr>
          <w:color w:val="auto"/>
          <w:sz w:val="24"/>
          <w:szCs w:val="24"/>
          <w:highlight w:val="none"/>
        </w:rPr>
        <w:t>其余监测因子在各监测点均为检出，且其检出限低于标准值，故不再进行评价。</w:t>
      </w:r>
    </w:p>
    <w:p>
      <w:pPr>
        <w:spacing w:line="360" w:lineRule="auto"/>
        <w:ind w:firstLine="482"/>
        <w:rPr>
          <w:rFonts w:eastAsia="黑体"/>
          <w:color w:val="auto"/>
          <w:sz w:val="28"/>
          <w:szCs w:val="28"/>
          <w:highlight w:val="none"/>
        </w:rPr>
      </w:pPr>
      <w:r>
        <w:rPr>
          <w:b/>
          <w:bCs/>
          <w:color w:val="auto"/>
          <w:sz w:val="24"/>
          <w:highlight w:val="none"/>
        </w:rPr>
        <w:t>2、评价方法</w:t>
      </w:r>
    </w:p>
    <w:p>
      <w:pPr>
        <w:spacing w:line="360" w:lineRule="auto"/>
        <w:ind w:firstLine="480"/>
        <w:rPr>
          <w:color w:val="auto"/>
          <w:sz w:val="24"/>
          <w:highlight w:val="none"/>
        </w:rPr>
      </w:pPr>
      <w:r>
        <w:rPr>
          <w:color w:val="auto"/>
          <w:sz w:val="24"/>
          <w:highlight w:val="none"/>
        </w:rPr>
        <w:t>采用单因子质数法进行现状评价。</w:t>
      </w:r>
    </w:p>
    <w:p>
      <w:pPr>
        <w:spacing w:line="360" w:lineRule="auto"/>
        <w:ind w:firstLine="1120"/>
        <w:rPr>
          <w:color w:val="auto"/>
          <w:sz w:val="24"/>
          <w:highlight w:val="none"/>
        </w:rPr>
      </w:pPr>
      <w:r>
        <w:rPr>
          <w:color w:val="auto"/>
          <w:highlight w:val="none"/>
        </w:rPr>
        <w:drawing>
          <wp:inline distT="0" distB="0" distL="0" distR="0">
            <wp:extent cx="561975" cy="4572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61975" cy="457200"/>
                    </a:xfrm>
                    <a:prstGeom prst="rect">
                      <a:avLst/>
                    </a:prstGeom>
                    <a:noFill/>
                    <a:ln>
                      <a:noFill/>
                    </a:ln>
                  </pic:spPr>
                </pic:pic>
              </a:graphicData>
            </a:graphic>
          </wp:inline>
        </w:drawing>
      </w:r>
    </w:p>
    <w:p>
      <w:pPr>
        <w:spacing w:line="360" w:lineRule="auto"/>
        <w:ind w:firstLine="480"/>
        <w:rPr>
          <w:color w:val="auto"/>
          <w:sz w:val="24"/>
          <w:highlight w:val="none"/>
        </w:rPr>
      </w:pPr>
      <w:r>
        <w:rPr>
          <w:color w:val="auto"/>
          <w:sz w:val="24"/>
          <w:highlight w:val="none"/>
        </w:rPr>
        <w:t>式中：</w:t>
      </w:r>
      <w:r>
        <w:rPr>
          <w:color w:val="auto"/>
          <w:highlight w:val="none"/>
        </w:rPr>
        <w:drawing>
          <wp:inline distT="0" distB="0" distL="0" distR="0">
            <wp:extent cx="180975" cy="1809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r>
        <w:rPr>
          <w:i/>
          <w:iCs/>
          <w:color w:val="auto"/>
          <w:sz w:val="24"/>
          <w:highlight w:val="none"/>
        </w:rPr>
        <w:t>—</w:t>
      </w:r>
      <w:r>
        <w:rPr>
          <w:color w:val="auto"/>
          <w:sz w:val="24"/>
          <w:highlight w:val="none"/>
        </w:rPr>
        <w:t>污染物单因子指数；</w:t>
      </w:r>
    </w:p>
    <w:p>
      <w:pPr>
        <w:spacing w:line="360" w:lineRule="auto"/>
        <w:ind w:firstLine="1200"/>
        <w:rPr>
          <w:color w:val="auto"/>
          <w:sz w:val="24"/>
          <w:highlight w:val="none"/>
        </w:rPr>
      </w:pPr>
      <w:r>
        <w:rPr>
          <w:color w:val="auto"/>
          <w:highlight w:val="none"/>
        </w:rPr>
        <w:drawing>
          <wp:inline distT="0" distB="0" distL="0" distR="0">
            <wp:extent cx="190500" cy="1809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90500" cy="180975"/>
                    </a:xfrm>
                    <a:prstGeom prst="rect">
                      <a:avLst/>
                    </a:prstGeom>
                    <a:noFill/>
                    <a:ln>
                      <a:noFill/>
                    </a:ln>
                  </pic:spPr>
                </pic:pic>
              </a:graphicData>
            </a:graphic>
          </wp:inline>
        </w:drawing>
      </w:r>
      <w:r>
        <w:rPr>
          <w:i/>
          <w:iCs/>
          <w:color w:val="auto"/>
          <w:sz w:val="24"/>
          <w:highlight w:val="none"/>
        </w:rPr>
        <w:t>—</w:t>
      </w:r>
      <w:r>
        <w:rPr>
          <w:color w:val="auto"/>
          <w:sz w:val="24"/>
          <w:highlight w:val="none"/>
        </w:rPr>
        <w:t>i污染物的浓度值，mg/L；</w:t>
      </w:r>
    </w:p>
    <w:p>
      <w:pPr>
        <w:spacing w:line="360" w:lineRule="auto"/>
        <w:ind w:firstLine="1152"/>
        <w:rPr>
          <w:color w:val="auto"/>
          <w:sz w:val="24"/>
          <w:highlight w:val="none"/>
        </w:rPr>
      </w:pPr>
      <w:r>
        <w:rPr>
          <w:color w:val="auto"/>
          <w:highlight w:val="none"/>
        </w:rPr>
        <w:drawing>
          <wp:inline distT="0" distB="0" distL="0" distR="0">
            <wp:extent cx="266700" cy="1809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66700" cy="180975"/>
                    </a:xfrm>
                    <a:prstGeom prst="rect">
                      <a:avLst/>
                    </a:prstGeom>
                    <a:noFill/>
                    <a:ln>
                      <a:noFill/>
                    </a:ln>
                  </pic:spPr>
                </pic:pic>
              </a:graphicData>
            </a:graphic>
          </wp:inline>
        </w:drawing>
      </w:r>
      <w:r>
        <w:rPr>
          <w:i/>
          <w:iCs/>
          <w:color w:val="auto"/>
          <w:sz w:val="24"/>
          <w:highlight w:val="none"/>
        </w:rPr>
        <w:t>—</w:t>
      </w:r>
      <w:r>
        <w:rPr>
          <w:color w:val="auto"/>
          <w:sz w:val="24"/>
          <w:highlight w:val="none"/>
        </w:rPr>
        <w:t>i污染物的评价标准值，mg/L。</w:t>
      </w:r>
    </w:p>
    <w:p>
      <w:pPr>
        <w:spacing w:line="360" w:lineRule="auto"/>
        <w:ind w:firstLine="482"/>
        <w:rPr>
          <w:rFonts w:eastAsia="黑体"/>
          <w:color w:val="auto"/>
          <w:sz w:val="28"/>
          <w:szCs w:val="28"/>
          <w:highlight w:val="none"/>
        </w:rPr>
      </w:pPr>
      <w:r>
        <w:rPr>
          <w:b/>
          <w:bCs/>
          <w:color w:val="auto"/>
          <w:sz w:val="24"/>
          <w:highlight w:val="none"/>
        </w:rPr>
        <w:t>(3) 评价结果</w:t>
      </w:r>
    </w:p>
    <w:p>
      <w:pPr>
        <w:pStyle w:val="102"/>
        <w:ind w:firstLine="480"/>
        <w:rPr>
          <w:color w:val="auto"/>
          <w:highlight w:val="none"/>
        </w:rPr>
      </w:pPr>
      <w:r>
        <w:rPr>
          <w:color w:val="auto"/>
          <w:highlight w:val="none"/>
        </w:rPr>
        <w:t>评价结果见表3.7-</w:t>
      </w:r>
      <w:r>
        <w:rPr>
          <w:rFonts w:hint="eastAsia"/>
          <w:color w:val="auto"/>
          <w:highlight w:val="none"/>
        </w:rPr>
        <w:t>4</w:t>
      </w:r>
      <w:r>
        <w:rPr>
          <w:color w:val="auto"/>
          <w:highlight w:val="none"/>
        </w:rPr>
        <w:t>。</w:t>
      </w:r>
    </w:p>
    <w:p>
      <w:pPr>
        <w:pStyle w:val="160"/>
        <w:spacing w:before="0" w:after="0" w:line="360" w:lineRule="auto"/>
        <w:jc w:val="center"/>
        <w:rPr>
          <w:rFonts w:eastAsia="黑体" w:cs="Times New Roman"/>
          <w:color w:val="auto"/>
          <w:sz w:val="24"/>
          <w:szCs w:val="24"/>
          <w:highlight w:val="none"/>
          <w:lang w:val="en-US"/>
        </w:rPr>
      </w:pPr>
      <w:r>
        <w:rPr>
          <w:rFonts w:eastAsia="黑体" w:cs="Times New Roman"/>
          <w:color w:val="auto"/>
          <w:sz w:val="24"/>
          <w:szCs w:val="24"/>
          <w:highlight w:val="none"/>
        </w:rPr>
        <w:t>表3.7-</w:t>
      </w:r>
      <w:r>
        <w:rPr>
          <w:rFonts w:hint="eastAsia" w:eastAsia="黑体" w:cs="Times New Roman"/>
          <w:color w:val="auto"/>
          <w:sz w:val="24"/>
          <w:szCs w:val="24"/>
          <w:highlight w:val="none"/>
          <w:lang w:val="en-US"/>
        </w:rPr>
        <w:t>4</w:t>
      </w:r>
      <w:r>
        <w:rPr>
          <w:rFonts w:eastAsia="黑体" w:cs="Times New Roman"/>
          <w:color w:val="auto"/>
          <w:sz w:val="24"/>
          <w:szCs w:val="24"/>
          <w:highlight w:val="none"/>
        </w:rPr>
        <w:t xml:space="preserve">  土壤现状监测评价结果一览表</w:t>
      </w:r>
      <w:r>
        <w:rPr>
          <w:rFonts w:hint="eastAsia" w:eastAsia="黑体" w:cs="Times New Roman"/>
          <w:color w:val="auto"/>
          <w:sz w:val="24"/>
          <w:szCs w:val="24"/>
          <w:highlight w:val="none"/>
          <w:lang w:val="en-US"/>
        </w:rPr>
        <w:t xml:space="preserve"> </w:t>
      </w:r>
    </w:p>
    <w:tbl>
      <w:tblPr>
        <w:tblStyle w:val="59"/>
        <w:tblW w:w="4999"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28" w:type="dxa"/>
          <w:bottom w:w="0" w:type="dxa"/>
          <w:right w:w="28" w:type="dxa"/>
        </w:tblCellMar>
      </w:tblPr>
      <w:tblGrid>
        <w:gridCol w:w="1366"/>
        <w:gridCol w:w="888"/>
        <w:gridCol w:w="715"/>
        <w:gridCol w:w="828"/>
        <w:gridCol w:w="806"/>
        <w:gridCol w:w="948"/>
        <w:gridCol w:w="1005"/>
        <w:gridCol w:w="1065"/>
        <w:gridCol w:w="122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trPr>
        <w:tc>
          <w:tcPr>
            <w:tcW w:w="773" w:type="pct"/>
            <w:vMerge w:val="restart"/>
            <w:tcBorders>
              <w:top w:val="single" w:color="000000" w:sz="12" w:space="0"/>
              <w:left w:val="nil"/>
              <w:bottom w:val="single" w:color="000000" w:sz="6" w:space="0"/>
              <w:right w:val="single" w:color="000000" w:sz="6" w:space="0"/>
            </w:tcBorders>
            <w:vAlign w:val="center"/>
          </w:tcPr>
          <w:p>
            <w:pPr>
              <w:widowControl/>
              <w:spacing w:line="240" w:lineRule="exact"/>
              <w:jc w:val="center"/>
              <w:rPr>
                <w:color w:val="auto"/>
                <w:highlight w:val="none"/>
              </w:rPr>
            </w:pPr>
            <w:r>
              <w:rPr>
                <w:color w:val="auto"/>
                <w:highlight w:val="none"/>
              </w:rPr>
              <w:t>编号</w:t>
            </w:r>
          </w:p>
        </w:tc>
        <w:tc>
          <w:tcPr>
            <w:tcW w:w="4226" w:type="pct"/>
            <w:gridSpan w:val="8"/>
            <w:tcBorders>
              <w:top w:val="single" w:color="000000" w:sz="12" w:space="0"/>
              <w:left w:val="single" w:color="000000" w:sz="6" w:space="0"/>
              <w:bottom w:val="single" w:color="000000" w:sz="6" w:space="0"/>
              <w:right w:val="nil"/>
            </w:tcBorders>
            <w:vAlign w:val="center"/>
          </w:tcPr>
          <w:p>
            <w:pPr>
              <w:spacing w:line="240" w:lineRule="exact"/>
              <w:jc w:val="center"/>
              <w:rPr>
                <w:color w:val="auto"/>
                <w:highlight w:val="none"/>
              </w:rPr>
            </w:pPr>
            <w:r>
              <w:rPr>
                <w:color w:val="auto"/>
                <w:highlight w:val="none"/>
              </w:rPr>
              <w:t>评价结果</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trPr>
        <w:tc>
          <w:tcPr>
            <w:tcW w:w="773" w:type="pct"/>
            <w:vMerge w:val="continue"/>
            <w:tcBorders>
              <w:top w:val="single" w:color="000000" w:sz="6" w:space="0"/>
              <w:left w:val="nil"/>
              <w:bottom w:val="single" w:color="000000" w:sz="6" w:space="0"/>
              <w:right w:val="single" w:color="000000" w:sz="6" w:space="0"/>
            </w:tcBorders>
            <w:vAlign w:val="center"/>
          </w:tcPr>
          <w:p>
            <w:pPr>
              <w:spacing w:line="240" w:lineRule="exact"/>
              <w:jc w:val="center"/>
              <w:rPr>
                <w:color w:val="auto"/>
                <w:highlight w:val="none"/>
              </w:rPr>
            </w:pPr>
          </w:p>
        </w:tc>
        <w:tc>
          <w:tcPr>
            <w:tcW w:w="502" w:type="pct"/>
            <w:tcBorders>
              <w:top w:val="single" w:color="000000" w:sz="6" w:space="0"/>
              <w:left w:val="single" w:color="000000" w:sz="6" w:space="0"/>
              <w:bottom w:val="single" w:color="000000" w:sz="6" w:space="0"/>
              <w:right w:val="single" w:color="auto" w:sz="4" w:space="0"/>
            </w:tcBorders>
            <w:vAlign w:val="center"/>
          </w:tcPr>
          <w:p>
            <w:pPr>
              <w:pStyle w:val="105"/>
              <w:rPr>
                <w:color w:val="auto"/>
                <w:szCs w:val="21"/>
                <w:highlight w:val="none"/>
              </w:rPr>
            </w:pPr>
            <w:r>
              <w:rPr>
                <w:color w:val="auto"/>
                <w:szCs w:val="21"/>
                <w:highlight w:val="none"/>
              </w:rPr>
              <w:t>铜</w:t>
            </w:r>
          </w:p>
        </w:tc>
        <w:tc>
          <w:tcPr>
            <w:tcW w:w="404" w:type="pct"/>
            <w:tcBorders>
              <w:top w:val="single" w:color="000000" w:sz="6" w:space="0"/>
              <w:left w:val="single" w:color="auto" w:sz="4" w:space="0"/>
              <w:bottom w:val="single" w:color="000000" w:sz="6" w:space="0"/>
              <w:right w:val="single" w:color="auto" w:sz="4" w:space="0"/>
            </w:tcBorders>
            <w:vAlign w:val="center"/>
          </w:tcPr>
          <w:p>
            <w:pPr>
              <w:pStyle w:val="105"/>
              <w:rPr>
                <w:color w:val="auto"/>
                <w:szCs w:val="21"/>
                <w:highlight w:val="none"/>
              </w:rPr>
            </w:pPr>
            <w:r>
              <w:rPr>
                <w:color w:val="auto"/>
                <w:szCs w:val="21"/>
                <w:highlight w:val="none"/>
              </w:rPr>
              <w:t>镍</w:t>
            </w:r>
          </w:p>
        </w:tc>
        <w:tc>
          <w:tcPr>
            <w:tcW w:w="468" w:type="pct"/>
            <w:tcBorders>
              <w:top w:val="single" w:color="000000" w:sz="6" w:space="0"/>
              <w:left w:val="single" w:color="auto" w:sz="4" w:space="0"/>
              <w:bottom w:val="single" w:color="000000" w:sz="6" w:space="0"/>
              <w:right w:val="single" w:color="auto" w:sz="4" w:space="0"/>
            </w:tcBorders>
            <w:vAlign w:val="center"/>
          </w:tcPr>
          <w:p>
            <w:pPr>
              <w:pStyle w:val="105"/>
              <w:rPr>
                <w:color w:val="auto"/>
                <w:szCs w:val="21"/>
                <w:highlight w:val="none"/>
              </w:rPr>
            </w:pPr>
            <w:r>
              <w:rPr>
                <w:color w:val="auto"/>
                <w:szCs w:val="21"/>
                <w:highlight w:val="none"/>
              </w:rPr>
              <w:t>镉</w:t>
            </w:r>
          </w:p>
        </w:tc>
        <w:tc>
          <w:tcPr>
            <w:tcW w:w="456" w:type="pct"/>
            <w:tcBorders>
              <w:top w:val="single" w:color="000000" w:sz="6" w:space="0"/>
              <w:left w:val="single" w:color="auto" w:sz="4" w:space="0"/>
              <w:bottom w:val="single" w:color="000000" w:sz="6" w:space="0"/>
              <w:right w:val="single" w:color="auto" w:sz="4" w:space="0"/>
            </w:tcBorders>
            <w:vAlign w:val="center"/>
          </w:tcPr>
          <w:p>
            <w:pPr>
              <w:pStyle w:val="105"/>
              <w:rPr>
                <w:color w:val="auto"/>
                <w:szCs w:val="21"/>
                <w:highlight w:val="none"/>
              </w:rPr>
            </w:pPr>
            <w:r>
              <w:rPr>
                <w:color w:val="auto"/>
                <w:szCs w:val="21"/>
                <w:highlight w:val="none"/>
              </w:rPr>
              <w:t>铅</w:t>
            </w:r>
          </w:p>
        </w:tc>
        <w:tc>
          <w:tcPr>
            <w:tcW w:w="536" w:type="pct"/>
            <w:tcBorders>
              <w:top w:val="single" w:color="000000" w:sz="6" w:space="0"/>
              <w:left w:val="single" w:color="auto" w:sz="4" w:space="0"/>
              <w:bottom w:val="single" w:color="000000" w:sz="6" w:space="0"/>
              <w:right w:val="single" w:color="auto" w:sz="4" w:space="0"/>
            </w:tcBorders>
            <w:vAlign w:val="center"/>
          </w:tcPr>
          <w:p>
            <w:pPr>
              <w:pStyle w:val="105"/>
              <w:rPr>
                <w:color w:val="auto"/>
                <w:szCs w:val="21"/>
                <w:highlight w:val="none"/>
              </w:rPr>
            </w:pPr>
            <w:r>
              <w:rPr>
                <w:color w:val="auto"/>
                <w:szCs w:val="21"/>
                <w:highlight w:val="none"/>
              </w:rPr>
              <w:t>总汞</w:t>
            </w:r>
          </w:p>
        </w:tc>
        <w:tc>
          <w:tcPr>
            <w:tcW w:w="568" w:type="pct"/>
            <w:tcBorders>
              <w:top w:val="single" w:color="000000" w:sz="6" w:space="0"/>
              <w:left w:val="single" w:color="auto" w:sz="4" w:space="0"/>
              <w:bottom w:val="single" w:color="000000" w:sz="6" w:space="0"/>
              <w:right w:val="nil"/>
            </w:tcBorders>
            <w:vAlign w:val="center"/>
          </w:tcPr>
          <w:p>
            <w:pPr>
              <w:pStyle w:val="105"/>
              <w:rPr>
                <w:color w:val="auto"/>
                <w:szCs w:val="21"/>
                <w:highlight w:val="none"/>
              </w:rPr>
            </w:pPr>
            <w:r>
              <w:rPr>
                <w:color w:val="auto"/>
                <w:szCs w:val="21"/>
                <w:highlight w:val="none"/>
              </w:rPr>
              <w:t>总砷</w:t>
            </w:r>
          </w:p>
        </w:tc>
        <w:tc>
          <w:tcPr>
            <w:tcW w:w="602" w:type="pct"/>
            <w:tcBorders>
              <w:top w:val="single" w:color="000000" w:sz="6" w:space="0"/>
              <w:left w:val="single" w:color="auto" w:sz="4" w:space="0"/>
              <w:bottom w:val="single" w:color="000000" w:sz="6" w:space="0"/>
              <w:right w:val="nil"/>
            </w:tcBorders>
            <w:vAlign w:val="center"/>
          </w:tcPr>
          <w:p>
            <w:pPr>
              <w:pStyle w:val="105"/>
              <w:rPr>
                <w:color w:val="auto"/>
                <w:szCs w:val="21"/>
                <w:highlight w:val="none"/>
              </w:rPr>
            </w:pPr>
            <w:r>
              <w:rPr>
                <w:color w:val="auto"/>
                <w:szCs w:val="21"/>
                <w:highlight w:val="none"/>
              </w:rPr>
              <w:t>氯仿</w:t>
            </w:r>
          </w:p>
        </w:tc>
        <w:tc>
          <w:tcPr>
            <w:tcW w:w="687" w:type="pct"/>
            <w:tcBorders>
              <w:top w:val="single" w:color="000000" w:sz="6" w:space="0"/>
              <w:left w:val="single" w:color="auto" w:sz="4" w:space="0"/>
              <w:bottom w:val="single" w:color="000000" w:sz="6" w:space="0"/>
              <w:right w:val="nil"/>
            </w:tcBorders>
            <w:vAlign w:val="center"/>
          </w:tcPr>
          <w:p>
            <w:pPr>
              <w:pStyle w:val="105"/>
              <w:rPr>
                <w:color w:val="auto"/>
                <w:szCs w:val="21"/>
                <w:highlight w:val="none"/>
              </w:rPr>
            </w:pPr>
            <w:r>
              <w:rPr>
                <w:color w:val="auto"/>
                <w:szCs w:val="21"/>
                <w:highlight w:val="none"/>
              </w:rPr>
              <w:t>二氯甲烷</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trPr>
        <w:tc>
          <w:tcPr>
            <w:tcW w:w="773" w:type="pct"/>
            <w:tcBorders>
              <w:top w:val="single" w:color="000000" w:sz="6" w:space="0"/>
              <w:left w:val="nil"/>
              <w:bottom w:val="single" w:color="000000" w:sz="6" w:space="0"/>
              <w:right w:val="single" w:color="000000" w:sz="6" w:space="0"/>
            </w:tcBorders>
            <w:vAlign w:val="center"/>
          </w:tcPr>
          <w:p>
            <w:pPr>
              <w:jc w:val="center"/>
              <w:rPr>
                <w:color w:val="auto"/>
                <w:highlight w:val="none"/>
              </w:rPr>
            </w:pPr>
            <w:r>
              <w:rPr>
                <w:rFonts w:hint="eastAsia"/>
                <w:color w:val="auto"/>
                <w:highlight w:val="none"/>
              </w:rPr>
              <w:t>1#</w:t>
            </w:r>
            <w:r>
              <w:rPr>
                <w:color w:val="auto"/>
                <w:highlight w:val="none"/>
              </w:rPr>
              <w:t>(0.</w:t>
            </w:r>
            <w:r>
              <w:rPr>
                <w:rFonts w:hint="eastAsia"/>
                <w:color w:val="auto"/>
                <w:highlight w:val="none"/>
              </w:rPr>
              <w:t>2</w:t>
            </w:r>
            <w:r>
              <w:rPr>
                <w:color w:val="auto"/>
                <w:highlight w:val="none"/>
              </w:rPr>
              <w:t>m)</w:t>
            </w:r>
          </w:p>
        </w:tc>
        <w:tc>
          <w:tcPr>
            <w:tcW w:w="888" w:type="dxa"/>
            <w:tcBorders>
              <w:top w:val="single" w:color="000000" w:sz="6" w:space="0"/>
              <w:left w:val="single" w:color="000000" w:sz="6" w:space="0"/>
              <w:bottom w:val="single" w:color="000000" w:sz="6" w:space="0"/>
              <w:right w:val="single" w:color="auto" w:sz="4" w:space="0"/>
            </w:tcBorders>
            <w:vAlign w:val="center"/>
          </w:tcPr>
          <w:p>
            <w:pPr>
              <w:pStyle w:val="105"/>
              <w:rPr>
                <w:color w:val="auto"/>
                <w:szCs w:val="21"/>
                <w:highlight w:val="none"/>
              </w:rPr>
            </w:pPr>
            <w:r>
              <w:rPr>
                <w:rFonts w:hint="eastAsia"/>
                <w:color w:val="auto"/>
                <w:szCs w:val="21"/>
                <w:highlight w:val="none"/>
              </w:rPr>
              <w:t>0.0008</w:t>
            </w:r>
          </w:p>
        </w:tc>
        <w:tc>
          <w:tcPr>
            <w:tcW w:w="715" w:type="dxa"/>
            <w:tcBorders>
              <w:top w:val="single" w:color="000000" w:sz="6" w:space="0"/>
              <w:left w:val="single" w:color="auto" w:sz="4" w:space="0"/>
              <w:bottom w:val="single" w:color="000000" w:sz="6" w:space="0"/>
              <w:right w:val="single" w:color="auto" w:sz="4" w:space="0"/>
            </w:tcBorders>
            <w:vAlign w:val="center"/>
          </w:tcPr>
          <w:p>
            <w:pPr>
              <w:pStyle w:val="105"/>
              <w:rPr>
                <w:color w:val="auto"/>
                <w:szCs w:val="21"/>
                <w:highlight w:val="none"/>
              </w:rPr>
            </w:pPr>
            <w:r>
              <w:rPr>
                <w:rFonts w:hint="eastAsia"/>
                <w:color w:val="auto"/>
                <w:szCs w:val="21"/>
                <w:highlight w:val="none"/>
              </w:rPr>
              <w:t>0.029</w:t>
            </w:r>
          </w:p>
        </w:tc>
        <w:tc>
          <w:tcPr>
            <w:tcW w:w="828" w:type="dxa"/>
            <w:tcBorders>
              <w:top w:val="single" w:color="000000" w:sz="6" w:space="0"/>
              <w:left w:val="single" w:color="auto" w:sz="4" w:space="0"/>
              <w:bottom w:val="single" w:color="000000" w:sz="6" w:space="0"/>
              <w:right w:val="single" w:color="auto" w:sz="4" w:space="0"/>
            </w:tcBorders>
            <w:vAlign w:val="center"/>
          </w:tcPr>
          <w:p>
            <w:pPr>
              <w:pStyle w:val="105"/>
              <w:rPr>
                <w:color w:val="auto"/>
                <w:szCs w:val="21"/>
                <w:highlight w:val="none"/>
              </w:rPr>
            </w:pPr>
            <w:r>
              <w:rPr>
                <w:rFonts w:hint="eastAsia"/>
                <w:color w:val="auto"/>
                <w:szCs w:val="21"/>
                <w:highlight w:val="none"/>
              </w:rPr>
              <w:t>0.00046</w:t>
            </w:r>
          </w:p>
        </w:tc>
        <w:tc>
          <w:tcPr>
            <w:tcW w:w="806" w:type="dxa"/>
            <w:tcBorders>
              <w:top w:val="single" w:color="000000" w:sz="6" w:space="0"/>
              <w:left w:val="single" w:color="auto" w:sz="4" w:space="0"/>
              <w:bottom w:val="single" w:color="000000" w:sz="6" w:space="0"/>
              <w:right w:val="single" w:color="auto" w:sz="4" w:space="0"/>
            </w:tcBorders>
            <w:vAlign w:val="center"/>
          </w:tcPr>
          <w:p>
            <w:pPr>
              <w:pStyle w:val="105"/>
              <w:rPr>
                <w:color w:val="auto"/>
                <w:szCs w:val="21"/>
                <w:highlight w:val="none"/>
              </w:rPr>
            </w:pPr>
            <w:r>
              <w:rPr>
                <w:rFonts w:hint="eastAsia"/>
                <w:color w:val="auto"/>
                <w:szCs w:val="21"/>
                <w:highlight w:val="none"/>
              </w:rPr>
              <w:t>0.025</w:t>
            </w:r>
          </w:p>
        </w:tc>
        <w:tc>
          <w:tcPr>
            <w:tcW w:w="948" w:type="dxa"/>
            <w:tcBorders>
              <w:top w:val="single" w:color="000000" w:sz="6" w:space="0"/>
              <w:left w:val="single" w:color="auto" w:sz="4" w:space="0"/>
              <w:bottom w:val="single" w:color="000000" w:sz="6" w:space="0"/>
              <w:right w:val="single" w:color="auto" w:sz="4" w:space="0"/>
            </w:tcBorders>
            <w:vAlign w:val="center"/>
          </w:tcPr>
          <w:p>
            <w:pPr>
              <w:pStyle w:val="105"/>
              <w:rPr>
                <w:color w:val="auto"/>
                <w:szCs w:val="21"/>
                <w:highlight w:val="none"/>
              </w:rPr>
            </w:pPr>
            <w:r>
              <w:rPr>
                <w:rFonts w:hint="eastAsia"/>
                <w:color w:val="auto"/>
                <w:szCs w:val="21"/>
                <w:highlight w:val="none"/>
              </w:rPr>
              <w:t>0.0082</w:t>
            </w:r>
          </w:p>
        </w:tc>
        <w:tc>
          <w:tcPr>
            <w:tcW w:w="1005" w:type="dxa"/>
            <w:tcBorders>
              <w:top w:val="single" w:color="000000" w:sz="6" w:space="0"/>
              <w:left w:val="single" w:color="auto" w:sz="4" w:space="0"/>
              <w:bottom w:val="single" w:color="000000" w:sz="6" w:space="0"/>
              <w:right w:val="nil"/>
            </w:tcBorders>
            <w:vAlign w:val="center"/>
          </w:tcPr>
          <w:p>
            <w:pPr>
              <w:pStyle w:val="105"/>
              <w:rPr>
                <w:color w:val="auto"/>
                <w:szCs w:val="21"/>
                <w:highlight w:val="none"/>
              </w:rPr>
            </w:pPr>
            <w:r>
              <w:rPr>
                <w:rFonts w:hint="eastAsia"/>
                <w:color w:val="auto"/>
                <w:szCs w:val="21"/>
                <w:highlight w:val="none"/>
              </w:rPr>
              <w:t>0.13</w:t>
            </w:r>
          </w:p>
        </w:tc>
        <w:tc>
          <w:tcPr>
            <w:tcW w:w="602" w:type="pct"/>
            <w:tcBorders>
              <w:top w:val="single" w:color="000000" w:sz="6" w:space="0"/>
              <w:left w:val="single" w:color="auto" w:sz="4" w:space="0"/>
              <w:bottom w:val="single" w:color="000000" w:sz="6" w:space="0"/>
              <w:right w:val="nil"/>
            </w:tcBorders>
            <w:vAlign w:val="center"/>
          </w:tcPr>
          <w:p>
            <w:pPr>
              <w:pStyle w:val="105"/>
              <w:rPr>
                <w:color w:val="auto"/>
                <w:szCs w:val="21"/>
                <w:highlight w:val="none"/>
              </w:rPr>
            </w:pPr>
            <w:r>
              <w:rPr>
                <w:rFonts w:hint="eastAsia"/>
                <w:color w:val="auto"/>
                <w:szCs w:val="21"/>
                <w:highlight w:val="none"/>
              </w:rPr>
              <w:t>/</w:t>
            </w:r>
          </w:p>
        </w:tc>
        <w:tc>
          <w:tcPr>
            <w:tcW w:w="687" w:type="pct"/>
            <w:tcBorders>
              <w:top w:val="single" w:color="000000" w:sz="6" w:space="0"/>
              <w:left w:val="single" w:color="auto" w:sz="4" w:space="0"/>
              <w:bottom w:val="single" w:color="000000" w:sz="6" w:space="0"/>
              <w:right w:val="nil"/>
            </w:tcBorders>
            <w:vAlign w:val="center"/>
          </w:tcPr>
          <w:p>
            <w:pPr>
              <w:pStyle w:val="105"/>
              <w:rPr>
                <w:color w:val="auto"/>
                <w:szCs w:val="21"/>
                <w:highlight w:val="none"/>
              </w:rPr>
            </w:pPr>
            <w:r>
              <w:rPr>
                <w:rFonts w:hint="eastAsia"/>
                <w:color w:val="auto"/>
                <w:szCs w:val="21"/>
                <w:highlight w:val="none"/>
              </w:rPr>
              <w:t>0.000004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40" w:hRule="atLeast"/>
        </w:trPr>
        <w:tc>
          <w:tcPr>
            <w:tcW w:w="773" w:type="pct"/>
            <w:tcBorders>
              <w:top w:val="single" w:color="000000" w:sz="6" w:space="0"/>
              <w:left w:val="nil"/>
              <w:bottom w:val="single" w:color="000000" w:sz="6" w:space="0"/>
              <w:right w:val="single" w:color="000000" w:sz="6" w:space="0"/>
            </w:tcBorders>
            <w:vAlign w:val="center"/>
          </w:tcPr>
          <w:p>
            <w:pPr>
              <w:jc w:val="center"/>
              <w:rPr>
                <w:color w:val="auto"/>
                <w:highlight w:val="none"/>
              </w:rPr>
            </w:pPr>
            <w:r>
              <w:rPr>
                <w:rFonts w:hint="eastAsia"/>
                <w:color w:val="auto"/>
                <w:highlight w:val="none"/>
              </w:rPr>
              <w:t>2#</w:t>
            </w:r>
            <w:r>
              <w:rPr>
                <w:color w:val="auto"/>
                <w:highlight w:val="none"/>
              </w:rPr>
              <w:t>(0.</w:t>
            </w:r>
            <w:r>
              <w:rPr>
                <w:rFonts w:hint="eastAsia"/>
                <w:color w:val="auto"/>
                <w:highlight w:val="none"/>
              </w:rPr>
              <w:t>2</w:t>
            </w:r>
            <w:r>
              <w:rPr>
                <w:color w:val="auto"/>
                <w:highlight w:val="none"/>
              </w:rPr>
              <w:t>m)</w:t>
            </w:r>
          </w:p>
        </w:tc>
        <w:tc>
          <w:tcPr>
            <w:tcW w:w="888" w:type="dxa"/>
            <w:tcBorders>
              <w:top w:val="single" w:color="000000" w:sz="6" w:space="0"/>
              <w:left w:val="single" w:color="000000" w:sz="6" w:space="0"/>
              <w:bottom w:val="single" w:color="000000" w:sz="6" w:space="0"/>
              <w:right w:val="single" w:color="auto" w:sz="4" w:space="0"/>
            </w:tcBorders>
            <w:vAlign w:val="center"/>
          </w:tcPr>
          <w:p>
            <w:pPr>
              <w:pStyle w:val="105"/>
              <w:rPr>
                <w:color w:val="auto"/>
                <w:szCs w:val="21"/>
                <w:highlight w:val="none"/>
              </w:rPr>
            </w:pPr>
            <w:r>
              <w:rPr>
                <w:rFonts w:hint="eastAsia"/>
                <w:color w:val="auto"/>
                <w:szCs w:val="21"/>
                <w:highlight w:val="none"/>
              </w:rPr>
              <w:t>0.0015</w:t>
            </w:r>
          </w:p>
        </w:tc>
        <w:tc>
          <w:tcPr>
            <w:tcW w:w="715" w:type="dxa"/>
            <w:tcBorders>
              <w:top w:val="single" w:color="000000" w:sz="6" w:space="0"/>
              <w:left w:val="single" w:color="auto" w:sz="4" w:space="0"/>
              <w:bottom w:val="single" w:color="000000" w:sz="6" w:space="0"/>
              <w:right w:val="single" w:color="auto" w:sz="4" w:space="0"/>
            </w:tcBorders>
            <w:vAlign w:val="center"/>
          </w:tcPr>
          <w:p>
            <w:pPr>
              <w:pStyle w:val="105"/>
              <w:rPr>
                <w:color w:val="auto"/>
                <w:szCs w:val="21"/>
                <w:highlight w:val="none"/>
              </w:rPr>
            </w:pPr>
            <w:r>
              <w:rPr>
                <w:rFonts w:hint="eastAsia"/>
                <w:color w:val="auto"/>
                <w:szCs w:val="21"/>
                <w:highlight w:val="none"/>
              </w:rPr>
              <w:t>0.03</w:t>
            </w:r>
          </w:p>
        </w:tc>
        <w:tc>
          <w:tcPr>
            <w:tcW w:w="828" w:type="dxa"/>
            <w:tcBorders>
              <w:top w:val="single" w:color="000000" w:sz="6" w:space="0"/>
              <w:left w:val="single" w:color="auto" w:sz="4" w:space="0"/>
              <w:bottom w:val="single" w:color="000000" w:sz="6" w:space="0"/>
              <w:right w:val="single" w:color="auto" w:sz="4" w:space="0"/>
            </w:tcBorders>
            <w:vAlign w:val="center"/>
          </w:tcPr>
          <w:p>
            <w:pPr>
              <w:pStyle w:val="105"/>
              <w:rPr>
                <w:color w:val="auto"/>
                <w:szCs w:val="21"/>
                <w:highlight w:val="none"/>
              </w:rPr>
            </w:pPr>
            <w:r>
              <w:rPr>
                <w:rFonts w:hint="eastAsia"/>
                <w:color w:val="auto"/>
                <w:szCs w:val="21"/>
                <w:highlight w:val="none"/>
              </w:rPr>
              <w:t>0.0012</w:t>
            </w:r>
          </w:p>
        </w:tc>
        <w:tc>
          <w:tcPr>
            <w:tcW w:w="806" w:type="dxa"/>
            <w:tcBorders>
              <w:top w:val="single" w:color="000000" w:sz="6" w:space="0"/>
              <w:left w:val="single" w:color="auto" w:sz="4" w:space="0"/>
              <w:bottom w:val="single" w:color="000000" w:sz="6" w:space="0"/>
              <w:right w:val="single" w:color="auto" w:sz="4" w:space="0"/>
            </w:tcBorders>
            <w:vAlign w:val="center"/>
          </w:tcPr>
          <w:p>
            <w:pPr>
              <w:pStyle w:val="105"/>
              <w:rPr>
                <w:color w:val="auto"/>
                <w:szCs w:val="21"/>
                <w:highlight w:val="none"/>
              </w:rPr>
            </w:pPr>
            <w:r>
              <w:rPr>
                <w:rFonts w:hint="eastAsia"/>
                <w:color w:val="auto"/>
                <w:szCs w:val="21"/>
                <w:highlight w:val="none"/>
              </w:rPr>
              <w:t>0.048</w:t>
            </w:r>
          </w:p>
        </w:tc>
        <w:tc>
          <w:tcPr>
            <w:tcW w:w="948" w:type="dxa"/>
            <w:tcBorders>
              <w:top w:val="single" w:color="000000" w:sz="6" w:space="0"/>
              <w:left w:val="single" w:color="auto" w:sz="4" w:space="0"/>
              <w:bottom w:val="single" w:color="000000" w:sz="6" w:space="0"/>
              <w:right w:val="single" w:color="auto" w:sz="4" w:space="0"/>
            </w:tcBorders>
            <w:vAlign w:val="center"/>
          </w:tcPr>
          <w:p>
            <w:pPr>
              <w:pStyle w:val="105"/>
              <w:rPr>
                <w:color w:val="auto"/>
                <w:szCs w:val="21"/>
                <w:highlight w:val="none"/>
              </w:rPr>
            </w:pPr>
            <w:r>
              <w:rPr>
                <w:rFonts w:hint="eastAsia"/>
                <w:color w:val="auto"/>
                <w:szCs w:val="21"/>
                <w:highlight w:val="none"/>
              </w:rPr>
              <w:t>0.0039</w:t>
            </w:r>
          </w:p>
        </w:tc>
        <w:tc>
          <w:tcPr>
            <w:tcW w:w="1005" w:type="dxa"/>
            <w:tcBorders>
              <w:top w:val="single" w:color="000000" w:sz="6" w:space="0"/>
              <w:left w:val="single" w:color="auto" w:sz="4" w:space="0"/>
              <w:bottom w:val="single" w:color="000000" w:sz="6" w:space="0"/>
              <w:right w:val="nil"/>
            </w:tcBorders>
            <w:vAlign w:val="center"/>
          </w:tcPr>
          <w:p>
            <w:pPr>
              <w:pStyle w:val="105"/>
              <w:rPr>
                <w:color w:val="auto"/>
                <w:szCs w:val="21"/>
                <w:highlight w:val="none"/>
              </w:rPr>
            </w:pPr>
            <w:r>
              <w:rPr>
                <w:rFonts w:hint="eastAsia"/>
                <w:color w:val="auto"/>
                <w:szCs w:val="21"/>
                <w:highlight w:val="none"/>
              </w:rPr>
              <w:t>0.18</w:t>
            </w:r>
          </w:p>
        </w:tc>
        <w:tc>
          <w:tcPr>
            <w:tcW w:w="602" w:type="pct"/>
            <w:tcBorders>
              <w:top w:val="single" w:color="000000" w:sz="6" w:space="0"/>
              <w:left w:val="single" w:color="auto" w:sz="4" w:space="0"/>
              <w:bottom w:val="single" w:color="000000" w:sz="6" w:space="0"/>
              <w:right w:val="nil"/>
            </w:tcBorders>
            <w:vAlign w:val="center"/>
          </w:tcPr>
          <w:p>
            <w:pPr>
              <w:pStyle w:val="105"/>
              <w:rPr>
                <w:color w:val="auto"/>
                <w:szCs w:val="21"/>
                <w:highlight w:val="none"/>
              </w:rPr>
            </w:pPr>
            <w:r>
              <w:rPr>
                <w:rFonts w:hint="eastAsia"/>
                <w:color w:val="auto"/>
                <w:szCs w:val="21"/>
                <w:highlight w:val="none"/>
              </w:rPr>
              <w:t>0.0014</w:t>
            </w:r>
          </w:p>
        </w:tc>
        <w:tc>
          <w:tcPr>
            <w:tcW w:w="687" w:type="pct"/>
            <w:tcBorders>
              <w:top w:val="single" w:color="000000" w:sz="6" w:space="0"/>
              <w:left w:val="single" w:color="auto" w:sz="4" w:space="0"/>
              <w:bottom w:val="single" w:color="000000" w:sz="6" w:space="0"/>
              <w:right w:val="nil"/>
            </w:tcBorders>
            <w:vAlign w:val="center"/>
          </w:tcPr>
          <w:p>
            <w:pPr>
              <w:pStyle w:val="105"/>
              <w:rPr>
                <w:color w:val="auto"/>
                <w:szCs w:val="21"/>
                <w:highlight w:val="none"/>
              </w:rPr>
            </w:pPr>
            <w:r>
              <w:rPr>
                <w:rFonts w:hint="eastAsia"/>
                <w:color w:val="auto"/>
                <w:szCs w:val="21"/>
                <w:highlight w:val="none"/>
              </w:rPr>
              <w:t>0.000005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40" w:hRule="atLeast"/>
        </w:trPr>
        <w:tc>
          <w:tcPr>
            <w:tcW w:w="773" w:type="pct"/>
            <w:tcBorders>
              <w:top w:val="single" w:color="000000" w:sz="6" w:space="0"/>
              <w:left w:val="nil"/>
              <w:bottom w:val="single" w:color="000000" w:sz="12" w:space="0"/>
              <w:right w:val="single" w:color="000000" w:sz="6" w:space="0"/>
            </w:tcBorders>
            <w:vAlign w:val="center"/>
          </w:tcPr>
          <w:p>
            <w:pPr>
              <w:spacing w:line="240" w:lineRule="exact"/>
              <w:jc w:val="center"/>
              <w:rPr>
                <w:color w:val="auto"/>
                <w:highlight w:val="none"/>
              </w:rPr>
            </w:pPr>
            <w:r>
              <w:rPr>
                <w:rFonts w:hint="eastAsia"/>
                <w:color w:val="auto"/>
                <w:highlight w:val="none"/>
              </w:rPr>
              <w:t>3#</w:t>
            </w:r>
            <w:r>
              <w:rPr>
                <w:color w:val="auto"/>
                <w:highlight w:val="none"/>
              </w:rPr>
              <w:t>(0.</w:t>
            </w:r>
            <w:r>
              <w:rPr>
                <w:rFonts w:hint="eastAsia"/>
                <w:color w:val="auto"/>
                <w:highlight w:val="none"/>
              </w:rPr>
              <w:t>2</w:t>
            </w:r>
            <w:r>
              <w:rPr>
                <w:color w:val="auto"/>
                <w:highlight w:val="none"/>
              </w:rPr>
              <w:t>m)</w:t>
            </w:r>
          </w:p>
        </w:tc>
        <w:tc>
          <w:tcPr>
            <w:tcW w:w="888" w:type="dxa"/>
            <w:tcBorders>
              <w:top w:val="single" w:color="000000" w:sz="6" w:space="0"/>
              <w:left w:val="single" w:color="000000" w:sz="6" w:space="0"/>
              <w:bottom w:val="single" w:color="000000" w:sz="12" w:space="0"/>
              <w:right w:val="single" w:color="auto" w:sz="4" w:space="0"/>
            </w:tcBorders>
            <w:vAlign w:val="center"/>
          </w:tcPr>
          <w:p>
            <w:pPr>
              <w:pStyle w:val="105"/>
              <w:rPr>
                <w:color w:val="auto"/>
                <w:szCs w:val="21"/>
                <w:highlight w:val="none"/>
              </w:rPr>
            </w:pPr>
            <w:r>
              <w:rPr>
                <w:rFonts w:hint="eastAsia"/>
                <w:color w:val="auto"/>
                <w:szCs w:val="21"/>
                <w:highlight w:val="none"/>
              </w:rPr>
              <w:t>0.0011</w:t>
            </w:r>
          </w:p>
        </w:tc>
        <w:tc>
          <w:tcPr>
            <w:tcW w:w="715" w:type="dxa"/>
            <w:tcBorders>
              <w:top w:val="single" w:color="000000" w:sz="6" w:space="0"/>
              <w:left w:val="single" w:color="auto" w:sz="4" w:space="0"/>
              <w:bottom w:val="single" w:color="000000" w:sz="12" w:space="0"/>
              <w:right w:val="single" w:color="auto" w:sz="4" w:space="0"/>
            </w:tcBorders>
            <w:vAlign w:val="center"/>
          </w:tcPr>
          <w:p>
            <w:pPr>
              <w:pStyle w:val="105"/>
              <w:rPr>
                <w:color w:val="auto"/>
                <w:szCs w:val="21"/>
                <w:highlight w:val="none"/>
              </w:rPr>
            </w:pPr>
            <w:r>
              <w:rPr>
                <w:rFonts w:hint="eastAsia"/>
                <w:color w:val="auto"/>
                <w:szCs w:val="21"/>
                <w:highlight w:val="none"/>
              </w:rPr>
              <w:t>0.02</w:t>
            </w:r>
          </w:p>
        </w:tc>
        <w:tc>
          <w:tcPr>
            <w:tcW w:w="828" w:type="dxa"/>
            <w:tcBorders>
              <w:top w:val="single" w:color="000000" w:sz="6" w:space="0"/>
              <w:left w:val="single" w:color="auto" w:sz="4" w:space="0"/>
              <w:bottom w:val="single" w:color="000000" w:sz="12" w:space="0"/>
              <w:right w:val="single" w:color="auto" w:sz="4" w:space="0"/>
            </w:tcBorders>
            <w:vAlign w:val="center"/>
          </w:tcPr>
          <w:p>
            <w:pPr>
              <w:pStyle w:val="105"/>
              <w:rPr>
                <w:color w:val="auto"/>
                <w:szCs w:val="21"/>
                <w:highlight w:val="none"/>
              </w:rPr>
            </w:pPr>
            <w:r>
              <w:rPr>
                <w:rFonts w:hint="eastAsia"/>
                <w:color w:val="auto"/>
                <w:szCs w:val="21"/>
                <w:highlight w:val="none"/>
              </w:rPr>
              <w:t>0.00046</w:t>
            </w:r>
          </w:p>
        </w:tc>
        <w:tc>
          <w:tcPr>
            <w:tcW w:w="806" w:type="dxa"/>
            <w:tcBorders>
              <w:top w:val="single" w:color="000000" w:sz="6" w:space="0"/>
              <w:left w:val="single" w:color="auto" w:sz="4" w:space="0"/>
              <w:bottom w:val="single" w:color="000000" w:sz="12" w:space="0"/>
              <w:right w:val="single" w:color="auto" w:sz="4" w:space="0"/>
            </w:tcBorders>
            <w:vAlign w:val="center"/>
          </w:tcPr>
          <w:p>
            <w:pPr>
              <w:pStyle w:val="105"/>
              <w:rPr>
                <w:color w:val="auto"/>
                <w:szCs w:val="21"/>
                <w:highlight w:val="none"/>
              </w:rPr>
            </w:pPr>
            <w:r>
              <w:rPr>
                <w:rFonts w:hint="eastAsia"/>
                <w:color w:val="auto"/>
                <w:szCs w:val="21"/>
                <w:highlight w:val="none"/>
              </w:rPr>
              <w:t>0.024</w:t>
            </w:r>
          </w:p>
        </w:tc>
        <w:tc>
          <w:tcPr>
            <w:tcW w:w="948" w:type="dxa"/>
            <w:tcBorders>
              <w:top w:val="single" w:color="000000" w:sz="6" w:space="0"/>
              <w:left w:val="single" w:color="auto" w:sz="4" w:space="0"/>
              <w:bottom w:val="single" w:color="000000" w:sz="12" w:space="0"/>
              <w:right w:val="single" w:color="auto" w:sz="4" w:space="0"/>
            </w:tcBorders>
            <w:vAlign w:val="center"/>
          </w:tcPr>
          <w:p>
            <w:pPr>
              <w:pStyle w:val="105"/>
              <w:rPr>
                <w:color w:val="auto"/>
                <w:szCs w:val="21"/>
                <w:highlight w:val="none"/>
              </w:rPr>
            </w:pPr>
            <w:r>
              <w:rPr>
                <w:rFonts w:hint="eastAsia"/>
                <w:color w:val="auto"/>
                <w:szCs w:val="21"/>
                <w:highlight w:val="none"/>
              </w:rPr>
              <w:t>0.0031</w:t>
            </w:r>
          </w:p>
        </w:tc>
        <w:tc>
          <w:tcPr>
            <w:tcW w:w="1005" w:type="dxa"/>
            <w:tcBorders>
              <w:top w:val="single" w:color="000000" w:sz="6" w:space="0"/>
              <w:left w:val="single" w:color="auto" w:sz="4" w:space="0"/>
              <w:bottom w:val="single" w:color="000000" w:sz="12" w:space="0"/>
              <w:right w:val="nil"/>
            </w:tcBorders>
            <w:vAlign w:val="center"/>
          </w:tcPr>
          <w:p>
            <w:pPr>
              <w:pStyle w:val="105"/>
              <w:rPr>
                <w:color w:val="auto"/>
                <w:szCs w:val="21"/>
                <w:highlight w:val="none"/>
              </w:rPr>
            </w:pPr>
            <w:r>
              <w:rPr>
                <w:rFonts w:hint="eastAsia"/>
                <w:color w:val="auto"/>
                <w:szCs w:val="21"/>
                <w:highlight w:val="none"/>
              </w:rPr>
              <w:t>0.15</w:t>
            </w:r>
          </w:p>
        </w:tc>
        <w:tc>
          <w:tcPr>
            <w:tcW w:w="602" w:type="pct"/>
            <w:tcBorders>
              <w:top w:val="single" w:color="000000" w:sz="6" w:space="0"/>
              <w:left w:val="single" w:color="auto" w:sz="4" w:space="0"/>
              <w:bottom w:val="single" w:color="000000" w:sz="12" w:space="0"/>
              <w:right w:val="nil"/>
            </w:tcBorders>
            <w:vAlign w:val="center"/>
          </w:tcPr>
          <w:p>
            <w:pPr>
              <w:pStyle w:val="105"/>
              <w:rPr>
                <w:color w:val="auto"/>
                <w:szCs w:val="21"/>
                <w:highlight w:val="none"/>
              </w:rPr>
            </w:pPr>
            <w:r>
              <w:rPr>
                <w:rFonts w:hint="eastAsia"/>
                <w:color w:val="auto"/>
                <w:szCs w:val="21"/>
                <w:highlight w:val="none"/>
              </w:rPr>
              <w:t>0.0016</w:t>
            </w:r>
          </w:p>
        </w:tc>
        <w:tc>
          <w:tcPr>
            <w:tcW w:w="687" w:type="pct"/>
            <w:tcBorders>
              <w:top w:val="single" w:color="000000" w:sz="6" w:space="0"/>
              <w:left w:val="single" w:color="auto" w:sz="4" w:space="0"/>
              <w:bottom w:val="single" w:color="000000" w:sz="12" w:space="0"/>
              <w:right w:val="nil"/>
            </w:tcBorders>
            <w:vAlign w:val="center"/>
          </w:tcPr>
          <w:p>
            <w:pPr>
              <w:pStyle w:val="105"/>
              <w:rPr>
                <w:color w:val="auto"/>
                <w:szCs w:val="21"/>
                <w:highlight w:val="none"/>
              </w:rPr>
            </w:pPr>
            <w:r>
              <w:rPr>
                <w:rFonts w:hint="eastAsia"/>
                <w:color w:val="auto"/>
                <w:szCs w:val="21"/>
                <w:highlight w:val="none"/>
              </w:rPr>
              <w:t>0.000005</w:t>
            </w:r>
          </w:p>
        </w:tc>
      </w:tr>
    </w:tbl>
    <w:p>
      <w:pPr>
        <w:pStyle w:val="99"/>
        <w:ind w:firstLine="480"/>
        <w:rPr>
          <w:color w:val="auto"/>
          <w:highlight w:val="none"/>
        </w:rPr>
      </w:pPr>
      <w:r>
        <w:rPr>
          <w:color w:val="auto"/>
          <w:highlight w:val="none"/>
        </w:rPr>
        <w:t>由上表可以看出，</w:t>
      </w:r>
      <w:r>
        <w:rPr>
          <w:rFonts w:hint="eastAsia"/>
          <w:color w:val="auto"/>
          <w:highlight w:val="none"/>
        </w:rPr>
        <w:t>1#~3#</w:t>
      </w:r>
      <w:r>
        <w:rPr>
          <w:color w:val="auto"/>
          <w:highlight w:val="none"/>
        </w:rPr>
        <w:t>点位各监测指标均满足《土壤环境质量 建设用地土壤污染风险管控标准（试行）》(GB36600-2018)中表1第二类用地标准要求</w:t>
      </w:r>
      <w:r>
        <w:rPr>
          <w:rFonts w:hint="eastAsia"/>
          <w:color w:val="auto"/>
          <w:highlight w:val="none"/>
        </w:rPr>
        <w:t>。</w:t>
      </w: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sectPr>
          <w:headerReference r:id="rId13" w:type="default"/>
          <w:headerReference r:id="rId14" w:type="even"/>
          <w:pgSz w:w="11906" w:h="16838"/>
          <w:pgMar w:top="1418" w:right="1418" w:bottom="1418" w:left="1701" w:header="851" w:footer="992" w:gutter="0"/>
          <w:pgBorders>
            <w:top w:val="none" w:sz="0" w:space="0"/>
            <w:left w:val="none" w:sz="0" w:space="0"/>
            <w:bottom w:val="none" w:sz="0" w:space="0"/>
            <w:right w:val="none" w:sz="0" w:space="0"/>
          </w:pgBorders>
          <w:cols w:space="425" w:num="1"/>
          <w:docGrid w:type="lines" w:linePitch="312" w:charSpace="0"/>
        </w:sectPr>
      </w:pPr>
    </w:p>
    <w:p>
      <w:pPr>
        <w:pStyle w:val="98"/>
        <w:spacing w:before="156"/>
        <w:rPr>
          <w:rFonts w:ascii="Times New Roman" w:hAnsi="Times New Roman"/>
          <w:color w:val="auto"/>
          <w:highlight w:val="none"/>
        </w:rPr>
      </w:pPr>
      <w:bookmarkStart w:id="136" w:name="_Toc27728"/>
      <w:bookmarkStart w:id="137" w:name="_Toc66281285"/>
      <w:r>
        <w:rPr>
          <w:rFonts w:ascii="Times New Roman" w:hAnsi="Times New Roman"/>
          <w:color w:val="auto"/>
          <w:highlight w:val="none"/>
        </w:rPr>
        <w:t>4.环境影响预测与评价</w:t>
      </w:r>
      <w:bookmarkEnd w:id="136"/>
      <w:bookmarkEnd w:id="137"/>
    </w:p>
    <w:p>
      <w:pPr>
        <w:pStyle w:val="100"/>
        <w:spacing w:before="156"/>
        <w:rPr>
          <w:rFonts w:ascii="Times New Roman" w:hAnsi="Times New Roman"/>
          <w:color w:val="auto"/>
          <w:highlight w:val="none"/>
        </w:rPr>
      </w:pPr>
      <w:bookmarkStart w:id="138" w:name="_Toc26720"/>
      <w:bookmarkStart w:id="139" w:name="_Toc66281286"/>
      <w:r>
        <w:rPr>
          <w:rFonts w:ascii="Times New Roman" w:hAnsi="Times New Roman"/>
          <w:color w:val="auto"/>
          <w:highlight w:val="none"/>
        </w:rPr>
        <w:t>4.1环境空气影响预测与评价</w:t>
      </w:r>
      <w:bookmarkEnd w:id="138"/>
      <w:bookmarkEnd w:id="139"/>
    </w:p>
    <w:p>
      <w:pPr>
        <w:pStyle w:val="101"/>
        <w:spacing w:before="0" w:beforeLines="0"/>
        <w:rPr>
          <w:rFonts w:ascii="Times New Roman" w:hAnsi="Times New Roman"/>
          <w:color w:val="auto"/>
          <w:highlight w:val="none"/>
        </w:rPr>
      </w:pPr>
      <w:r>
        <w:rPr>
          <w:rFonts w:ascii="Times New Roman" w:hAnsi="Times New Roman"/>
          <w:color w:val="auto"/>
          <w:highlight w:val="none"/>
        </w:rPr>
        <w:t>4.1.1</w:t>
      </w:r>
      <w:r>
        <w:rPr>
          <w:rFonts w:hint="eastAsia" w:ascii="Times New Roman" w:hAnsi="Times New Roman"/>
          <w:color w:val="auto"/>
          <w:highlight w:val="none"/>
        </w:rPr>
        <w:t>项目区域气象特征分析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color w:val="auto"/>
          <w:sz w:val="24"/>
          <w:highlight w:val="none"/>
        </w:rPr>
        <w:t>枣庄</w:t>
      </w:r>
      <w:r>
        <w:rPr>
          <w:rFonts w:hint="eastAsia"/>
          <w:color w:val="auto"/>
          <w:sz w:val="24"/>
          <w:highlight w:val="none"/>
        </w:rPr>
        <w:t>市峄城区</w:t>
      </w:r>
      <w:r>
        <w:rPr>
          <w:color w:val="auto"/>
          <w:sz w:val="24"/>
          <w:highlight w:val="none"/>
        </w:rPr>
        <w:t>气象站位于117</w:t>
      </w:r>
      <w:r>
        <w:rPr>
          <w:rFonts w:hint="eastAsia"/>
          <w:color w:val="auto"/>
          <w:sz w:val="24"/>
          <w:highlight w:val="none"/>
        </w:rPr>
        <w:t>.483</w:t>
      </w:r>
      <w:r>
        <w:rPr>
          <w:color w:val="auto"/>
          <w:sz w:val="24"/>
          <w:highlight w:val="none"/>
        </w:rPr>
        <w:t>°</w:t>
      </w:r>
      <w:r>
        <w:rPr>
          <w:rFonts w:hint="eastAsia"/>
          <w:color w:val="auto"/>
          <w:sz w:val="24"/>
          <w:highlight w:val="none"/>
        </w:rPr>
        <w:t>，</w:t>
      </w:r>
      <w:r>
        <w:rPr>
          <w:color w:val="auto"/>
          <w:sz w:val="24"/>
          <w:highlight w:val="none"/>
        </w:rPr>
        <w:t>34</w:t>
      </w:r>
      <w:r>
        <w:rPr>
          <w:rFonts w:hint="eastAsia"/>
          <w:color w:val="auto"/>
          <w:sz w:val="24"/>
          <w:highlight w:val="none"/>
        </w:rPr>
        <w:t>.767</w:t>
      </w:r>
      <w:r>
        <w:rPr>
          <w:color w:val="auto"/>
          <w:sz w:val="24"/>
          <w:highlight w:val="none"/>
        </w:rPr>
        <w:t>°N</w:t>
      </w:r>
      <w:r>
        <w:rPr>
          <w:rFonts w:hint="eastAsia"/>
          <w:color w:val="auto"/>
          <w:sz w:val="24"/>
          <w:highlight w:val="none"/>
        </w:rPr>
        <w:t>，</w:t>
      </w:r>
      <w:r>
        <w:rPr>
          <w:color w:val="auto"/>
          <w:sz w:val="24"/>
          <w:highlight w:val="none"/>
        </w:rPr>
        <w:t>站台编号为58022，海拔高度为83.4m</w:t>
      </w:r>
      <w:r>
        <w:rPr>
          <w:rFonts w:hint="eastAsia"/>
          <w:color w:val="auto"/>
          <w:sz w:val="24"/>
          <w:highlight w:val="none"/>
        </w:rPr>
        <w:t>，</w:t>
      </w:r>
      <w:r>
        <w:rPr>
          <w:color w:val="auto"/>
          <w:sz w:val="24"/>
          <w:highlight w:val="none"/>
        </w:rPr>
        <w:t>台站类别属一般站。据调查，该气象站周围地理环境与气候条件与项目周围基本一致，</w:t>
      </w:r>
      <w:r>
        <w:rPr>
          <w:rFonts w:hint="eastAsia"/>
          <w:color w:val="auto"/>
          <w:sz w:val="24"/>
          <w:highlight w:val="none"/>
        </w:rPr>
        <w:t>是</w:t>
      </w:r>
      <w:r>
        <w:rPr>
          <w:color w:val="auto"/>
          <w:sz w:val="24"/>
          <w:highlight w:val="none"/>
        </w:rPr>
        <w:t>距离项目最近的国家气象站，</w:t>
      </w:r>
      <w:r>
        <w:rPr>
          <w:rFonts w:hint="eastAsia"/>
          <w:color w:val="auto"/>
          <w:sz w:val="24"/>
          <w:highlight w:val="none"/>
        </w:rPr>
        <w:t>拥有长期的气象观测资料，</w:t>
      </w:r>
      <w:r>
        <w:rPr>
          <w:color w:val="auto"/>
          <w:sz w:val="24"/>
          <w:highlight w:val="none"/>
        </w:rPr>
        <w:t>该气象站气象资料具有较好的适用性。</w:t>
      </w:r>
    </w:p>
    <w:p>
      <w:pPr>
        <w:adjustRightInd w:val="0"/>
        <w:snapToGrid w:val="0"/>
        <w:spacing w:line="360" w:lineRule="auto"/>
        <w:ind w:firstLine="482" w:firstLineChars="200"/>
        <w:rPr>
          <w:b/>
          <w:bCs/>
          <w:color w:val="auto"/>
          <w:sz w:val="24"/>
          <w:highlight w:val="none"/>
        </w:rPr>
      </w:pPr>
      <w:r>
        <w:rPr>
          <w:rFonts w:hint="eastAsia"/>
          <w:b/>
          <w:bCs/>
          <w:color w:val="auto"/>
          <w:sz w:val="24"/>
          <w:highlight w:val="none"/>
        </w:rPr>
        <w:t>1、气象概况</w:t>
      </w:r>
    </w:p>
    <w:p>
      <w:pPr>
        <w:adjustRightInd w:val="0"/>
        <w:snapToGrid w:val="0"/>
        <w:spacing w:line="360" w:lineRule="auto"/>
        <w:ind w:firstLine="480" w:firstLineChars="200"/>
        <w:rPr>
          <w:color w:val="auto"/>
          <w:sz w:val="24"/>
          <w:highlight w:val="none"/>
        </w:rPr>
      </w:pPr>
      <w:r>
        <w:rPr>
          <w:rFonts w:hint="eastAsia"/>
          <w:color w:val="auto"/>
          <w:sz w:val="24"/>
          <w:highlight w:val="none"/>
        </w:rPr>
        <w:t>据峄城气象站2000～2019年累计气象观测资料统计，主要气象特征如下：</w:t>
      </w:r>
    </w:p>
    <w:p>
      <w:pPr>
        <w:pStyle w:val="160"/>
        <w:spacing w:before="0" w:after="0" w:line="360" w:lineRule="auto"/>
        <w:ind w:left="105" w:leftChars="50" w:firstLine="480"/>
        <w:jc w:val="center"/>
        <w:rPr>
          <w:rFonts w:eastAsia="黑体" w:cs="Times New Roman"/>
          <w:color w:val="auto"/>
          <w:sz w:val="24"/>
          <w:szCs w:val="24"/>
          <w:highlight w:val="none"/>
        </w:rPr>
      </w:pPr>
      <w:r>
        <w:rPr>
          <w:rFonts w:eastAsia="黑体" w:cs="Times New Roman"/>
          <w:color w:val="auto"/>
          <w:sz w:val="24"/>
          <w:szCs w:val="24"/>
          <w:highlight w:val="none"/>
        </w:rPr>
        <w:t>表4.1-1</w:t>
      </w:r>
      <w:r>
        <w:rPr>
          <w:rFonts w:hint="eastAsia" w:eastAsia="黑体" w:cs="Times New Roman"/>
          <w:color w:val="auto"/>
          <w:sz w:val="24"/>
          <w:szCs w:val="24"/>
          <w:highlight w:val="none"/>
        </w:rPr>
        <w:t>峄城区气象站常规气象项目统计（2000~2019年）</w:t>
      </w:r>
    </w:p>
    <w:tbl>
      <w:tblPr>
        <w:tblStyle w:val="59"/>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279"/>
        <w:gridCol w:w="2794"/>
        <w:gridCol w:w="1439"/>
        <w:gridCol w:w="1845"/>
        <w:gridCol w:w="143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318" w:type="pct"/>
            <w:gridSpan w:val="2"/>
            <w:tcBorders>
              <w:top w:val="single" w:color="000000" w:sz="12" w:space="0"/>
              <w:left w:val="nil"/>
            </w:tcBorders>
            <w:shd w:val="clear" w:color="auto" w:fill="FFFFFF"/>
            <w:vAlign w:val="center"/>
          </w:tcPr>
          <w:p>
            <w:pPr>
              <w:pStyle w:val="137"/>
              <w:kinsoku w:val="0"/>
              <w:overflowPunct w:val="0"/>
              <w:spacing w:line="280" w:lineRule="exact"/>
              <w:jc w:val="center"/>
              <w:rPr>
                <w:rFonts w:ascii="Times New Roman" w:hAnsi="Times New Roman"/>
                <w:color w:val="auto"/>
                <w:kern w:val="2"/>
                <w:highlight w:val="none"/>
              </w:rPr>
            </w:pPr>
            <w:r>
              <w:rPr>
                <w:rFonts w:hint="eastAsia" w:ascii="宋体" w:hAnsi="宋体" w:eastAsia="宋体" w:cs="宋体"/>
                <w:color w:val="auto"/>
                <w:kern w:val="2"/>
                <w:sz w:val="21"/>
                <w:szCs w:val="21"/>
                <w:highlight w:val="none"/>
              </w:rPr>
              <w:t>统计项目</w:t>
            </w:r>
          </w:p>
        </w:tc>
        <w:tc>
          <w:tcPr>
            <w:tcW w:w="819" w:type="pct"/>
            <w:tcBorders>
              <w:top w:val="single" w:color="000000" w:sz="12" w:space="0"/>
            </w:tcBorders>
            <w:shd w:val="clear" w:color="auto" w:fill="FFFFFF"/>
            <w:vAlign w:val="center"/>
          </w:tcPr>
          <w:p>
            <w:pPr>
              <w:pStyle w:val="137"/>
              <w:kinsoku w:val="0"/>
              <w:overflowPunct w:val="0"/>
              <w:spacing w:line="280" w:lineRule="exact"/>
              <w:jc w:val="center"/>
              <w:rPr>
                <w:rFonts w:ascii="Times New Roman" w:hAnsi="Times New Roman"/>
                <w:color w:val="auto"/>
                <w:kern w:val="2"/>
                <w:highlight w:val="none"/>
              </w:rPr>
            </w:pPr>
            <w:r>
              <w:rPr>
                <w:rFonts w:hint="eastAsia" w:ascii="宋体" w:hAnsi="宋体" w:eastAsia="宋体" w:cs="宋体"/>
                <w:color w:val="auto"/>
                <w:kern w:val="2"/>
                <w:sz w:val="21"/>
                <w:szCs w:val="21"/>
                <w:highlight w:val="none"/>
              </w:rPr>
              <w:t>统计值</w:t>
            </w:r>
          </w:p>
        </w:tc>
        <w:tc>
          <w:tcPr>
            <w:tcW w:w="1050" w:type="pct"/>
            <w:tcBorders>
              <w:top w:val="single" w:color="000000" w:sz="12" w:space="0"/>
            </w:tcBorders>
            <w:shd w:val="clear" w:color="auto" w:fill="FFFFFF"/>
            <w:vAlign w:val="center"/>
          </w:tcPr>
          <w:p>
            <w:pPr>
              <w:pStyle w:val="137"/>
              <w:kinsoku w:val="0"/>
              <w:overflowPunct w:val="0"/>
              <w:spacing w:line="280" w:lineRule="exact"/>
              <w:jc w:val="center"/>
              <w:rPr>
                <w:rFonts w:ascii="Times New Roman" w:hAnsi="Times New Roman"/>
                <w:color w:val="auto"/>
                <w:kern w:val="2"/>
                <w:highlight w:val="none"/>
              </w:rPr>
            </w:pPr>
            <w:r>
              <w:rPr>
                <w:rFonts w:hint="eastAsia" w:ascii="宋体" w:hAnsi="宋体" w:eastAsia="宋体" w:cs="宋体"/>
                <w:color w:val="auto"/>
                <w:kern w:val="2"/>
                <w:sz w:val="21"/>
                <w:szCs w:val="21"/>
                <w:highlight w:val="none"/>
              </w:rPr>
              <w:t>极值出现时间</w:t>
            </w:r>
          </w:p>
        </w:tc>
        <w:tc>
          <w:tcPr>
            <w:tcW w:w="813" w:type="pct"/>
            <w:tcBorders>
              <w:top w:val="single" w:color="000000" w:sz="12" w:space="0"/>
              <w:right w:val="nil"/>
            </w:tcBorders>
            <w:shd w:val="clear" w:color="auto" w:fill="FFFFFF"/>
            <w:vAlign w:val="center"/>
          </w:tcPr>
          <w:p>
            <w:pPr>
              <w:pStyle w:val="137"/>
              <w:kinsoku w:val="0"/>
              <w:overflowPunct w:val="0"/>
              <w:spacing w:line="280" w:lineRule="exact"/>
              <w:jc w:val="center"/>
              <w:rPr>
                <w:rFonts w:ascii="Times New Roman" w:hAnsi="Times New Roman"/>
                <w:color w:val="auto"/>
                <w:kern w:val="2"/>
                <w:highlight w:val="none"/>
              </w:rPr>
            </w:pPr>
            <w:r>
              <w:rPr>
                <w:rFonts w:hint="eastAsia" w:ascii="宋体" w:hAnsi="宋体" w:eastAsia="宋体" w:cs="宋体"/>
                <w:color w:val="auto"/>
                <w:kern w:val="2"/>
                <w:sz w:val="21"/>
                <w:szCs w:val="21"/>
                <w:highlight w:val="none"/>
              </w:rPr>
              <w:t>极值</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318" w:type="pct"/>
            <w:gridSpan w:val="2"/>
            <w:tcBorders>
              <w:left w:val="nil"/>
            </w:tcBorders>
            <w:shd w:val="clear" w:color="auto" w:fill="FFFFFF"/>
            <w:vAlign w:val="center"/>
          </w:tcPr>
          <w:p>
            <w:pPr>
              <w:pStyle w:val="137"/>
              <w:kinsoku w:val="0"/>
              <w:overflowPunct w:val="0"/>
              <w:spacing w:line="280" w:lineRule="exact"/>
              <w:jc w:val="center"/>
              <w:rPr>
                <w:rFonts w:ascii="Times New Roman" w:hAnsi="Times New Roman"/>
                <w:color w:val="auto"/>
                <w:kern w:val="2"/>
                <w:highlight w:val="none"/>
              </w:rPr>
            </w:pPr>
            <w:r>
              <w:rPr>
                <w:rFonts w:hint="eastAsia" w:ascii="宋体" w:hAnsi="宋体" w:eastAsia="宋体" w:cs="宋体"/>
                <w:color w:val="auto"/>
                <w:kern w:val="2"/>
                <w:sz w:val="21"/>
                <w:szCs w:val="21"/>
                <w:highlight w:val="none"/>
              </w:rPr>
              <w:t>多年平均气温（℃）</w:t>
            </w:r>
          </w:p>
        </w:tc>
        <w:tc>
          <w:tcPr>
            <w:tcW w:w="819" w:type="pct"/>
            <w:shd w:val="clear" w:color="auto" w:fill="FFFFFF"/>
            <w:vAlign w:val="center"/>
          </w:tcPr>
          <w:p>
            <w:pPr>
              <w:pStyle w:val="137"/>
              <w:kinsoku w:val="0"/>
              <w:overflowPunct w:val="0"/>
              <w:spacing w:line="280" w:lineRule="exact"/>
              <w:jc w:val="center"/>
              <w:rPr>
                <w:rFonts w:ascii="Times New Roman" w:hAnsi="Times New Roman"/>
                <w:color w:val="auto"/>
                <w:kern w:val="2"/>
                <w:highlight w:val="none"/>
              </w:rPr>
            </w:pPr>
            <w:r>
              <w:rPr>
                <w:rFonts w:ascii="Times New Roman" w:hAnsi="Times New Roman"/>
                <w:color w:val="auto"/>
                <w:kern w:val="2"/>
                <w:sz w:val="21"/>
                <w:szCs w:val="21"/>
                <w:highlight w:val="none"/>
              </w:rPr>
              <w:t>14.92</w:t>
            </w:r>
          </w:p>
        </w:tc>
        <w:tc>
          <w:tcPr>
            <w:tcW w:w="1050" w:type="pct"/>
            <w:shd w:val="clear" w:color="auto" w:fill="FFFFFF"/>
            <w:vAlign w:val="center"/>
          </w:tcPr>
          <w:p>
            <w:pPr>
              <w:autoSpaceDE w:val="0"/>
              <w:autoSpaceDN w:val="0"/>
              <w:spacing w:line="280" w:lineRule="exact"/>
              <w:jc w:val="center"/>
              <w:rPr>
                <w:color w:val="auto"/>
                <w:sz w:val="24"/>
                <w:highlight w:val="none"/>
              </w:rPr>
            </w:pPr>
          </w:p>
        </w:tc>
        <w:tc>
          <w:tcPr>
            <w:tcW w:w="813" w:type="pct"/>
            <w:tcBorders>
              <w:right w:val="nil"/>
            </w:tcBorders>
            <w:shd w:val="clear" w:color="auto" w:fill="FFFFFF"/>
            <w:vAlign w:val="center"/>
          </w:tcPr>
          <w:p>
            <w:pPr>
              <w:autoSpaceDE w:val="0"/>
              <w:autoSpaceDN w:val="0"/>
              <w:spacing w:line="280" w:lineRule="exact"/>
              <w:jc w:val="center"/>
              <w:rPr>
                <w:color w:val="auto"/>
                <w:sz w:val="24"/>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318" w:type="pct"/>
            <w:gridSpan w:val="2"/>
            <w:tcBorders>
              <w:left w:val="nil"/>
            </w:tcBorders>
            <w:shd w:val="clear" w:color="auto" w:fill="FFFFFF"/>
            <w:vAlign w:val="center"/>
          </w:tcPr>
          <w:p>
            <w:pPr>
              <w:pStyle w:val="137"/>
              <w:kinsoku w:val="0"/>
              <w:overflowPunct w:val="0"/>
              <w:spacing w:line="280" w:lineRule="exact"/>
              <w:jc w:val="center"/>
              <w:rPr>
                <w:rFonts w:ascii="Times New Roman" w:hAnsi="Times New Roman"/>
                <w:color w:val="auto"/>
                <w:kern w:val="2"/>
                <w:highlight w:val="none"/>
                <w:lang w:eastAsia="zh-CN"/>
              </w:rPr>
            </w:pPr>
            <w:r>
              <w:rPr>
                <w:rFonts w:hint="eastAsia" w:ascii="宋体" w:hAnsi="宋体" w:eastAsia="宋体" w:cs="宋体"/>
                <w:color w:val="auto"/>
                <w:kern w:val="2"/>
                <w:sz w:val="21"/>
                <w:szCs w:val="21"/>
                <w:highlight w:val="none"/>
                <w:lang w:eastAsia="zh-CN"/>
              </w:rPr>
              <w:t>累年极端最高气温（℃）</w:t>
            </w:r>
          </w:p>
        </w:tc>
        <w:tc>
          <w:tcPr>
            <w:tcW w:w="819" w:type="pct"/>
            <w:shd w:val="clear" w:color="auto" w:fill="FFFFFF"/>
            <w:vAlign w:val="center"/>
          </w:tcPr>
          <w:p>
            <w:pPr>
              <w:pStyle w:val="137"/>
              <w:kinsoku w:val="0"/>
              <w:overflowPunct w:val="0"/>
              <w:spacing w:line="280" w:lineRule="exact"/>
              <w:jc w:val="center"/>
              <w:rPr>
                <w:rFonts w:ascii="Times New Roman" w:hAnsi="Times New Roman"/>
                <w:color w:val="auto"/>
                <w:kern w:val="2"/>
                <w:highlight w:val="none"/>
              </w:rPr>
            </w:pPr>
            <w:r>
              <w:rPr>
                <w:rFonts w:ascii="Times New Roman" w:hAnsi="Times New Roman"/>
                <w:color w:val="auto"/>
                <w:kern w:val="2"/>
                <w:sz w:val="21"/>
                <w:szCs w:val="21"/>
                <w:highlight w:val="none"/>
              </w:rPr>
              <w:t>37.61</w:t>
            </w:r>
          </w:p>
        </w:tc>
        <w:tc>
          <w:tcPr>
            <w:tcW w:w="1050" w:type="pct"/>
            <w:shd w:val="clear" w:color="auto" w:fill="FFFFFF"/>
            <w:vAlign w:val="center"/>
          </w:tcPr>
          <w:p>
            <w:pPr>
              <w:pStyle w:val="137"/>
              <w:kinsoku w:val="0"/>
              <w:overflowPunct w:val="0"/>
              <w:spacing w:line="280" w:lineRule="exact"/>
              <w:jc w:val="center"/>
              <w:rPr>
                <w:rFonts w:ascii="Times New Roman" w:hAnsi="Times New Roman"/>
                <w:color w:val="auto"/>
                <w:kern w:val="2"/>
                <w:highlight w:val="none"/>
              </w:rPr>
            </w:pPr>
            <w:r>
              <w:rPr>
                <w:rFonts w:ascii="Times New Roman" w:hAnsi="Times New Roman"/>
                <w:color w:val="auto"/>
                <w:kern w:val="2"/>
                <w:sz w:val="21"/>
                <w:szCs w:val="21"/>
                <w:highlight w:val="none"/>
              </w:rPr>
              <w:t>2002-07-15</w:t>
            </w:r>
          </w:p>
        </w:tc>
        <w:tc>
          <w:tcPr>
            <w:tcW w:w="813" w:type="pct"/>
            <w:tcBorders>
              <w:right w:val="nil"/>
            </w:tcBorders>
            <w:shd w:val="clear" w:color="auto" w:fill="FFFFFF"/>
            <w:vAlign w:val="center"/>
          </w:tcPr>
          <w:p>
            <w:pPr>
              <w:pStyle w:val="137"/>
              <w:kinsoku w:val="0"/>
              <w:overflowPunct w:val="0"/>
              <w:spacing w:line="280" w:lineRule="exact"/>
              <w:jc w:val="center"/>
              <w:rPr>
                <w:rFonts w:ascii="Times New Roman" w:hAnsi="Times New Roman"/>
                <w:color w:val="auto"/>
                <w:kern w:val="2"/>
                <w:highlight w:val="none"/>
              </w:rPr>
            </w:pPr>
            <w:r>
              <w:rPr>
                <w:rFonts w:ascii="Times New Roman" w:hAnsi="Times New Roman"/>
                <w:color w:val="auto"/>
                <w:kern w:val="2"/>
                <w:sz w:val="21"/>
                <w:szCs w:val="21"/>
                <w:highlight w:val="none"/>
              </w:rPr>
              <w:t>40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318" w:type="pct"/>
            <w:gridSpan w:val="2"/>
            <w:tcBorders>
              <w:left w:val="nil"/>
            </w:tcBorders>
            <w:shd w:val="clear" w:color="auto" w:fill="FFFFFF"/>
            <w:vAlign w:val="center"/>
          </w:tcPr>
          <w:p>
            <w:pPr>
              <w:pStyle w:val="137"/>
              <w:kinsoku w:val="0"/>
              <w:overflowPunct w:val="0"/>
              <w:spacing w:line="280" w:lineRule="exact"/>
              <w:jc w:val="center"/>
              <w:rPr>
                <w:rFonts w:ascii="Times New Roman" w:hAnsi="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累年极端最低气温（℃）</w:t>
            </w:r>
          </w:p>
        </w:tc>
        <w:tc>
          <w:tcPr>
            <w:tcW w:w="819" w:type="pct"/>
            <w:shd w:val="clear" w:color="auto" w:fill="FFFFFF"/>
            <w:vAlign w:val="center"/>
          </w:tcPr>
          <w:p>
            <w:pPr>
              <w:pStyle w:val="137"/>
              <w:kinsoku w:val="0"/>
              <w:overflowPunct w:val="0"/>
              <w:spacing w:line="280" w:lineRule="exact"/>
              <w:jc w:val="center"/>
              <w:rPr>
                <w:rFonts w:ascii="Times New Roman" w:hAnsi="Times New Roman"/>
                <w:color w:val="auto"/>
                <w:kern w:val="2"/>
                <w:highlight w:val="none"/>
              </w:rPr>
            </w:pPr>
            <w:r>
              <w:rPr>
                <w:rFonts w:ascii="Times New Roman" w:hAnsi="Times New Roman"/>
                <w:color w:val="auto"/>
                <w:kern w:val="2"/>
                <w:sz w:val="21"/>
                <w:szCs w:val="21"/>
                <w:highlight w:val="none"/>
              </w:rPr>
              <w:t>-10.64</w:t>
            </w:r>
          </w:p>
        </w:tc>
        <w:tc>
          <w:tcPr>
            <w:tcW w:w="1050" w:type="pct"/>
            <w:shd w:val="clear" w:color="auto" w:fill="FFFFFF"/>
            <w:vAlign w:val="center"/>
          </w:tcPr>
          <w:p>
            <w:pPr>
              <w:pStyle w:val="137"/>
              <w:kinsoku w:val="0"/>
              <w:overflowPunct w:val="0"/>
              <w:spacing w:line="280" w:lineRule="exact"/>
              <w:jc w:val="center"/>
              <w:rPr>
                <w:rFonts w:ascii="Times New Roman" w:hAnsi="Times New Roman"/>
                <w:color w:val="auto"/>
                <w:kern w:val="2"/>
                <w:highlight w:val="none"/>
              </w:rPr>
            </w:pPr>
            <w:r>
              <w:rPr>
                <w:rFonts w:ascii="Times New Roman" w:hAnsi="Times New Roman"/>
                <w:color w:val="auto"/>
                <w:kern w:val="2"/>
                <w:sz w:val="21"/>
                <w:szCs w:val="21"/>
                <w:highlight w:val="none"/>
              </w:rPr>
              <w:t>2011-1-16</w:t>
            </w:r>
          </w:p>
        </w:tc>
        <w:tc>
          <w:tcPr>
            <w:tcW w:w="813" w:type="pct"/>
            <w:tcBorders>
              <w:right w:val="nil"/>
            </w:tcBorders>
            <w:shd w:val="clear" w:color="auto" w:fill="FFFFFF"/>
            <w:vAlign w:val="center"/>
          </w:tcPr>
          <w:p>
            <w:pPr>
              <w:pStyle w:val="137"/>
              <w:kinsoku w:val="0"/>
              <w:overflowPunct w:val="0"/>
              <w:spacing w:line="280" w:lineRule="exact"/>
              <w:jc w:val="center"/>
              <w:rPr>
                <w:rFonts w:ascii="Times New Roman" w:hAnsi="Times New Roman"/>
                <w:color w:val="auto"/>
                <w:kern w:val="2"/>
                <w:highlight w:val="none"/>
              </w:rPr>
            </w:pPr>
            <w:r>
              <w:rPr>
                <w:rFonts w:ascii="Times New Roman" w:hAnsi="Times New Roman"/>
                <w:color w:val="auto"/>
                <w:kern w:val="2"/>
                <w:sz w:val="21"/>
                <w:szCs w:val="21"/>
                <w:highlight w:val="none"/>
              </w:rPr>
              <w:t>-14.8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318" w:type="pct"/>
            <w:gridSpan w:val="2"/>
            <w:tcBorders>
              <w:left w:val="nil"/>
            </w:tcBorders>
            <w:shd w:val="clear" w:color="auto" w:fill="FFFFFF"/>
            <w:vAlign w:val="center"/>
          </w:tcPr>
          <w:p>
            <w:pPr>
              <w:pStyle w:val="137"/>
              <w:kinsoku w:val="0"/>
              <w:overflowPunct w:val="0"/>
              <w:spacing w:line="280" w:lineRule="exact"/>
              <w:jc w:val="center"/>
              <w:rPr>
                <w:rFonts w:ascii="Times New Roman" w:hAnsi="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多年平均气压（</w:t>
            </w:r>
            <w:r>
              <w:rPr>
                <w:rFonts w:ascii="Times New Roman" w:hAnsi="宋体"/>
                <w:color w:val="auto"/>
                <w:kern w:val="2"/>
                <w:sz w:val="21"/>
                <w:szCs w:val="21"/>
                <w:highlight w:val="none"/>
                <w:lang w:eastAsia="zh-CN"/>
              </w:rPr>
              <w:t>hPa</w:t>
            </w:r>
            <w:r>
              <w:rPr>
                <w:rFonts w:hint="eastAsia" w:ascii="宋体" w:hAnsi="宋体" w:eastAsia="宋体" w:cs="宋体"/>
                <w:color w:val="auto"/>
                <w:kern w:val="2"/>
                <w:sz w:val="21"/>
                <w:szCs w:val="21"/>
                <w:highlight w:val="none"/>
                <w:lang w:eastAsia="zh-CN"/>
              </w:rPr>
              <w:t>）</w:t>
            </w:r>
          </w:p>
        </w:tc>
        <w:tc>
          <w:tcPr>
            <w:tcW w:w="819" w:type="pct"/>
            <w:shd w:val="clear" w:color="auto" w:fill="FFFFFF"/>
            <w:vAlign w:val="center"/>
          </w:tcPr>
          <w:p>
            <w:pPr>
              <w:pStyle w:val="105"/>
              <w:rPr>
                <w:color w:val="auto"/>
                <w:highlight w:val="none"/>
              </w:rPr>
            </w:pPr>
            <w:r>
              <w:rPr>
                <w:color w:val="auto"/>
                <w:highlight w:val="none"/>
              </w:rPr>
              <w:t>1010.19</w:t>
            </w:r>
          </w:p>
        </w:tc>
        <w:tc>
          <w:tcPr>
            <w:tcW w:w="1050" w:type="pct"/>
            <w:shd w:val="clear" w:color="auto" w:fill="FFFFFF"/>
            <w:vAlign w:val="center"/>
          </w:tcPr>
          <w:p>
            <w:pPr>
              <w:autoSpaceDE w:val="0"/>
              <w:autoSpaceDN w:val="0"/>
              <w:spacing w:line="280" w:lineRule="exact"/>
              <w:jc w:val="center"/>
              <w:rPr>
                <w:color w:val="auto"/>
                <w:sz w:val="24"/>
                <w:highlight w:val="none"/>
              </w:rPr>
            </w:pPr>
          </w:p>
        </w:tc>
        <w:tc>
          <w:tcPr>
            <w:tcW w:w="813" w:type="pct"/>
            <w:tcBorders>
              <w:right w:val="nil"/>
            </w:tcBorders>
            <w:shd w:val="clear" w:color="auto" w:fill="FFFFFF"/>
            <w:vAlign w:val="center"/>
          </w:tcPr>
          <w:p>
            <w:pPr>
              <w:autoSpaceDE w:val="0"/>
              <w:autoSpaceDN w:val="0"/>
              <w:spacing w:line="280" w:lineRule="exact"/>
              <w:jc w:val="center"/>
              <w:rPr>
                <w:color w:val="auto"/>
                <w:sz w:val="24"/>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318" w:type="pct"/>
            <w:gridSpan w:val="2"/>
            <w:tcBorders>
              <w:left w:val="nil"/>
            </w:tcBorders>
            <w:shd w:val="clear" w:color="auto" w:fill="FFFFFF"/>
            <w:vAlign w:val="center"/>
          </w:tcPr>
          <w:p>
            <w:pPr>
              <w:pStyle w:val="137"/>
              <w:kinsoku w:val="0"/>
              <w:overflowPunct w:val="0"/>
              <w:spacing w:line="280" w:lineRule="exact"/>
              <w:jc w:val="center"/>
              <w:rPr>
                <w:rFonts w:ascii="Times New Roman" w:hAnsi="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多年平均水汽压（</w:t>
            </w:r>
            <w:r>
              <w:rPr>
                <w:rFonts w:ascii="Times New Roman" w:hAnsi="宋体"/>
                <w:color w:val="auto"/>
                <w:kern w:val="2"/>
                <w:sz w:val="21"/>
                <w:szCs w:val="21"/>
                <w:highlight w:val="none"/>
                <w:lang w:eastAsia="zh-CN"/>
              </w:rPr>
              <w:t>hPa</w:t>
            </w:r>
            <w:r>
              <w:rPr>
                <w:rFonts w:hint="eastAsia" w:ascii="宋体" w:hAnsi="宋体" w:eastAsia="宋体" w:cs="宋体"/>
                <w:color w:val="auto"/>
                <w:kern w:val="2"/>
                <w:sz w:val="21"/>
                <w:szCs w:val="21"/>
                <w:highlight w:val="none"/>
                <w:lang w:eastAsia="zh-CN"/>
              </w:rPr>
              <w:t>）</w:t>
            </w:r>
          </w:p>
        </w:tc>
        <w:tc>
          <w:tcPr>
            <w:tcW w:w="819" w:type="pct"/>
            <w:shd w:val="clear" w:color="auto" w:fill="FFFFFF"/>
            <w:vAlign w:val="center"/>
          </w:tcPr>
          <w:p>
            <w:pPr>
              <w:pStyle w:val="137"/>
              <w:kinsoku w:val="0"/>
              <w:overflowPunct w:val="0"/>
              <w:spacing w:line="280" w:lineRule="exact"/>
              <w:jc w:val="center"/>
              <w:rPr>
                <w:rFonts w:ascii="Times New Roman" w:hAnsi="Times New Roman"/>
                <w:color w:val="auto"/>
                <w:kern w:val="2"/>
                <w:highlight w:val="none"/>
              </w:rPr>
            </w:pPr>
            <w:r>
              <w:rPr>
                <w:rFonts w:ascii="Times New Roman" w:hAnsi="Times New Roman"/>
                <w:color w:val="auto"/>
                <w:kern w:val="2"/>
                <w:sz w:val="21"/>
                <w:szCs w:val="21"/>
                <w:highlight w:val="none"/>
              </w:rPr>
              <w:t>13.68</w:t>
            </w:r>
          </w:p>
        </w:tc>
        <w:tc>
          <w:tcPr>
            <w:tcW w:w="1050" w:type="pct"/>
            <w:shd w:val="clear" w:color="auto" w:fill="FFFFFF"/>
            <w:vAlign w:val="center"/>
          </w:tcPr>
          <w:p>
            <w:pPr>
              <w:autoSpaceDE w:val="0"/>
              <w:autoSpaceDN w:val="0"/>
              <w:spacing w:line="280" w:lineRule="exact"/>
              <w:jc w:val="center"/>
              <w:rPr>
                <w:color w:val="auto"/>
                <w:sz w:val="24"/>
                <w:highlight w:val="none"/>
              </w:rPr>
            </w:pPr>
          </w:p>
        </w:tc>
        <w:tc>
          <w:tcPr>
            <w:tcW w:w="813" w:type="pct"/>
            <w:tcBorders>
              <w:right w:val="nil"/>
            </w:tcBorders>
            <w:shd w:val="clear" w:color="auto" w:fill="FFFFFF"/>
            <w:vAlign w:val="center"/>
          </w:tcPr>
          <w:p>
            <w:pPr>
              <w:autoSpaceDE w:val="0"/>
              <w:autoSpaceDN w:val="0"/>
              <w:spacing w:line="280" w:lineRule="exact"/>
              <w:jc w:val="center"/>
              <w:rPr>
                <w:color w:val="auto"/>
                <w:sz w:val="24"/>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318" w:type="pct"/>
            <w:gridSpan w:val="2"/>
            <w:tcBorders>
              <w:left w:val="nil"/>
            </w:tcBorders>
            <w:shd w:val="clear" w:color="auto" w:fill="FFFFFF"/>
            <w:vAlign w:val="center"/>
          </w:tcPr>
          <w:p>
            <w:pPr>
              <w:pStyle w:val="137"/>
              <w:kinsoku w:val="0"/>
              <w:overflowPunct w:val="0"/>
              <w:spacing w:line="280" w:lineRule="exact"/>
              <w:jc w:val="center"/>
              <w:rPr>
                <w:rFonts w:ascii="Times New Roman" w:hAnsi="宋体"/>
                <w:color w:val="auto"/>
                <w:kern w:val="2"/>
                <w:sz w:val="21"/>
                <w:szCs w:val="21"/>
                <w:highlight w:val="none"/>
              </w:rPr>
            </w:pPr>
            <w:r>
              <w:rPr>
                <w:rFonts w:hint="eastAsia" w:ascii="宋体" w:hAnsi="宋体" w:eastAsia="宋体" w:cs="宋体"/>
                <w:color w:val="auto"/>
                <w:kern w:val="2"/>
                <w:sz w:val="21"/>
                <w:szCs w:val="21"/>
                <w:highlight w:val="none"/>
              </w:rPr>
              <w:t>多年平均相对湿度</w:t>
            </w:r>
            <w:r>
              <w:rPr>
                <w:rFonts w:ascii="Times New Roman" w:hAnsi="宋体"/>
                <w:color w:val="auto"/>
                <w:kern w:val="2"/>
                <w:sz w:val="21"/>
                <w:szCs w:val="21"/>
                <w:highlight w:val="none"/>
              </w:rPr>
              <w:t>(%)</w:t>
            </w:r>
          </w:p>
        </w:tc>
        <w:tc>
          <w:tcPr>
            <w:tcW w:w="819" w:type="pct"/>
            <w:shd w:val="clear" w:color="auto" w:fill="FFFFFF"/>
            <w:vAlign w:val="center"/>
          </w:tcPr>
          <w:p>
            <w:pPr>
              <w:pStyle w:val="137"/>
              <w:kinsoku w:val="0"/>
              <w:overflowPunct w:val="0"/>
              <w:spacing w:line="280" w:lineRule="exact"/>
              <w:jc w:val="center"/>
              <w:rPr>
                <w:rFonts w:ascii="Times New Roman" w:hAnsi="Times New Roman"/>
                <w:color w:val="auto"/>
                <w:kern w:val="2"/>
                <w:highlight w:val="none"/>
              </w:rPr>
            </w:pPr>
            <w:r>
              <w:rPr>
                <w:rFonts w:ascii="Times New Roman" w:hAnsi="Times New Roman"/>
                <w:color w:val="auto"/>
                <w:kern w:val="2"/>
                <w:sz w:val="21"/>
                <w:szCs w:val="21"/>
                <w:highlight w:val="none"/>
              </w:rPr>
              <w:t>67.31</w:t>
            </w:r>
          </w:p>
        </w:tc>
        <w:tc>
          <w:tcPr>
            <w:tcW w:w="1050" w:type="pct"/>
            <w:shd w:val="clear" w:color="auto" w:fill="FFFFFF"/>
            <w:vAlign w:val="center"/>
          </w:tcPr>
          <w:p>
            <w:pPr>
              <w:autoSpaceDE w:val="0"/>
              <w:autoSpaceDN w:val="0"/>
              <w:spacing w:line="280" w:lineRule="exact"/>
              <w:jc w:val="center"/>
              <w:rPr>
                <w:color w:val="auto"/>
                <w:sz w:val="24"/>
                <w:highlight w:val="none"/>
              </w:rPr>
            </w:pPr>
          </w:p>
        </w:tc>
        <w:tc>
          <w:tcPr>
            <w:tcW w:w="813" w:type="pct"/>
            <w:tcBorders>
              <w:right w:val="nil"/>
            </w:tcBorders>
            <w:shd w:val="clear" w:color="auto" w:fill="FFFFFF"/>
            <w:vAlign w:val="center"/>
          </w:tcPr>
          <w:p>
            <w:pPr>
              <w:autoSpaceDE w:val="0"/>
              <w:autoSpaceDN w:val="0"/>
              <w:spacing w:line="280" w:lineRule="exact"/>
              <w:jc w:val="center"/>
              <w:rPr>
                <w:color w:val="auto"/>
                <w:sz w:val="24"/>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318" w:type="pct"/>
            <w:gridSpan w:val="2"/>
            <w:tcBorders>
              <w:left w:val="nil"/>
            </w:tcBorders>
            <w:shd w:val="clear" w:color="auto" w:fill="FFFFFF"/>
            <w:vAlign w:val="center"/>
          </w:tcPr>
          <w:p>
            <w:pPr>
              <w:pStyle w:val="137"/>
              <w:kinsoku w:val="0"/>
              <w:overflowPunct w:val="0"/>
              <w:spacing w:line="280" w:lineRule="exact"/>
              <w:jc w:val="center"/>
              <w:rPr>
                <w:rFonts w:ascii="Times New Roman" w:hAnsi="宋体"/>
                <w:color w:val="auto"/>
                <w:kern w:val="2"/>
                <w:sz w:val="21"/>
                <w:szCs w:val="21"/>
                <w:highlight w:val="none"/>
              </w:rPr>
            </w:pPr>
            <w:r>
              <w:rPr>
                <w:rFonts w:hint="eastAsia" w:ascii="宋体" w:hAnsi="宋体" w:eastAsia="宋体" w:cs="宋体"/>
                <w:color w:val="auto"/>
                <w:kern w:val="2"/>
                <w:sz w:val="21"/>
                <w:szCs w:val="21"/>
                <w:highlight w:val="none"/>
              </w:rPr>
              <w:t>多年平均降雨量</w:t>
            </w:r>
            <w:r>
              <w:rPr>
                <w:rFonts w:ascii="Times New Roman" w:hAnsi="宋体"/>
                <w:color w:val="auto"/>
                <w:kern w:val="2"/>
                <w:sz w:val="21"/>
                <w:szCs w:val="21"/>
                <w:highlight w:val="none"/>
              </w:rPr>
              <w:t>(mm)</w:t>
            </w:r>
          </w:p>
        </w:tc>
        <w:tc>
          <w:tcPr>
            <w:tcW w:w="819" w:type="pct"/>
            <w:shd w:val="clear" w:color="auto" w:fill="FFFFFF"/>
            <w:vAlign w:val="center"/>
          </w:tcPr>
          <w:p>
            <w:pPr>
              <w:pStyle w:val="137"/>
              <w:kinsoku w:val="0"/>
              <w:overflowPunct w:val="0"/>
              <w:spacing w:line="280" w:lineRule="exact"/>
              <w:jc w:val="center"/>
              <w:rPr>
                <w:rFonts w:ascii="Times New Roman" w:hAnsi="Times New Roman"/>
                <w:color w:val="auto"/>
                <w:kern w:val="2"/>
                <w:highlight w:val="none"/>
              </w:rPr>
            </w:pPr>
            <w:r>
              <w:rPr>
                <w:rFonts w:ascii="Times New Roman" w:hAnsi="Times New Roman"/>
                <w:color w:val="auto"/>
                <w:kern w:val="2"/>
                <w:sz w:val="21"/>
                <w:szCs w:val="21"/>
                <w:highlight w:val="none"/>
              </w:rPr>
              <w:t>945.82</w:t>
            </w:r>
          </w:p>
        </w:tc>
        <w:tc>
          <w:tcPr>
            <w:tcW w:w="1050" w:type="pct"/>
            <w:shd w:val="clear" w:color="auto" w:fill="FFFFFF"/>
            <w:vAlign w:val="center"/>
          </w:tcPr>
          <w:p>
            <w:pPr>
              <w:pStyle w:val="137"/>
              <w:kinsoku w:val="0"/>
              <w:overflowPunct w:val="0"/>
              <w:spacing w:line="280" w:lineRule="exact"/>
              <w:jc w:val="center"/>
              <w:rPr>
                <w:rFonts w:ascii="Times New Roman" w:hAnsi="Times New Roman"/>
                <w:color w:val="auto"/>
                <w:kern w:val="2"/>
                <w:highlight w:val="none"/>
              </w:rPr>
            </w:pPr>
          </w:p>
        </w:tc>
        <w:tc>
          <w:tcPr>
            <w:tcW w:w="813" w:type="pct"/>
            <w:tcBorders>
              <w:right w:val="nil"/>
            </w:tcBorders>
            <w:shd w:val="clear" w:color="auto" w:fill="FFFFFF"/>
            <w:vAlign w:val="center"/>
          </w:tcPr>
          <w:p>
            <w:pPr>
              <w:pStyle w:val="137"/>
              <w:kinsoku w:val="0"/>
              <w:overflowPunct w:val="0"/>
              <w:spacing w:line="280" w:lineRule="exact"/>
              <w:jc w:val="center"/>
              <w:rPr>
                <w:rFonts w:ascii="Times New Roman" w:hAnsi="Times New Roman"/>
                <w:color w:val="auto"/>
                <w:kern w:val="2"/>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318" w:type="pct"/>
            <w:gridSpan w:val="2"/>
            <w:tcBorders>
              <w:left w:val="nil"/>
            </w:tcBorders>
            <w:shd w:val="clear" w:color="auto" w:fill="FFFFFF"/>
            <w:vAlign w:val="center"/>
          </w:tcPr>
          <w:p>
            <w:pPr>
              <w:pStyle w:val="137"/>
              <w:kinsoku w:val="0"/>
              <w:overflowPunct w:val="0"/>
              <w:spacing w:line="280" w:lineRule="exact"/>
              <w:jc w:val="center"/>
              <w:rPr>
                <w:rFonts w:ascii="Times New Roman" w:hAnsi="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多年平均最大日降水量</w:t>
            </w:r>
            <w:r>
              <w:rPr>
                <w:rStyle w:val="430"/>
                <w:rFonts w:hint="eastAsia"/>
                <w:color w:val="auto"/>
                <w:highlight w:val="none"/>
              </w:rPr>
              <w:t>(</w:t>
            </w:r>
            <w:r>
              <w:rPr>
                <w:rStyle w:val="430"/>
                <w:color w:val="auto"/>
                <w:highlight w:val="none"/>
              </w:rPr>
              <w:t>mm)</w:t>
            </w:r>
          </w:p>
        </w:tc>
        <w:tc>
          <w:tcPr>
            <w:tcW w:w="819" w:type="pct"/>
            <w:shd w:val="clear" w:color="auto" w:fill="FFFFFF"/>
            <w:vAlign w:val="center"/>
          </w:tcPr>
          <w:p>
            <w:pPr>
              <w:pStyle w:val="137"/>
              <w:kinsoku w:val="0"/>
              <w:overflowPunct w:val="0"/>
              <w:spacing w:line="280" w:lineRule="exact"/>
              <w:jc w:val="center"/>
              <w:rPr>
                <w:rFonts w:ascii="Times New Roman" w:hAnsi="Times New Roman" w:eastAsia="等线"/>
                <w:color w:val="auto"/>
                <w:kern w:val="2"/>
                <w:sz w:val="21"/>
                <w:szCs w:val="21"/>
                <w:highlight w:val="none"/>
                <w:lang w:eastAsia="zh-CN"/>
              </w:rPr>
            </w:pPr>
            <w:r>
              <w:rPr>
                <w:rFonts w:hint="eastAsia" w:ascii="Times New Roman" w:hAnsi="Times New Roman" w:eastAsia="等线"/>
                <w:color w:val="auto"/>
                <w:kern w:val="2"/>
                <w:sz w:val="21"/>
                <w:szCs w:val="21"/>
                <w:highlight w:val="none"/>
                <w:lang w:eastAsia="zh-CN"/>
              </w:rPr>
              <w:t>1</w:t>
            </w:r>
            <w:r>
              <w:rPr>
                <w:rFonts w:ascii="Times New Roman" w:hAnsi="Times New Roman" w:eastAsia="等线"/>
                <w:color w:val="auto"/>
                <w:kern w:val="2"/>
                <w:sz w:val="21"/>
                <w:szCs w:val="21"/>
                <w:highlight w:val="none"/>
                <w:lang w:eastAsia="zh-CN"/>
              </w:rPr>
              <w:t>11.75</w:t>
            </w:r>
          </w:p>
        </w:tc>
        <w:tc>
          <w:tcPr>
            <w:tcW w:w="1050" w:type="pct"/>
            <w:shd w:val="clear" w:color="auto" w:fill="FFFFFF"/>
            <w:vAlign w:val="center"/>
          </w:tcPr>
          <w:p>
            <w:pPr>
              <w:pStyle w:val="137"/>
              <w:kinsoku w:val="0"/>
              <w:overflowPunct w:val="0"/>
              <w:spacing w:line="280" w:lineRule="exact"/>
              <w:jc w:val="center"/>
              <w:rPr>
                <w:rFonts w:ascii="Times New Roman" w:hAnsi="Times New Roman" w:eastAsia="等线"/>
                <w:color w:val="auto"/>
                <w:kern w:val="2"/>
                <w:sz w:val="21"/>
                <w:szCs w:val="21"/>
                <w:highlight w:val="none"/>
                <w:lang w:eastAsia="zh-CN"/>
              </w:rPr>
            </w:pPr>
            <w:r>
              <w:rPr>
                <w:rFonts w:hint="eastAsia" w:ascii="Times New Roman" w:hAnsi="Times New Roman" w:eastAsia="等线"/>
                <w:color w:val="auto"/>
                <w:kern w:val="2"/>
                <w:sz w:val="21"/>
                <w:szCs w:val="21"/>
                <w:highlight w:val="none"/>
                <w:lang w:eastAsia="zh-CN"/>
              </w:rPr>
              <w:t>2</w:t>
            </w:r>
            <w:r>
              <w:rPr>
                <w:rFonts w:ascii="Times New Roman" w:hAnsi="Times New Roman" w:eastAsia="等线"/>
                <w:color w:val="auto"/>
                <w:kern w:val="2"/>
                <w:sz w:val="21"/>
                <w:szCs w:val="21"/>
                <w:highlight w:val="none"/>
                <w:lang w:eastAsia="zh-CN"/>
              </w:rPr>
              <w:t>006.7.3</w:t>
            </w:r>
          </w:p>
        </w:tc>
        <w:tc>
          <w:tcPr>
            <w:tcW w:w="813" w:type="pct"/>
            <w:tcBorders>
              <w:right w:val="nil"/>
            </w:tcBorders>
            <w:shd w:val="clear" w:color="auto" w:fill="FFFFFF"/>
            <w:vAlign w:val="center"/>
          </w:tcPr>
          <w:p>
            <w:pPr>
              <w:pStyle w:val="137"/>
              <w:kinsoku w:val="0"/>
              <w:overflowPunct w:val="0"/>
              <w:spacing w:line="280" w:lineRule="exact"/>
              <w:jc w:val="center"/>
              <w:rPr>
                <w:rFonts w:ascii="Times New Roman" w:hAnsi="Times New Roman" w:eastAsia="等线"/>
                <w:color w:val="auto"/>
                <w:kern w:val="2"/>
                <w:sz w:val="21"/>
                <w:szCs w:val="21"/>
                <w:highlight w:val="none"/>
                <w:lang w:eastAsia="zh-CN"/>
              </w:rPr>
            </w:pPr>
            <w:r>
              <w:rPr>
                <w:rFonts w:hint="eastAsia" w:ascii="Times New Roman" w:hAnsi="Times New Roman" w:eastAsia="等线"/>
                <w:color w:val="auto"/>
                <w:kern w:val="2"/>
                <w:sz w:val="21"/>
                <w:szCs w:val="21"/>
                <w:highlight w:val="none"/>
                <w:lang w:eastAsia="zh-CN"/>
              </w:rPr>
              <w:t>2</w:t>
            </w:r>
            <w:r>
              <w:rPr>
                <w:rFonts w:ascii="Times New Roman" w:hAnsi="Times New Roman" w:eastAsia="等线"/>
                <w:color w:val="auto"/>
                <w:kern w:val="2"/>
                <w:sz w:val="21"/>
                <w:szCs w:val="21"/>
                <w:highlight w:val="none"/>
                <w:lang w:eastAsia="zh-CN"/>
              </w:rPr>
              <w:t>05.8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728" w:type="pct"/>
            <w:vMerge w:val="restart"/>
            <w:tcBorders>
              <w:left w:val="nil"/>
            </w:tcBorders>
            <w:shd w:val="clear" w:color="auto" w:fill="FFFFFF"/>
            <w:vAlign w:val="center"/>
          </w:tcPr>
          <w:p>
            <w:pPr>
              <w:pStyle w:val="137"/>
              <w:kinsoku w:val="0"/>
              <w:overflowPunct w:val="0"/>
              <w:spacing w:line="280" w:lineRule="exact"/>
              <w:jc w:val="center"/>
              <w:rPr>
                <w:rFonts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灾害</w:t>
            </w:r>
          </w:p>
          <w:p>
            <w:pPr>
              <w:pStyle w:val="137"/>
              <w:kinsoku w:val="0"/>
              <w:overflowPunct w:val="0"/>
              <w:spacing w:line="280" w:lineRule="exact"/>
              <w:jc w:val="center"/>
              <w:rPr>
                <w:rFonts w:ascii="Times New Roman" w:hAnsi="宋体"/>
                <w:color w:val="auto"/>
                <w:kern w:val="2"/>
                <w:sz w:val="21"/>
                <w:szCs w:val="21"/>
                <w:highlight w:val="none"/>
                <w:lang w:eastAsia="zh-CN"/>
              </w:rPr>
            </w:pPr>
            <w:r>
              <w:rPr>
                <w:rFonts w:hint="eastAsia" w:ascii="宋体" w:hAnsi="宋体" w:eastAsia="宋体" w:cs="宋体"/>
                <w:color w:val="auto"/>
                <w:kern w:val="2"/>
                <w:sz w:val="21"/>
                <w:szCs w:val="21"/>
                <w:highlight w:val="none"/>
              </w:rPr>
              <w:t>天气</w:t>
            </w:r>
          </w:p>
          <w:p>
            <w:pPr>
              <w:pStyle w:val="137"/>
              <w:kinsoku w:val="0"/>
              <w:overflowPunct w:val="0"/>
              <w:spacing w:line="280" w:lineRule="exact"/>
              <w:jc w:val="center"/>
              <w:rPr>
                <w:rFonts w:ascii="Times New Roman" w:hAnsi="宋体"/>
                <w:color w:val="auto"/>
                <w:kern w:val="2"/>
                <w:sz w:val="21"/>
                <w:szCs w:val="21"/>
                <w:highlight w:val="none"/>
              </w:rPr>
            </w:pPr>
            <w:r>
              <w:rPr>
                <w:rFonts w:hint="eastAsia" w:ascii="宋体" w:hAnsi="宋体" w:eastAsia="宋体" w:cs="宋体"/>
                <w:color w:val="auto"/>
                <w:kern w:val="2"/>
                <w:sz w:val="21"/>
                <w:szCs w:val="21"/>
                <w:highlight w:val="none"/>
              </w:rPr>
              <w:t>统计</w:t>
            </w:r>
          </w:p>
        </w:tc>
        <w:tc>
          <w:tcPr>
            <w:tcW w:w="1590" w:type="pct"/>
            <w:shd w:val="clear" w:color="auto" w:fill="FFFFFF"/>
            <w:vAlign w:val="center"/>
          </w:tcPr>
          <w:p>
            <w:pPr>
              <w:pStyle w:val="137"/>
              <w:kinsoku w:val="0"/>
              <w:overflowPunct w:val="0"/>
              <w:spacing w:line="280" w:lineRule="exact"/>
              <w:jc w:val="center"/>
              <w:rPr>
                <w:rFonts w:ascii="Times New Roman" w:hAnsi="宋体"/>
                <w:color w:val="auto"/>
                <w:kern w:val="2"/>
                <w:sz w:val="21"/>
                <w:szCs w:val="21"/>
                <w:highlight w:val="none"/>
              </w:rPr>
            </w:pPr>
            <w:r>
              <w:rPr>
                <w:rFonts w:hint="eastAsia" w:ascii="宋体" w:hAnsi="宋体" w:eastAsia="宋体" w:cs="宋体"/>
                <w:color w:val="auto"/>
                <w:kern w:val="2"/>
                <w:sz w:val="21"/>
                <w:szCs w:val="21"/>
                <w:highlight w:val="none"/>
              </w:rPr>
              <w:t>多年平均沙暴日数</w:t>
            </w:r>
            <w:r>
              <w:rPr>
                <w:rFonts w:ascii="Times New Roman" w:hAnsi="宋体"/>
                <w:color w:val="auto"/>
                <w:kern w:val="2"/>
                <w:sz w:val="21"/>
                <w:szCs w:val="21"/>
                <w:highlight w:val="none"/>
              </w:rPr>
              <w:t>(d)</w:t>
            </w:r>
          </w:p>
        </w:tc>
        <w:tc>
          <w:tcPr>
            <w:tcW w:w="819" w:type="pct"/>
            <w:shd w:val="clear" w:color="auto" w:fill="FFFFFF"/>
            <w:vAlign w:val="center"/>
          </w:tcPr>
          <w:p>
            <w:pPr>
              <w:pStyle w:val="137"/>
              <w:kinsoku w:val="0"/>
              <w:overflowPunct w:val="0"/>
              <w:spacing w:line="280" w:lineRule="exact"/>
              <w:jc w:val="center"/>
              <w:rPr>
                <w:rFonts w:ascii="Times New Roman" w:hAnsi="Times New Roman"/>
                <w:color w:val="auto"/>
                <w:kern w:val="2"/>
                <w:highlight w:val="none"/>
              </w:rPr>
            </w:pPr>
            <w:r>
              <w:rPr>
                <w:rFonts w:ascii="Times New Roman" w:hAnsi="Times New Roman"/>
                <w:color w:val="auto"/>
                <w:kern w:val="2"/>
                <w:sz w:val="21"/>
                <w:szCs w:val="21"/>
                <w:highlight w:val="none"/>
              </w:rPr>
              <w:t>0.05</w:t>
            </w:r>
          </w:p>
        </w:tc>
        <w:tc>
          <w:tcPr>
            <w:tcW w:w="1050" w:type="pct"/>
            <w:shd w:val="clear" w:color="auto" w:fill="FFFFFF"/>
            <w:vAlign w:val="center"/>
          </w:tcPr>
          <w:p>
            <w:pPr>
              <w:autoSpaceDE w:val="0"/>
              <w:autoSpaceDN w:val="0"/>
              <w:spacing w:line="280" w:lineRule="exact"/>
              <w:jc w:val="center"/>
              <w:rPr>
                <w:color w:val="auto"/>
                <w:sz w:val="24"/>
                <w:highlight w:val="none"/>
              </w:rPr>
            </w:pPr>
          </w:p>
        </w:tc>
        <w:tc>
          <w:tcPr>
            <w:tcW w:w="813" w:type="pct"/>
            <w:tcBorders>
              <w:right w:val="nil"/>
            </w:tcBorders>
            <w:shd w:val="clear" w:color="auto" w:fill="FFFFFF"/>
            <w:vAlign w:val="center"/>
          </w:tcPr>
          <w:p>
            <w:pPr>
              <w:autoSpaceDE w:val="0"/>
              <w:autoSpaceDN w:val="0"/>
              <w:spacing w:line="280" w:lineRule="exact"/>
              <w:jc w:val="center"/>
              <w:rPr>
                <w:color w:val="auto"/>
                <w:sz w:val="24"/>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0" w:type="auto"/>
            <w:vMerge w:val="continue"/>
            <w:tcBorders>
              <w:left w:val="nil"/>
            </w:tcBorders>
            <w:vAlign w:val="center"/>
          </w:tcPr>
          <w:p>
            <w:pPr>
              <w:widowControl/>
              <w:spacing w:line="280" w:lineRule="exact"/>
              <w:jc w:val="center"/>
              <w:rPr>
                <w:rFonts w:hAnsi="宋体"/>
                <w:color w:val="auto"/>
                <w:highlight w:val="none"/>
                <w:lang w:eastAsia="en-US"/>
              </w:rPr>
            </w:pPr>
          </w:p>
        </w:tc>
        <w:tc>
          <w:tcPr>
            <w:tcW w:w="1590" w:type="pct"/>
            <w:shd w:val="clear" w:color="auto" w:fill="FFFFFF"/>
            <w:vAlign w:val="center"/>
          </w:tcPr>
          <w:p>
            <w:pPr>
              <w:pStyle w:val="137"/>
              <w:kinsoku w:val="0"/>
              <w:overflowPunct w:val="0"/>
              <w:spacing w:line="280" w:lineRule="exact"/>
              <w:jc w:val="center"/>
              <w:rPr>
                <w:rFonts w:ascii="Times New Roman" w:hAnsi="宋体"/>
                <w:color w:val="auto"/>
                <w:kern w:val="2"/>
                <w:sz w:val="21"/>
                <w:szCs w:val="21"/>
                <w:highlight w:val="none"/>
              </w:rPr>
            </w:pPr>
            <w:r>
              <w:rPr>
                <w:rFonts w:hint="eastAsia" w:ascii="宋体" w:hAnsi="宋体" w:eastAsia="宋体" w:cs="宋体"/>
                <w:color w:val="auto"/>
                <w:kern w:val="2"/>
                <w:sz w:val="21"/>
                <w:szCs w:val="21"/>
                <w:highlight w:val="none"/>
              </w:rPr>
              <w:t>多年平均雷暴日数</w:t>
            </w:r>
            <w:r>
              <w:rPr>
                <w:rFonts w:ascii="Times New Roman" w:hAnsi="宋体"/>
                <w:color w:val="auto"/>
                <w:kern w:val="2"/>
                <w:sz w:val="21"/>
                <w:szCs w:val="21"/>
                <w:highlight w:val="none"/>
              </w:rPr>
              <w:t>(d)</w:t>
            </w:r>
          </w:p>
        </w:tc>
        <w:tc>
          <w:tcPr>
            <w:tcW w:w="819" w:type="pct"/>
            <w:shd w:val="clear" w:color="auto" w:fill="FFFFFF"/>
            <w:vAlign w:val="center"/>
          </w:tcPr>
          <w:p>
            <w:pPr>
              <w:pStyle w:val="137"/>
              <w:kinsoku w:val="0"/>
              <w:overflowPunct w:val="0"/>
              <w:spacing w:line="280" w:lineRule="exact"/>
              <w:jc w:val="center"/>
              <w:rPr>
                <w:rFonts w:ascii="Times New Roman" w:hAnsi="Times New Roman"/>
                <w:color w:val="auto"/>
                <w:kern w:val="2"/>
                <w:highlight w:val="none"/>
              </w:rPr>
            </w:pPr>
            <w:r>
              <w:rPr>
                <w:rFonts w:ascii="Times New Roman" w:hAnsi="Times New Roman"/>
                <w:color w:val="auto"/>
                <w:kern w:val="2"/>
                <w:sz w:val="21"/>
                <w:szCs w:val="21"/>
                <w:highlight w:val="none"/>
              </w:rPr>
              <w:t>20.56</w:t>
            </w:r>
          </w:p>
        </w:tc>
        <w:tc>
          <w:tcPr>
            <w:tcW w:w="1050" w:type="pct"/>
            <w:shd w:val="clear" w:color="auto" w:fill="FFFFFF"/>
            <w:vAlign w:val="center"/>
          </w:tcPr>
          <w:p>
            <w:pPr>
              <w:autoSpaceDE w:val="0"/>
              <w:autoSpaceDN w:val="0"/>
              <w:spacing w:line="280" w:lineRule="exact"/>
              <w:jc w:val="center"/>
              <w:rPr>
                <w:color w:val="auto"/>
                <w:sz w:val="24"/>
                <w:highlight w:val="none"/>
              </w:rPr>
            </w:pPr>
          </w:p>
        </w:tc>
        <w:tc>
          <w:tcPr>
            <w:tcW w:w="813" w:type="pct"/>
            <w:tcBorders>
              <w:right w:val="nil"/>
            </w:tcBorders>
            <w:shd w:val="clear" w:color="auto" w:fill="FFFFFF"/>
            <w:vAlign w:val="center"/>
          </w:tcPr>
          <w:p>
            <w:pPr>
              <w:autoSpaceDE w:val="0"/>
              <w:autoSpaceDN w:val="0"/>
              <w:spacing w:line="280" w:lineRule="exact"/>
              <w:jc w:val="center"/>
              <w:rPr>
                <w:color w:val="auto"/>
                <w:sz w:val="24"/>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0" w:type="auto"/>
            <w:vMerge w:val="continue"/>
            <w:tcBorders>
              <w:left w:val="nil"/>
            </w:tcBorders>
            <w:vAlign w:val="center"/>
          </w:tcPr>
          <w:p>
            <w:pPr>
              <w:widowControl/>
              <w:spacing w:line="280" w:lineRule="exact"/>
              <w:jc w:val="center"/>
              <w:rPr>
                <w:rFonts w:hAnsi="宋体"/>
                <w:color w:val="auto"/>
                <w:highlight w:val="none"/>
                <w:lang w:eastAsia="en-US"/>
              </w:rPr>
            </w:pPr>
          </w:p>
        </w:tc>
        <w:tc>
          <w:tcPr>
            <w:tcW w:w="1590" w:type="pct"/>
            <w:shd w:val="clear" w:color="auto" w:fill="FFFFFF"/>
            <w:vAlign w:val="center"/>
          </w:tcPr>
          <w:p>
            <w:pPr>
              <w:pStyle w:val="137"/>
              <w:kinsoku w:val="0"/>
              <w:overflowPunct w:val="0"/>
              <w:spacing w:line="280" w:lineRule="exact"/>
              <w:jc w:val="center"/>
              <w:rPr>
                <w:rFonts w:ascii="Times New Roman" w:hAnsi="宋体"/>
                <w:color w:val="auto"/>
                <w:kern w:val="2"/>
                <w:sz w:val="21"/>
                <w:szCs w:val="21"/>
                <w:highlight w:val="none"/>
              </w:rPr>
            </w:pPr>
            <w:r>
              <w:rPr>
                <w:rFonts w:hint="eastAsia" w:ascii="宋体" w:hAnsi="宋体" w:eastAsia="宋体" w:cs="宋体"/>
                <w:color w:val="auto"/>
                <w:kern w:val="2"/>
                <w:sz w:val="21"/>
                <w:szCs w:val="21"/>
                <w:highlight w:val="none"/>
              </w:rPr>
              <w:t>多年平均冰雹日数</w:t>
            </w:r>
            <w:r>
              <w:rPr>
                <w:rFonts w:ascii="Times New Roman" w:hAnsi="宋体"/>
                <w:color w:val="auto"/>
                <w:kern w:val="2"/>
                <w:sz w:val="21"/>
                <w:szCs w:val="21"/>
                <w:highlight w:val="none"/>
              </w:rPr>
              <w:t>(d)</w:t>
            </w:r>
          </w:p>
        </w:tc>
        <w:tc>
          <w:tcPr>
            <w:tcW w:w="819" w:type="pct"/>
            <w:shd w:val="clear" w:color="auto" w:fill="FFFFFF"/>
            <w:vAlign w:val="center"/>
          </w:tcPr>
          <w:p>
            <w:pPr>
              <w:pStyle w:val="137"/>
              <w:kinsoku w:val="0"/>
              <w:overflowPunct w:val="0"/>
              <w:spacing w:line="280" w:lineRule="exact"/>
              <w:jc w:val="center"/>
              <w:rPr>
                <w:rFonts w:ascii="Times New Roman" w:hAnsi="Times New Roman"/>
                <w:color w:val="auto"/>
                <w:kern w:val="2"/>
                <w:highlight w:val="none"/>
              </w:rPr>
            </w:pPr>
            <w:r>
              <w:rPr>
                <w:rFonts w:ascii="Times New Roman" w:hAnsi="Times New Roman"/>
                <w:color w:val="auto"/>
                <w:kern w:val="2"/>
                <w:sz w:val="21"/>
                <w:szCs w:val="21"/>
                <w:highlight w:val="none"/>
              </w:rPr>
              <w:t>0.1</w:t>
            </w:r>
          </w:p>
        </w:tc>
        <w:tc>
          <w:tcPr>
            <w:tcW w:w="1050" w:type="pct"/>
            <w:shd w:val="clear" w:color="auto" w:fill="FFFFFF"/>
            <w:vAlign w:val="center"/>
          </w:tcPr>
          <w:p>
            <w:pPr>
              <w:autoSpaceDE w:val="0"/>
              <w:autoSpaceDN w:val="0"/>
              <w:spacing w:line="280" w:lineRule="exact"/>
              <w:jc w:val="center"/>
              <w:rPr>
                <w:color w:val="auto"/>
                <w:sz w:val="24"/>
                <w:highlight w:val="none"/>
              </w:rPr>
            </w:pPr>
          </w:p>
        </w:tc>
        <w:tc>
          <w:tcPr>
            <w:tcW w:w="813" w:type="pct"/>
            <w:tcBorders>
              <w:right w:val="nil"/>
            </w:tcBorders>
            <w:shd w:val="clear" w:color="auto" w:fill="FFFFFF"/>
            <w:vAlign w:val="center"/>
          </w:tcPr>
          <w:p>
            <w:pPr>
              <w:autoSpaceDE w:val="0"/>
              <w:autoSpaceDN w:val="0"/>
              <w:spacing w:line="280" w:lineRule="exact"/>
              <w:jc w:val="center"/>
              <w:rPr>
                <w:color w:val="auto"/>
                <w:sz w:val="24"/>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0" w:type="auto"/>
            <w:vMerge w:val="continue"/>
            <w:tcBorders>
              <w:left w:val="nil"/>
            </w:tcBorders>
            <w:vAlign w:val="center"/>
          </w:tcPr>
          <w:p>
            <w:pPr>
              <w:widowControl/>
              <w:spacing w:line="280" w:lineRule="exact"/>
              <w:jc w:val="center"/>
              <w:rPr>
                <w:rFonts w:hAnsi="宋体"/>
                <w:color w:val="auto"/>
                <w:highlight w:val="none"/>
                <w:lang w:eastAsia="en-US"/>
              </w:rPr>
            </w:pPr>
          </w:p>
        </w:tc>
        <w:tc>
          <w:tcPr>
            <w:tcW w:w="1590" w:type="pct"/>
            <w:shd w:val="clear" w:color="auto" w:fill="FFFFFF"/>
            <w:vAlign w:val="center"/>
          </w:tcPr>
          <w:p>
            <w:pPr>
              <w:pStyle w:val="137"/>
              <w:kinsoku w:val="0"/>
              <w:overflowPunct w:val="0"/>
              <w:spacing w:line="280" w:lineRule="exact"/>
              <w:jc w:val="center"/>
              <w:rPr>
                <w:rFonts w:ascii="Times New Roman" w:hAnsi="宋体"/>
                <w:color w:val="auto"/>
                <w:kern w:val="2"/>
                <w:sz w:val="21"/>
                <w:szCs w:val="21"/>
                <w:highlight w:val="none"/>
              </w:rPr>
            </w:pPr>
            <w:r>
              <w:rPr>
                <w:rFonts w:hint="eastAsia" w:ascii="宋体" w:hAnsi="宋体" w:eastAsia="宋体" w:cs="宋体"/>
                <w:color w:val="auto"/>
                <w:kern w:val="2"/>
                <w:sz w:val="21"/>
                <w:szCs w:val="21"/>
                <w:highlight w:val="none"/>
              </w:rPr>
              <w:t>多年平均大风日数</w:t>
            </w:r>
            <w:r>
              <w:rPr>
                <w:rFonts w:ascii="Times New Roman" w:hAnsi="宋体"/>
                <w:color w:val="auto"/>
                <w:kern w:val="2"/>
                <w:sz w:val="21"/>
                <w:szCs w:val="21"/>
                <w:highlight w:val="none"/>
              </w:rPr>
              <w:t>(d)</w:t>
            </w:r>
          </w:p>
        </w:tc>
        <w:tc>
          <w:tcPr>
            <w:tcW w:w="819" w:type="pct"/>
            <w:shd w:val="clear" w:color="auto" w:fill="FFFFFF"/>
            <w:vAlign w:val="center"/>
          </w:tcPr>
          <w:p>
            <w:pPr>
              <w:pStyle w:val="137"/>
              <w:kinsoku w:val="0"/>
              <w:overflowPunct w:val="0"/>
              <w:spacing w:line="280" w:lineRule="exact"/>
              <w:jc w:val="center"/>
              <w:rPr>
                <w:rFonts w:ascii="Times New Roman" w:hAnsi="Times New Roman"/>
                <w:color w:val="auto"/>
                <w:kern w:val="2"/>
                <w:highlight w:val="none"/>
              </w:rPr>
            </w:pPr>
            <w:r>
              <w:rPr>
                <w:rFonts w:ascii="Times New Roman" w:hAnsi="Times New Roman"/>
                <w:color w:val="auto"/>
                <w:kern w:val="2"/>
                <w:sz w:val="21"/>
                <w:szCs w:val="21"/>
                <w:highlight w:val="none"/>
              </w:rPr>
              <w:t>1.55</w:t>
            </w:r>
          </w:p>
        </w:tc>
        <w:tc>
          <w:tcPr>
            <w:tcW w:w="1050" w:type="pct"/>
            <w:shd w:val="clear" w:color="auto" w:fill="FFFFFF"/>
            <w:vAlign w:val="center"/>
          </w:tcPr>
          <w:p>
            <w:pPr>
              <w:autoSpaceDE w:val="0"/>
              <w:autoSpaceDN w:val="0"/>
              <w:spacing w:line="280" w:lineRule="exact"/>
              <w:jc w:val="center"/>
              <w:rPr>
                <w:color w:val="auto"/>
                <w:sz w:val="24"/>
                <w:highlight w:val="none"/>
              </w:rPr>
            </w:pPr>
          </w:p>
        </w:tc>
        <w:tc>
          <w:tcPr>
            <w:tcW w:w="813" w:type="pct"/>
            <w:tcBorders>
              <w:right w:val="nil"/>
            </w:tcBorders>
            <w:shd w:val="clear" w:color="auto" w:fill="FFFFFF"/>
            <w:vAlign w:val="center"/>
          </w:tcPr>
          <w:p>
            <w:pPr>
              <w:autoSpaceDE w:val="0"/>
              <w:autoSpaceDN w:val="0"/>
              <w:spacing w:line="280" w:lineRule="exact"/>
              <w:jc w:val="center"/>
              <w:rPr>
                <w:color w:val="auto"/>
                <w:sz w:val="24"/>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318" w:type="pct"/>
            <w:gridSpan w:val="2"/>
            <w:tcBorders>
              <w:left w:val="nil"/>
            </w:tcBorders>
            <w:shd w:val="clear" w:color="auto" w:fill="FFFFFF"/>
            <w:vAlign w:val="center"/>
          </w:tcPr>
          <w:p>
            <w:pPr>
              <w:pStyle w:val="137"/>
              <w:kinsoku w:val="0"/>
              <w:overflowPunct w:val="0"/>
              <w:spacing w:line="280" w:lineRule="exact"/>
              <w:jc w:val="center"/>
              <w:rPr>
                <w:rFonts w:ascii="Times New Roman" w:hAnsi="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多年实测极大风速（</w:t>
            </w:r>
            <w:r>
              <w:rPr>
                <w:rFonts w:ascii="Times New Roman" w:hAnsi="宋体"/>
                <w:color w:val="auto"/>
                <w:kern w:val="2"/>
                <w:sz w:val="21"/>
                <w:szCs w:val="21"/>
                <w:highlight w:val="none"/>
                <w:lang w:eastAsia="zh-CN"/>
              </w:rPr>
              <w:t>m/s</w:t>
            </w:r>
            <w:r>
              <w:rPr>
                <w:rFonts w:hint="eastAsia" w:ascii="宋体" w:hAnsi="宋体" w:eastAsia="宋体" w:cs="宋体"/>
                <w:color w:val="auto"/>
                <w:kern w:val="2"/>
                <w:sz w:val="21"/>
                <w:szCs w:val="21"/>
                <w:highlight w:val="none"/>
                <w:lang w:eastAsia="zh-CN"/>
              </w:rPr>
              <w:t>）、相应风向</w:t>
            </w:r>
          </w:p>
        </w:tc>
        <w:tc>
          <w:tcPr>
            <w:tcW w:w="819" w:type="pct"/>
            <w:shd w:val="clear" w:color="auto" w:fill="FFFFFF"/>
            <w:vAlign w:val="center"/>
          </w:tcPr>
          <w:p>
            <w:pPr>
              <w:pStyle w:val="137"/>
              <w:kinsoku w:val="0"/>
              <w:overflowPunct w:val="0"/>
              <w:spacing w:line="280" w:lineRule="exact"/>
              <w:jc w:val="center"/>
              <w:rPr>
                <w:rFonts w:ascii="Times New Roman" w:hAnsi="Times New Roman"/>
                <w:color w:val="auto"/>
                <w:kern w:val="2"/>
                <w:highlight w:val="none"/>
              </w:rPr>
            </w:pPr>
            <w:r>
              <w:rPr>
                <w:rFonts w:ascii="Times New Roman" w:hAnsi="Times New Roman"/>
                <w:color w:val="auto"/>
                <w:kern w:val="2"/>
                <w:sz w:val="21"/>
                <w:szCs w:val="21"/>
                <w:highlight w:val="none"/>
              </w:rPr>
              <w:t>17.55</w:t>
            </w:r>
          </w:p>
        </w:tc>
        <w:tc>
          <w:tcPr>
            <w:tcW w:w="1050" w:type="pct"/>
            <w:shd w:val="clear" w:color="auto" w:fill="FFFFFF"/>
            <w:vAlign w:val="center"/>
          </w:tcPr>
          <w:p>
            <w:pPr>
              <w:pStyle w:val="137"/>
              <w:kinsoku w:val="0"/>
              <w:overflowPunct w:val="0"/>
              <w:spacing w:line="280" w:lineRule="exact"/>
              <w:jc w:val="center"/>
              <w:rPr>
                <w:rFonts w:ascii="Times New Roman" w:hAnsi="Times New Roman"/>
                <w:color w:val="auto"/>
                <w:kern w:val="2"/>
                <w:highlight w:val="none"/>
              </w:rPr>
            </w:pPr>
            <w:r>
              <w:rPr>
                <w:rFonts w:ascii="Times New Roman" w:hAnsi="Times New Roman"/>
                <w:color w:val="auto"/>
                <w:kern w:val="2"/>
                <w:sz w:val="21"/>
                <w:szCs w:val="21"/>
                <w:highlight w:val="none"/>
              </w:rPr>
              <w:t>2006.4.28</w:t>
            </w:r>
          </w:p>
        </w:tc>
        <w:tc>
          <w:tcPr>
            <w:tcW w:w="813" w:type="pct"/>
            <w:tcBorders>
              <w:right w:val="nil"/>
            </w:tcBorders>
            <w:shd w:val="clear" w:color="auto" w:fill="FFFFFF"/>
            <w:vAlign w:val="center"/>
          </w:tcPr>
          <w:p>
            <w:pPr>
              <w:pStyle w:val="137"/>
              <w:kinsoku w:val="0"/>
              <w:overflowPunct w:val="0"/>
              <w:spacing w:line="280" w:lineRule="exact"/>
              <w:jc w:val="center"/>
              <w:rPr>
                <w:rFonts w:ascii="Times New Roman" w:hAnsi="Times New Roman"/>
                <w:color w:val="auto"/>
                <w:kern w:val="2"/>
                <w:sz w:val="21"/>
                <w:szCs w:val="21"/>
                <w:highlight w:val="none"/>
              </w:rPr>
            </w:pPr>
            <w:r>
              <w:rPr>
                <w:rFonts w:ascii="Times New Roman" w:hAnsi="Times New Roman"/>
                <w:color w:val="auto"/>
                <w:kern w:val="2"/>
                <w:sz w:val="21"/>
                <w:szCs w:val="21"/>
                <w:highlight w:val="none"/>
              </w:rPr>
              <w:t xml:space="preserve">21.9 </w:t>
            </w:r>
            <w:r>
              <w:rPr>
                <w:rFonts w:ascii="Times New Roman" w:hAnsi="Times New Roman"/>
                <w:color w:val="auto"/>
                <w:kern w:val="2"/>
                <w:sz w:val="21"/>
                <w:szCs w:val="21"/>
                <w:highlight w:val="none"/>
                <w:lang w:eastAsia="zh-CN"/>
              </w:rPr>
              <w:t xml:space="preserve"> </w:t>
            </w:r>
            <w:r>
              <w:rPr>
                <w:rStyle w:val="430"/>
                <w:color w:val="auto"/>
                <w:highlight w:val="none"/>
              </w:rPr>
              <w:t>N</w:t>
            </w:r>
            <w:r>
              <w:rPr>
                <w:rFonts w:ascii="Times New Roman" w:hAnsi="Times New Roman"/>
                <w:color w:val="auto"/>
                <w:kern w:val="2"/>
                <w:sz w:val="21"/>
                <w:szCs w:val="21"/>
                <w:highlight w:val="none"/>
              </w:rPr>
              <w:t>NW</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318" w:type="pct"/>
            <w:gridSpan w:val="2"/>
            <w:tcBorders>
              <w:left w:val="nil"/>
            </w:tcBorders>
            <w:shd w:val="clear" w:color="auto" w:fill="FFFFFF"/>
            <w:vAlign w:val="center"/>
          </w:tcPr>
          <w:p>
            <w:pPr>
              <w:pStyle w:val="137"/>
              <w:kinsoku w:val="0"/>
              <w:overflowPunct w:val="0"/>
              <w:spacing w:line="280" w:lineRule="exact"/>
              <w:jc w:val="center"/>
              <w:rPr>
                <w:rFonts w:ascii="Times New Roman" w:hAnsi="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多年平均风速（</w:t>
            </w:r>
            <w:r>
              <w:rPr>
                <w:rFonts w:ascii="Times New Roman" w:hAnsi="宋体"/>
                <w:color w:val="auto"/>
                <w:kern w:val="2"/>
                <w:sz w:val="21"/>
                <w:szCs w:val="21"/>
                <w:highlight w:val="none"/>
                <w:lang w:eastAsia="zh-CN"/>
              </w:rPr>
              <w:t>m/s</w:t>
            </w:r>
            <w:r>
              <w:rPr>
                <w:rFonts w:hint="eastAsia" w:ascii="宋体" w:hAnsi="宋体" w:eastAsia="宋体" w:cs="宋体"/>
                <w:color w:val="auto"/>
                <w:kern w:val="2"/>
                <w:sz w:val="21"/>
                <w:szCs w:val="21"/>
                <w:highlight w:val="none"/>
                <w:lang w:eastAsia="zh-CN"/>
              </w:rPr>
              <w:t>）</w:t>
            </w:r>
          </w:p>
        </w:tc>
        <w:tc>
          <w:tcPr>
            <w:tcW w:w="819" w:type="pct"/>
            <w:shd w:val="clear" w:color="auto" w:fill="FFFFFF"/>
            <w:vAlign w:val="center"/>
          </w:tcPr>
          <w:p>
            <w:pPr>
              <w:pStyle w:val="137"/>
              <w:kinsoku w:val="0"/>
              <w:overflowPunct w:val="0"/>
              <w:spacing w:line="280" w:lineRule="exact"/>
              <w:jc w:val="center"/>
              <w:rPr>
                <w:rFonts w:ascii="Times New Roman" w:hAnsi="Times New Roman"/>
                <w:color w:val="auto"/>
                <w:kern w:val="2"/>
                <w:highlight w:val="none"/>
              </w:rPr>
            </w:pPr>
            <w:r>
              <w:rPr>
                <w:rFonts w:ascii="Times New Roman" w:hAnsi="Times New Roman"/>
                <w:color w:val="auto"/>
                <w:kern w:val="2"/>
                <w:sz w:val="21"/>
                <w:szCs w:val="21"/>
                <w:highlight w:val="none"/>
              </w:rPr>
              <w:t>1.87</w:t>
            </w:r>
          </w:p>
        </w:tc>
        <w:tc>
          <w:tcPr>
            <w:tcW w:w="1050" w:type="pct"/>
            <w:shd w:val="clear" w:color="auto" w:fill="FFFFFF"/>
            <w:vAlign w:val="center"/>
          </w:tcPr>
          <w:p>
            <w:pPr>
              <w:autoSpaceDE w:val="0"/>
              <w:autoSpaceDN w:val="0"/>
              <w:spacing w:line="280" w:lineRule="exact"/>
              <w:jc w:val="center"/>
              <w:rPr>
                <w:color w:val="auto"/>
                <w:sz w:val="24"/>
                <w:highlight w:val="none"/>
              </w:rPr>
            </w:pPr>
          </w:p>
        </w:tc>
        <w:tc>
          <w:tcPr>
            <w:tcW w:w="813" w:type="pct"/>
            <w:tcBorders>
              <w:right w:val="nil"/>
            </w:tcBorders>
            <w:shd w:val="clear" w:color="auto" w:fill="FFFFFF"/>
            <w:vAlign w:val="center"/>
          </w:tcPr>
          <w:p>
            <w:pPr>
              <w:autoSpaceDE w:val="0"/>
              <w:autoSpaceDN w:val="0"/>
              <w:spacing w:line="280" w:lineRule="exact"/>
              <w:jc w:val="center"/>
              <w:rPr>
                <w:color w:val="auto"/>
                <w:sz w:val="24"/>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318" w:type="pct"/>
            <w:gridSpan w:val="2"/>
            <w:tcBorders>
              <w:left w:val="nil"/>
            </w:tcBorders>
            <w:shd w:val="clear" w:color="auto" w:fill="FFFFFF"/>
            <w:vAlign w:val="center"/>
          </w:tcPr>
          <w:p>
            <w:pPr>
              <w:pStyle w:val="137"/>
              <w:kinsoku w:val="0"/>
              <w:overflowPunct w:val="0"/>
              <w:spacing w:line="280" w:lineRule="exact"/>
              <w:jc w:val="center"/>
              <w:rPr>
                <w:rFonts w:ascii="Times New Roman" w:hAnsi="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多年主导风向、风向频率</w:t>
            </w:r>
            <w:r>
              <w:rPr>
                <w:rFonts w:ascii="Times New Roman" w:hAnsi="宋体"/>
                <w:color w:val="auto"/>
                <w:kern w:val="2"/>
                <w:sz w:val="21"/>
                <w:szCs w:val="21"/>
                <w:highlight w:val="none"/>
                <w:lang w:eastAsia="zh-CN"/>
              </w:rPr>
              <w:t>(%)</w:t>
            </w:r>
          </w:p>
        </w:tc>
        <w:tc>
          <w:tcPr>
            <w:tcW w:w="819" w:type="pct"/>
            <w:shd w:val="clear" w:color="auto" w:fill="FFFFFF"/>
            <w:vAlign w:val="center"/>
          </w:tcPr>
          <w:p>
            <w:pPr>
              <w:pStyle w:val="137"/>
              <w:kinsoku w:val="0"/>
              <w:overflowPunct w:val="0"/>
              <w:spacing w:line="280" w:lineRule="exact"/>
              <w:jc w:val="center"/>
              <w:rPr>
                <w:rFonts w:ascii="Times New Roman" w:hAnsi="Times New Roman"/>
                <w:color w:val="auto"/>
                <w:kern w:val="2"/>
                <w:sz w:val="21"/>
                <w:szCs w:val="21"/>
                <w:highlight w:val="none"/>
              </w:rPr>
            </w:pPr>
            <w:r>
              <w:rPr>
                <w:rFonts w:ascii="Times New Roman" w:hAnsi="Times New Roman"/>
                <w:color w:val="auto"/>
                <w:kern w:val="2"/>
                <w:sz w:val="21"/>
                <w:szCs w:val="21"/>
                <w:highlight w:val="none"/>
              </w:rPr>
              <w:t>E11.2</w:t>
            </w:r>
          </w:p>
        </w:tc>
        <w:tc>
          <w:tcPr>
            <w:tcW w:w="1050" w:type="pct"/>
            <w:shd w:val="clear" w:color="auto" w:fill="FFFFFF"/>
            <w:vAlign w:val="center"/>
          </w:tcPr>
          <w:p>
            <w:pPr>
              <w:autoSpaceDE w:val="0"/>
              <w:autoSpaceDN w:val="0"/>
              <w:spacing w:line="280" w:lineRule="exact"/>
              <w:jc w:val="center"/>
              <w:rPr>
                <w:color w:val="auto"/>
                <w:sz w:val="24"/>
                <w:highlight w:val="none"/>
              </w:rPr>
            </w:pPr>
          </w:p>
        </w:tc>
        <w:tc>
          <w:tcPr>
            <w:tcW w:w="813" w:type="pct"/>
            <w:tcBorders>
              <w:right w:val="nil"/>
            </w:tcBorders>
            <w:shd w:val="clear" w:color="auto" w:fill="FFFFFF"/>
            <w:vAlign w:val="center"/>
          </w:tcPr>
          <w:p>
            <w:pPr>
              <w:autoSpaceDE w:val="0"/>
              <w:autoSpaceDN w:val="0"/>
              <w:spacing w:line="280" w:lineRule="exact"/>
              <w:jc w:val="center"/>
              <w:rPr>
                <w:color w:val="auto"/>
                <w:sz w:val="24"/>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318" w:type="pct"/>
            <w:gridSpan w:val="2"/>
            <w:tcBorders>
              <w:left w:val="nil"/>
              <w:bottom w:val="single" w:color="000000" w:sz="12" w:space="0"/>
            </w:tcBorders>
            <w:shd w:val="clear" w:color="auto" w:fill="FFFFFF"/>
            <w:vAlign w:val="center"/>
          </w:tcPr>
          <w:p>
            <w:pPr>
              <w:pStyle w:val="137"/>
              <w:kinsoku w:val="0"/>
              <w:overflowPunct w:val="0"/>
              <w:spacing w:line="280" w:lineRule="exact"/>
              <w:jc w:val="center"/>
              <w:rPr>
                <w:rFonts w:ascii="Times New Roman" w:hAnsi="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多年静风频率</w:t>
            </w:r>
            <w:r>
              <w:rPr>
                <w:rFonts w:ascii="Times New Roman" w:hAnsi="宋体"/>
                <w:color w:val="auto"/>
                <w:kern w:val="2"/>
                <w:sz w:val="21"/>
                <w:szCs w:val="21"/>
                <w:highlight w:val="none"/>
                <w:lang w:eastAsia="zh-CN"/>
              </w:rPr>
              <w:t>(</w:t>
            </w:r>
            <w:r>
              <w:rPr>
                <w:rFonts w:hint="eastAsia" w:ascii="宋体" w:hAnsi="宋体" w:eastAsia="宋体" w:cs="宋体"/>
                <w:color w:val="auto"/>
                <w:kern w:val="2"/>
                <w:sz w:val="21"/>
                <w:szCs w:val="21"/>
                <w:highlight w:val="none"/>
                <w:lang w:eastAsia="zh-CN"/>
              </w:rPr>
              <w:t>风速</w:t>
            </w:r>
            <w:r>
              <w:rPr>
                <w:rFonts w:ascii="Times New Roman" w:hAnsi="宋体"/>
                <w:color w:val="auto"/>
                <w:kern w:val="2"/>
                <w:sz w:val="21"/>
                <w:szCs w:val="21"/>
                <w:highlight w:val="none"/>
                <w:lang w:eastAsia="zh-CN"/>
              </w:rPr>
              <w:t>&lt;0.2m/s)(%)</w:t>
            </w:r>
          </w:p>
        </w:tc>
        <w:tc>
          <w:tcPr>
            <w:tcW w:w="819" w:type="pct"/>
            <w:tcBorders>
              <w:bottom w:val="single" w:color="000000" w:sz="12" w:space="0"/>
            </w:tcBorders>
            <w:shd w:val="clear" w:color="auto" w:fill="FFFFFF"/>
            <w:vAlign w:val="center"/>
          </w:tcPr>
          <w:p>
            <w:pPr>
              <w:pStyle w:val="137"/>
              <w:kinsoku w:val="0"/>
              <w:overflowPunct w:val="0"/>
              <w:spacing w:line="280" w:lineRule="exact"/>
              <w:jc w:val="center"/>
              <w:rPr>
                <w:rFonts w:ascii="Times New Roman" w:hAnsi="Times New Roman" w:eastAsia="等线"/>
                <w:color w:val="auto"/>
                <w:kern w:val="2"/>
                <w:highlight w:val="none"/>
                <w:lang w:eastAsia="zh-CN"/>
              </w:rPr>
            </w:pPr>
            <w:r>
              <w:rPr>
                <w:rFonts w:ascii="Times New Roman" w:hAnsi="Times New Roman"/>
                <w:color w:val="auto"/>
                <w:kern w:val="2"/>
                <w:sz w:val="21"/>
                <w:szCs w:val="21"/>
                <w:highlight w:val="none"/>
              </w:rPr>
              <w:t>10.</w:t>
            </w:r>
            <w:r>
              <w:rPr>
                <w:rFonts w:hint="eastAsia" w:ascii="Times New Roman" w:hAnsi="Times New Roman" w:eastAsia="等线"/>
                <w:color w:val="auto"/>
                <w:kern w:val="2"/>
                <w:sz w:val="21"/>
                <w:szCs w:val="21"/>
                <w:highlight w:val="none"/>
                <w:lang w:eastAsia="zh-CN"/>
              </w:rPr>
              <w:t>63</w:t>
            </w:r>
          </w:p>
        </w:tc>
        <w:tc>
          <w:tcPr>
            <w:tcW w:w="1050" w:type="pct"/>
            <w:tcBorders>
              <w:bottom w:val="single" w:color="000000" w:sz="12" w:space="0"/>
            </w:tcBorders>
            <w:shd w:val="clear" w:color="auto" w:fill="FFFFFF"/>
            <w:vAlign w:val="center"/>
          </w:tcPr>
          <w:p>
            <w:pPr>
              <w:autoSpaceDE w:val="0"/>
              <w:autoSpaceDN w:val="0"/>
              <w:spacing w:line="280" w:lineRule="exact"/>
              <w:jc w:val="center"/>
              <w:rPr>
                <w:color w:val="auto"/>
                <w:sz w:val="24"/>
                <w:highlight w:val="none"/>
              </w:rPr>
            </w:pPr>
          </w:p>
        </w:tc>
        <w:tc>
          <w:tcPr>
            <w:tcW w:w="813" w:type="pct"/>
            <w:tcBorders>
              <w:bottom w:val="single" w:color="000000" w:sz="12" w:space="0"/>
              <w:right w:val="nil"/>
            </w:tcBorders>
            <w:shd w:val="clear" w:color="auto" w:fill="FFFFFF"/>
            <w:vAlign w:val="center"/>
          </w:tcPr>
          <w:p>
            <w:pPr>
              <w:autoSpaceDE w:val="0"/>
              <w:autoSpaceDN w:val="0"/>
              <w:spacing w:line="280" w:lineRule="exact"/>
              <w:jc w:val="center"/>
              <w:rPr>
                <w:color w:val="auto"/>
                <w:sz w:val="24"/>
                <w:highlight w:val="none"/>
              </w:rPr>
            </w:pPr>
          </w:p>
        </w:tc>
      </w:tr>
    </w:tbl>
    <w:p>
      <w:pPr>
        <w:adjustRightInd w:val="0"/>
        <w:snapToGrid w:val="0"/>
        <w:spacing w:line="360" w:lineRule="auto"/>
        <w:ind w:firstLine="482" w:firstLineChars="200"/>
        <w:rPr>
          <w:b/>
          <w:bCs/>
          <w:color w:val="auto"/>
          <w:sz w:val="24"/>
          <w:highlight w:val="none"/>
        </w:rPr>
      </w:pPr>
      <w:r>
        <w:rPr>
          <w:rFonts w:hint="eastAsia"/>
          <w:b/>
          <w:bCs/>
          <w:color w:val="auto"/>
          <w:sz w:val="24"/>
          <w:highlight w:val="none"/>
        </w:rPr>
        <w:t>2</w:t>
      </w:r>
      <w:r>
        <w:rPr>
          <w:b/>
          <w:bCs/>
          <w:color w:val="auto"/>
          <w:sz w:val="24"/>
          <w:highlight w:val="none"/>
        </w:rPr>
        <w:t>、</w:t>
      </w:r>
      <w:r>
        <w:rPr>
          <w:rFonts w:hint="eastAsia"/>
          <w:b/>
          <w:bCs/>
          <w:color w:val="auto"/>
          <w:sz w:val="24"/>
          <w:highlight w:val="none"/>
        </w:rPr>
        <w:t>气温</w:t>
      </w:r>
      <w:r>
        <w:rPr>
          <w:b/>
          <w:bCs/>
          <w:color w:val="auto"/>
          <w:sz w:val="24"/>
          <w:highlight w:val="none"/>
        </w:rPr>
        <w:t>数据统计</w:t>
      </w:r>
    </w:p>
    <w:p>
      <w:pPr>
        <w:adjustRightInd w:val="0"/>
        <w:snapToGrid w:val="0"/>
        <w:spacing w:line="360" w:lineRule="auto"/>
        <w:ind w:firstLine="480" w:firstLineChars="200"/>
        <w:rPr>
          <w:color w:val="auto"/>
          <w:sz w:val="24"/>
          <w:highlight w:val="none"/>
        </w:rPr>
      </w:pPr>
      <w:r>
        <w:rPr>
          <w:rFonts w:hint="eastAsia"/>
          <w:color w:val="auto"/>
          <w:sz w:val="24"/>
          <w:highlight w:val="none"/>
        </w:rPr>
        <w:t>峄城区1月份平均气温最低0.42℃，7月份平均气温最高27.28℃，年平均气温14.90℃。峄城区累年平均气温统计见表</w:t>
      </w:r>
      <w:r>
        <w:rPr>
          <w:color w:val="auto"/>
          <w:sz w:val="24"/>
          <w:highlight w:val="none"/>
        </w:rPr>
        <w:t>4.1-2。</w:t>
      </w:r>
    </w:p>
    <w:p>
      <w:pPr>
        <w:pStyle w:val="103"/>
        <w:rPr>
          <w:rFonts w:ascii="Times New Roman" w:hAnsi="Times New Roman"/>
          <w:color w:val="auto"/>
          <w:highlight w:val="none"/>
        </w:rPr>
      </w:pPr>
      <w:r>
        <w:rPr>
          <w:rFonts w:ascii="Times New Roman" w:hAnsi="Times New Roman"/>
          <w:color w:val="auto"/>
          <w:highlight w:val="none"/>
        </w:rPr>
        <w:t>表4.1-2  枣庄市</w:t>
      </w:r>
      <w:r>
        <w:rPr>
          <w:rFonts w:hint="eastAsia" w:ascii="Times New Roman" w:hAnsi="Times New Roman"/>
          <w:color w:val="auto"/>
          <w:highlight w:val="none"/>
        </w:rPr>
        <w:t>峄城区</w:t>
      </w:r>
      <w:r>
        <w:rPr>
          <w:rFonts w:ascii="Times New Roman" w:hAnsi="Times New Roman"/>
          <w:color w:val="auto"/>
          <w:highlight w:val="none"/>
        </w:rPr>
        <w:t>2000~2019年平均气温的月变化</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844"/>
        <w:gridCol w:w="571"/>
        <w:gridCol w:w="663"/>
        <w:gridCol w:w="617"/>
        <w:gridCol w:w="571"/>
        <w:gridCol w:w="617"/>
        <w:gridCol w:w="571"/>
        <w:gridCol w:w="617"/>
        <w:gridCol w:w="617"/>
        <w:gridCol w:w="617"/>
        <w:gridCol w:w="571"/>
        <w:gridCol w:w="562"/>
        <w:gridCol w:w="661"/>
        <w:gridCol w:w="68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80" w:type="pct"/>
            <w:vAlign w:val="center"/>
          </w:tcPr>
          <w:p>
            <w:pPr>
              <w:widowControl/>
              <w:snapToGrid w:val="0"/>
              <w:jc w:val="center"/>
              <w:rPr>
                <w:color w:val="auto"/>
                <w:kern w:val="0"/>
                <w:szCs w:val="21"/>
                <w:highlight w:val="none"/>
              </w:rPr>
            </w:pPr>
            <w:r>
              <w:rPr>
                <w:color w:val="auto"/>
                <w:kern w:val="0"/>
                <w:szCs w:val="21"/>
                <w:highlight w:val="none"/>
              </w:rPr>
              <w:t>月份</w:t>
            </w:r>
          </w:p>
        </w:tc>
        <w:tc>
          <w:tcPr>
            <w:tcW w:w="325" w:type="pct"/>
            <w:vAlign w:val="center"/>
          </w:tcPr>
          <w:p>
            <w:pPr>
              <w:widowControl/>
              <w:jc w:val="center"/>
              <w:rPr>
                <w:color w:val="auto"/>
                <w:kern w:val="0"/>
                <w:szCs w:val="21"/>
                <w:highlight w:val="none"/>
              </w:rPr>
            </w:pPr>
            <w:r>
              <w:rPr>
                <w:color w:val="auto"/>
                <w:szCs w:val="21"/>
                <w:highlight w:val="none"/>
              </w:rPr>
              <w:t>1月</w:t>
            </w:r>
          </w:p>
        </w:tc>
        <w:tc>
          <w:tcPr>
            <w:tcW w:w="377" w:type="pct"/>
            <w:vAlign w:val="center"/>
          </w:tcPr>
          <w:p>
            <w:pPr>
              <w:widowControl/>
              <w:jc w:val="center"/>
              <w:rPr>
                <w:color w:val="auto"/>
                <w:kern w:val="0"/>
                <w:szCs w:val="21"/>
                <w:highlight w:val="none"/>
              </w:rPr>
            </w:pPr>
            <w:r>
              <w:rPr>
                <w:color w:val="auto"/>
                <w:kern w:val="0"/>
                <w:szCs w:val="21"/>
                <w:highlight w:val="none"/>
              </w:rPr>
              <w:t>2月</w:t>
            </w:r>
          </w:p>
        </w:tc>
        <w:tc>
          <w:tcPr>
            <w:tcW w:w="351" w:type="pct"/>
            <w:vAlign w:val="center"/>
          </w:tcPr>
          <w:p>
            <w:pPr>
              <w:widowControl/>
              <w:jc w:val="center"/>
              <w:rPr>
                <w:color w:val="auto"/>
                <w:kern w:val="0"/>
                <w:szCs w:val="21"/>
                <w:highlight w:val="none"/>
              </w:rPr>
            </w:pPr>
            <w:r>
              <w:rPr>
                <w:color w:val="auto"/>
                <w:kern w:val="0"/>
                <w:szCs w:val="21"/>
                <w:highlight w:val="none"/>
              </w:rPr>
              <w:t>3月</w:t>
            </w:r>
          </w:p>
        </w:tc>
        <w:tc>
          <w:tcPr>
            <w:tcW w:w="325" w:type="pct"/>
            <w:vAlign w:val="center"/>
          </w:tcPr>
          <w:p>
            <w:pPr>
              <w:widowControl/>
              <w:jc w:val="center"/>
              <w:rPr>
                <w:color w:val="auto"/>
                <w:kern w:val="0"/>
                <w:szCs w:val="21"/>
                <w:highlight w:val="none"/>
              </w:rPr>
            </w:pPr>
            <w:r>
              <w:rPr>
                <w:color w:val="auto"/>
                <w:kern w:val="0"/>
                <w:szCs w:val="21"/>
                <w:highlight w:val="none"/>
              </w:rPr>
              <w:t>4月</w:t>
            </w:r>
          </w:p>
        </w:tc>
        <w:tc>
          <w:tcPr>
            <w:tcW w:w="351" w:type="pct"/>
            <w:vAlign w:val="center"/>
          </w:tcPr>
          <w:p>
            <w:pPr>
              <w:widowControl/>
              <w:jc w:val="center"/>
              <w:rPr>
                <w:color w:val="auto"/>
                <w:kern w:val="0"/>
                <w:szCs w:val="21"/>
                <w:highlight w:val="none"/>
              </w:rPr>
            </w:pPr>
            <w:r>
              <w:rPr>
                <w:color w:val="auto"/>
                <w:kern w:val="0"/>
                <w:szCs w:val="21"/>
                <w:highlight w:val="none"/>
              </w:rPr>
              <w:t>5月</w:t>
            </w:r>
          </w:p>
        </w:tc>
        <w:tc>
          <w:tcPr>
            <w:tcW w:w="325" w:type="pct"/>
            <w:vAlign w:val="center"/>
          </w:tcPr>
          <w:p>
            <w:pPr>
              <w:widowControl/>
              <w:jc w:val="center"/>
              <w:rPr>
                <w:color w:val="auto"/>
                <w:kern w:val="0"/>
                <w:szCs w:val="21"/>
                <w:highlight w:val="none"/>
              </w:rPr>
            </w:pPr>
            <w:r>
              <w:rPr>
                <w:color w:val="auto"/>
                <w:kern w:val="0"/>
                <w:szCs w:val="21"/>
                <w:highlight w:val="none"/>
              </w:rPr>
              <w:t>6月</w:t>
            </w:r>
          </w:p>
        </w:tc>
        <w:tc>
          <w:tcPr>
            <w:tcW w:w="351" w:type="pct"/>
            <w:vAlign w:val="center"/>
          </w:tcPr>
          <w:p>
            <w:pPr>
              <w:widowControl/>
              <w:jc w:val="center"/>
              <w:rPr>
                <w:color w:val="auto"/>
                <w:kern w:val="0"/>
                <w:szCs w:val="21"/>
                <w:highlight w:val="none"/>
              </w:rPr>
            </w:pPr>
            <w:r>
              <w:rPr>
                <w:color w:val="auto"/>
                <w:kern w:val="0"/>
                <w:szCs w:val="21"/>
                <w:highlight w:val="none"/>
              </w:rPr>
              <w:t>7月</w:t>
            </w:r>
          </w:p>
        </w:tc>
        <w:tc>
          <w:tcPr>
            <w:tcW w:w="351" w:type="pct"/>
            <w:vAlign w:val="center"/>
          </w:tcPr>
          <w:p>
            <w:pPr>
              <w:widowControl/>
              <w:jc w:val="center"/>
              <w:rPr>
                <w:color w:val="auto"/>
                <w:kern w:val="0"/>
                <w:szCs w:val="21"/>
                <w:highlight w:val="none"/>
              </w:rPr>
            </w:pPr>
            <w:r>
              <w:rPr>
                <w:color w:val="auto"/>
                <w:kern w:val="0"/>
                <w:szCs w:val="21"/>
                <w:highlight w:val="none"/>
              </w:rPr>
              <w:t>8月</w:t>
            </w:r>
          </w:p>
        </w:tc>
        <w:tc>
          <w:tcPr>
            <w:tcW w:w="351" w:type="pct"/>
            <w:vAlign w:val="center"/>
          </w:tcPr>
          <w:p>
            <w:pPr>
              <w:widowControl/>
              <w:jc w:val="center"/>
              <w:rPr>
                <w:color w:val="auto"/>
                <w:kern w:val="0"/>
                <w:szCs w:val="21"/>
                <w:highlight w:val="none"/>
              </w:rPr>
            </w:pPr>
            <w:r>
              <w:rPr>
                <w:color w:val="auto"/>
                <w:kern w:val="0"/>
                <w:szCs w:val="21"/>
                <w:highlight w:val="none"/>
              </w:rPr>
              <w:t>9月</w:t>
            </w:r>
          </w:p>
        </w:tc>
        <w:tc>
          <w:tcPr>
            <w:tcW w:w="325" w:type="pct"/>
            <w:vAlign w:val="center"/>
          </w:tcPr>
          <w:p>
            <w:pPr>
              <w:widowControl/>
              <w:jc w:val="center"/>
              <w:rPr>
                <w:color w:val="auto"/>
                <w:kern w:val="0"/>
                <w:szCs w:val="21"/>
                <w:highlight w:val="none"/>
              </w:rPr>
            </w:pPr>
            <w:r>
              <w:rPr>
                <w:color w:val="auto"/>
                <w:kern w:val="0"/>
                <w:szCs w:val="21"/>
                <w:highlight w:val="none"/>
              </w:rPr>
              <w:t>10月</w:t>
            </w:r>
          </w:p>
        </w:tc>
        <w:tc>
          <w:tcPr>
            <w:tcW w:w="320" w:type="pct"/>
            <w:vAlign w:val="center"/>
          </w:tcPr>
          <w:p>
            <w:pPr>
              <w:widowControl/>
              <w:jc w:val="center"/>
              <w:rPr>
                <w:color w:val="auto"/>
                <w:kern w:val="0"/>
                <w:szCs w:val="21"/>
                <w:highlight w:val="none"/>
              </w:rPr>
            </w:pPr>
            <w:r>
              <w:rPr>
                <w:color w:val="auto"/>
                <w:kern w:val="0"/>
                <w:szCs w:val="21"/>
                <w:highlight w:val="none"/>
              </w:rPr>
              <w:t>11月</w:t>
            </w:r>
          </w:p>
        </w:tc>
        <w:tc>
          <w:tcPr>
            <w:tcW w:w="376" w:type="pct"/>
            <w:vAlign w:val="center"/>
          </w:tcPr>
          <w:p>
            <w:pPr>
              <w:widowControl/>
              <w:jc w:val="center"/>
              <w:rPr>
                <w:color w:val="auto"/>
                <w:kern w:val="0"/>
                <w:szCs w:val="21"/>
                <w:highlight w:val="none"/>
              </w:rPr>
            </w:pPr>
            <w:r>
              <w:rPr>
                <w:color w:val="auto"/>
                <w:kern w:val="0"/>
                <w:szCs w:val="21"/>
                <w:highlight w:val="none"/>
              </w:rPr>
              <w:t>12月</w:t>
            </w:r>
          </w:p>
        </w:tc>
        <w:tc>
          <w:tcPr>
            <w:tcW w:w="391" w:type="pct"/>
            <w:vAlign w:val="center"/>
          </w:tcPr>
          <w:p>
            <w:pPr>
              <w:widowControl/>
              <w:jc w:val="center"/>
              <w:rPr>
                <w:color w:val="auto"/>
                <w:kern w:val="0"/>
                <w:szCs w:val="21"/>
                <w:highlight w:val="none"/>
              </w:rPr>
            </w:pPr>
            <w:r>
              <w:rPr>
                <w:color w:val="auto"/>
                <w:kern w:val="0"/>
                <w:szCs w:val="21"/>
                <w:highlight w:val="none"/>
              </w:rPr>
              <w:t>全年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80" w:type="pct"/>
            <w:vAlign w:val="center"/>
          </w:tcPr>
          <w:p>
            <w:pPr>
              <w:widowControl/>
              <w:snapToGrid w:val="0"/>
              <w:jc w:val="center"/>
              <w:rPr>
                <w:color w:val="auto"/>
                <w:kern w:val="0"/>
                <w:szCs w:val="21"/>
                <w:highlight w:val="none"/>
              </w:rPr>
            </w:pPr>
            <w:r>
              <w:rPr>
                <w:color w:val="auto"/>
                <w:kern w:val="0"/>
                <w:szCs w:val="21"/>
                <w:highlight w:val="none"/>
              </w:rPr>
              <w:t>温度</w:t>
            </w:r>
            <w:r>
              <w:rPr>
                <w:color w:val="auto"/>
                <w:spacing w:val="16"/>
                <w:kern w:val="0"/>
                <w:szCs w:val="21"/>
                <w:highlight w:val="none"/>
              </w:rPr>
              <w:t>℃</w:t>
            </w:r>
          </w:p>
        </w:tc>
        <w:tc>
          <w:tcPr>
            <w:tcW w:w="325" w:type="pct"/>
            <w:vAlign w:val="center"/>
          </w:tcPr>
          <w:p>
            <w:pPr>
              <w:jc w:val="center"/>
              <w:rPr>
                <w:color w:val="auto"/>
                <w:szCs w:val="21"/>
                <w:highlight w:val="none"/>
              </w:rPr>
            </w:pPr>
            <w:r>
              <w:rPr>
                <w:rFonts w:eastAsia="等线"/>
                <w:color w:val="auto"/>
                <w:szCs w:val="21"/>
                <w:highlight w:val="none"/>
              </w:rPr>
              <w:t>0.42</w:t>
            </w:r>
          </w:p>
        </w:tc>
        <w:tc>
          <w:tcPr>
            <w:tcW w:w="377" w:type="pct"/>
            <w:vAlign w:val="center"/>
          </w:tcPr>
          <w:p>
            <w:pPr>
              <w:jc w:val="center"/>
              <w:rPr>
                <w:color w:val="auto"/>
                <w:szCs w:val="21"/>
                <w:highlight w:val="none"/>
              </w:rPr>
            </w:pPr>
            <w:r>
              <w:rPr>
                <w:rFonts w:eastAsia="等线"/>
                <w:color w:val="auto"/>
                <w:szCs w:val="21"/>
                <w:highlight w:val="none"/>
              </w:rPr>
              <w:t>3.4</w:t>
            </w:r>
          </w:p>
        </w:tc>
        <w:tc>
          <w:tcPr>
            <w:tcW w:w="351" w:type="pct"/>
            <w:vAlign w:val="center"/>
          </w:tcPr>
          <w:p>
            <w:pPr>
              <w:jc w:val="center"/>
              <w:rPr>
                <w:color w:val="auto"/>
                <w:szCs w:val="21"/>
                <w:highlight w:val="none"/>
              </w:rPr>
            </w:pPr>
            <w:r>
              <w:rPr>
                <w:rFonts w:eastAsia="等线"/>
                <w:color w:val="auto"/>
                <w:szCs w:val="21"/>
                <w:highlight w:val="none"/>
              </w:rPr>
              <w:t>9.36</w:t>
            </w:r>
          </w:p>
        </w:tc>
        <w:tc>
          <w:tcPr>
            <w:tcW w:w="325" w:type="pct"/>
            <w:vAlign w:val="center"/>
          </w:tcPr>
          <w:p>
            <w:pPr>
              <w:jc w:val="center"/>
              <w:rPr>
                <w:color w:val="auto"/>
                <w:szCs w:val="21"/>
                <w:highlight w:val="none"/>
              </w:rPr>
            </w:pPr>
            <w:r>
              <w:rPr>
                <w:rFonts w:eastAsia="等线"/>
                <w:color w:val="auto"/>
                <w:szCs w:val="21"/>
                <w:highlight w:val="none"/>
              </w:rPr>
              <w:t>15.63</w:t>
            </w:r>
          </w:p>
        </w:tc>
        <w:tc>
          <w:tcPr>
            <w:tcW w:w="351" w:type="pct"/>
            <w:vAlign w:val="center"/>
          </w:tcPr>
          <w:p>
            <w:pPr>
              <w:jc w:val="center"/>
              <w:rPr>
                <w:color w:val="auto"/>
                <w:szCs w:val="21"/>
                <w:highlight w:val="none"/>
              </w:rPr>
            </w:pPr>
            <w:r>
              <w:rPr>
                <w:rFonts w:eastAsia="等线"/>
                <w:color w:val="auto"/>
                <w:szCs w:val="21"/>
                <w:highlight w:val="none"/>
              </w:rPr>
              <w:t>21.17</w:t>
            </w:r>
          </w:p>
        </w:tc>
        <w:tc>
          <w:tcPr>
            <w:tcW w:w="325" w:type="pct"/>
            <w:vAlign w:val="center"/>
          </w:tcPr>
          <w:p>
            <w:pPr>
              <w:jc w:val="center"/>
              <w:rPr>
                <w:color w:val="auto"/>
                <w:szCs w:val="21"/>
                <w:highlight w:val="none"/>
              </w:rPr>
            </w:pPr>
            <w:r>
              <w:rPr>
                <w:rFonts w:eastAsia="等线"/>
                <w:color w:val="auto"/>
                <w:szCs w:val="21"/>
                <w:highlight w:val="none"/>
              </w:rPr>
              <w:t>25.34</w:t>
            </w:r>
          </w:p>
        </w:tc>
        <w:tc>
          <w:tcPr>
            <w:tcW w:w="351" w:type="pct"/>
            <w:vAlign w:val="center"/>
          </w:tcPr>
          <w:p>
            <w:pPr>
              <w:jc w:val="center"/>
              <w:rPr>
                <w:color w:val="auto"/>
                <w:szCs w:val="21"/>
                <w:highlight w:val="none"/>
              </w:rPr>
            </w:pPr>
            <w:r>
              <w:rPr>
                <w:rFonts w:eastAsia="等线"/>
                <w:color w:val="auto"/>
                <w:szCs w:val="21"/>
                <w:highlight w:val="none"/>
              </w:rPr>
              <w:t>27.28</w:t>
            </w:r>
          </w:p>
        </w:tc>
        <w:tc>
          <w:tcPr>
            <w:tcW w:w="351" w:type="pct"/>
            <w:vAlign w:val="center"/>
          </w:tcPr>
          <w:p>
            <w:pPr>
              <w:jc w:val="center"/>
              <w:rPr>
                <w:color w:val="auto"/>
                <w:szCs w:val="21"/>
                <w:highlight w:val="none"/>
              </w:rPr>
            </w:pPr>
            <w:r>
              <w:rPr>
                <w:rFonts w:eastAsia="等线"/>
                <w:color w:val="auto"/>
                <w:szCs w:val="21"/>
                <w:highlight w:val="none"/>
              </w:rPr>
              <w:t>26.45</w:t>
            </w:r>
          </w:p>
        </w:tc>
        <w:tc>
          <w:tcPr>
            <w:tcW w:w="351" w:type="pct"/>
            <w:vAlign w:val="center"/>
          </w:tcPr>
          <w:p>
            <w:pPr>
              <w:jc w:val="center"/>
              <w:rPr>
                <w:color w:val="auto"/>
                <w:szCs w:val="21"/>
                <w:highlight w:val="none"/>
              </w:rPr>
            </w:pPr>
            <w:r>
              <w:rPr>
                <w:rFonts w:eastAsia="等线"/>
                <w:color w:val="auto"/>
                <w:szCs w:val="21"/>
                <w:highlight w:val="none"/>
              </w:rPr>
              <w:t>22.21</w:t>
            </w:r>
          </w:p>
        </w:tc>
        <w:tc>
          <w:tcPr>
            <w:tcW w:w="325" w:type="pct"/>
            <w:vAlign w:val="center"/>
          </w:tcPr>
          <w:p>
            <w:pPr>
              <w:jc w:val="center"/>
              <w:rPr>
                <w:color w:val="auto"/>
                <w:szCs w:val="21"/>
                <w:highlight w:val="none"/>
              </w:rPr>
            </w:pPr>
            <w:r>
              <w:rPr>
                <w:rFonts w:eastAsia="等线"/>
                <w:color w:val="auto"/>
                <w:szCs w:val="21"/>
                <w:highlight w:val="none"/>
              </w:rPr>
              <w:t>16.33</w:t>
            </w:r>
          </w:p>
        </w:tc>
        <w:tc>
          <w:tcPr>
            <w:tcW w:w="320" w:type="pct"/>
            <w:vAlign w:val="center"/>
          </w:tcPr>
          <w:p>
            <w:pPr>
              <w:jc w:val="center"/>
              <w:rPr>
                <w:color w:val="auto"/>
                <w:szCs w:val="21"/>
                <w:highlight w:val="none"/>
              </w:rPr>
            </w:pPr>
            <w:r>
              <w:rPr>
                <w:rFonts w:eastAsia="等线"/>
                <w:color w:val="auto"/>
                <w:szCs w:val="21"/>
                <w:highlight w:val="none"/>
              </w:rPr>
              <w:t>8.88</w:t>
            </w:r>
          </w:p>
        </w:tc>
        <w:tc>
          <w:tcPr>
            <w:tcW w:w="376" w:type="pct"/>
            <w:vAlign w:val="center"/>
          </w:tcPr>
          <w:p>
            <w:pPr>
              <w:jc w:val="center"/>
              <w:rPr>
                <w:color w:val="auto"/>
                <w:szCs w:val="21"/>
                <w:highlight w:val="none"/>
              </w:rPr>
            </w:pPr>
            <w:r>
              <w:rPr>
                <w:rFonts w:eastAsia="等线"/>
                <w:color w:val="auto"/>
                <w:szCs w:val="21"/>
                <w:highlight w:val="none"/>
              </w:rPr>
              <w:t>2.32</w:t>
            </w:r>
          </w:p>
        </w:tc>
        <w:tc>
          <w:tcPr>
            <w:tcW w:w="391" w:type="pct"/>
            <w:vAlign w:val="center"/>
          </w:tcPr>
          <w:p>
            <w:pPr>
              <w:widowControl/>
              <w:jc w:val="center"/>
              <w:rPr>
                <w:color w:val="auto"/>
                <w:kern w:val="0"/>
                <w:szCs w:val="21"/>
                <w:highlight w:val="none"/>
              </w:rPr>
            </w:pPr>
            <w:r>
              <w:rPr>
                <w:rFonts w:eastAsia="等线"/>
                <w:color w:val="auto"/>
                <w:szCs w:val="21"/>
                <w:highlight w:val="none"/>
              </w:rPr>
              <w:t>14.90</w:t>
            </w:r>
          </w:p>
        </w:tc>
      </w:tr>
    </w:tbl>
    <w:p>
      <w:pPr>
        <w:adjustRightInd w:val="0"/>
        <w:snapToGrid w:val="0"/>
        <w:spacing w:line="360" w:lineRule="auto"/>
        <w:ind w:firstLine="482" w:firstLineChars="200"/>
        <w:rPr>
          <w:b/>
          <w:bCs/>
          <w:color w:val="auto"/>
          <w:sz w:val="24"/>
          <w:highlight w:val="none"/>
        </w:rPr>
      </w:pPr>
      <w:r>
        <w:rPr>
          <w:rFonts w:hint="eastAsia"/>
          <w:b/>
          <w:bCs/>
          <w:color w:val="auto"/>
          <w:sz w:val="24"/>
          <w:highlight w:val="none"/>
        </w:rPr>
        <w:t>3</w:t>
      </w:r>
      <w:r>
        <w:rPr>
          <w:b/>
          <w:bCs/>
          <w:color w:val="auto"/>
          <w:sz w:val="24"/>
          <w:highlight w:val="none"/>
        </w:rPr>
        <w:t>、相对湿度数据统计</w:t>
      </w:r>
    </w:p>
    <w:p>
      <w:pPr>
        <w:adjustRightInd w:val="0"/>
        <w:snapToGrid w:val="0"/>
        <w:spacing w:line="360" w:lineRule="auto"/>
        <w:ind w:firstLine="480" w:firstLineChars="200"/>
        <w:rPr>
          <w:color w:val="auto"/>
          <w:sz w:val="24"/>
          <w:highlight w:val="none"/>
        </w:rPr>
      </w:pPr>
      <w:r>
        <w:rPr>
          <w:rFonts w:hint="eastAsia"/>
          <w:color w:val="auto"/>
          <w:sz w:val="24"/>
          <w:highlight w:val="none"/>
        </w:rPr>
        <w:t>峄城区年平均相对湿度为67.10%。7～9月相对湿度较高，达70%以上。峄城区累年平均相对湿度统计</w:t>
      </w:r>
      <w:r>
        <w:rPr>
          <w:color w:val="auto"/>
          <w:sz w:val="24"/>
          <w:highlight w:val="none"/>
        </w:rPr>
        <w:t>见表4.1-3。</w:t>
      </w:r>
    </w:p>
    <w:p>
      <w:pPr>
        <w:pStyle w:val="103"/>
        <w:rPr>
          <w:rFonts w:ascii="Times New Roman" w:hAnsi="Times New Roman"/>
          <w:color w:val="auto"/>
          <w:highlight w:val="none"/>
        </w:rPr>
      </w:pPr>
      <w:r>
        <w:rPr>
          <w:rFonts w:ascii="Times New Roman" w:hAnsi="Times New Roman"/>
          <w:color w:val="auto"/>
          <w:highlight w:val="none"/>
        </w:rPr>
        <w:t>表4.1-3  枣庄市</w:t>
      </w:r>
      <w:r>
        <w:rPr>
          <w:rFonts w:hint="eastAsia" w:ascii="Times New Roman" w:hAnsi="Times New Roman"/>
          <w:color w:val="auto"/>
          <w:highlight w:val="none"/>
        </w:rPr>
        <w:t>峄城区</w:t>
      </w:r>
      <w:r>
        <w:rPr>
          <w:rFonts w:ascii="Times New Roman" w:hAnsi="Times New Roman"/>
          <w:color w:val="auto"/>
          <w:highlight w:val="none"/>
        </w:rPr>
        <w:t>2000~2019年平均湿度的月变化</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845"/>
        <w:gridCol w:w="571"/>
        <w:gridCol w:w="661"/>
        <w:gridCol w:w="617"/>
        <w:gridCol w:w="571"/>
        <w:gridCol w:w="617"/>
        <w:gridCol w:w="571"/>
        <w:gridCol w:w="615"/>
        <w:gridCol w:w="615"/>
        <w:gridCol w:w="615"/>
        <w:gridCol w:w="571"/>
        <w:gridCol w:w="571"/>
        <w:gridCol w:w="659"/>
        <w:gridCol w:w="68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81" w:type="pct"/>
            <w:vAlign w:val="center"/>
          </w:tcPr>
          <w:p>
            <w:pPr>
              <w:jc w:val="center"/>
              <w:rPr>
                <w:rFonts w:eastAsia="等线"/>
                <w:color w:val="auto"/>
                <w:szCs w:val="21"/>
                <w:highlight w:val="none"/>
              </w:rPr>
            </w:pPr>
            <w:r>
              <w:rPr>
                <w:rFonts w:eastAsia="等线"/>
                <w:color w:val="auto"/>
                <w:szCs w:val="21"/>
                <w:highlight w:val="none"/>
              </w:rPr>
              <w:t>月份</w:t>
            </w:r>
          </w:p>
        </w:tc>
        <w:tc>
          <w:tcPr>
            <w:tcW w:w="325" w:type="pct"/>
            <w:vAlign w:val="center"/>
          </w:tcPr>
          <w:p>
            <w:pPr>
              <w:jc w:val="center"/>
              <w:rPr>
                <w:rFonts w:eastAsia="等线"/>
                <w:color w:val="auto"/>
                <w:szCs w:val="21"/>
                <w:highlight w:val="none"/>
              </w:rPr>
            </w:pPr>
            <w:r>
              <w:rPr>
                <w:rFonts w:eastAsia="等线"/>
                <w:color w:val="auto"/>
                <w:szCs w:val="21"/>
                <w:highlight w:val="none"/>
              </w:rPr>
              <w:t>1月</w:t>
            </w:r>
          </w:p>
        </w:tc>
        <w:tc>
          <w:tcPr>
            <w:tcW w:w="376" w:type="pct"/>
            <w:vAlign w:val="center"/>
          </w:tcPr>
          <w:p>
            <w:pPr>
              <w:jc w:val="center"/>
              <w:rPr>
                <w:rFonts w:eastAsia="等线"/>
                <w:color w:val="auto"/>
                <w:szCs w:val="21"/>
                <w:highlight w:val="none"/>
              </w:rPr>
            </w:pPr>
            <w:r>
              <w:rPr>
                <w:rFonts w:eastAsia="等线"/>
                <w:color w:val="auto"/>
                <w:szCs w:val="21"/>
                <w:highlight w:val="none"/>
              </w:rPr>
              <w:t>2月</w:t>
            </w:r>
          </w:p>
        </w:tc>
        <w:tc>
          <w:tcPr>
            <w:tcW w:w="351" w:type="pct"/>
            <w:vAlign w:val="center"/>
          </w:tcPr>
          <w:p>
            <w:pPr>
              <w:jc w:val="center"/>
              <w:rPr>
                <w:rFonts w:eastAsia="等线"/>
                <w:color w:val="auto"/>
                <w:szCs w:val="21"/>
                <w:highlight w:val="none"/>
              </w:rPr>
            </w:pPr>
            <w:r>
              <w:rPr>
                <w:rFonts w:eastAsia="等线"/>
                <w:color w:val="auto"/>
                <w:szCs w:val="21"/>
                <w:highlight w:val="none"/>
              </w:rPr>
              <w:t>3月</w:t>
            </w:r>
          </w:p>
        </w:tc>
        <w:tc>
          <w:tcPr>
            <w:tcW w:w="325" w:type="pct"/>
            <w:vAlign w:val="center"/>
          </w:tcPr>
          <w:p>
            <w:pPr>
              <w:jc w:val="center"/>
              <w:rPr>
                <w:rFonts w:eastAsia="等线"/>
                <w:color w:val="auto"/>
                <w:szCs w:val="21"/>
                <w:highlight w:val="none"/>
              </w:rPr>
            </w:pPr>
            <w:r>
              <w:rPr>
                <w:rFonts w:eastAsia="等线"/>
                <w:color w:val="auto"/>
                <w:szCs w:val="21"/>
                <w:highlight w:val="none"/>
              </w:rPr>
              <w:t>4月</w:t>
            </w:r>
          </w:p>
        </w:tc>
        <w:tc>
          <w:tcPr>
            <w:tcW w:w="351" w:type="pct"/>
            <w:vAlign w:val="center"/>
          </w:tcPr>
          <w:p>
            <w:pPr>
              <w:jc w:val="center"/>
              <w:rPr>
                <w:rFonts w:eastAsia="等线"/>
                <w:color w:val="auto"/>
                <w:szCs w:val="21"/>
                <w:highlight w:val="none"/>
              </w:rPr>
            </w:pPr>
            <w:r>
              <w:rPr>
                <w:rFonts w:eastAsia="等线"/>
                <w:color w:val="auto"/>
                <w:szCs w:val="21"/>
                <w:highlight w:val="none"/>
              </w:rPr>
              <w:t>5月</w:t>
            </w:r>
          </w:p>
        </w:tc>
        <w:tc>
          <w:tcPr>
            <w:tcW w:w="325" w:type="pct"/>
            <w:vAlign w:val="center"/>
          </w:tcPr>
          <w:p>
            <w:pPr>
              <w:jc w:val="center"/>
              <w:rPr>
                <w:rFonts w:eastAsia="等线"/>
                <w:color w:val="auto"/>
                <w:szCs w:val="21"/>
                <w:highlight w:val="none"/>
              </w:rPr>
            </w:pPr>
            <w:r>
              <w:rPr>
                <w:rFonts w:eastAsia="等线"/>
                <w:color w:val="auto"/>
                <w:szCs w:val="21"/>
                <w:highlight w:val="none"/>
              </w:rPr>
              <w:t>6月</w:t>
            </w:r>
          </w:p>
        </w:tc>
        <w:tc>
          <w:tcPr>
            <w:tcW w:w="350" w:type="pct"/>
            <w:vAlign w:val="center"/>
          </w:tcPr>
          <w:p>
            <w:pPr>
              <w:jc w:val="center"/>
              <w:rPr>
                <w:rFonts w:eastAsia="等线"/>
                <w:color w:val="auto"/>
                <w:szCs w:val="21"/>
                <w:highlight w:val="none"/>
              </w:rPr>
            </w:pPr>
            <w:r>
              <w:rPr>
                <w:rFonts w:eastAsia="等线"/>
                <w:color w:val="auto"/>
                <w:szCs w:val="21"/>
                <w:highlight w:val="none"/>
              </w:rPr>
              <w:t>7月</w:t>
            </w:r>
          </w:p>
        </w:tc>
        <w:tc>
          <w:tcPr>
            <w:tcW w:w="350" w:type="pct"/>
            <w:vAlign w:val="center"/>
          </w:tcPr>
          <w:p>
            <w:pPr>
              <w:jc w:val="center"/>
              <w:rPr>
                <w:rFonts w:eastAsia="等线"/>
                <w:color w:val="auto"/>
                <w:szCs w:val="21"/>
                <w:highlight w:val="none"/>
              </w:rPr>
            </w:pPr>
            <w:r>
              <w:rPr>
                <w:rFonts w:eastAsia="等线"/>
                <w:color w:val="auto"/>
                <w:szCs w:val="21"/>
                <w:highlight w:val="none"/>
              </w:rPr>
              <w:t>8月</w:t>
            </w:r>
          </w:p>
        </w:tc>
        <w:tc>
          <w:tcPr>
            <w:tcW w:w="350" w:type="pct"/>
            <w:vAlign w:val="center"/>
          </w:tcPr>
          <w:p>
            <w:pPr>
              <w:jc w:val="center"/>
              <w:rPr>
                <w:rFonts w:eastAsia="等线"/>
                <w:color w:val="auto"/>
                <w:szCs w:val="21"/>
                <w:highlight w:val="none"/>
              </w:rPr>
            </w:pPr>
            <w:r>
              <w:rPr>
                <w:rFonts w:eastAsia="等线"/>
                <w:color w:val="auto"/>
                <w:szCs w:val="21"/>
                <w:highlight w:val="none"/>
              </w:rPr>
              <w:t>9月</w:t>
            </w:r>
          </w:p>
        </w:tc>
        <w:tc>
          <w:tcPr>
            <w:tcW w:w="325" w:type="pct"/>
            <w:vAlign w:val="center"/>
          </w:tcPr>
          <w:p>
            <w:pPr>
              <w:jc w:val="center"/>
              <w:rPr>
                <w:rFonts w:eastAsia="等线"/>
                <w:color w:val="auto"/>
                <w:szCs w:val="21"/>
                <w:highlight w:val="none"/>
              </w:rPr>
            </w:pPr>
            <w:r>
              <w:rPr>
                <w:rFonts w:eastAsia="等线"/>
                <w:color w:val="auto"/>
                <w:szCs w:val="21"/>
                <w:highlight w:val="none"/>
              </w:rPr>
              <w:t>10月</w:t>
            </w:r>
          </w:p>
        </w:tc>
        <w:tc>
          <w:tcPr>
            <w:tcW w:w="325" w:type="pct"/>
            <w:vAlign w:val="center"/>
          </w:tcPr>
          <w:p>
            <w:pPr>
              <w:jc w:val="center"/>
              <w:rPr>
                <w:rFonts w:eastAsia="等线"/>
                <w:color w:val="auto"/>
                <w:szCs w:val="21"/>
                <w:highlight w:val="none"/>
              </w:rPr>
            </w:pPr>
            <w:r>
              <w:rPr>
                <w:rFonts w:eastAsia="等线"/>
                <w:color w:val="auto"/>
                <w:szCs w:val="21"/>
                <w:highlight w:val="none"/>
              </w:rPr>
              <w:t>11月</w:t>
            </w:r>
          </w:p>
        </w:tc>
        <w:tc>
          <w:tcPr>
            <w:tcW w:w="375" w:type="pct"/>
            <w:vAlign w:val="center"/>
          </w:tcPr>
          <w:p>
            <w:pPr>
              <w:jc w:val="center"/>
              <w:rPr>
                <w:rFonts w:eastAsia="等线"/>
                <w:color w:val="auto"/>
                <w:szCs w:val="21"/>
                <w:highlight w:val="none"/>
              </w:rPr>
            </w:pPr>
            <w:r>
              <w:rPr>
                <w:rFonts w:eastAsia="等线"/>
                <w:color w:val="auto"/>
                <w:szCs w:val="21"/>
                <w:highlight w:val="none"/>
              </w:rPr>
              <w:t>12月</w:t>
            </w:r>
          </w:p>
        </w:tc>
        <w:tc>
          <w:tcPr>
            <w:tcW w:w="392" w:type="pct"/>
            <w:vAlign w:val="center"/>
          </w:tcPr>
          <w:p>
            <w:pPr>
              <w:jc w:val="center"/>
              <w:rPr>
                <w:rFonts w:eastAsia="等线"/>
                <w:color w:val="auto"/>
                <w:szCs w:val="21"/>
                <w:highlight w:val="none"/>
              </w:rPr>
            </w:pPr>
            <w:r>
              <w:rPr>
                <w:rFonts w:eastAsia="等线"/>
                <w:color w:val="auto"/>
                <w:szCs w:val="21"/>
                <w:highlight w:val="none"/>
              </w:rPr>
              <w:t>全年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81" w:type="pct"/>
            <w:vAlign w:val="center"/>
          </w:tcPr>
          <w:p>
            <w:pPr>
              <w:jc w:val="center"/>
              <w:rPr>
                <w:rFonts w:eastAsia="等线"/>
                <w:color w:val="auto"/>
                <w:szCs w:val="21"/>
                <w:highlight w:val="none"/>
              </w:rPr>
            </w:pPr>
            <w:r>
              <w:rPr>
                <w:rFonts w:eastAsia="等线"/>
                <w:color w:val="auto"/>
                <w:szCs w:val="21"/>
                <w:highlight w:val="none"/>
              </w:rPr>
              <w:t>湿度%</w:t>
            </w:r>
          </w:p>
        </w:tc>
        <w:tc>
          <w:tcPr>
            <w:tcW w:w="325" w:type="pct"/>
            <w:vAlign w:val="center"/>
          </w:tcPr>
          <w:p>
            <w:pPr>
              <w:jc w:val="center"/>
              <w:rPr>
                <w:rFonts w:eastAsia="等线"/>
                <w:color w:val="auto"/>
                <w:szCs w:val="21"/>
                <w:highlight w:val="none"/>
              </w:rPr>
            </w:pPr>
            <w:r>
              <w:rPr>
                <w:color w:val="auto"/>
                <w:szCs w:val="21"/>
                <w:highlight w:val="none"/>
              </w:rPr>
              <w:t>61.2</w:t>
            </w:r>
          </w:p>
        </w:tc>
        <w:tc>
          <w:tcPr>
            <w:tcW w:w="376" w:type="pct"/>
            <w:vAlign w:val="center"/>
          </w:tcPr>
          <w:p>
            <w:pPr>
              <w:jc w:val="center"/>
              <w:rPr>
                <w:rFonts w:eastAsia="等线"/>
                <w:color w:val="auto"/>
                <w:szCs w:val="21"/>
                <w:highlight w:val="none"/>
              </w:rPr>
            </w:pPr>
            <w:r>
              <w:rPr>
                <w:color w:val="auto"/>
                <w:szCs w:val="21"/>
                <w:highlight w:val="none"/>
              </w:rPr>
              <w:t>61.2</w:t>
            </w:r>
          </w:p>
        </w:tc>
        <w:tc>
          <w:tcPr>
            <w:tcW w:w="351" w:type="pct"/>
            <w:vAlign w:val="center"/>
          </w:tcPr>
          <w:p>
            <w:pPr>
              <w:jc w:val="center"/>
              <w:rPr>
                <w:rFonts w:eastAsia="等线"/>
                <w:color w:val="auto"/>
                <w:szCs w:val="21"/>
                <w:highlight w:val="none"/>
              </w:rPr>
            </w:pPr>
            <w:r>
              <w:rPr>
                <w:color w:val="auto"/>
                <w:szCs w:val="21"/>
                <w:highlight w:val="none"/>
              </w:rPr>
              <w:t>53.9</w:t>
            </w:r>
          </w:p>
        </w:tc>
        <w:tc>
          <w:tcPr>
            <w:tcW w:w="325" w:type="pct"/>
            <w:vAlign w:val="center"/>
          </w:tcPr>
          <w:p>
            <w:pPr>
              <w:jc w:val="center"/>
              <w:rPr>
                <w:rFonts w:eastAsia="等线"/>
                <w:color w:val="auto"/>
                <w:szCs w:val="21"/>
                <w:highlight w:val="none"/>
              </w:rPr>
            </w:pPr>
            <w:r>
              <w:rPr>
                <w:color w:val="auto"/>
                <w:szCs w:val="21"/>
                <w:highlight w:val="none"/>
              </w:rPr>
              <w:t>57.2</w:t>
            </w:r>
          </w:p>
        </w:tc>
        <w:tc>
          <w:tcPr>
            <w:tcW w:w="351" w:type="pct"/>
            <w:vAlign w:val="center"/>
          </w:tcPr>
          <w:p>
            <w:pPr>
              <w:jc w:val="center"/>
              <w:rPr>
                <w:rFonts w:eastAsia="等线"/>
                <w:color w:val="auto"/>
                <w:szCs w:val="21"/>
                <w:highlight w:val="none"/>
              </w:rPr>
            </w:pPr>
            <w:r>
              <w:rPr>
                <w:color w:val="auto"/>
                <w:szCs w:val="21"/>
                <w:highlight w:val="none"/>
              </w:rPr>
              <w:t>60.9</w:t>
            </w:r>
          </w:p>
        </w:tc>
        <w:tc>
          <w:tcPr>
            <w:tcW w:w="325" w:type="pct"/>
            <w:vAlign w:val="center"/>
          </w:tcPr>
          <w:p>
            <w:pPr>
              <w:jc w:val="center"/>
              <w:rPr>
                <w:rFonts w:eastAsia="等线"/>
                <w:color w:val="auto"/>
                <w:szCs w:val="21"/>
                <w:highlight w:val="none"/>
              </w:rPr>
            </w:pPr>
            <w:r>
              <w:rPr>
                <w:color w:val="auto"/>
                <w:szCs w:val="21"/>
                <w:highlight w:val="none"/>
              </w:rPr>
              <w:t>64.3</w:t>
            </w:r>
          </w:p>
        </w:tc>
        <w:tc>
          <w:tcPr>
            <w:tcW w:w="350" w:type="pct"/>
            <w:vAlign w:val="center"/>
          </w:tcPr>
          <w:p>
            <w:pPr>
              <w:jc w:val="center"/>
              <w:rPr>
                <w:rFonts w:eastAsia="等线"/>
                <w:color w:val="auto"/>
                <w:szCs w:val="21"/>
                <w:highlight w:val="none"/>
              </w:rPr>
            </w:pPr>
            <w:r>
              <w:rPr>
                <w:color w:val="auto"/>
                <w:szCs w:val="21"/>
                <w:highlight w:val="none"/>
              </w:rPr>
              <w:t>78.7</w:t>
            </w:r>
          </w:p>
        </w:tc>
        <w:tc>
          <w:tcPr>
            <w:tcW w:w="350" w:type="pct"/>
            <w:vAlign w:val="center"/>
          </w:tcPr>
          <w:p>
            <w:pPr>
              <w:jc w:val="center"/>
              <w:rPr>
                <w:rFonts w:eastAsia="等线"/>
                <w:color w:val="auto"/>
                <w:szCs w:val="21"/>
                <w:highlight w:val="none"/>
              </w:rPr>
            </w:pPr>
            <w:r>
              <w:rPr>
                <w:color w:val="auto"/>
                <w:szCs w:val="21"/>
                <w:highlight w:val="none"/>
              </w:rPr>
              <w:t>78.9</w:t>
            </w:r>
          </w:p>
        </w:tc>
        <w:tc>
          <w:tcPr>
            <w:tcW w:w="350" w:type="pct"/>
            <w:vAlign w:val="center"/>
          </w:tcPr>
          <w:p>
            <w:pPr>
              <w:jc w:val="center"/>
              <w:rPr>
                <w:rFonts w:eastAsia="等线"/>
                <w:color w:val="auto"/>
                <w:szCs w:val="21"/>
                <w:highlight w:val="none"/>
              </w:rPr>
            </w:pPr>
            <w:r>
              <w:rPr>
                <w:color w:val="auto"/>
                <w:szCs w:val="21"/>
                <w:highlight w:val="none"/>
              </w:rPr>
              <w:t>72.2</w:t>
            </w:r>
          </w:p>
        </w:tc>
        <w:tc>
          <w:tcPr>
            <w:tcW w:w="325" w:type="pct"/>
            <w:vAlign w:val="center"/>
          </w:tcPr>
          <w:p>
            <w:pPr>
              <w:jc w:val="center"/>
              <w:rPr>
                <w:rFonts w:eastAsia="等线"/>
                <w:color w:val="auto"/>
                <w:szCs w:val="21"/>
                <w:highlight w:val="none"/>
              </w:rPr>
            </w:pPr>
            <w:r>
              <w:rPr>
                <w:color w:val="auto"/>
                <w:szCs w:val="21"/>
                <w:highlight w:val="none"/>
              </w:rPr>
              <w:t>66.8</w:t>
            </w:r>
          </w:p>
        </w:tc>
        <w:tc>
          <w:tcPr>
            <w:tcW w:w="325" w:type="pct"/>
            <w:vAlign w:val="center"/>
          </w:tcPr>
          <w:p>
            <w:pPr>
              <w:jc w:val="center"/>
              <w:rPr>
                <w:rFonts w:eastAsia="等线"/>
                <w:color w:val="auto"/>
                <w:szCs w:val="21"/>
                <w:highlight w:val="none"/>
              </w:rPr>
            </w:pPr>
            <w:r>
              <w:rPr>
                <w:color w:val="auto"/>
                <w:szCs w:val="21"/>
                <w:highlight w:val="none"/>
              </w:rPr>
              <w:t>67.4</w:t>
            </w:r>
          </w:p>
        </w:tc>
        <w:tc>
          <w:tcPr>
            <w:tcW w:w="375" w:type="pct"/>
            <w:vAlign w:val="center"/>
          </w:tcPr>
          <w:p>
            <w:pPr>
              <w:jc w:val="center"/>
              <w:rPr>
                <w:rFonts w:eastAsia="等线"/>
                <w:color w:val="auto"/>
                <w:szCs w:val="21"/>
                <w:highlight w:val="none"/>
              </w:rPr>
            </w:pPr>
            <w:r>
              <w:rPr>
                <w:color w:val="auto"/>
                <w:szCs w:val="21"/>
                <w:highlight w:val="none"/>
              </w:rPr>
              <w:t>64.5</w:t>
            </w:r>
          </w:p>
        </w:tc>
        <w:tc>
          <w:tcPr>
            <w:tcW w:w="392" w:type="pct"/>
            <w:vAlign w:val="bottom"/>
          </w:tcPr>
          <w:p>
            <w:pPr>
              <w:jc w:val="center"/>
              <w:rPr>
                <w:rFonts w:eastAsia="等线"/>
                <w:color w:val="auto"/>
                <w:szCs w:val="21"/>
                <w:highlight w:val="none"/>
              </w:rPr>
            </w:pPr>
            <w:r>
              <w:rPr>
                <w:rFonts w:eastAsia="等线"/>
                <w:color w:val="auto"/>
                <w:szCs w:val="21"/>
                <w:highlight w:val="none"/>
              </w:rPr>
              <w:t>65.6</w:t>
            </w:r>
          </w:p>
        </w:tc>
      </w:tr>
    </w:tbl>
    <w:p>
      <w:pPr>
        <w:adjustRightInd w:val="0"/>
        <w:snapToGrid w:val="0"/>
        <w:spacing w:line="360" w:lineRule="auto"/>
        <w:ind w:firstLine="482" w:firstLineChars="200"/>
        <w:rPr>
          <w:b/>
          <w:bCs/>
          <w:color w:val="auto"/>
          <w:sz w:val="24"/>
          <w:highlight w:val="none"/>
        </w:rPr>
      </w:pPr>
      <w:r>
        <w:rPr>
          <w:rFonts w:hint="eastAsia"/>
          <w:b/>
          <w:bCs/>
          <w:color w:val="auto"/>
          <w:sz w:val="24"/>
          <w:highlight w:val="none"/>
        </w:rPr>
        <w:t>4</w:t>
      </w:r>
      <w:r>
        <w:rPr>
          <w:b/>
          <w:bCs/>
          <w:color w:val="auto"/>
          <w:sz w:val="24"/>
          <w:highlight w:val="none"/>
        </w:rPr>
        <w:t>、降水</w:t>
      </w:r>
      <w:r>
        <w:rPr>
          <w:rFonts w:hint="eastAsia"/>
          <w:b/>
          <w:bCs/>
          <w:color w:val="auto"/>
          <w:sz w:val="24"/>
          <w:highlight w:val="none"/>
        </w:rPr>
        <w:t>数据统计</w:t>
      </w:r>
    </w:p>
    <w:p>
      <w:pPr>
        <w:adjustRightInd w:val="0"/>
        <w:snapToGrid w:val="0"/>
        <w:spacing w:line="360" w:lineRule="auto"/>
        <w:ind w:firstLine="480" w:firstLineChars="200"/>
        <w:rPr>
          <w:color w:val="auto"/>
          <w:sz w:val="24"/>
          <w:highlight w:val="none"/>
        </w:rPr>
      </w:pPr>
      <w:r>
        <w:rPr>
          <w:rFonts w:hint="eastAsia"/>
          <w:color w:val="auto"/>
          <w:sz w:val="24"/>
          <w:highlight w:val="none"/>
        </w:rPr>
        <w:t>峄城区降水集中于夏季，1月份降水量最低为12.61mm，7月份降水量最高为242.78mm，全年降水量为875.49mm。峄城区累年平均降水</w:t>
      </w:r>
      <w:r>
        <w:rPr>
          <w:color w:val="auto"/>
          <w:sz w:val="24"/>
          <w:highlight w:val="none"/>
        </w:rPr>
        <w:t>统计见表4.1-4。</w:t>
      </w:r>
    </w:p>
    <w:p>
      <w:pPr>
        <w:pStyle w:val="103"/>
        <w:rPr>
          <w:rFonts w:ascii="Times New Roman" w:hAnsi="Times New Roman"/>
          <w:color w:val="auto"/>
          <w:highlight w:val="none"/>
        </w:rPr>
      </w:pPr>
      <w:r>
        <w:rPr>
          <w:rFonts w:ascii="Times New Roman" w:hAnsi="Times New Roman"/>
          <w:color w:val="auto"/>
          <w:highlight w:val="none"/>
        </w:rPr>
        <w:t>表4.1-4  枣庄市</w:t>
      </w:r>
      <w:r>
        <w:rPr>
          <w:rFonts w:hint="eastAsia" w:ascii="Times New Roman" w:hAnsi="Times New Roman"/>
          <w:color w:val="auto"/>
          <w:highlight w:val="none"/>
        </w:rPr>
        <w:t>峄城区</w:t>
      </w:r>
      <w:r>
        <w:rPr>
          <w:rFonts w:ascii="Times New Roman" w:hAnsi="Times New Roman"/>
          <w:color w:val="auto"/>
          <w:highlight w:val="none"/>
        </w:rPr>
        <w:t>2000~2019年平均降水的月变化</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127"/>
        <w:gridCol w:w="490"/>
        <w:gridCol w:w="490"/>
        <w:gridCol w:w="566"/>
        <w:gridCol w:w="566"/>
        <w:gridCol w:w="566"/>
        <w:gridCol w:w="598"/>
        <w:gridCol w:w="677"/>
        <w:gridCol w:w="677"/>
        <w:gridCol w:w="532"/>
        <w:gridCol w:w="608"/>
        <w:gridCol w:w="610"/>
        <w:gridCol w:w="610"/>
        <w:gridCol w:w="67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42" w:type="pct"/>
            <w:vAlign w:val="center"/>
          </w:tcPr>
          <w:p>
            <w:pPr>
              <w:jc w:val="center"/>
              <w:rPr>
                <w:rFonts w:eastAsia="等线"/>
                <w:color w:val="auto"/>
                <w:szCs w:val="21"/>
                <w:highlight w:val="none"/>
              </w:rPr>
            </w:pPr>
            <w:r>
              <w:rPr>
                <w:rFonts w:eastAsia="等线"/>
                <w:color w:val="auto"/>
                <w:szCs w:val="21"/>
                <w:highlight w:val="none"/>
              </w:rPr>
              <w:t>月份</w:t>
            </w:r>
          </w:p>
        </w:tc>
        <w:tc>
          <w:tcPr>
            <w:tcW w:w="279" w:type="pct"/>
            <w:vAlign w:val="center"/>
          </w:tcPr>
          <w:p>
            <w:pPr>
              <w:jc w:val="center"/>
              <w:rPr>
                <w:rFonts w:eastAsia="等线"/>
                <w:color w:val="auto"/>
                <w:szCs w:val="21"/>
                <w:highlight w:val="none"/>
              </w:rPr>
            </w:pPr>
            <w:r>
              <w:rPr>
                <w:rFonts w:eastAsia="等线"/>
                <w:color w:val="auto"/>
                <w:szCs w:val="21"/>
                <w:highlight w:val="none"/>
              </w:rPr>
              <w:t>1月</w:t>
            </w:r>
          </w:p>
        </w:tc>
        <w:tc>
          <w:tcPr>
            <w:tcW w:w="279" w:type="pct"/>
            <w:vAlign w:val="center"/>
          </w:tcPr>
          <w:p>
            <w:pPr>
              <w:jc w:val="center"/>
              <w:rPr>
                <w:rFonts w:eastAsia="等线"/>
                <w:color w:val="auto"/>
                <w:szCs w:val="21"/>
                <w:highlight w:val="none"/>
              </w:rPr>
            </w:pPr>
            <w:r>
              <w:rPr>
                <w:rFonts w:eastAsia="等线"/>
                <w:color w:val="auto"/>
                <w:szCs w:val="21"/>
                <w:highlight w:val="none"/>
              </w:rPr>
              <w:t>2月</w:t>
            </w:r>
          </w:p>
        </w:tc>
        <w:tc>
          <w:tcPr>
            <w:tcW w:w="322" w:type="pct"/>
            <w:vAlign w:val="center"/>
          </w:tcPr>
          <w:p>
            <w:pPr>
              <w:jc w:val="center"/>
              <w:rPr>
                <w:rFonts w:eastAsia="等线"/>
                <w:color w:val="auto"/>
                <w:szCs w:val="21"/>
                <w:highlight w:val="none"/>
              </w:rPr>
            </w:pPr>
            <w:r>
              <w:rPr>
                <w:rFonts w:eastAsia="等线"/>
                <w:color w:val="auto"/>
                <w:szCs w:val="21"/>
                <w:highlight w:val="none"/>
              </w:rPr>
              <w:t>3月</w:t>
            </w:r>
          </w:p>
        </w:tc>
        <w:tc>
          <w:tcPr>
            <w:tcW w:w="322" w:type="pct"/>
            <w:vAlign w:val="center"/>
          </w:tcPr>
          <w:p>
            <w:pPr>
              <w:jc w:val="center"/>
              <w:rPr>
                <w:rFonts w:eastAsia="等线"/>
                <w:color w:val="auto"/>
                <w:szCs w:val="21"/>
                <w:highlight w:val="none"/>
              </w:rPr>
            </w:pPr>
            <w:r>
              <w:rPr>
                <w:rFonts w:eastAsia="等线"/>
                <w:color w:val="auto"/>
                <w:szCs w:val="21"/>
                <w:highlight w:val="none"/>
              </w:rPr>
              <w:t>4月</w:t>
            </w:r>
          </w:p>
        </w:tc>
        <w:tc>
          <w:tcPr>
            <w:tcW w:w="322" w:type="pct"/>
            <w:vAlign w:val="center"/>
          </w:tcPr>
          <w:p>
            <w:pPr>
              <w:jc w:val="center"/>
              <w:rPr>
                <w:rFonts w:eastAsia="等线"/>
                <w:color w:val="auto"/>
                <w:szCs w:val="21"/>
                <w:highlight w:val="none"/>
              </w:rPr>
            </w:pPr>
            <w:r>
              <w:rPr>
                <w:rFonts w:eastAsia="等线"/>
                <w:color w:val="auto"/>
                <w:szCs w:val="21"/>
                <w:highlight w:val="none"/>
              </w:rPr>
              <w:t>5月</w:t>
            </w:r>
          </w:p>
        </w:tc>
        <w:tc>
          <w:tcPr>
            <w:tcW w:w="340" w:type="pct"/>
            <w:vAlign w:val="center"/>
          </w:tcPr>
          <w:p>
            <w:pPr>
              <w:jc w:val="center"/>
              <w:rPr>
                <w:rFonts w:eastAsia="等线"/>
                <w:color w:val="auto"/>
                <w:szCs w:val="21"/>
                <w:highlight w:val="none"/>
              </w:rPr>
            </w:pPr>
            <w:r>
              <w:rPr>
                <w:rFonts w:eastAsia="等线"/>
                <w:color w:val="auto"/>
                <w:szCs w:val="21"/>
                <w:highlight w:val="none"/>
              </w:rPr>
              <w:t>6月</w:t>
            </w:r>
          </w:p>
        </w:tc>
        <w:tc>
          <w:tcPr>
            <w:tcW w:w="385" w:type="pct"/>
            <w:vAlign w:val="center"/>
          </w:tcPr>
          <w:p>
            <w:pPr>
              <w:jc w:val="center"/>
              <w:rPr>
                <w:rFonts w:eastAsia="等线"/>
                <w:color w:val="auto"/>
                <w:szCs w:val="21"/>
                <w:highlight w:val="none"/>
              </w:rPr>
            </w:pPr>
            <w:r>
              <w:rPr>
                <w:rFonts w:eastAsia="等线"/>
                <w:color w:val="auto"/>
                <w:szCs w:val="21"/>
                <w:highlight w:val="none"/>
              </w:rPr>
              <w:t>7月</w:t>
            </w:r>
          </w:p>
        </w:tc>
        <w:tc>
          <w:tcPr>
            <w:tcW w:w="385" w:type="pct"/>
            <w:vAlign w:val="center"/>
          </w:tcPr>
          <w:p>
            <w:pPr>
              <w:jc w:val="center"/>
              <w:rPr>
                <w:rFonts w:eastAsia="等线"/>
                <w:color w:val="auto"/>
                <w:szCs w:val="21"/>
                <w:highlight w:val="none"/>
              </w:rPr>
            </w:pPr>
            <w:r>
              <w:rPr>
                <w:rFonts w:eastAsia="等线"/>
                <w:color w:val="auto"/>
                <w:szCs w:val="21"/>
                <w:highlight w:val="none"/>
              </w:rPr>
              <w:t>8月</w:t>
            </w:r>
          </w:p>
        </w:tc>
        <w:tc>
          <w:tcPr>
            <w:tcW w:w="303" w:type="pct"/>
            <w:vAlign w:val="center"/>
          </w:tcPr>
          <w:p>
            <w:pPr>
              <w:jc w:val="center"/>
              <w:rPr>
                <w:rFonts w:eastAsia="等线"/>
                <w:color w:val="auto"/>
                <w:szCs w:val="21"/>
                <w:highlight w:val="none"/>
              </w:rPr>
            </w:pPr>
            <w:r>
              <w:rPr>
                <w:rFonts w:eastAsia="等线"/>
                <w:color w:val="auto"/>
                <w:szCs w:val="21"/>
                <w:highlight w:val="none"/>
              </w:rPr>
              <w:t>9月</w:t>
            </w:r>
          </w:p>
        </w:tc>
        <w:tc>
          <w:tcPr>
            <w:tcW w:w="346" w:type="pct"/>
            <w:vAlign w:val="center"/>
          </w:tcPr>
          <w:p>
            <w:pPr>
              <w:jc w:val="center"/>
              <w:rPr>
                <w:rFonts w:eastAsia="等线"/>
                <w:color w:val="auto"/>
                <w:szCs w:val="21"/>
                <w:highlight w:val="none"/>
              </w:rPr>
            </w:pPr>
            <w:r>
              <w:rPr>
                <w:rFonts w:eastAsia="等线"/>
                <w:color w:val="auto"/>
                <w:szCs w:val="21"/>
                <w:highlight w:val="none"/>
              </w:rPr>
              <w:t>10月</w:t>
            </w:r>
          </w:p>
        </w:tc>
        <w:tc>
          <w:tcPr>
            <w:tcW w:w="347" w:type="pct"/>
            <w:vAlign w:val="center"/>
          </w:tcPr>
          <w:p>
            <w:pPr>
              <w:jc w:val="center"/>
              <w:rPr>
                <w:rFonts w:eastAsia="等线"/>
                <w:color w:val="auto"/>
                <w:szCs w:val="21"/>
                <w:highlight w:val="none"/>
              </w:rPr>
            </w:pPr>
            <w:r>
              <w:rPr>
                <w:rFonts w:eastAsia="等线"/>
                <w:color w:val="auto"/>
                <w:szCs w:val="21"/>
                <w:highlight w:val="none"/>
              </w:rPr>
              <w:t>11月</w:t>
            </w:r>
          </w:p>
        </w:tc>
        <w:tc>
          <w:tcPr>
            <w:tcW w:w="347" w:type="pct"/>
            <w:vAlign w:val="center"/>
          </w:tcPr>
          <w:p>
            <w:pPr>
              <w:jc w:val="center"/>
              <w:rPr>
                <w:rFonts w:eastAsia="等线"/>
                <w:color w:val="auto"/>
                <w:szCs w:val="21"/>
                <w:highlight w:val="none"/>
              </w:rPr>
            </w:pPr>
            <w:r>
              <w:rPr>
                <w:rFonts w:eastAsia="等线"/>
                <w:color w:val="auto"/>
                <w:szCs w:val="21"/>
                <w:highlight w:val="none"/>
              </w:rPr>
              <w:t>12月</w:t>
            </w:r>
          </w:p>
        </w:tc>
        <w:tc>
          <w:tcPr>
            <w:tcW w:w="381" w:type="pct"/>
            <w:vAlign w:val="center"/>
          </w:tcPr>
          <w:p>
            <w:pPr>
              <w:jc w:val="center"/>
              <w:rPr>
                <w:rFonts w:eastAsia="等线"/>
                <w:color w:val="auto"/>
                <w:szCs w:val="21"/>
                <w:highlight w:val="none"/>
              </w:rPr>
            </w:pPr>
            <w:r>
              <w:rPr>
                <w:rFonts w:eastAsia="等线"/>
                <w:color w:val="auto"/>
                <w:szCs w:val="21"/>
                <w:highlight w:val="none"/>
              </w:rPr>
              <w:t>全年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42" w:type="pct"/>
            <w:vAlign w:val="center"/>
          </w:tcPr>
          <w:p>
            <w:pPr>
              <w:jc w:val="center"/>
              <w:rPr>
                <w:rFonts w:eastAsia="等线"/>
                <w:color w:val="auto"/>
                <w:szCs w:val="21"/>
                <w:highlight w:val="none"/>
              </w:rPr>
            </w:pPr>
            <w:r>
              <w:rPr>
                <w:rFonts w:eastAsia="等线"/>
                <w:color w:val="auto"/>
                <w:szCs w:val="21"/>
                <w:highlight w:val="none"/>
              </w:rPr>
              <w:t>降水量mm</w:t>
            </w:r>
          </w:p>
        </w:tc>
        <w:tc>
          <w:tcPr>
            <w:tcW w:w="279" w:type="pct"/>
            <w:vAlign w:val="bottom"/>
          </w:tcPr>
          <w:p>
            <w:pPr>
              <w:jc w:val="center"/>
              <w:rPr>
                <w:rFonts w:eastAsia="等线"/>
                <w:color w:val="auto"/>
                <w:szCs w:val="21"/>
                <w:highlight w:val="none"/>
              </w:rPr>
            </w:pPr>
            <w:r>
              <w:rPr>
                <w:rFonts w:eastAsia="等线"/>
                <w:color w:val="auto"/>
                <w:szCs w:val="21"/>
                <w:highlight w:val="none"/>
              </w:rPr>
              <w:t>12.61</w:t>
            </w:r>
          </w:p>
        </w:tc>
        <w:tc>
          <w:tcPr>
            <w:tcW w:w="279" w:type="pct"/>
            <w:vAlign w:val="bottom"/>
          </w:tcPr>
          <w:p>
            <w:pPr>
              <w:jc w:val="center"/>
              <w:rPr>
                <w:rFonts w:eastAsia="等线"/>
                <w:color w:val="auto"/>
                <w:szCs w:val="21"/>
                <w:highlight w:val="none"/>
              </w:rPr>
            </w:pPr>
            <w:r>
              <w:rPr>
                <w:rFonts w:eastAsia="等线"/>
                <w:color w:val="auto"/>
                <w:szCs w:val="21"/>
                <w:highlight w:val="none"/>
              </w:rPr>
              <w:t>16.17</w:t>
            </w:r>
          </w:p>
        </w:tc>
        <w:tc>
          <w:tcPr>
            <w:tcW w:w="322" w:type="pct"/>
            <w:vAlign w:val="bottom"/>
          </w:tcPr>
          <w:p>
            <w:pPr>
              <w:jc w:val="center"/>
              <w:rPr>
                <w:rFonts w:eastAsia="等线"/>
                <w:color w:val="auto"/>
                <w:szCs w:val="21"/>
                <w:highlight w:val="none"/>
              </w:rPr>
            </w:pPr>
            <w:r>
              <w:rPr>
                <w:rFonts w:eastAsia="等线"/>
                <w:color w:val="auto"/>
                <w:szCs w:val="21"/>
                <w:highlight w:val="none"/>
              </w:rPr>
              <w:t>16</w:t>
            </w:r>
          </w:p>
        </w:tc>
        <w:tc>
          <w:tcPr>
            <w:tcW w:w="322" w:type="pct"/>
            <w:vAlign w:val="bottom"/>
          </w:tcPr>
          <w:p>
            <w:pPr>
              <w:jc w:val="center"/>
              <w:rPr>
                <w:rFonts w:eastAsia="等线"/>
                <w:color w:val="auto"/>
                <w:szCs w:val="21"/>
                <w:highlight w:val="none"/>
              </w:rPr>
            </w:pPr>
            <w:r>
              <w:rPr>
                <w:rFonts w:eastAsia="等线"/>
                <w:color w:val="auto"/>
                <w:szCs w:val="21"/>
                <w:highlight w:val="none"/>
              </w:rPr>
              <w:t>43.84</w:t>
            </w:r>
          </w:p>
        </w:tc>
        <w:tc>
          <w:tcPr>
            <w:tcW w:w="322" w:type="pct"/>
            <w:vAlign w:val="bottom"/>
          </w:tcPr>
          <w:p>
            <w:pPr>
              <w:jc w:val="center"/>
              <w:rPr>
                <w:rFonts w:eastAsia="等线"/>
                <w:color w:val="auto"/>
                <w:szCs w:val="21"/>
                <w:highlight w:val="none"/>
              </w:rPr>
            </w:pPr>
            <w:r>
              <w:rPr>
                <w:rFonts w:eastAsia="等线"/>
                <w:color w:val="auto"/>
                <w:szCs w:val="21"/>
                <w:highlight w:val="none"/>
              </w:rPr>
              <w:t>71.41</w:t>
            </w:r>
          </w:p>
        </w:tc>
        <w:tc>
          <w:tcPr>
            <w:tcW w:w="340" w:type="pct"/>
            <w:vAlign w:val="bottom"/>
          </w:tcPr>
          <w:p>
            <w:pPr>
              <w:jc w:val="center"/>
              <w:rPr>
                <w:rFonts w:eastAsia="等线"/>
                <w:color w:val="auto"/>
                <w:szCs w:val="21"/>
                <w:highlight w:val="none"/>
              </w:rPr>
            </w:pPr>
            <w:r>
              <w:rPr>
                <w:rFonts w:eastAsia="等线"/>
                <w:color w:val="auto"/>
                <w:szCs w:val="21"/>
                <w:highlight w:val="none"/>
              </w:rPr>
              <w:t>106.97</w:t>
            </w:r>
          </w:p>
        </w:tc>
        <w:tc>
          <w:tcPr>
            <w:tcW w:w="385" w:type="pct"/>
            <w:vAlign w:val="bottom"/>
          </w:tcPr>
          <w:p>
            <w:pPr>
              <w:jc w:val="center"/>
              <w:rPr>
                <w:rFonts w:eastAsia="等线"/>
                <w:color w:val="auto"/>
                <w:szCs w:val="21"/>
                <w:highlight w:val="none"/>
              </w:rPr>
            </w:pPr>
            <w:r>
              <w:rPr>
                <w:rFonts w:eastAsia="等线"/>
                <w:color w:val="auto"/>
                <w:szCs w:val="21"/>
                <w:highlight w:val="none"/>
              </w:rPr>
              <w:t>242.78</w:t>
            </w:r>
          </w:p>
        </w:tc>
        <w:tc>
          <w:tcPr>
            <w:tcW w:w="385" w:type="pct"/>
            <w:vAlign w:val="bottom"/>
          </w:tcPr>
          <w:p>
            <w:pPr>
              <w:jc w:val="center"/>
              <w:rPr>
                <w:rFonts w:eastAsia="等线"/>
                <w:color w:val="auto"/>
                <w:szCs w:val="21"/>
                <w:highlight w:val="none"/>
              </w:rPr>
            </w:pPr>
            <w:r>
              <w:rPr>
                <w:rFonts w:eastAsia="等线"/>
                <w:color w:val="auto"/>
                <w:szCs w:val="21"/>
                <w:highlight w:val="none"/>
              </w:rPr>
              <w:t>204.61</w:t>
            </w:r>
          </w:p>
        </w:tc>
        <w:tc>
          <w:tcPr>
            <w:tcW w:w="303" w:type="pct"/>
            <w:vAlign w:val="bottom"/>
          </w:tcPr>
          <w:p>
            <w:pPr>
              <w:jc w:val="center"/>
              <w:rPr>
                <w:rFonts w:eastAsia="等线"/>
                <w:color w:val="auto"/>
                <w:szCs w:val="21"/>
                <w:highlight w:val="none"/>
              </w:rPr>
            </w:pPr>
            <w:r>
              <w:rPr>
                <w:rFonts w:eastAsia="等线"/>
                <w:color w:val="auto"/>
                <w:szCs w:val="21"/>
                <w:highlight w:val="none"/>
              </w:rPr>
              <w:t>79.35</w:t>
            </w:r>
          </w:p>
        </w:tc>
        <w:tc>
          <w:tcPr>
            <w:tcW w:w="346" w:type="pct"/>
            <w:vAlign w:val="bottom"/>
          </w:tcPr>
          <w:p>
            <w:pPr>
              <w:jc w:val="center"/>
              <w:rPr>
                <w:rFonts w:eastAsia="等线"/>
                <w:color w:val="auto"/>
                <w:szCs w:val="21"/>
                <w:highlight w:val="none"/>
              </w:rPr>
            </w:pPr>
            <w:r>
              <w:rPr>
                <w:rFonts w:eastAsia="等线"/>
                <w:color w:val="auto"/>
                <w:szCs w:val="21"/>
                <w:highlight w:val="none"/>
              </w:rPr>
              <w:t>31.39</w:t>
            </w:r>
          </w:p>
        </w:tc>
        <w:tc>
          <w:tcPr>
            <w:tcW w:w="347" w:type="pct"/>
            <w:vAlign w:val="bottom"/>
          </w:tcPr>
          <w:p>
            <w:pPr>
              <w:jc w:val="center"/>
              <w:rPr>
                <w:rFonts w:eastAsia="等线"/>
                <w:color w:val="auto"/>
                <w:szCs w:val="21"/>
                <w:highlight w:val="none"/>
              </w:rPr>
            </w:pPr>
            <w:r>
              <w:rPr>
                <w:rFonts w:eastAsia="等线"/>
                <w:color w:val="auto"/>
                <w:szCs w:val="21"/>
                <w:highlight w:val="none"/>
              </w:rPr>
              <w:t>32.4</w:t>
            </w:r>
          </w:p>
        </w:tc>
        <w:tc>
          <w:tcPr>
            <w:tcW w:w="347" w:type="pct"/>
            <w:vAlign w:val="bottom"/>
          </w:tcPr>
          <w:p>
            <w:pPr>
              <w:jc w:val="center"/>
              <w:rPr>
                <w:rFonts w:eastAsia="等线"/>
                <w:color w:val="auto"/>
                <w:szCs w:val="21"/>
                <w:highlight w:val="none"/>
              </w:rPr>
            </w:pPr>
            <w:r>
              <w:rPr>
                <w:rFonts w:eastAsia="等线"/>
                <w:color w:val="auto"/>
                <w:szCs w:val="21"/>
                <w:highlight w:val="none"/>
              </w:rPr>
              <w:t>17.96</w:t>
            </w:r>
          </w:p>
        </w:tc>
        <w:tc>
          <w:tcPr>
            <w:tcW w:w="381" w:type="pct"/>
            <w:vAlign w:val="bottom"/>
          </w:tcPr>
          <w:p>
            <w:pPr>
              <w:jc w:val="center"/>
              <w:rPr>
                <w:rFonts w:eastAsia="等线"/>
                <w:color w:val="auto"/>
                <w:szCs w:val="21"/>
                <w:highlight w:val="none"/>
              </w:rPr>
            </w:pPr>
            <w:r>
              <w:rPr>
                <w:rFonts w:eastAsia="等线"/>
                <w:color w:val="auto"/>
                <w:szCs w:val="21"/>
                <w:highlight w:val="none"/>
              </w:rPr>
              <w:t>875.49</w:t>
            </w:r>
          </w:p>
        </w:tc>
      </w:tr>
    </w:tbl>
    <w:p>
      <w:pPr>
        <w:adjustRightInd w:val="0"/>
        <w:snapToGrid w:val="0"/>
        <w:spacing w:line="480" w:lineRule="exact"/>
        <w:ind w:firstLine="482" w:firstLineChars="200"/>
        <w:rPr>
          <w:b/>
          <w:bCs/>
          <w:color w:val="auto"/>
          <w:sz w:val="24"/>
          <w:highlight w:val="none"/>
        </w:rPr>
      </w:pPr>
      <w:r>
        <w:rPr>
          <w:rFonts w:hint="eastAsia"/>
          <w:b/>
          <w:bCs/>
          <w:color w:val="auto"/>
          <w:sz w:val="24"/>
          <w:highlight w:val="none"/>
        </w:rPr>
        <w:t>5</w:t>
      </w:r>
      <w:r>
        <w:rPr>
          <w:b/>
          <w:bCs/>
          <w:color w:val="auto"/>
          <w:sz w:val="24"/>
          <w:highlight w:val="none"/>
        </w:rPr>
        <w:t>、日照时数</w:t>
      </w:r>
    </w:p>
    <w:p>
      <w:pPr>
        <w:adjustRightInd w:val="0"/>
        <w:snapToGrid w:val="0"/>
        <w:spacing w:line="360" w:lineRule="auto"/>
        <w:ind w:firstLine="480" w:firstLineChars="200"/>
        <w:rPr>
          <w:color w:val="auto"/>
          <w:sz w:val="24"/>
          <w:highlight w:val="none"/>
        </w:rPr>
      </w:pPr>
      <w:r>
        <w:rPr>
          <w:rFonts w:hint="eastAsia"/>
          <w:color w:val="auto"/>
          <w:sz w:val="24"/>
          <w:highlight w:val="none"/>
        </w:rPr>
        <w:t>峄城区全年日照时数为1974.6h，5月份最高为221.99h，2月份最低为129.65h。峄城区累年平均日照时数统计</w:t>
      </w:r>
      <w:r>
        <w:rPr>
          <w:color w:val="auto"/>
          <w:sz w:val="24"/>
          <w:highlight w:val="none"/>
        </w:rPr>
        <w:t>见表4.1-5。</w:t>
      </w:r>
    </w:p>
    <w:p>
      <w:pPr>
        <w:pStyle w:val="103"/>
        <w:rPr>
          <w:rFonts w:ascii="Times New Roman" w:hAnsi="Times New Roman"/>
          <w:color w:val="auto"/>
          <w:highlight w:val="none"/>
        </w:rPr>
      </w:pPr>
      <w:r>
        <w:rPr>
          <w:rFonts w:ascii="Times New Roman" w:hAnsi="Times New Roman"/>
          <w:color w:val="auto"/>
          <w:highlight w:val="none"/>
        </w:rPr>
        <w:t>表4.1-5  枣庄市</w:t>
      </w:r>
      <w:r>
        <w:rPr>
          <w:rFonts w:hint="eastAsia" w:ascii="Times New Roman" w:hAnsi="Times New Roman"/>
          <w:color w:val="auto"/>
          <w:highlight w:val="none"/>
        </w:rPr>
        <w:t>峄城区</w:t>
      </w:r>
      <w:r>
        <w:rPr>
          <w:rFonts w:ascii="Times New Roman" w:hAnsi="Times New Roman"/>
          <w:bCs/>
          <w:color w:val="auto"/>
          <w:highlight w:val="none"/>
        </w:rPr>
        <w:t>2000~2019年平均</w:t>
      </w:r>
      <w:r>
        <w:rPr>
          <w:rFonts w:ascii="Times New Roman" w:hAnsi="Times New Roman"/>
          <w:color w:val="auto"/>
          <w:highlight w:val="none"/>
        </w:rPr>
        <w:t>日照时数的月变化</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938"/>
        <w:gridCol w:w="598"/>
        <w:gridCol w:w="598"/>
        <w:gridCol w:w="598"/>
        <w:gridCol w:w="597"/>
        <w:gridCol w:w="594"/>
        <w:gridCol w:w="597"/>
        <w:gridCol w:w="597"/>
        <w:gridCol w:w="597"/>
        <w:gridCol w:w="598"/>
        <w:gridCol w:w="595"/>
        <w:gridCol w:w="598"/>
        <w:gridCol w:w="595"/>
        <w:gridCol w:w="68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34" w:type="pct"/>
            <w:vAlign w:val="center"/>
          </w:tcPr>
          <w:p>
            <w:pPr>
              <w:pStyle w:val="105"/>
              <w:rPr>
                <w:color w:val="auto"/>
                <w:highlight w:val="none"/>
              </w:rPr>
            </w:pPr>
            <w:r>
              <w:rPr>
                <w:color w:val="auto"/>
                <w:highlight w:val="none"/>
              </w:rPr>
              <w:t>月份</w:t>
            </w:r>
          </w:p>
        </w:tc>
        <w:tc>
          <w:tcPr>
            <w:tcW w:w="341" w:type="pct"/>
            <w:vAlign w:val="center"/>
          </w:tcPr>
          <w:p>
            <w:pPr>
              <w:pStyle w:val="105"/>
              <w:rPr>
                <w:color w:val="auto"/>
                <w:highlight w:val="none"/>
              </w:rPr>
            </w:pPr>
            <w:r>
              <w:rPr>
                <w:color w:val="auto"/>
                <w:highlight w:val="none"/>
              </w:rPr>
              <w:t>1月</w:t>
            </w:r>
          </w:p>
        </w:tc>
        <w:tc>
          <w:tcPr>
            <w:tcW w:w="341" w:type="pct"/>
            <w:vAlign w:val="center"/>
          </w:tcPr>
          <w:p>
            <w:pPr>
              <w:pStyle w:val="105"/>
              <w:rPr>
                <w:color w:val="auto"/>
                <w:highlight w:val="none"/>
              </w:rPr>
            </w:pPr>
            <w:r>
              <w:rPr>
                <w:color w:val="auto"/>
                <w:highlight w:val="none"/>
              </w:rPr>
              <w:t>2月</w:t>
            </w:r>
          </w:p>
        </w:tc>
        <w:tc>
          <w:tcPr>
            <w:tcW w:w="341" w:type="pct"/>
            <w:vAlign w:val="center"/>
          </w:tcPr>
          <w:p>
            <w:pPr>
              <w:pStyle w:val="105"/>
              <w:rPr>
                <w:color w:val="auto"/>
                <w:highlight w:val="none"/>
              </w:rPr>
            </w:pPr>
            <w:r>
              <w:rPr>
                <w:color w:val="auto"/>
                <w:highlight w:val="none"/>
              </w:rPr>
              <w:t>3月</w:t>
            </w:r>
          </w:p>
        </w:tc>
        <w:tc>
          <w:tcPr>
            <w:tcW w:w="340" w:type="pct"/>
            <w:vAlign w:val="center"/>
          </w:tcPr>
          <w:p>
            <w:pPr>
              <w:pStyle w:val="105"/>
              <w:rPr>
                <w:color w:val="auto"/>
                <w:highlight w:val="none"/>
              </w:rPr>
            </w:pPr>
            <w:r>
              <w:rPr>
                <w:color w:val="auto"/>
                <w:highlight w:val="none"/>
              </w:rPr>
              <w:t>4月</w:t>
            </w:r>
          </w:p>
        </w:tc>
        <w:tc>
          <w:tcPr>
            <w:tcW w:w="337" w:type="pct"/>
            <w:vAlign w:val="center"/>
          </w:tcPr>
          <w:p>
            <w:pPr>
              <w:pStyle w:val="105"/>
              <w:rPr>
                <w:color w:val="auto"/>
                <w:highlight w:val="none"/>
              </w:rPr>
            </w:pPr>
            <w:r>
              <w:rPr>
                <w:color w:val="auto"/>
                <w:highlight w:val="none"/>
              </w:rPr>
              <w:t>5月</w:t>
            </w:r>
          </w:p>
        </w:tc>
        <w:tc>
          <w:tcPr>
            <w:tcW w:w="340" w:type="pct"/>
            <w:vAlign w:val="center"/>
          </w:tcPr>
          <w:p>
            <w:pPr>
              <w:pStyle w:val="105"/>
              <w:rPr>
                <w:color w:val="auto"/>
                <w:highlight w:val="none"/>
              </w:rPr>
            </w:pPr>
            <w:r>
              <w:rPr>
                <w:color w:val="auto"/>
                <w:highlight w:val="none"/>
              </w:rPr>
              <w:t>6月</w:t>
            </w:r>
          </w:p>
        </w:tc>
        <w:tc>
          <w:tcPr>
            <w:tcW w:w="340" w:type="pct"/>
            <w:vAlign w:val="center"/>
          </w:tcPr>
          <w:p>
            <w:pPr>
              <w:pStyle w:val="105"/>
              <w:rPr>
                <w:color w:val="auto"/>
                <w:highlight w:val="none"/>
              </w:rPr>
            </w:pPr>
            <w:r>
              <w:rPr>
                <w:color w:val="auto"/>
                <w:highlight w:val="none"/>
              </w:rPr>
              <w:t>7月</w:t>
            </w:r>
          </w:p>
        </w:tc>
        <w:tc>
          <w:tcPr>
            <w:tcW w:w="340" w:type="pct"/>
            <w:vAlign w:val="center"/>
          </w:tcPr>
          <w:p>
            <w:pPr>
              <w:pStyle w:val="105"/>
              <w:rPr>
                <w:color w:val="auto"/>
                <w:highlight w:val="none"/>
              </w:rPr>
            </w:pPr>
            <w:r>
              <w:rPr>
                <w:color w:val="auto"/>
                <w:highlight w:val="none"/>
              </w:rPr>
              <w:t>8月</w:t>
            </w:r>
          </w:p>
        </w:tc>
        <w:tc>
          <w:tcPr>
            <w:tcW w:w="340" w:type="pct"/>
            <w:vAlign w:val="center"/>
          </w:tcPr>
          <w:p>
            <w:pPr>
              <w:pStyle w:val="105"/>
              <w:rPr>
                <w:color w:val="auto"/>
                <w:highlight w:val="none"/>
              </w:rPr>
            </w:pPr>
            <w:r>
              <w:rPr>
                <w:color w:val="auto"/>
                <w:highlight w:val="none"/>
              </w:rPr>
              <w:t>9月</w:t>
            </w:r>
          </w:p>
        </w:tc>
        <w:tc>
          <w:tcPr>
            <w:tcW w:w="337" w:type="pct"/>
            <w:vAlign w:val="center"/>
          </w:tcPr>
          <w:p>
            <w:pPr>
              <w:pStyle w:val="105"/>
              <w:rPr>
                <w:color w:val="auto"/>
                <w:highlight w:val="none"/>
              </w:rPr>
            </w:pPr>
            <w:r>
              <w:rPr>
                <w:color w:val="auto"/>
                <w:highlight w:val="none"/>
              </w:rPr>
              <w:t>10月</w:t>
            </w:r>
          </w:p>
        </w:tc>
        <w:tc>
          <w:tcPr>
            <w:tcW w:w="340" w:type="pct"/>
            <w:vAlign w:val="center"/>
          </w:tcPr>
          <w:p>
            <w:pPr>
              <w:pStyle w:val="105"/>
              <w:rPr>
                <w:color w:val="auto"/>
                <w:highlight w:val="none"/>
              </w:rPr>
            </w:pPr>
            <w:r>
              <w:rPr>
                <w:color w:val="auto"/>
                <w:highlight w:val="none"/>
              </w:rPr>
              <w:t>11月</w:t>
            </w:r>
          </w:p>
        </w:tc>
        <w:tc>
          <w:tcPr>
            <w:tcW w:w="337" w:type="pct"/>
            <w:vAlign w:val="center"/>
          </w:tcPr>
          <w:p>
            <w:pPr>
              <w:pStyle w:val="105"/>
              <w:rPr>
                <w:color w:val="auto"/>
                <w:highlight w:val="none"/>
              </w:rPr>
            </w:pPr>
            <w:r>
              <w:rPr>
                <w:color w:val="auto"/>
                <w:highlight w:val="none"/>
              </w:rPr>
              <w:t>12月</w:t>
            </w:r>
          </w:p>
        </w:tc>
        <w:tc>
          <w:tcPr>
            <w:tcW w:w="391" w:type="pct"/>
            <w:vAlign w:val="center"/>
          </w:tcPr>
          <w:p>
            <w:pPr>
              <w:pStyle w:val="105"/>
              <w:rPr>
                <w:color w:val="auto"/>
                <w:highlight w:val="none"/>
              </w:rPr>
            </w:pPr>
            <w:r>
              <w:rPr>
                <w:color w:val="auto"/>
                <w:highlight w:val="none"/>
              </w:rPr>
              <w:t>全年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34" w:type="pct"/>
            <w:vAlign w:val="center"/>
          </w:tcPr>
          <w:p>
            <w:pPr>
              <w:pStyle w:val="105"/>
              <w:rPr>
                <w:color w:val="auto"/>
                <w:highlight w:val="none"/>
              </w:rPr>
            </w:pPr>
            <w:r>
              <w:rPr>
                <w:color w:val="auto"/>
                <w:highlight w:val="none"/>
              </w:rPr>
              <w:t>日照时数h</w:t>
            </w:r>
          </w:p>
        </w:tc>
        <w:tc>
          <w:tcPr>
            <w:tcW w:w="341" w:type="pct"/>
            <w:vAlign w:val="center"/>
          </w:tcPr>
          <w:p>
            <w:pPr>
              <w:pStyle w:val="105"/>
              <w:rPr>
                <w:color w:val="auto"/>
                <w:highlight w:val="none"/>
              </w:rPr>
            </w:pPr>
            <w:r>
              <w:rPr>
                <w:rFonts w:eastAsia="等线"/>
                <w:color w:val="auto"/>
                <w:szCs w:val="21"/>
                <w:highlight w:val="none"/>
              </w:rPr>
              <w:t>130.46</w:t>
            </w:r>
          </w:p>
        </w:tc>
        <w:tc>
          <w:tcPr>
            <w:tcW w:w="341" w:type="pct"/>
            <w:vAlign w:val="center"/>
          </w:tcPr>
          <w:p>
            <w:pPr>
              <w:pStyle w:val="105"/>
              <w:rPr>
                <w:color w:val="auto"/>
                <w:highlight w:val="none"/>
              </w:rPr>
            </w:pPr>
            <w:r>
              <w:rPr>
                <w:rFonts w:eastAsia="等线"/>
                <w:color w:val="auto"/>
                <w:szCs w:val="21"/>
                <w:highlight w:val="none"/>
              </w:rPr>
              <w:t>129.65</w:t>
            </w:r>
          </w:p>
        </w:tc>
        <w:tc>
          <w:tcPr>
            <w:tcW w:w="341" w:type="pct"/>
            <w:vAlign w:val="center"/>
          </w:tcPr>
          <w:p>
            <w:pPr>
              <w:pStyle w:val="105"/>
              <w:rPr>
                <w:color w:val="auto"/>
                <w:highlight w:val="none"/>
              </w:rPr>
            </w:pPr>
            <w:r>
              <w:rPr>
                <w:rFonts w:eastAsia="等线"/>
                <w:color w:val="auto"/>
                <w:szCs w:val="21"/>
                <w:highlight w:val="none"/>
              </w:rPr>
              <w:t>193.04</w:t>
            </w:r>
          </w:p>
        </w:tc>
        <w:tc>
          <w:tcPr>
            <w:tcW w:w="340" w:type="pct"/>
            <w:vAlign w:val="center"/>
          </w:tcPr>
          <w:p>
            <w:pPr>
              <w:pStyle w:val="105"/>
              <w:rPr>
                <w:color w:val="auto"/>
                <w:highlight w:val="none"/>
              </w:rPr>
            </w:pPr>
            <w:r>
              <w:rPr>
                <w:rFonts w:eastAsia="等线"/>
                <w:color w:val="auto"/>
                <w:szCs w:val="21"/>
                <w:highlight w:val="none"/>
              </w:rPr>
              <w:t>207.82</w:t>
            </w:r>
          </w:p>
        </w:tc>
        <w:tc>
          <w:tcPr>
            <w:tcW w:w="337" w:type="pct"/>
            <w:vAlign w:val="center"/>
          </w:tcPr>
          <w:p>
            <w:pPr>
              <w:pStyle w:val="105"/>
              <w:rPr>
                <w:color w:val="auto"/>
                <w:highlight w:val="none"/>
              </w:rPr>
            </w:pPr>
            <w:r>
              <w:rPr>
                <w:rFonts w:eastAsia="等线"/>
                <w:color w:val="auto"/>
                <w:szCs w:val="21"/>
                <w:highlight w:val="none"/>
              </w:rPr>
              <w:t>221.99</w:t>
            </w:r>
          </w:p>
        </w:tc>
        <w:tc>
          <w:tcPr>
            <w:tcW w:w="340" w:type="pct"/>
            <w:vAlign w:val="center"/>
          </w:tcPr>
          <w:p>
            <w:pPr>
              <w:pStyle w:val="105"/>
              <w:rPr>
                <w:color w:val="auto"/>
                <w:highlight w:val="none"/>
              </w:rPr>
            </w:pPr>
            <w:r>
              <w:rPr>
                <w:rFonts w:eastAsia="等线"/>
                <w:color w:val="auto"/>
                <w:szCs w:val="21"/>
                <w:highlight w:val="none"/>
              </w:rPr>
              <w:t>182.23</w:t>
            </w:r>
          </w:p>
        </w:tc>
        <w:tc>
          <w:tcPr>
            <w:tcW w:w="340" w:type="pct"/>
            <w:vAlign w:val="center"/>
          </w:tcPr>
          <w:p>
            <w:pPr>
              <w:pStyle w:val="105"/>
              <w:rPr>
                <w:color w:val="auto"/>
                <w:highlight w:val="none"/>
              </w:rPr>
            </w:pPr>
            <w:r>
              <w:rPr>
                <w:rFonts w:eastAsia="等线"/>
                <w:color w:val="auto"/>
                <w:szCs w:val="21"/>
                <w:highlight w:val="none"/>
              </w:rPr>
              <w:t>152.94</w:t>
            </w:r>
          </w:p>
        </w:tc>
        <w:tc>
          <w:tcPr>
            <w:tcW w:w="340" w:type="pct"/>
            <w:vAlign w:val="center"/>
          </w:tcPr>
          <w:p>
            <w:pPr>
              <w:pStyle w:val="105"/>
              <w:rPr>
                <w:color w:val="auto"/>
                <w:highlight w:val="none"/>
              </w:rPr>
            </w:pPr>
            <w:r>
              <w:rPr>
                <w:rFonts w:eastAsia="等线"/>
                <w:color w:val="auto"/>
                <w:szCs w:val="21"/>
                <w:highlight w:val="none"/>
              </w:rPr>
              <w:t>162.13</w:t>
            </w:r>
          </w:p>
        </w:tc>
        <w:tc>
          <w:tcPr>
            <w:tcW w:w="340" w:type="pct"/>
            <w:vAlign w:val="center"/>
          </w:tcPr>
          <w:p>
            <w:pPr>
              <w:pStyle w:val="105"/>
              <w:rPr>
                <w:color w:val="auto"/>
                <w:highlight w:val="none"/>
              </w:rPr>
            </w:pPr>
            <w:r>
              <w:rPr>
                <w:rFonts w:eastAsia="等线"/>
                <w:color w:val="auto"/>
                <w:szCs w:val="21"/>
                <w:highlight w:val="none"/>
              </w:rPr>
              <w:t>153.91</w:t>
            </w:r>
          </w:p>
        </w:tc>
        <w:tc>
          <w:tcPr>
            <w:tcW w:w="337" w:type="pct"/>
            <w:vAlign w:val="center"/>
          </w:tcPr>
          <w:p>
            <w:pPr>
              <w:pStyle w:val="105"/>
              <w:rPr>
                <w:color w:val="auto"/>
                <w:highlight w:val="none"/>
              </w:rPr>
            </w:pPr>
            <w:r>
              <w:rPr>
                <w:rFonts w:eastAsia="等线"/>
                <w:color w:val="auto"/>
                <w:szCs w:val="21"/>
                <w:highlight w:val="none"/>
              </w:rPr>
              <w:t>160.42</w:t>
            </w:r>
          </w:p>
        </w:tc>
        <w:tc>
          <w:tcPr>
            <w:tcW w:w="340" w:type="pct"/>
            <w:vAlign w:val="center"/>
          </w:tcPr>
          <w:p>
            <w:pPr>
              <w:pStyle w:val="105"/>
              <w:rPr>
                <w:color w:val="auto"/>
                <w:highlight w:val="none"/>
              </w:rPr>
            </w:pPr>
            <w:r>
              <w:rPr>
                <w:rFonts w:eastAsia="等线"/>
                <w:color w:val="auto"/>
                <w:szCs w:val="21"/>
                <w:highlight w:val="none"/>
              </w:rPr>
              <w:t>142.2</w:t>
            </w:r>
          </w:p>
        </w:tc>
        <w:tc>
          <w:tcPr>
            <w:tcW w:w="337" w:type="pct"/>
            <w:vAlign w:val="center"/>
          </w:tcPr>
          <w:p>
            <w:pPr>
              <w:pStyle w:val="105"/>
              <w:rPr>
                <w:color w:val="auto"/>
                <w:highlight w:val="none"/>
              </w:rPr>
            </w:pPr>
            <w:r>
              <w:rPr>
                <w:rFonts w:eastAsia="等线"/>
                <w:color w:val="auto"/>
                <w:szCs w:val="21"/>
                <w:highlight w:val="none"/>
              </w:rPr>
              <w:t>137.81</w:t>
            </w:r>
          </w:p>
        </w:tc>
        <w:tc>
          <w:tcPr>
            <w:tcW w:w="391" w:type="pct"/>
            <w:vAlign w:val="center"/>
          </w:tcPr>
          <w:p>
            <w:pPr>
              <w:pStyle w:val="105"/>
              <w:rPr>
                <w:color w:val="auto"/>
                <w:highlight w:val="none"/>
              </w:rPr>
            </w:pPr>
            <w:r>
              <w:rPr>
                <w:rFonts w:eastAsia="等线"/>
                <w:color w:val="auto"/>
                <w:szCs w:val="21"/>
                <w:highlight w:val="none"/>
              </w:rPr>
              <w:t>1974.6</w:t>
            </w:r>
          </w:p>
        </w:tc>
      </w:tr>
    </w:tbl>
    <w:p>
      <w:pPr>
        <w:adjustRightInd w:val="0"/>
        <w:snapToGrid w:val="0"/>
        <w:spacing w:line="360" w:lineRule="auto"/>
        <w:ind w:firstLine="482" w:firstLineChars="200"/>
        <w:rPr>
          <w:b/>
          <w:bCs/>
          <w:color w:val="auto"/>
          <w:sz w:val="24"/>
          <w:highlight w:val="none"/>
        </w:rPr>
      </w:pPr>
      <w:r>
        <w:rPr>
          <w:rFonts w:hint="eastAsia"/>
          <w:b/>
          <w:bCs/>
          <w:color w:val="auto"/>
          <w:sz w:val="24"/>
          <w:highlight w:val="none"/>
        </w:rPr>
        <w:t>6</w:t>
      </w:r>
      <w:r>
        <w:rPr>
          <w:b/>
          <w:bCs/>
          <w:color w:val="auto"/>
          <w:sz w:val="24"/>
          <w:highlight w:val="none"/>
        </w:rPr>
        <w:t>、风速</w:t>
      </w:r>
    </w:p>
    <w:p>
      <w:pPr>
        <w:adjustRightInd w:val="0"/>
        <w:snapToGrid w:val="0"/>
        <w:spacing w:line="360" w:lineRule="auto"/>
        <w:ind w:firstLine="480" w:firstLineChars="200"/>
        <w:rPr>
          <w:color w:val="auto"/>
          <w:sz w:val="24"/>
          <w:highlight w:val="none"/>
        </w:rPr>
      </w:pPr>
      <w:r>
        <w:rPr>
          <w:rFonts w:hint="eastAsia"/>
          <w:color w:val="auto"/>
          <w:sz w:val="24"/>
          <w:highlight w:val="none"/>
        </w:rPr>
        <w:t>峄城区年平均风速1.88m/s，月平均风速3月份相对较大为2.29m/s，10月份相对较小为1.44m/s。峄城区累年平均风速统计见表</w:t>
      </w:r>
      <w:r>
        <w:rPr>
          <w:color w:val="auto"/>
          <w:sz w:val="24"/>
          <w:highlight w:val="none"/>
        </w:rPr>
        <w:t>见表4.1-6。</w:t>
      </w:r>
    </w:p>
    <w:p>
      <w:pPr>
        <w:pStyle w:val="103"/>
        <w:rPr>
          <w:rFonts w:ascii="Times New Roman" w:hAnsi="Times New Roman"/>
          <w:color w:val="auto"/>
          <w:highlight w:val="none"/>
        </w:rPr>
      </w:pPr>
      <w:r>
        <w:rPr>
          <w:rFonts w:ascii="Times New Roman" w:hAnsi="Times New Roman"/>
          <w:color w:val="auto"/>
          <w:highlight w:val="none"/>
        </w:rPr>
        <w:t>表4.1-6  枣庄市</w:t>
      </w:r>
      <w:r>
        <w:rPr>
          <w:rFonts w:hint="eastAsia" w:ascii="Times New Roman" w:hAnsi="Times New Roman"/>
          <w:color w:val="auto"/>
          <w:highlight w:val="none"/>
        </w:rPr>
        <w:t>峄城区</w:t>
      </w:r>
      <w:r>
        <w:rPr>
          <w:rFonts w:ascii="Times New Roman" w:hAnsi="Times New Roman"/>
          <w:bCs/>
          <w:color w:val="auto"/>
          <w:highlight w:val="none"/>
        </w:rPr>
        <w:t>2000~2019年</w:t>
      </w:r>
      <w:r>
        <w:rPr>
          <w:rFonts w:ascii="Times New Roman" w:hAnsi="Times New Roman"/>
          <w:color w:val="auto"/>
          <w:highlight w:val="none"/>
        </w:rPr>
        <w:t>平均风速的月变化</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845"/>
        <w:gridCol w:w="575"/>
        <w:gridCol w:w="657"/>
        <w:gridCol w:w="613"/>
        <w:gridCol w:w="573"/>
        <w:gridCol w:w="613"/>
        <w:gridCol w:w="573"/>
        <w:gridCol w:w="615"/>
        <w:gridCol w:w="615"/>
        <w:gridCol w:w="615"/>
        <w:gridCol w:w="573"/>
        <w:gridCol w:w="573"/>
        <w:gridCol w:w="657"/>
        <w:gridCol w:w="69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81" w:type="pct"/>
            <w:vAlign w:val="center"/>
          </w:tcPr>
          <w:p>
            <w:pPr>
              <w:jc w:val="center"/>
              <w:rPr>
                <w:rFonts w:eastAsia="等线"/>
                <w:color w:val="auto"/>
                <w:szCs w:val="21"/>
                <w:highlight w:val="none"/>
              </w:rPr>
            </w:pPr>
            <w:r>
              <w:rPr>
                <w:rFonts w:eastAsia="等线"/>
                <w:color w:val="auto"/>
                <w:szCs w:val="21"/>
                <w:highlight w:val="none"/>
              </w:rPr>
              <w:t>月份</w:t>
            </w:r>
          </w:p>
        </w:tc>
        <w:tc>
          <w:tcPr>
            <w:tcW w:w="327" w:type="pct"/>
            <w:vAlign w:val="center"/>
          </w:tcPr>
          <w:p>
            <w:pPr>
              <w:jc w:val="center"/>
              <w:rPr>
                <w:rFonts w:eastAsia="等线"/>
                <w:color w:val="auto"/>
                <w:szCs w:val="21"/>
                <w:highlight w:val="none"/>
              </w:rPr>
            </w:pPr>
            <w:r>
              <w:rPr>
                <w:rFonts w:eastAsia="等线"/>
                <w:color w:val="auto"/>
                <w:szCs w:val="21"/>
                <w:highlight w:val="none"/>
              </w:rPr>
              <w:t>1月</w:t>
            </w:r>
          </w:p>
        </w:tc>
        <w:tc>
          <w:tcPr>
            <w:tcW w:w="374" w:type="pct"/>
            <w:vAlign w:val="center"/>
          </w:tcPr>
          <w:p>
            <w:pPr>
              <w:jc w:val="center"/>
              <w:rPr>
                <w:rFonts w:eastAsia="等线"/>
                <w:color w:val="auto"/>
                <w:szCs w:val="21"/>
                <w:highlight w:val="none"/>
              </w:rPr>
            </w:pPr>
            <w:r>
              <w:rPr>
                <w:rFonts w:eastAsia="等线"/>
                <w:color w:val="auto"/>
                <w:szCs w:val="21"/>
                <w:highlight w:val="none"/>
              </w:rPr>
              <w:t>2月</w:t>
            </w:r>
          </w:p>
        </w:tc>
        <w:tc>
          <w:tcPr>
            <w:tcW w:w="349" w:type="pct"/>
            <w:vAlign w:val="center"/>
          </w:tcPr>
          <w:p>
            <w:pPr>
              <w:jc w:val="center"/>
              <w:rPr>
                <w:rFonts w:eastAsia="等线"/>
                <w:color w:val="auto"/>
                <w:szCs w:val="21"/>
                <w:highlight w:val="none"/>
              </w:rPr>
            </w:pPr>
            <w:r>
              <w:rPr>
                <w:rFonts w:eastAsia="等线"/>
                <w:color w:val="auto"/>
                <w:szCs w:val="21"/>
                <w:highlight w:val="none"/>
              </w:rPr>
              <w:t>3月</w:t>
            </w:r>
          </w:p>
        </w:tc>
        <w:tc>
          <w:tcPr>
            <w:tcW w:w="326" w:type="pct"/>
            <w:vAlign w:val="center"/>
          </w:tcPr>
          <w:p>
            <w:pPr>
              <w:jc w:val="center"/>
              <w:rPr>
                <w:rFonts w:eastAsia="等线"/>
                <w:color w:val="auto"/>
                <w:szCs w:val="21"/>
                <w:highlight w:val="none"/>
              </w:rPr>
            </w:pPr>
            <w:r>
              <w:rPr>
                <w:rFonts w:eastAsia="等线"/>
                <w:color w:val="auto"/>
                <w:szCs w:val="21"/>
                <w:highlight w:val="none"/>
              </w:rPr>
              <w:t>4月</w:t>
            </w:r>
          </w:p>
        </w:tc>
        <w:tc>
          <w:tcPr>
            <w:tcW w:w="349" w:type="pct"/>
            <w:vAlign w:val="center"/>
          </w:tcPr>
          <w:p>
            <w:pPr>
              <w:jc w:val="center"/>
              <w:rPr>
                <w:rFonts w:eastAsia="等线"/>
                <w:color w:val="auto"/>
                <w:szCs w:val="21"/>
                <w:highlight w:val="none"/>
              </w:rPr>
            </w:pPr>
            <w:r>
              <w:rPr>
                <w:rFonts w:eastAsia="等线"/>
                <w:color w:val="auto"/>
                <w:szCs w:val="21"/>
                <w:highlight w:val="none"/>
              </w:rPr>
              <w:t>5月</w:t>
            </w:r>
          </w:p>
        </w:tc>
        <w:tc>
          <w:tcPr>
            <w:tcW w:w="326" w:type="pct"/>
            <w:vAlign w:val="center"/>
          </w:tcPr>
          <w:p>
            <w:pPr>
              <w:jc w:val="center"/>
              <w:rPr>
                <w:rFonts w:eastAsia="等线"/>
                <w:color w:val="auto"/>
                <w:szCs w:val="21"/>
                <w:highlight w:val="none"/>
              </w:rPr>
            </w:pPr>
            <w:r>
              <w:rPr>
                <w:rFonts w:eastAsia="等线"/>
                <w:color w:val="auto"/>
                <w:szCs w:val="21"/>
                <w:highlight w:val="none"/>
              </w:rPr>
              <w:t>6月</w:t>
            </w:r>
          </w:p>
        </w:tc>
        <w:tc>
          <w:tcPr>
            <w:tcW w:w="350" w:type="pct"/>
            <w:vAlign w:val="center"/>
          </w:tcPr>
          <w:p>
            <w:pPr>
              <w:jc w:val="center"/>
              <w:rPr>
                <w:rFonts w:eastAsia="等线"/>
                <w:color w:val="auto"/>
                <w:szCs w:val="21"/>
                <w:highlight w:val="none"/>
              </w:rPr>
            </w:pPr>
            <w:r>
              <w:rPr>
                <w:rFonts w:eastAsia="等线"/>
                <w:color w:val="auto"/>
                <w:szCs w:val="21"/>
                <w:highlight w:val="none"/>
              </w:rPr>
              <w:t>7月</w:t>
            </w:r>
          </w:p>
        </w:tc>
        <w:tc>
          <w:tcPr>
            <w:tcW w:w="350" w:type="pct"/>
            <w:vAlign w:val="center"/>
          </w:tcPr>
          <w:p>
            <w:pPr>
              <w:jc w:val="center"/>
              <w:rPr>
                <w:rFonts w:eastAsia="等线"/>
                <w:color w:val="auto"/>
                <w:szCs w:val="21"/>
                <w:highlight w:val="none"/>
              </w:rPr>
            </w:pPr>
            <w:r>
              <w:rPr>
                <w:rFonts w:eastAsia="等线"/>
                <w:color w:val="auto"/>
                <w:szCs w:val="21"/>
                <w:highlight w:val="none"/>
              </w:rPr>
              <w:t>8月</w:t>
            </w:r>
          </w:p>
        </w:tc>
        <w:tc>
          <w:tcPr>
            <w:tcW w:w="350" w:type="pct"/>
            <w:vAlign w:val="center"/>
          </w:tcPr>
          <w:p>
            <w:pPr>
              <w:jc w:val="center"/>
              <w:rPr>
                <w:rFonts w:eastAsia="等线"/>
                <w:color w:val="auto"/>
                <w:szCs w:val="21"/>
                <w:highlight w:val="none"/>
              </w:rPr>
            </w:pPr>
            <w:r>
              <w:rPr>
                <w:rFonts w:eastAsia="等线"/>
                <w:color w:val="auto"/>
                <w:szCs w:val="21"/>
                <w:highlight w:val="none"/>
              </w:rPr>
              <w:t>9月</w:t>
            </w:r>
          </w:p>
        </w:tc>
        <w:tc>
          <w:tcPr>
            <w:tcW w:w="326" w:type="pct"/>
            <w:vAlign w:val="center"/>
          </w:tcPr>
          <w:p>
            <w:pPr>
              <w:jc w:val="center"/>
              <w:rPr>
                <w:rFonts w:eastAsia="等线"/>
                <w:color w:val="auto"/>
                <w:szCs w:val="21"/>
                <w:highlight w:val="none"/>
              </w:rPr>
            </w:pPr>
            <w:r>
              <w:rPr>
                <w:rFonts w:eastAsia="等线"/>
                <w:color w:val="auto"/>
                <w:szCs w:val="21"/>
                <w:highlight w:val="none"/>
              </w:rPr>
              <w:t>10月</w:t>
            </w:r>
          </w:p>
        </w:tc>
        <w:tc>
          <w:tcPr>
            <w:tcW w:w="326" w:type="pct"/>
            <w:vAlign w:val="center"/>
          </w:tcPr>
          <w:p>
            <w:pPr>
              <w:jc w:val="center"/>
              <w:rPr>
                <w:rFonts w:eastAsia="等线"/>
                <w:color w:val="auto"/>
                <w:szCs w:val="21"/>
                <w:highlight w:val="none"/>
              </w:rPr>
            </w:pPr>
            <w:r>
              <w:rPr>
                <w:rFonts w:eastAsia="等线"/>
                <w:color w:val="auto"/>
                <w:szCs w:val="21"/>
                <w:highlight w:val="none"/>
              </w:rPr>
              <w:t>11月</w:t>
            </w:r>
          </w:p>
        </w:tc>
        <w:tc>
          <w:tcPr>
            <w:tcW w:w="374" w:type="pct"/>
            <w:vAlign w:val="center"/>
          </w:tcPr>
          <w:p>
            <w:pPr>
              <w:jc w:val="center"/>
              <w:rPr>
                <w:rFonts w:eastAsia="等线"/>
                <w:color w:val="auto"/>
                <w:szCs w:val="21"/>
                <w:highlight w:val="none"/>
              </w:rPr>
            </w:pPr>
            <w:r>
              <w:rPr>
                <w:rFonts w:eastAsia="等线"/>
                <w:color w:val="auto"/>
                <w:szCs w:val="21"/>
                <w:highlight w:val="none"/>
              </w:rPr>
              <w:t>12月</w:t>
            </w:r>
          </w:p>
        </w:tc>
        <w:tc>
          <w:tcPr>
            <w:tcW w:w="393" w:type="pct"/>
            <w:vAlign w:val="center"/>
          </w:tcPr>
          <w:p>
            <w:pPr>
              <w:jc w:val="center"/>
              <w:rPr>
                <w:rFonts w:eastAsia="等线"/>
                <w:color w:val="auto"/>
                <w:szCs w:val="21"/>
                <w:highlight w:val="none"/>
              </w:rPr>
            </w:pPr>
            <w:r>
              <w:rPr>
                <w:rFonts w:eastAsia="等线"/>
                <w:color w:val="auto"/>
                <w:szCs w:val="21"/>
                <w:highlight w:val="none"/>
              </w:rPr>
              <w:t>全年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81" w:type="pct"/>
            <w:vAlign w:val="center"/>
          </w:tcPr>
          <w:p>
            <w:pPr>
              <w:jc w:val="center"/>
              <w:rPr>
                <w:rFonts w:eastAsia="等线"/>
                <w:color w:val="auto"/>
                <w:szCs w:val="21"/>
                <w:highlight w:val="none"/>
              </w:rPr>
            </w:pPr>
            <w:r>
              <w:rPr>
                <w:rFonts w:eastAsia="等线"/>
                <w:color w:val="auto"/>
                <w:szCs w:val="21"/>
                <w:highlight w:val="none"/>
              </w:rPr>
              <w:t>风速m/s</w:t>
            </w:r>
          </w:p>
        </w:tc>
        <w:tc>
          <w:tcPr>
            <w:tcW w:w="327" w:type="pct"/>
            <w:vAlign w:val="bottom"/>
          </w:tcPr>
          <w:p>
            <w:pPr>
              <w:jc w:val="center"/>
              <w:rPr>
                <w:rFonts w:eastAsia="等线"/>
                <w:color w:val="auto"/>
                <w:szCs w:val="21"/>
                <w:highlight w:val="none"/>
              </w:rPr>
            </w:pPr>
            <w:r>
              <w:rPr>
                <w:rFonts w:eastAsia="等线"/>
                <w:color w:val="auto"/>
                <w:szCs w:val="21"/>
                <w:highlight w:val="none"/>
              </w:rPr>
              <w:t>1.75</w:t>
            </w:r>
          </w:p>
        </w:tc>
        <w:tc>
          <w:tcPr>
            <w:tcW w:w="374" w:type="pct"/>
            <w:vAlign w:val="bottom"/>
          </w:tcPr>
          <w:p>
            <w:pPr>
              <w:jc w:val="center"/>
              <w:rPr>
                <w:rFonts w:eastAsia="等线"/>
                <w:color w:val="auto"/>
                <w:szCs w:val="21"/>
                <w:highlight w:val="none"/>
              </w:rPr>
            </w:pPr>
            <w:r>
              <w:rPr>
                <w:rFonts w:eastAsia="等线"/>
                <w:color w:val="auto"/>
                <w:szCs w:val="21"/>
                <w:highlight w:val="none"/>
              </w:rPr>
              <w:t>1.99</w:t>
            </w:r>
          </w:p>
        </w:tc>
        <w:tc>
          <w:tcPr>
            <w:tcW w:w="349" w:type="pct"/>
            <w:vAlign w:val="bottom"/>
          </w:tcPr>
          <w:p>
            <w:pPr>
              <w:jc w:val="center"/>
              <w:rPr>
                <w:rFonts w:eastAsia="等线"/>
                <w:color w:val="auto"/>
                <w:szCs w:val="21"/>
                <w:highlight w:val="none"/>
              </w:rPr>
            </w:pPr>
            <w:r>
              <w:rPr>
                <w:rFonts w:eastAsia="等线"/>
                <w:color w:val="auto"/>
                <w:szCs w:val="21"/>
                <w:highlight w:val="none"/>
              </w:rPr>
              <w:t>2.29</w:t>
            </w:r>
          </w:p>
        </w:tc>
        <w:tc>
          <w:tcPr>
            <w:tcW w:w="326" w:type="pct"/>
            <w:vAlign w:val="bottom"/>
          </w:tcPr>
          <w:p>
            <w:pPr>
              <w:jc w:val="center"/>
              <w:rPr>
                <w:rFonts w:eastAsia="等线"/>
                <w:color w:val="auto"/>
                <w:szCs w:val="21"/>
                <w:highlight w:val="none"/>
              </w:rPr>
            </w:pPr>
            <w:r>
              <w:rPr>
                <w:rFonts w:eastAsia="等线"/>
                <w:color w:val="auto"/>
                <w:szCs w:val="21"/>
                <w:highlight w:val="none"/>
              </w:rPr>
              <w:t>2.25</w:t>
            </w:r>
          </w:p>
        </w:tc>
        <w:tc>
          <w:tcPr>
            <w:tcW w:w="349" w:type="pct"/>
            <w:vAlign w:val="bottom"/>
          </w:tcPr>
          <w:p>
            <w:pPr>
              <w:jc w:val="center"/>
              <w:rPr>
                <w:rFonts w:eastAsia="等线"/>
                <w:color w:val="auto"/>
                <w:szCs w:val="21"/>
                <w:highlight w:val="none"/>
              </w:rPr>
            </w:pPr>
            <w:r>
              <w:rPr>
                <w:rFonts w:eastAsia="等线"/>
                <w:color w:val="auto"/>
                <w:szCs w:val="21"/>
                <w:highlight w:val="none"/>
              </w:rPr>
              <w:t>2.08</w:t>
            </w:r>
          </w:p>
        </w:tc>
        <w:tc>
          <w:tcPr>
            <w:tcW w:w="326" w:type="pct"/>
            <w:vAlign w:val="bottom"/>
          </w:tcPr>
          <w:p>
            <w:pPr>
              <w:jc w:val="center"/>
              <w:rPr>
                <w:rFonts w:eastAsia="等线"/>
                <w:color w:val="auto"/>
                <w:szCs w:val="21"/>
                <w:highlight w:val="none"/>
              </w:rPr>
            </w:pPr>
            <w:r>
              <w:rPr>
                <w:rFonts w:eastAsia="等线"/>
                <w:color w:val="auto"/>
                <w:szCs w:val="21"/>
                <w:highlight w:val="none"/>
              </w:rPr>
              <w:t>2.02</w:t>
            </w:r>
          </w:p>
        </w:tc>
        <w:tc>
          <w:tcPr>
            <w:tcW w:w="350" w:type="pct"/>
            <w:vAlign w:val="bottom"/>
          </w:tcPr>
          <w:p>
            <w:pPr>
              <w:jc w:val="center"/>
              <w:rPr>
                <w:rFonts w:eastAsia="等线"/>
                <w:color w:val="auto"/>
                <w:szCs w:val="21"/>
                <w:highlight w:val="none"/>
              </w:rPr>
            </w:pPr>
            <w:r>
              <w:rPr>
                <w:rFonts w:eastAsia="等线"/>
                <w:color w:val="auto"/>
                <w:szCs w:val="21"/>
                <w:highlight w:val="none"/>
              </w:rPr>
              <w:t>1.85</w:t>
            </w:r>
          </w:p>
        </w:tc>
        <w:tc>
          <w:tcPr>
            <w:tcW w:w="350" w:type="pct"/>
            <w:vAlign w:val="bottom"/>
          </w:tcPr>
          <w:p>
            <w:pPr>
              <w:jc w:val="center"/>
              <w:rPr>
                <w:rFonts w:eastAsia="等线"/>
                <w:color w:val="auto"/>
                <w:szCs w:val="21"/>
                <w:highlight w:val="none"/>
              </w:rPr>
            </w:pPr>
            <w:r>
              <w:rPr>
                <w:rFonts w:eastAsia="等线"/>
                <w:color w:val="auto"/>
                <w:szCs w:val="21"/>
                <w:highlight w:val="none"/>
              </w:rPr>
              <w:t>1.85</w:t>
            </w:r>
          </w:p>
        </w:tc>
        <w:tc>
          <w:tcPr>
            <w:tcW w:w="350" w:type="pct"/>
            <w:vAlign w:val="bottom"/>
          </w:tcPr>
          <w:p>
            <w:pPr>
              <w:jc w:val="center"/>
              <w:rPr>
                <w:rFonts w:eastAsia="等线"/>
                <w:color w:val="auto"/>
                <w:szCs w:val="21"/>
                <w:highlight w:val="none"/>
              </w:rPr>
            </w:pPr>
            <w:r>
              <w:rPr>
                <w:rFonts w:eastAsia="等线"/>
                <w:color w:val="auto"/>
                <w:szCs w:val="21"/>
                <w:highlight w:val="none"/>
              </w:rPr>
              <w:t>1.61</w:t>
            </w:r>
          </w:p>
        </w:tc>
        <w:tc>
          <w:tcPr>
            <w:tcW w:w="326" w:type="pct"/>
            <w:vAlign w:val="bottom"/>
          </w:tcPr>
          <w:p>
            <w:pPr>
              <w:jc w:val="center"/>
              <w:rPr>
                <w:rFonts w:eastAsia="等线"/>
                <w:color w:val="auto"/>
                <w:szCs w:val="21"/>
                <w:highlight w:val="none"/>
              </w:rPr>
            </w:pPr>
            <w:r>
              <w:rPr>
                <w:rFonts w:eastAsia="等线"/>
                <w:color w:val="auto"/>
                <w:szCs w:val="21"/>
                <w:highlight w:val="none"/>
              </w:rPr>
              <w:t>1.44</w:t>
            </w:r>
          </w:p>
        </w:tc>
        <w:tc>
          <w:tcPr>
            <w:tcW w:w="326" w:type="pct"/>
            <w:vAlign w:val="bottom"/>
          </w:tcPr>
          <w:p>
            <w:pPr>
              <w:jc w:val="center"/>
              <w:rPr>
                <w:rFonts w:eastAsia="等线"/>
                <w:color w:val="auto"/>
                <w:szCs w:val="21"/>
                <w:highlight w:val="none"/>
              </w:rPr>
            </w:pPr>
            <w:r>
              <w:rPr>
                <w:rFonts w:eastAsia="等线"/>
                <w:color w:val="auto"/>
                <w:szCs w:val="21"/>
                <w:highlight w:val="none"/>
              </w:rPr>
              <w:t>1.6</w:t>
            </w:r>
          </w:p>
        </w:tc>
        <w:tc>
          <w:tcPr>
            <w:tcW w:w="374" w:type="pct"/>
            <w:vAlign w:val="bottom"/>
          </w:tcPr>
          <w:p>
            <w:pPr>
              <w:jc w:val="center"/>
              <w:rPr>
                <w:rFonts w:eastAsia="等线"/>
                <w:color w:val="auto"/>
                <w:szCs w:val="21"/>
                <w:highlight w:val="none"/>
              </w:rPr>
            </w:pPr>
            <w:r>
              <w:rPr>
                <w:rFonts w:eastAsia="等线"/>
                <w:color w:val="auto"/>
                <w:szCs w:val="21"/>
                <w:highlight w:val="none"/>
              </w:rPr>
              <w:t>1.79</w:t>
            </w:r>
          </w:p>
        </w:tc>
        <w:tc>
          <w:tcPr>
            <w:tcW w:w="393" w:type="pct"/>
            <w:vAlign w:val="bottom"/>
          </w:tcPr>
          <w:p>
            <w:pPr>
              <w:jc w:val="center"/>
              <w:rPr>
                <w:rFonts w:eastAsia="等线"/>
                <w:color w:val="auto"/>
                <w:szCs w:val="21"/>
                <w:highlight w:val="none"/>
              </w:rPr>
            </w:pPr>
            <w:r>
              <w:rPr>
                <w:rFonts w:eastAsia="等线"/>
                <w:color w:val="auto"/>
                <w:szCs w:val="21"/>
                <w:highlight w:val="none"/>
              </w:rPr>
              <w:t>1.88</w:t>
            </w:r>
          </w:p>
        </w:tc>
      </w:tr>
    </w:tbl>
    <w:p>
      <w:pPr>
        <w:adjustRightInd w:val="0"/>
        <w:snapToGrid w:val="0"/>
        <w:spacing w:line="360" w:lineRule="auto"/>
        <w:ind w:firstLine="482" w:firstLineChars="200"/>
        <w:rPr>
          <w:b/>
          <w:bCs/>
          <w:color w:val="auto"/>
          <w:sz w:val="24"/>
          <w:highlight w:val="none"/>
        </w:rPr>
      </w:pPr>
      <w:r>
        <w:rPr>
          <w:rFonts w:hint="eastAsia"/>
          <w:b/>
          <w:bCs/>
          <w:color w:val="auto"/>
          <w:sz w:val="24"/>
          <w:highlight w:val="none"/>
        </w:rPr>
        <w:t>7</w:t>
      </w:r>
      <w:r>
        <w:rPr>
          <w:b/>
          <w:bCs/>
          <w:color w:val="auto"/>
          <w:sz w:val="24"/>
          <w:highlight w:val="none"/>
        </w:rPr>
        <w:t>、风频</w:t>
      </w:r>
    </w:p>
    <w:p>
      <w:pPr>
        <w:adjustRightInd w:val="0"/>
        <w:snapToGrid w:val="0"/>
        <w:spacing w:line="360" w:lineRule="auto"/>
        <w:ind w:firstLine="480" w:firstLineChars="200"/>
        <w:rPr>
          <w:color w:val="auto"/>
          <w:sz w:val="24"/>
          <w:highlight w:val="none"/>
        </w:rPr>
      </w:pPr>
      <w:r>
        <w:rPr>
          <w:rFonts w:hint="eastAsia"/>
          <w:color w:val="auto"/>
          <w:sz w:val="24"/>
          <w:highlight w:val="none"/>
        </w:rPr>
        <w:t>峄城区累年风频最多的是E，频率为11.2%；其次是ENE，频率为8.06%，SSW最少，频率为3.23%。峄城区累年风频统计见</w:t>
      </w:r>
      <w:r>
        <w:rPr>
          <w:color w:val="auto"/>
          <w:sz w:val="24"/>
          <w:highlight w:val="none"/>
        </w:rPr>
        <w:t>表4.1-7和风频玫瑰图见图4.1-1。</w:t>
      </w:r>
    </w:p>
    <w:p>
      <w:pPr>
        <w:adjustRightInd w:val="0"/>
        <w:snapToGrid w:val="0"/>
        <w:spacing w:line="360" w:lineRule="auto"/>
        <w:ind w:firstLine="480" w:firstLineChars="200"/>
        <w:rPr>
          <w:color w:val="auto"/>
          <w:sz w:val="24"/>
          <w:highlight w:val="none"/>
        </w:rPr>
      </w:pPr>
    </w:p>
    <w:p>
      <w:pPr>
        <w:adjustRightInd w:val="0"/>
        <w:snapToGrid w:val="0"/>
        <w:spacing w:line="360" w:lineRule="auto"/>
        <w:ind w:firstLine="480" w:firstLineChars="200"/>
        <w:rPr>
          <w:color w:val="auto"/>
          <w:sz w:val="24"/>
          <w:highlight w:val="none"/>
        </w:rPr>
      </w:pPr>
    </w:p>
    <w:p>
      <w:pPr>
        <w:adjustRightInd w:val="0"/>
        <w:snapToGrid w:val="0"/>
        <w:spacing w:line="360" w:lineRule="auto"/>
        <w:ind w:firstLine="480" w:firstLineChars="200"/>
        <w:rPr>
          <w:color w:val="auto"/>
          <w:sz w:val="24"/>
          <w:highlight w:val="none"/>
        </w:rPr>
      </w:pPr>
    </w:p>
    <w:p>
      <w:pPr>
        <w:adjustRightInd w:val="0"/>
        <w:snapToGrid w:val="0"/>
        <w:spacing w:line="360" w:lineRule="auto"/>
        <w:ind w:firstLine="480" w:firstLineChars="200"/>
        <w:rPr>
          <w:color w:val="auto"/>
          <w:sz w:val="24"/>
          <w:highlight w:val="none"/>
        </w:rPr>
      </w:pPr>
    </w:p>
    <w:p>
      <w:pPr>
        <w:pStyle w:val="103"/>
        <w:rPr>
          <w:rFonts w:ascii="Times New Roman" w:hAnsi="Times New Roman"/>
          <w:color w:val="auto"/>
          <w:highlight w:val="none"/>
        </w:rPr>
      </w:pPr>
      <w:r>
        <w:rPr>
          <w:rFonts w:ascii="Times New Roman" w:hAnsi="Times New Roman"/>
          <w:color w:val="auto"/>
          <w:highlight w:val="none"/>
        </w:rPr>
        <w:t>表4.1-7  枣庄</w:t>
      </w:r>
      <w:r>
        <w:rPr>
          <w:rFonts w:hint="eastAsia" w:ascii="Times New Roman" w:hAnsi="Times New Roman"/>
          <w:color w:val="auto"/>
          <w:highlight w:val="none"/>
        </w:rPr>
        <w:t>峄城</w:t>
      </w:r>
      <w:r>
        <w:rPr>
          <w:rFonts w:ascii="Times New Roman" w:hAnsi="Times New Roman"/>
          <w:color w:val="auto"/>
          <w:highlight w:val="none"/>
        </w:rPr>
        <w:t>区</w:t>
      </w:r>
      <w:r>
        <w:rPr>
          <w:rFonts w:ascii="Times New Roman" w:hAnsi="Times New Roman"/>
          <w:bCs/>
          <w:color w:val="auto"/>
          <w:highlight w:val="none"/>
        </w:rPr>
        <w:t>2000~2019年</w:t>
      </w:r>
      <w:r>
        <w:rPr>
          <w:rFonts w:ascii="Times New Roman" w:hAnsi="Times New Roman"/>
          <w:color w:val="auto"/>
          <w:highlight w:val="none"/>
        </w:rPr>
        <w:t>平均风频的月变化(%)</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465"/>
        <w:gridCol w:w="539"/>
        <w:gridCol w:w="539"/>
        <w:gridCol w:w="539"/>
        <w:gridCol w:w="430"/>
        <w:gridCol w:w="489"/>
        <w:gridCol w:w="489"/>
        <w:gridCol w:w="431"/>
        <w:gridCol w:w="431"/>
        <w:gridCol w:w="431"/>
        <w:gridCol w:w="540"/>
        <w:gridCol w:w="431"/>
        <w:gridCol w:w="530"/>
        <w:gridCol w:w="431"/>
        <w:gridCol w:w="565"/>
        <w:gridCol w:w="431"/>
        <w:gridCol w:w="542"/>
        <w:gridCol w:w="53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5" w:type="pct"/>
            <w:vAlign w:val="center"/>
          </w:tcPr>
          <w:p>
            <w:pPr>
              <w:jc w:val="center"/>
              <w:rPr>
                <w:rFonts w:eastAsia="等线"/>
                <w:color w:val="auto"/>
                <w:szCs w:val="21"/>
                <w:highlight w:val="none"/>
              </w:rPr>
            </w:pPr>
            <w:r>
              <w:rPr>
                <w:rFonts w:eastAsia="等线"/>
                <w:color w:val="auto"/>
                <w:szCs w:val="21"/>
                <w:highlight w:val="none"/>
              </w:rPr>
              <w:t>月份</w:t>
            </w:r>
          </w:p>
        </w:tc>
        <w:tc>
          <w:tcPr>
            <w:tcW w:w="307" w:type="pct"/>
            <w:vAlign w:val="center"/>
          </w:tcPr>
          <w:p>
            <w:pPr>
              <w:jc w:val="center"/>
              <w:rPr>
                <w:rFonts w:eastAsia="等线"/>
                <w:color w:val="auto"/>
                <w:szCs w:val="21"/>
                <w:highlight w:val="none"/>
              </w:rPr>
            </w:pPr>
            <w:r>
              <w:rPr>
                <w:rFonts w:eastAsia="等线"/>
                <w:color w:val="auto"/>
                <w:szCs w:val="21"/>
                <w:highlight w:val="none"/>
              </w:rPr>
              <w:t>N</w:t>
            </w:r>
          </w:p>
        </w:tc>
        <w:tc>
          <w:tcPr>
            <w:tcW w:w="307" w:type="pct"/>
            <w:vAlign w:val="center"/>
          </w:tcPr>
          <w:p>
            <w:pPr>
              <w:jc w:val="center"/>
              <w:rPr>
                <w:rFonts w:eastAsia="等线"/>
                <w:color w:val="auto"/>
                <w:szCs w:val="21"/>
                <w:highlight w:val="none"/>
              </w:rPr>
            </w:pPr>
            <w:r>
              <w:rPr>
                <w:rFonts w:eastAsia="等线"/>
                <w:color w:val="auto"/>
                <w:szCs w:val="21"/>
                <w:highlight w:val="none"/>
              </w:rPr>
              <w:t>NNE</w:t>
            </w:r>
          </w:p>
        </w:tc>
        <w:tc>
          <w:tcPr>
            <w:tcW w:w="307" w:type="pct"/>
            <w:vAlign w:val="center"/>
          </w:tcPr>
          <w:p>
            <w:pPr>
              <w:jc w:val="center"/>
              <w:rPr>
                <w:rFonts w:eastAsia="等线"/>
                <w:color w:val="auto"/>
                <w:szCs w:val="21"/>
                <w:highlight w:val="none"/>
              </w:rPr>
            </w:pPr>
            <w:r>
              <w:rPr>
                <w:rFonts w:eastAsia="等线"/>
                <w:color w:val="auto"/>
                <w:szCs w:val="21"/>
                <w:highlight w:val="none"/>
              </w:rPr>
              <w:t>NE</w:t>
            </w:r>
          </w:p>
        </w:tc>
        <w:tc>
          <w:tcPr>
            <w:tcW w:w="245" w:type="pct"/>
            <w:vAlign w:val="center"/>
          </w:tcPr>
          <w:p>
            <w:pPr>
              <w:jc w:val="center"/>
              <w:rPr>
                <w:rFonts w:eastAsia="等线"/>
                <w:color w:val="auto"/>
                <w:szCs w:val="21"/>
                <w:highlight w:val="none"/>
              </w:rPr>
            </w:pPr>
            <w:r>
              <w:rPr>
                <w:rFonts w:eastAsia="等线"/>
                <w:color w:val="auto"/>
                <w:szCs w:val="21"/>
                <w:highlight w:val="none"/>
              </w:rPr>
              <w:t>ENE</w:t>
            </w:r>
          </w:p>
        </w:tc>
        <w:tc>
          <w:tcPr>
            <w:tcW w:w="278" w:type="pct"/>
            <w:vAlign w:val="center"/>
          </w:tcPr>
          <w:p>
            <w:pPr>
              <w:jc w:val="center"/>
              <w:rPr>
                <w:rFonts w:eastAsia="等线"/>
                <w:color w:val="auto"/>
                <w:szCs w:val="21"/>
                <w:highlight w:val="none"/>
              </w:rPr>
            </w:pPr>
            <w:r>
              <w:rPr>
                <w:rFonts w:eastAsia="等线"/>
                <w:color w:val="auto"/>
                <w:szCs w:val="21"/>
                <w:highlight w:val="none"/>
              </w:rPr>
              <w:t>E</w:t>
            </w:r>
          </w:p>
        </w:tc>
        <w:tc>
          <w:tcPr>
            <w:tcW w:w="278" w:type="pct"/>
            <w:vAlign w:val="center"/>
          </w:tcPr>
          <w:p>
            <w:pPr>
              <w:jc w:val="center"/>
              <w:rPr>
                <w:rFonts w:eastAsia="等线"/>
                <w:color w:val="auto"/>
                <w:szCs w:val="21"/>
                <w:highlight w:val="none"/>
              </w:rPr>
            </w:pPr>
            <w:r>
              <w:rPr>
                <w:rFonts w:eastAsia="等线"/>
                <w:color w:val="auto"/>
                <w:szCs w:val="21"/>
                <w:highlight w:val="none"/>
              </w:rPr>
              <w:t>ESE</w:t>
            </w:r>
          </w:p>
        </w:tc>
        <w:tc>
          <w:tcPr>
            <w:tcW w:w="245" w:type="pct"/>
            <w:vAlign w:val="center"/>
          </w:tcPr>
          <w:p>
            <w:pPr>
              <w:jc w:val="center"/>
              <w:rPr>
                <w:rFonts w:eastAsia="等线"/>
                <w:color w:val="auto"/>
                <w:szCs w:val="21"/>
                <w:highlight w:val="none"/>
              </w:rPr>
            </w:pPr>
            <w:r>
              <w:rPr>
                <w:rFonts w:eastAsia="等线"/>
                <w:color w:val="auto"/>
                <w:szCs w:val="21"/>
                <w:highlight w:val="none"/>
              </w:rPr>
              <w:t>SE</w:t>
            </w:r>
          </w:p>
        </w:tc>
        <w:tc>
          <w:tcPr>
            <w:tcW w:w="245" w:type="pct"/>
            <w:vAlign w:val="center"/>
          </w:tcPr>
          <w:p>
            <w:pPr>
              <w:jc w:val="center"/>
              <w:rPr>
                <w:rFonts w:eastAsia="等线"/>
                <w:color w:val="auto"/>
                <w:szCs w:val="21"/>
                <w:highlight w:val="none"/>
              </w:rPr>
            </w:pPr>
            <w:r>
              <w:rPr>
                <w:rFonts w:eastAsia="等线"/>
                <w:color w:val="auto"/>
                <w:szCs w:val="21"/>
                <w:highlight w:val="none"/>
              </w:rPr>
              <w:t>SSE</w:t>
            </w:r>
          </w:p>
        </w:tc>
        <w:tc>
          <w:tcPr>
            <w:tcW w:w="245" w:type="pct"/>
            <w:vAlign w:val="center"/>
          </w:tcPr>
          <w:p>
            <w:pPr>
              <w:jc w:val="center"/>
              <w:rPr>
                <w:rFonts w:eastAsia="等线"/>
                <w:color w:val="auto"/>
                <w:szCs w:val="21"/>
                <w:highlight w:val="none"/>
              </w:rPr>
            </w:pPr>
            <w:r>
              <w:rPr>
                <w:rFonts w:eastAsia="等线"/>
                <w:color w:val="auto"/>
                <w:szCs w:val="21"/>
                <w:highlight w:val="none"/>
              </w:rPr>
              <w:t>S</w:t>
            </w:r>
          </w:p>
        </w:tc>
        <w:tc>
          <w:tcPr>
            <w:tcW w:w="307" w:type="pct"/>
            <w:vAlign w:val="center"/>
          </w:tcPr>
          <w:p>
            <w:pPr>
              <w:jc w:val="center"/>
              <w:rPr>
                <w:rFonts w:eastAsia="等线"/>
                <w:color w:val="auto"/>
                <w:szCs w:val="21"/>
                <w:highlight w:val="none"/>
              </w:rPr>
            </w:pPr>
            <w:r>
              <w:rPr>
                <w:rFonts w:eastAsia="等线"/>
                <w:color w:val="auto"/>
                <w:szCs w:val="21"/>
                <w:highlight w:val="none"/>
              </w:rPr>
              <w:t>SSW</w:t>
            </w:r>
          </w:p>
        </w:tc>
        <w:tc>
          <w:tcPr>
            <w:tcW w:w="245" w:type="pct"/>
            <w:vAlign w:val="center"/>
          </w:tcPr>
          <w:p>
            <w:pPr>
              <w:jc w:val="center"/>
              <w:rPr>
                <w:rFonts w:eastAsia="等线"/>
                <w:color w:val="auto"/>
                <w:szCs w:val="21"/>
                <w:highlight w:val="none"/>
              </w:rPr>
            </w:pPr>
            <w:r>
              <w:rPr>
                <w:rFonts w:eastAsia="等线"/>
                <w:color w:val="auto"/>
                <w:szCs w:val="21"/>
                <w:highlight w:val="none"/>
              </w:rPr>
              <w:t>SW</w:t>
            </w:r>
          </w:p>
        </w:tc>
        <w:tc>
          <w:tcPr>
            <w:tcW w:w="301" w:type="pct"/>
            <w:vAlign w:val="center"/>
          </w:tcPr>
          <w:p>
            <w:pPr>
              <w:jc w:val="center"/>
              <w:rPr>
                <w:rFonts w:eastAsia="等线"/>
                <w:color w:val="auto"/>
                <w:szCs w:val="21"/>
                <w:highlight w:val="none"/>
              </w:rPr>
            </w:pPr>
            <w:r>
              <w:rPr>
                <w:rFonts w:eastAsia="等线"/>
                <w:color w:val="auto"/>
                <w:szCs w:val="21"/>
                <w:highlight w:val="none"/>
              </w:rPr>
              <w:t>WSW</w:t>
            </w:r>
          </w:p>
        </w:tc>
        <w:tc>
          <w:tcPr>
            <w:tcW w:w="245" w:type="pct"/>
            <w:vAlign w:val="center"/>
          </w:tcPr>
          <w:p>
            <w:pPr>
              <w:jc w:val="center"/>
              <w:rPr>
                <w:rFonts w:eastAsia="等线"/>
                <w:color w:val="auto"/>
                <w:szCs w:val="21"/>
                <w:highlight w:val="none"/>
              </w:rPr>
            </w:pPr>
            <w:r>
              <w:rPr>
                <w:rFonts w:eastAsia="等线"/>
                <w:color w:val="auto"/>
                <w:szCs w:val="21"/>
                <w:highlight w:val="none"/>
              </w:rPr>
              <w:t>W</w:t>
            </w:r>
          </w:p>
        </w:tc>
        <w:tc>
          <w:tcPr>
            <w:tcW w:w="321" w:type="pct"/>
            <w:vAlign w:val="center"/>
          </w:tcPr>
          <w:p>
            <w:pPr>
              <w:jc w:val="center"/>
              <w:rPr>
                <w:rFonts w:eastAsia="等线"/>
                <w:color w:val="auto"/>
                <w:szCs w:val="21"/>
                <w:highlight w:val="none"/>
              </w:rPr>
            </w:pPr>
            <w:r>
              <w:rPr>
                <w:rFonts w:eastAsia="等线"/>
                <w:color w:val="auto"/>
                <w:szCs w:val="21"/>
                <w:highlight w:val="none"/>
              </w:rPr>
              <w:t>WNW</w:t>
            </w:r>
          </w:p>
        </w:tc>
        <w:tc>
          <w:tcPr>
            <w:tcW w:w="245" w:type="pct"/>
            <w:vAlign w:val="center"/>
          </w:tcPr>
          <w:p>
            <w:pPr>
              <w:jc w:val="center"/>
              <w:rPr>
                <w:rFonts w:eastAsia="等线"/>
                <w:color w:val="auto"/>
                <w:szCs w:val="21"/>
                <w:highlight w:val="none"/>
              </w:rPr>
            </w:pPr>
            <w:r>
              <w:rPr>
                <w:rFonts w:eastAsia="等线"/>
                <w:color w:val="auto"/>
                <w:szCs w:val="21"/>
                <w:highlight w:val="none"/>
              </w:rPr>
              <w:t>NW</w:t>
            </w:r>
          </w:p>
        </w:tc>
        <w:tc>
          <w:tcPr>
            <w:tcW w:w="308" w:type="pct"/>
            <w:vAlign w:val="center"/>
          </w:tcPr>
          <w:p>
            <w:pPr>
              <w:jc w:val="center"/>
              <w:rPr>
                <w:rFonts w:eastAsia="等线"/>
                <w:color w:val="auto"/>
                <w:szCs w:val="21"/>
                <w:highlight w:val="none"/>
              </w:rPr>
            </w:pPr>
            <w:r>
              <w:rPr>
                <w:rFonts w:eastAsia="等线"/>
                <w:color w:val="auto"/>
                <w:szCs w:val="21"/>
                <w:highlight w:val="none"/>
              </w:rPr>
              <w:t>NNW</w:t>
            </w:r>
          </w:p>
        </w:tc>
        <w:tc>
          <w:tcPr>
            <w:tcW w:w="304" w:type="pct"/>
            <w:vAlign w:val="center"/>
          </w:tcPr>
          <w:p>
            <w:pPr>
              <w:jc w:val="center"/>
              <w:rPr>
                <w:rFonts w:eastAsia="等线"/>
                <w:color w:val="auto"/>
                <w:szCs w:val="21"/>
                <w:highlight w:val="none"/>
              </w:rPr>
            </w:pPr>
            <w:r>
              <w:rPr>
                <w:rFonts w:eastAsia="等线"/>
                <w:color w:val="auto"/>
                <w:szCs w:val="21"/>
                <w:highlight w:val="none"/>
              </w:rPr>
              <w:t>C</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5" w:type="pct"/>
            <w:vAlign w:val="center"/>
          </w:tcPr>
          <w:p>
            <w:pPr>
              <w:jc w:val="center"/>
              <w:rPr>
                <w:rFonts w:eastAsia="等线"/>
                <w:color w:val="auto"/>
                <w:szCs w:val="21"/>
                <w:highlight w:val="none"/>
              </w:rPr>
            </w:pPr>
            <w:r>
              <w:rPr>
                <w:rFonts w:eastAsia="等线"/>
                <w:color w:val="auto"/>
                <w:szCs w:val="21"/>
                <w:highlight w:val="none"/>
              </w:rPr>
              <w:t>1月</w:t>
            </w:r>
          </w:p>
        </w:tc>
        <w:tc>
          <w:tcPr>
            <w:tcW w:w="307" w:type="pct"/>
            <w:vAlign w:val="center"/>
          </w:tcPr>
          <w:p>
            <w:pPr>
              <w:jc w:val="center"/>
              <w:rPr>
                <w:rFonts w:eastAsia="等线"/>
                <w:color w:val="auto"/>
                <w:szCs w:val="21"/>
                <w:highlight w:val="none"/>
              </w:rPr>
            </w:pPr>
            <w:r>
              <w:rPr>
                <w:rFonts w:eastAsia="等线"/>
                <w:color w:val="auto"/>
                <w:szCs w:val="21"/>
                <w:highlight w:val="none"/>
              </w:rPr>
              <w:t>5.11</w:t>
            </w:r>
          </w:p>
        </w:tc>
        <w:tc>
          <w:tcPr>
            <w:tcW w:w="307" w:type="pct"/>
            <w:vAlign w:val="center"/>
          </w:tcPr>
          <w:p>
            <w:pPr>
              <w:jc w:val="center"/>
              <w:rPr>
                <w:rFonts w:eastAsia="等线"/>
                <w:color w:val="auto"/>
                <w:szCs w:val="21"/>
                <w:highlight w:val="none"/>
              </w:rPr>
            </w:pPr>
            <w:r>
              <w:rPr>
                <w:rFonts w:eastAsia="等线"/>
                <w:color w:val="auto"/>
                <w:szCs w:val="21"/>
                <w:highlight w:val="none"/>
              </w:rPr>
              <w:t>7.16</w:t>
            </w:r>
          </w:p>
        </w:tc>
        <w:tc>
          <w:tcPr>
            <w:tcW w:w="307" w:type="pct"/>
            <w:vAlign w:val="center"/>
          </w:tcPr>
          <w:p>
            <w:pPr>
              <w:jc w:val="center"/>
              <w:rPr>
                <w:rFonts w:eastAsia="等线"/>
                <w:color w:val="auto"/>
                <w:szCs w:val="21"/>
                <w:highlight w:val="none"/>
              </w:rPr>
            </w:pPr>
            <w:r>
              <w:rPr>
                <w:rFonts w:eastAsia="等线"/>
                <w:color w:val="auto"/>
                <w:szCs w:val="21"/>
                <w:highlight w:val="none"/>
              </w:rPr>
              <w:t>8.21</w:t>
            </w:r>
          </w:p>
        </w:tc>
        <w:tc>
          <w:tcPr>
            <w:tcW w:w="245" w:type="pct"/>
            <w:vAlign w:val="center"/>
          </w:tcPr>
          <w:p>
            <w:pPr>
              <w:jc w:val="center"/>
              <w:rPr>
                <w:rFonts w:eastAsia="等线"/>
                <w:color w:val="auto"/>
                <w:szCs w:val="21"/>
                <w:highlight w:val="none"/>
              </w:rPr>
            </w:pPr>
            <w:r>
              <w:rPr>
                <w:rFonts w:eastAsia="等线"/>
                <w:color w:val="auto"/>
                <w:szCs w:val="21"/>
                <w:highlight w:val="none"/>
              </w:rPr>
              <w:t>7.91</w:t>
            </w:r>
          </w:p>
        </w:tc>
        <w:tc>
          <w:tcPr>
            <w:tcW w:w="278" w:type="pct"/>
            <w:vAlign w:val="center"/>
          </w:tcPr>
          <w:p>
            <w:pPr>
              <w:jc w:val="center"/>
              <w:rPr>
                <w:rFonts w:eastAsia="等线"/>
                <w:color w:val="auto"/>
                <w:szCs w:val="21"/>
                <w:highlight w:val="none"/>
              </w:rPr>
            </w:pPr>
            <w:r>
              <w:rPr>
                <w:rFonts w:eastAsia="等线"/>
                <w:color w:val="auto"/>
                <w:szCs w:val="21"/>
                <w:highlight w:val="none"/>
              </w:rPr>
              <w:t>9.31</w:t>
            </w:r>
          </w:p>
        </w:tc>
        <w:tc>
          <w:tcPr>
            <w:tcW w:w="278" w:type="pct"/>
            <w:vAlign w:val="center"/>
          </w:tcPr>
          <w:p>
            <w:pPr>
              <w:jc w:val="center"/>
              <w:rPr>
                <w:rFonts w:eastAsia="等线"/>
                <w:color w:val="auto"/>
                <w:szCs w:val="21"/>
                <w:highlight w:val="none"/>
              </w:rPr>
            </w:pPr>
            <w:r>
              <w:rPr>
                <w:rFonts w:eastAsia="等线"/>
                <w:color w:val="auto"/>
                <w:szCs w:val="21"/>
                <w:highlight w:val="none"/>
              </w:rPr>
              <w:t>4.41</w:t>
            </w:r>
          </w:p>
        </w:tc>
        <w:tc>
          <w:tcPr>
            <w:tcW w:w="245" w:type="pct"/>
            <w:vAlign w:val="center"/>
          </w:tcPr>
          <w:p>
            <w:pPr>
              <w:jc w:val="center"/>
              <w:rPr>
                <w:rFonts w:eastAsia="等线"/>
                <w:color w:val="auto"/>
                <w:szCs w:val="21"/>
                <w:highlight w:val="none"/>
              </w:rPr>
            </w:pPr>
            <w:r>
              <w:rPr>
                <w:rFonts w:eastAsia="等线"/>
                <w:color w:val="auto"/>
                <w:szCs w:val="21"/>
                <w:highlight w:val="none"/>
              </w:rPr>
              <w:t>4.56</w:t>
            </w:r>
          </w:p>
        </w:tc>
        <w:tc>
          <w:tcPr>
            <w:tcW w:w="245" w:type="pct"/>
            <w:vAlign w:val="center"/>
          </w:tcPr>
          <w:p>
            <w:pPr>
              <w:jc w:val="center"/>
              <w:rPr>
                <w:rFonts w:eastAsia="等线"/>
                <w:color w:val="auto"/>
                <w:szCs w:val="21"/>
                <w:highlight w:val="none"/>
              </w:rPr>
            </w:pPr>
            <w:r>
              <w:rPr>
                <w:rFonts w:eastAsia="等线"/>
                <w:color w:val="auto"/>
                <w:szCs w:val="21"/>
                <w:highlight w:val="none"/>
              </w:rPr>
              <w:t>3.27</w:t>
            </w:r>
          </w:p>
        </w:tc>
        <w:tc>
          <w:tcPr>
            <w:tcW w:w="245" w:type="pct"/>
            <w:vAlign w:val="center"/>
          </w:tcPr>
          <w:p>
            <w:pPr>
              <w:jc w:val="center"/>
              <w:rPr>
                <w:rFonts w:eastAsia="等线"/>
                <w:color w:val="auto"/>
                <w:szCs w:val="21"/>
                <w:highlight w:val="none"/>
              </w:rPr>
            </w:pPr>
            <w:r>
              <w:rPr>
                <w:rFonts w:eastAsia="等线"/>
                <w:color w:val="auto"/>
                <w:szCs w:val="21"/>
                <w:highlight w:val="none"/>
              </w:rPr>
              <w:t>3.43</w:t>
            </w:r>
          </w:p>
        </w:tc>
        <w:tc>
          <w:tcPr>
            <w:tcW w:w="307" w:type="pct"/>
            <w:vAlign w:val="center"/>
          </w:tcPr>
          <w:p>
            <w:pPr>
              <w:jc w:val="center"/>
              <w:rPr>
                <w:rFonts w:eastAsia="等线"/>
                <w:color w:val="auto"/>
                <w:szCs w:val="21"/>
                <w:highlight w:val="none"/>
              </w:rPr>
            </w:pPr>
            <w:r>
              <w:rPr>
                <w:rFonts w:eastAsia="等线"/>
                <w:color w:val="auto"/>
                <w:szCs w:val="21"/>
                <w:highlight w:val="none"/>
              </w:rPr>
              <w:t>2.64</w:t>
            </w:r>
          </w:p>
        </w:tc>
        <w:tc>
          <w:tcPr>
            <w:tcW w:w="245" w:type="pct"/>
            <w:vAlign w:val="center"/>
          </w:tcPr>
          <w:p>
            <w:pPr>
              <w:jc w:val="center"/>
              <w:rPr>
                <w:rFonts w:eastAsia="等线"/>
                <w:color w:val="auto"/>
                <w:szCs w:val="21"/>
                <w:highlight w:val="none"/>
              </w:rPr>
            </w:pPr>
            <w:r>
              <w:rPr>
                <w:rFonts w:eastAsia="等线"/>
                <w:color w:val="auto"/>
                <w:szCs w:val="21"/>
                <w:highlight w:val="none"/>
              </w:rPr>
              <w:t>4.06</w:t>
            </w:r>
          </w:p>
        </w:tc>
        <w:tc>
          <w:tcPr>
            <w:tcW w:w="301" w:type="pct"/>
            <w:vAlign w:val="center"/>
          </w:tcPr>
          <w:p>
            <w:pPr>
              <w:jc w:val="center"/>
              <w:rPr>
                <w:rFonts w:eastAsia="等线"/>
                <w:color w:val="auto"/>
                <w:szCs w:val="21"/>
                <w:highlight w:val="none"/>
              </w:rPr>
            </w:pPr>
            <w:r>
              <w:rPr>
                <w:rFonts w:eastAsia="等线"/>
                <w:color w:val="auto"/>
                <w:szCs w:val="21"/>
                <w:highlight w:val="none"/>
              </w:rPr>
              <w:t>5.16</w:t>
            </w:r>
          </w:p>
        </w:tc>
        <w:tc>
          <w:tcPr>
            <w:tcW w:w="245" w:type="pct"/>
            <w:vAlign w:val="center"/>
          </w:tcPr>
          <w:p>
            <w:pPr>
              <w:jc w:val="center"/>
              <w:rPr>
                <w:rFonts w:eastAsia="等线"/>
                <w:color w:val="auto"/>
                <w:szCs w:val="21"/>
                <w:highlight w:val="none"/>
              </w:rPr>
            </w:pPr>
            <w:r>
              <w:rPr>
                <w:rFonts w:eastAsia="等线"/>
                <w:color w:val="auto"/>
                <w:szCs w:val="21"/>
                <w:highlight w:val="none"/>
              </w:rPr>
              <w:t>4.41</w:t>
            </w:r>
          </w:p>
        </w:tc>
        <w:tc>
          <w:tcPr>
            <w:tcW w:w="321" w:type="pct"/>
            <w:vAlign w:val="center"/>
          </w:tcPr>
          <w:p>
            <w:pPr>
              <w:jc w:val="center"/>
              <w:rPr>
                <w:rFonts w:eastAsia="等线"/>
                <w:color w:val="auto"/>
                <w:szCs w:val="21"/>
                <w:highlight w:val="none"/>
              </w:rPr>
            </w:pPr>
            <w:r>
              <w:rPr>
                <w:rFonts w:eastAsia="等线"/>
                <w:color w:val="auto"/>
                <w:szCs w:val="21"/>
                <w:highlight w:val="none"/>
              </w:rPr>
              <w:t>4.12</w:t>
            </w:r>
          </w:p>
        </w:tc>
        <w:tc>
          <w:tcPr>
            <w:tcW w:w="245" w:type="pct"/>
            <w:vAlign w:val="center"/>
          </w:tcPr>
          <w:p>
            <w:pPr>
              <w:jc w:val="center"/>
              <w:rPr>
                <w:rFonts w:eastAsia="等线"/>
                <w:color w:val="auto"/>
                <w:szCs w:val="21"/>
                <w:highlight w:val="none"/>
              </w:rPr>
            </w:pPr>
            <w:r>
              <w:rPr>
                <w:rFonts w:eastAsia="等线"/>
                <w:color w:val="auto"/>
                <w:szCs w:val="21"/>
                <w:highlight w:val="none"/>
              </w:rPr>
              <w:t>9.01</w:t>
            </w:r>
          </w:p>
        </w:tc>
        <w:tc>
          <w:tcPr>
            <w:tcW w:w="308" w:type="pct"/>
            <w:vAlign w:val="center"/>
          </w:tcPr>
          <w:p>
            <w:pPr>
              <w:jc w:val="center"/>
              <w:rPr>
                <w:rFonts w:eastAsia="等线"/>
                <w:color w:val="auto"/>
                <w:szCs w:val="21"/>
                <w:highlight w:val="none"/>
              </w:rPr>
            </w:pPr>
            <w:r>
              <w:rPr>
                <w:rFonts w:eastAsia="等线"/>
                <w:color w:val="auto"/>
                <w:szCs w:val="21"/>
                <w:highlight w:val="none"/>
              </w:rPr>
              <w:t>4.81</w:t>
            </w:r>
          </w:p>
        </w:tc>
        <w:tc>
          <w:tcPr>
            <w:tcW w:w="304" w:type="pct"/>
            <w:vAlign w:val="center"/>
          </w:tcPr>
          <w:p>
            <w:pPr>
              <w:jc w:val="center"/>
              <w:rPr>
                <w:rFonts w:eastAsia="等线"/>
                <w:color w:val="auto"/>
                <w:szCs w:val="21"/>
                <w:highlight w:val="none"/>
              </w:rPr>
            </w:pPr>
            <w:r>
              <w:rPr>
                <w:rFonts w:eastAsia="等线"/>
                <w:color w:val="auto"/>
                <w:szCs w:val="21"/>
                <w:highlight w:val="none"/>
              </w:rPr>
              <w:t>12.42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5" w:type="pct"/>
            <w:vAlign w:val="center"/>
          </w:tcPr>
          <w:p>
            <w:pPr>
              <w:jc w:val="center"/>
              <w:rPr>
                <w:rFonts w:eastAsia="等线"/>
                <w:color w:val="auto"/>
                <w:szCs w:val="21"/>
                <w:highlight w:val="none"/>
              </w:rPr>
            </w:pPr>
            <w:r>
              <w:rPr>
                <w:rFonts w:eastAsia="等线"/>
                <w:color w:val="auto"/>
                <w:szCs w:val="21"/>
                <w:highlight w:val="none"/>
              </w:rPr>
              <w:t>2月</w:t>
            </w:r>
          </w:p>
        </w:tc>
        <w:tc>
          <w:tcPr>
            <w:tcW w:w="307" w:type="pct"/>
            <w:vAlign w:val="center"/>
          </w:tcPr>
          <w:p>
            <w:pPr>
              <w:jc w:val="center"/>
              <w:rPr>
                <w:rFonts w:eastAsia="等线"/>
                <w:color w:val="auto"/>
                <w:szCs w:val="21"/>
                <w:highlight w:val="none"/>
              </w:rPr>
            </w:pPr>
            <w:r>
              <w:rPr>
                <w:rFonts w:eastAsia="等线"/>
                <w:color w:val="auto"/>
                <w:szCs w:val="21"/>
                <w:highlight w:val="none"/>
              </w:rPr>
              <w:t>4.15</w:t>
            </w:r>
          </w:p>
        </w:tc>
        <w:tc>
          <w:tcPr>
            <w:tcW w:w="307" w:type="pct"/>
            <w:vAlign w:val="center"/>
          </w:tcPr>
          <w:p>
            <w:pPr>
              <w:jc w:val="center"/>
              <w:rPr>
                <w:rFonts w:eastAsia="等线"/>
                <w:color w:val="auto"/>
                <w:szCs w:val="21"/>
                <w:highlight w:val="none"/>
              </w:rPr>
            </w:pPr>
            <w:r>
              <w:rPr>
                <w:rFonts w:eastAsia="等线"/>
                <w:color w:val="auto"/>
                <w:szCs w:val="21"/>
                <w:highlight w:val="none"/>
              </w:rPr>
              <w:t>6.75</w:t>
            </w:r>
          </w:p>
        </w:tc>
        <w:tc>
          <w:tcPr>
            <w:tcW w:w="307" w:type="pct"/>
            <w:vAlign w:val="center"/>
          </w:tcPr>
          <w:p>
            <w:pPr>
              <w:jc w:val="center"/>
              <w:rPr>
                <w:rFonts w:eastAsia="等线"/>
                <w:color w:val="auto"/>
                <w:szCs w:val="21"/>
                <w:highlight w:val="none"/>
              </w:rPr>
            </w:pPr>
            <w:r>
              <w:rPr>
                <w:rFonts w:eastAsia="等线"/>
                <w:color w:val="auto"/>
                <w:szCs w:val="21"/>
                <w:highlight w:val="none"/>
              </w:rPr>
              <w:t>8.1</w:t>
            </w:r>
          </w:p>
        </w:tc>
        <w:tc>
          <w:tcPr>
            <w:tcW w:w="245" w:type="pct"/>
            <w:vAlign w:val="center"/>
          </w:tcPr>
          <w:p>
            <w:pPr>
              <w:jc w:val="center"/>
              <w:rPr>
                <w:rFonts w:eastAsia="等线"/>
                <w:color w:val="auto"/>
                <w:szCs w:val="21"/>
                <w:highlight w:val="none"/>
              </w:rPr>
            </w:pPr>
            <w:r>
              <w:rPr>
                <w:rFonts w:eastAsia="等线"/>
                <w:color w:val="auto"/>
                <w:szCs w:val="21"/>
                <w:highlight w:val="none"/>
              </w:rPr>
              <w:t>9.8</w:t>
            </w:r>
          </w:p>
        </w:tc>
        <w:tc>
          <w:tcPr>
            <w:tcW w:w="278" w:type="pct"/>
            <w:vAlign w:val="center"/>
          </w:tcPr>
          <w:p>
            <w:pPr>
              <w:jc w:val="center"/>
              <w:rPr>
                <w:rFonts w:eastAsia="等线"/>
                <w:color w:val="auto"/>
                <w:szCs w:val="21"/>
                <w:highlight w:val="none"/>
              </w:rPr>
            </w:pPr>
            <w:r>
              <w:rPr>
                <w:rFonts w:eastAsia="等线"/>
                <w:color w:val="auto"/>
                <w:szCs w:val="21"/>
                <w:highlight w:val="none"/>
              </w:rPr>
              <w:t>12.2</w:t>
            </w:r>
          </w:p>
        </w:tc>
        <w:tc>
          <w:tcPr>
            <w:tcW w:w="278" w:type="pct"/>
            <w:vAlign w:val="center"/>
          </w:tcPr>
          <w:p>
            <w:pPr>
              <w:jc w:val="center"/>
              <w:rPr>
                <w:rFonts w:eastAsia="等线"/>
                <w:color w:val="auto"/>
                <w:szCs w:val="21"/>
                <w:highlight w:val="none"/>
              </w:rPr>
            </w:pPr>
            <w:r>
              <w:rPr>
                <w:rFonts w:eastAsia="等线"/>
                <w:color w:val="auto"/>
                <w:szCs w:val="21"/>
                <w:highlight w:val="none"/>
              </w:rPr>
              <w:t>6.4</w:t>
            </w:r>
          </w:p>
        </w:tc>
        <w:tc>
          <w:tcPr>
            <w:tcW w:w="245" w:type="pct"/>
            <w:vAlign w:val="center"/>
          </w:tcPr>
          <w:p>
            <w:pPr>
              <w:jc w:val="center"/>
              <w:rPr>
                <w:rFonts w:eastAsia="等线"/>
                <w:color w:val="auto"/>
                <w:szCs w:val="21"/>
                <w:highlight w:val="none"/>
              </w:rPr>
            </w:pPr>
            <w:r>
              <w:rPr>
                <w:rFonts w:eastAsia="等线"/>
                <w:color w:val="auto"/>
                <w:szCs w:val="21"/>
                <w:highlight w:val="none"/>
              </w:rPr>
              <w:t>5.12</w:t>
            </w:r>
          </w:p>
        </w:tc>
        <w:tc>
          <w:tcPr>
            <w:tcW w:w="245" w:type="pct"/>
            <w:vAlign w:val="center"/>
          </w:tcPr>
          <w:p>
            <w:pPr>
              <w:jc w:val="center"/>
              <w:rPr>
                <w:rFonts w:eastAsia="等线"/>
                <w:color w:val="auto"/>
                <w:szCs w:val="21"/>
                <w:highlight w:val="none"/>
              </w:rPr>
            </w:pPr>
            <w:r>
              <w:rPr>
                <w:rFonts w:eastAsia="等线"/>
                <w:color w:val="auto"/>
                <w:szCs w:val="21"/>
                <w:highlight w:val="none"/>
              </w:rPr>
              <w:t>4.17</w:t>
            </w:r>
          </w:p>
        </w:tc>
        <w:tc>
          <w:tcPr>
            <w:tcW w:w="245" w:type="pct"/>
            <w:vAlign w:val="center"/>
          </w:tcPr>
          <w:p>
            <w:pPr>
              <w:jc w:val="center"/>
              <w:rPr>
                <w:rFonts w:eastAsia="等线"/>
                <w:color w:val="auto"/>
                <w:szCs w:val="21"/>
                <w:highlight w:val="none"/>
              </w:rPr>
            </w:pPr>
            <w:r>
              <w:rPr>
                <w:rFonts w:eastAsia="等线"/>
                <w:color w:val="auto"/>
                <w:szCs w:val="21"/>
                <w:highlight w:val="none"/>
              </w:rPr>
              <w:t>3.75</w:t>
            </w:r>
          </w:p>
        </w:tc>
        <w:tc>
          <w:tcPr>
            <w:tcW w:w="307" w:type="pct"/>
            <w:vAlign w:val="center"/>
          </w:tcPr>
          <w:p>
            <w:pPr>
              <w:jc w:val="center"/>
              <w:rPr>
                <w:rFonts w:eastAsia="等线"/>
                <w:color w:val="auto"/>
                <w:szCs w:val="21"/>
                <w:highlight w:val="none"/>
              </w:rPr>
            </w:pPr>
            <w:r>
              <w:rPr>
                <w:rFonts w:eastAsia="等线"/>
                <w:color w:val="auto"/>
                <w:szCs w:val="21"/>
                <w:highlight w:val="none"/>
              </w:rPr>
              <w:t>3.22</w:t>
            </w:r>
          </w:p>
        </w:tc>
        <w:tc>
          <w:tcPr>
            <w:tcW w:w="245" w:type="pct"/>
            <w:vAlign w:val="center"/>
          </w:tcPr>
          <w:p>
            <w:pPr>
              <w:jc w:val="center"/>
              <w:rPr>
                <w:rFonts w:eastAsia="等线"/>
                <w:color w:val="auto"/>
                <w:szCs w:val="21"/>
                <w:highlight w:val="none"/>
              </w:rPr>
            </w:pPr>
            <w:r>
              <w:rPr>
                <w:rFonts w:eastAsia="等线"/>
                <w:color w:val="auto"/>
                <w:szCs w:val="21"/>
                <w:highlight w:val="none"/>
              </w:rPr>
              <w:t>3.54</w:t>
            </w:r>
          </w:p>
        </w:tc>
        <w:tc>
          <w:tcPr>
            <w:tcW w:w="301" w:type="pct"/>
            <w:vAlign w:val="center"/>
          </w:tcPr>
          <w:p>
            <w:pPr>
              <w:jc w:val="center"/>
              <w:rPr>
                <w:rFonts w:eastAsia="等线"/>
                <w:color w:val="auto"/>
                <w:szCs w:val="21"/>
                <w:highlight w:val="none"/>
              </w:rPr>
            </w:pPr>
            <w:r>
              <w:rPr>
                <w:rFonts w:eastAsia="等线"/>
                <w:color w:val="auto"/>
                <w:szCs w:val="21"/>
                <w:highlight w:val="none"/>
              </w:rPr>
              <w:t>4.6</w:t>
            </w:r>
          </w:p>
        </w:tc>
        <w:tc>
          <w:tcPr>
            <w:tcW w:w="245" w:type="pct"/>
            <w:vAlign w:val="center"/>
          </w:tcPr>
          <w:p>
            <w:pPr>
              <w:jc w:val="center"/>
              <w:rPr>
                <w:rFonts w:eastAsia="等线"/>
                <w:color w:val="auto"/>
                <w:szCs w:val="21"/>
                <w:highlight w:val="none"/>
              </w:rPr>
            </w:pPr>
            <w:r>
              <w:rPr>
                <w:rFonts w:eastAsia="等线"/>
                <w:color w:val="auto"/>
                <w:szCs w:val="21"/>
                <w:highlight w:val="none"/>
              </w:rPr>
              <w:t>4.49</w:t>
            </w:r>
          </w:p>
        </w:tc>
        <w:tc>
          <w:tcPr>
            <w:tcW w:w="321" w:type="pct"/>
            <w:vAlign w:val="center"/>
          </w:tcPr>
          <w:p>
            <w:pPr>
              <w:jc w:val="center"/>
              <w:rPr>
                <w:rFonts w:eastAsia="等线"/>
                <w:color w:val="auto"/>
                <w:szCs w:val="21"/>
                <w:highlight w:val="none"/>
              </w:rPr>
            </w:pPr>
            <w:r>
              <w:rPr>
                <w:rFonts w:eastAsia="等线"/>
                <w:color w:val="auto"/>
                <w:szCs w:val="21"/>
                <w:highlight w:val="none"/>
              </w:rPr>
              <w:t>2.96</w:t>
            </w:r>
          </w:p>
        </w:tc>
        <w:tc>
          <w:tcPr>
            <w:tcW w:w="245" w:type="pct"/>
            <w:vAlign w:val="center"/>
          </w:tcPr>
          <w:p>
            <w:pPr>
              <w:jc w:val="center"/>
              <w:rPr>
                <w:rFonts w:eastAsia="等线"/>
                <w:color w:val="auto"/>
                <w:szCs w:val="21"/>
                <w:highlight w:val="none"/>
              </w:rPr>
            </w:pPr>
            <w:r>
              <w:rPr>
                <w:rFonts w:eastAsia="等线"/>
                <w:color w:val="auto"/>
                <w:szCs w:val="21"/>
                <w:highlight w:val="none"/>
              </w:rPr>
              <w:t>5.7</w:t>
            </w:r>
          </w:p>
        </w:tc>
        <w:tc>
          <w:tcPr>
            <w:tcW w:w="308" w:type="pct"/>
            <w:vAlign w:val="center"/>
          </w:tcPr>
          <w:p>
            <w:pPr>
              <w:jc w:val="center"/>
              <w:rPr>
                <w:rFonts w:eastAsia="等线"/>
                <w:color w:val="auto"/>
                <w:szCs w:val="21"/>
                <w:highlight w:val="none"/>
              </w:rPr>
            </w:pPr>
            <w:r>
              <w:rPr>
                <w:rFonts w:eastAsia="等线"/>
                <w:color w:val="auto"/>
                <w:szCs w:val="21"/>
                <w:highlight w:val="none"/>
              </w:rPr>
              <w:t>3.65</w:t>
            </w:r>
          </w:p>
        </w:tc>
        <w:tc>
          <w:tcPr>
            <w:tcW w:w="304" w:type="pct"/>
            <w:vAlign w:val="center"/>
          </w:tcPr>
          <w:p>
            <w:pPr>
              <w:jc w:val="center"/>
              <w:rPr>
                <w:rFonts w:eastAsia="等线"/>
                <w:color w:val="auto"/>
                <w:szCs w:val="21"/>
                <w:highlight w:val="none"/>
              </w:rPr>
            </w:pPr>
            <w:r>
              <w:rPr>
                <w:rFonts w:eastAsia="等线"/>
                <w:color w:val="auto"/>
                <w:szCs w:val="21"/>
                <w:highlight w:val="none"/>
              </w:rPr>
              <w:t>11.39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5" w:type="pct"/>
            <w:vAlign w:val="center"/>
          </w:tcPr>
          <w:p>
            <w:pPr>
              <w:jc w:val="center"/>
              <w:rPr>
                <w:rFonts w:eastAsia="等线"/>
                <w:color w:val="auto"/>
                <w:szCs w:val="21"/>
                <w:highlight w:val="none"/>
              </w:rPr>
            </w:pPr>
            <w:r>
              <w:rPr>
                <w:rFonts w:eastAsia="等线"/>
                <w:color w:val="auto"/>
                <w:szCs w:val="21"/>
                <w:highlight w:val="none"/>
              </w:rPr>
              <w:t>3月</w:t>
            </w:r>
          </w:p>
        </w:tc>
        <w:tc>
          <w:tcPr>
            <w:tcW w:w="307" w:type="pct"/>
            <w:vAlign w:val="center"/>
          </w:tcPr>
          <w:p>
            <w:pPr>
              <w:jc w:val="center"/>
              <w:rPr>
                <w:rFonts w:eastAsia="等线"/>
                <w:color w:val="auto"/>
                <w:szCs w:val="21"/>
                <w:highlight w:val="none"/>
              </w:rPr>
            </w:pPr>
            <w:r>
              <w:rPr>
                <w:rFonts w:eastAsia="等线"/>
                <w:color w:val="auto"/>
                <w:szCs w:val="21"/>
                <w:highlight w:val="none"/>
              </w:rPr>
              <w:t>3.43</w:t>
            </w:r>
          </w:p>
        </w:tc>
        <w:tc>
          <w:tcPr>
            <w:tcW w:w="307" w:type="pct"/>
            <w:vAlign w:val="center"/>
          </w:tcPr>
          <w:p>
            <w:pPr>
              <w:jc w:val="center"/>
              <w:rPr>
                <w:rFonts w:eastAsia="等线"/>
                <w:color w:val="auto"/>
                <w:szCs w:val="21"/>
                <w:highlight w:val="none"/>
              </w:rPr>
            </w:pPr>
            <w:r>
              <w:rPr>
                <w:rFonts w:eastAsia="等线"/>
                <w:color w:val="auto"/>
                <w:szCs w:val="21"/>
                <w:highlight w:val="none"/>
              </w:rPr>
              <w:t>4.68</w:t>
            </w:r>
          </w:p>
        </w:tc>
        <w:tc>
          <w:tcPr>
            <w:tcW w:w="307" w:type="pct"/>
            <w:vAlign w:val="center"/>
          </w:tcPr>
          <w:p>
            <w:pPr>
              <w:jc w:val="center"/>
              <w:rPr>
                <w:rFonts w:eastAsia="等线"/>
                <w:color w:val="auto"/>
                <w:szCs w:val="21"/>
                <w:highlight w:val="none"/>
              </w:rPr>
            </w:pPr>
            <w:r>
              <w:rPr>
                <w:rFonts w:eastAsia="等线"/>
                <w:color w:val="auto"/>
                <w:szCs w:val="21"/>
                <w:highlight w:val="none"/>
              </w:rPr>
              <w:t>6.83</w:t>
            </w:r>
          </w:p>
        </w:tc>
        <w:tc>
          <w:tcPr>
            <w:tcW w:w="245" w:type="pct"/>
            <w:vAlign w:val="center"/>
          </w:tcPr>
          <w:p>
            <w:pPr>
              <w:jc w:val="center"/>
              <w:rPr>
                <w:rFonts w:eastAsia="等线"/>
                <w:color w:val="auto"/>
                <w:szCs w:val="21"/>
                <w:highlight w:val="none"/>
              </w:rPr>
            </w:pPr>
            <w:r>
              <w:rPr>
                <w:rFonts w:eastAsia="等线"/>
                <w:color w:val="auto"/>
                <w:szCs w:val="21"/>
                <w:highlight w:val="none"/>
              </w:rPr>
              <w:t>7.63</w:t>
            </w:r>
          </w:p>
        </w:tc>
        <w:tc>
          <w:tcPr>
            <w:tcW w:w="278" w:type="pct"/>
            <w:vAlign w:val="center"/>
          </w:tcPr>
          <w:p>
            <w:pPr>
              <w:jc w:val="center"/>
              <w:rPr>
                <w:rFonts w:eastAsia="等线"/>
                <w:color w:val="auto"/>
                <w:szCs w:val="21"/>
                <w:highlight w:val="none"/>
              </w:rPr>
            </w:pPr>
            <w:r>
              <w:rPr>
                <w:rFonts w:eastAsia="等线"/>
                <w:color w:val="auto"/>
                <w:szCs w:val="21"/>
                <w:highlight w:val="none"/>
              </w:rPr>
              <w:t>13.03</w:t>
            </w:r>
          </w:p>
        </w:tc>
        <w:tc>
          <w:tcPr>
            <w:tcW w:w="278" w:type="pct"/>
            <w:vAlign w:val="center"/>
          </w:tcPr>
          <w:p>
            <w:pPr>
              <w:jc w:val="center"/>
              <w:rPr>
                <w:rFonts w:eastAsia="等线"/>
                <w:color w:val="auto"/>
                <w:szCs w:val="21"/>
                <w:highlight w:val="none"/>
              </w:rPr>
            </w:pPr>
            <w:r>
              <w:rPr>
                <w:rFonts w:eastAsia="等线"/>
                <w:color w:val="auto"/>
                <w:szCs w:val="21"/>
                <w:highlight w:val="none"/>
              </w:rPr>
              <w:t>7.98</w:t>
            </w:r>
          </w:p>
        </w:tc>
        <w:tc>
          <w:tcPr>
            <w:tcW w:w="245" w:type="pct"/>
            <w:vAlign w:val="center"/>
          </w:tcPr>
          <w:p>
            <w:pPr>
              <w:jc w:val="center"/>
              <w:rPr>
                <w:rFonts w:eastAsia="等线"/>
                <w:color w:val="auto"/>
                <w:szCs w:val="21"/>
                <w:highlight w:val="none"/>
              </w:rPr>
            </w:pPr>
            <w:r>
              <w:rPr>
                <w:rFonts w:eastAsia="等线"/>
                <w:color w:val="auto"/>
                <w:szCs w:val="21"/>
                <w:highlight w:val="none"/>
              </w:rPr>
              <w:t>6.38</w:t>
            </w:r>
          </w:p>
        </w:tc>
        <w:tc>
          <w:tcPr>
            <w:tcW w:w="245" w:type="pct"/>
            <w:vAlign w:val="center"/>
          </w:tcPr>
          <w:p>
            <w:pPr>
              <w:jc w:val="center"/>
              <w:rPr>
                <w:rFonts w:eastAsia="等线"/>
                <w:color w:val="auto"/>
                <w:szCs w:val="21"/>
                <w:highlight w:val="none"/>
              </w:rPr>
            </w:pPr>
            <w:r>
              <w:rPr>
                <w:rFonts w:eastAsia="等线"/>
                <w:color w:val="auto"/>
                <w:szCs w:val="21"/>
                <w:highlight w:val="none"/>
              </w:rPr>
              <w:t>4.43</w:t>
            </w:r>
          </w:p>
        </w:tc>
        <w:tc>
          <w:tcPr>
            <w:tcW w:w="245" w:type="pct"/>
            <w:vAlign w:val="center"/>
          </w:tcPr>
          <w:p>
            <w:pPr>
              <w:jc w:val="center"/>
              <w:rPr>
                <w:rFonts w:eastAsia="等线"/>
                <w:color w:val="auto"/>
                <w:szCs w:val="21"/>
                <w:highlight w:val="none"/>
              </w:rPr>
            </w:pPr>
            <w:r>
              <w:rPr>
                <w:rFonts w:eastAsia="等线"/>
                <w:color w:val="auto"/>
                <w:szCs w:val="21"/>
                <w:highlight w:val="none"/>
              </w:rPr>
              <w:t>5.23</w:t>
            </w:r>
          </w:p>
        </w:tc>
        <w:tc>
          <w:tcPr>
            <w:tcW w:w="307" w:type="pct"/>
            <w:vAlign w:val="center"/>
          </w:tcPr>
          <w:p>
            <w:pPr>
              <w:jc w:val="center"/>
              <w:rPr>
                <w:rFonts w:eastAsia="等线"/>
                <w:color w:val="auto"/>
                <w:szCs w:val="21"/>
                <w:highlight w:val="none"/>
              </w:rPr>
            </w:pPr>
            <w:r>
              <w:rPr>
                <w:rFonts w:eastAsia="等线"/>
                <w:color w:val="auto"/>
                <w:szCs w:val="21"/>
                <w:highlight w:val="none"/>
              </w:rPr>
              <w:t>3.03</w:t>
            </w:r>
          </w:p>
        </w:tc>
        <w:tc>
          <w:tcPr>
            <w:tcW w:w="245" w:type="pct"/>
            <w:vAlign w:val="center"/>
          </w:tcPr>
          <w:p>
            <w:pPr>
              <w:jc w:val="center"/>
              <w:rPr>
                <w:rFonts w:eastAsia="等线"/>
                <w:color w:val="auto"/>
                <w:szCs w:val="21"/>
                <w:highlight w:val="none"/>
              </w:rPr>
            </w:pPr>
            <w:r>
              <w:rPr>
                <w:rFonts w:eastAsia="等线"/>
                <w:color w:val="auto"/>
                <w:szCs w:val="21"/>
                <w:highlight w:val="none"/>
              </w:rPr>
              <w:t>4.78</w:t>
            </w:r>
          </w:p>
        </w:tc>
        <w:tc>
          <w:tcPr>
            <w:tcW w:w="301" w:type="pct"/>
            <w:vAlign w:val="center"/>
          </w:tcPr>
          <w:p>
            <w:pPr>
              <w:jc w:val="center"/>
              <w:rPr>
                <w:rFonts w:eastAsia="等线"/>
                <w:color w:val="auto"/>
                <w:szCs w:val="21"/>
                <w:highlight w:val="none"/>
              </w:rPr>
            </w:pPr>
            <w:r>
              <w:rPr>
                <w:rFonts w:eastAsia="等线"/>
                <w:color w:val="auto"/>
                <w:szCs w:val="21"/>
                <w:highlight w:val="none"/>
              </w:rPr>
              <w:t>6.48</w:t>
            </w:r>
          </w:p>
        </w:tc>
        <w:tc>
          <w:tcPr>
            <w:tcW w:w="245" w:type="pct"/>
            <w:vAlign w:val="center"/>
          </w:tcPr>
          <w:p>
            <w:pPr>
              <w:jc w:val="center"/>
              <w:rPr>
                <w:rFonts w:eastAsia="等线"/>
                <w:color w:val="auto"/>
                <w:szCs w:val="21"/>
                <w:highlight w:val="none"/>
              </w:rPr>
            </w:pPr>
            <w:r>
              <w:rPr>
                <w:rFonts w:eastAsia="等线"/>
                <w:color w:val="auto"/>
                <w:szCs w:val="21"/>
                <w:highlight w:val="none"/>
              </w:rPr>
              <w:t>4.56</w:t>
            </w:r>
          </w:p>
        </w:tc>
        <w:tc>
          <w:tcPr>
            <w:tcW w:w="321" w:type="pct"/>
            <w:vAlign w:val="center"/>
          </w:tcPr>
          <w:p>
            <w:pPr>
              <w:jc w:val="center"/>
              <w:rPr>
                <w:rFonts w:eastAsia="等线"/>
                <w:color w:val="auto"/>
                <w:szCs w:val="21"/>
                <w:highlight w:val="none"/>
              </w:rPr>
            </w:pPr>
            <w:r>
              <w:rPr>
                <w:rFonts w:eastAsia="等线"/>
                <w:color w:val="auto"/>
                <w:szCs w:val="21"/>
                <w:highlight w:val="none"/>
              </w:rPr>
              <w:t>4.09</w:t>
            </w:r>
          </w:p>
        </w:tc>
        <w:tc>
          <w:tcPr>
            <w:tcW w:w="245" w:type="pct"/>
            <w:vAlign w:val="center"/>
          </w:tcPr>
          <w:p>
            <w:pPr>
              <w:jc w:val="center"/>
              <w:rPr>
                <w:rFonts w:eastAsia="等线"/>
                <w:color w:val="auto"/>
                <w:szCs w:val="21"/>
                <w:highlight w:val="none"/>
              </w:rPr>
            </w:pPr>
            <w:r>
              <w:rPr>
                <w:rFonts w:eastAsia="等线"/>
                <w:color w:val="auto"/>
                <w:szCs w:val="21"/>
                <w:highlight w:val="none"/>
              </w:rPr>
              <w:t>5.33</w:t>
            </w:r>
          </w:p>
        </w:tc>
        <w:tc>
          <w:tcPr>
            <w:tcW w:w="308" w:type="pct"/>
            <w:vAlign w:val="center"/>
          </w:tcPr>
          <w:p>
            <w:pPr>
              <w:jc w:val="center"/>
              <w:rPr>
                <w:rFonts w:eastAsia="等线"/>
                <w:color w:val="auto"/>
                <w:szCs w:val="21"/>
                <w:highlight w:val="none"/>
              </w:rPr>
            </w:pPr>
            <w:r>
              <w:rPr>
                <w:rFonts w:eastAsia="等线"/>
                <w:color w:val="auto"/>
                <w:szCs w:val="21"/>
                <w:highlight w:val="none"/>
              </w:rPr>
              <w:t>3.82</w:t>
            </w:r>
          </w:p>
        </w:tc>
        <w:tc>
          <w:tcPr>
            <w:tcW w:w="304" w:type="pct"/>
            <w:vAlign w:val="center"/>
          </w:tcPr>
          <w:p>
            <w:pPr>
              <w:jc w:val="center"/>
              <w:rPr>
                <w:rFonts w:eastAsia="等线"/>
                <w:color w:val="auto"/>
                <w:szCs w:val="21"/>
                <w:highlight w:val="none"/>
              </w:rPr>
            </w:pPr>
            <w:r>
              <w:rPr>
                <w:rFonts w:eastAsia="等线"/>
                <w:color w:val="auto"/>
                <w:szCs w:val="21"/>
                <w:highlight w:val="none"/>
              </w:rPr>
              <w:t>8.29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5" w:type="pct"/>
            <w:vAlign w:val="center"/>
          </w:tcPr>
          <w:p>
            <w:pPr>
              <w:jc w:val="center"/>
              <w:rPr>
                <w:rFonts w:eastAsia="等线"/>
                <w:color w:val="auto"/>
                <w:szCs w:val="21"/>
                <w:highlight w:val="none"/>
              </w:rPr>
            </w:pPr>
            <w:r>
              <w:rPr>
                <w:rFonts w:eastAsia="等线"/>
                <w:color w:val="auto"/>
                <w:szCs w:val="21"/>
                <w:highlight w:val="none"/>
              </w:rPr>
              <w:t>4月</w:t>
            </w:r>
          </w:p>
        </w:tc>
        <w:tc>
          <w:tcPr>
            <w:tcW w:w="307" w:type="pct"/>
            <w:vAlign w:val="center"/>
          </w:tcPr>
          <w:p>
            <w:pPr>
              <w:jc w:val="center"/>
              <w:rPr>
                <w:rFonts w:eastAsia="等线"/>
                <w:color w:val="auto"/>
                <w:szCs w:val="21"/>
                <w:highlight w:val="none"/>
              </w:rPr>
            </w:pPr>
            <w:r>
              <w:rPr>
                <w:rFonts w:eastAsia="等线"/>
                <w:color w:val="auto"/>
                <w:szCs w:val="21"/>
                <w:highlight w:val="none"/>
              </w:rPr>
              <w:t>2.58</w:t>
            </w:r>
          </w:p>
        </w:tc>
        <w:tc>
          <w:tcPr>
            <w:tcW w:w="307" w:type="pct"/>
            <w:vAlign w:val="center"/>
          </w:tcPr>
          <w:p>
            <w:pPr>
              <w:jc w:val="center"/>
              <w:rPr>
                <w:rFonts w:eastAsia="等线"/>
                <w:color w:val="auto"/>
                <w:szCs w:val="21"/>
                <w:highlight w:val="none"/>
              </w:rPr>
            </w:pPr>
            <w:r>
              <w:rPr>
                <w:rFonts w:eastAsia="等线"/>
                <w:color w:val="auto"/>
                <w:szCs w:val="21"/>
                <w:highlight w:val="none"/>
              </w:rPr>
              <w:t>4.2</w:t>
            </w:r>
          </w:p>
        </w:tc>
        <w:tc>
          <w:tcPr>
            <w:tcW w:w="307" w:type="pct"/>
            <w:vAlign w:val="center"/>
          </w:tcPr>
          <w:p>
            <w:pPr>
              <w:jc w:val="center"/>
              <w:rPr>
                <w:rFonts w:eastAsia="等线"/>
                <w:color w:val="auto"/>
                <w:szCs w:val="21"/>
                <w:highlight w:val="none"/>
              </w:rPr>
            </w:pPr>
            <w:r>
              <w:rPr>
                <w:rFonts w:eastAsia="等线"/>
                <w:color w:val="auto"/>
                <w:szCs w:val="21"/>
                <w:highlight w:val="none"/>
              </w:rPr>
              <w:t>6.32</w:t>
            </w:r>
          </w:p>
        </w:tc>
        <w:tc>
          <w:tcPr>
            <w:tcW w:w="245" w:type="pct"/>
            <w:vAlign w:val="center"/>
          </w:tcPr>
          <w:p>
            <w:pPr>
              <w:jc w:val="center"/>
              <w:rPr>
                <w:rFonts w:eastAsia="等线"/>
                <w:color w:val="auto"/>
                <w:szCs w:val="21"/>
                <w:highlight w:val="none"/>
              </w:rPr>
            </w:pPr>
            <w:r>
              <w:rPr>
                <w:rFonts w:eastAsia="等线"/>
                <w:color w:val="auto"/>
                <w:szCs w:val="21"/>
                <w:highlight w:val="none"/>
              </w:rPr>
              <w:t>6.9</w:t>
            </w:r>
          </w:p>
        </w:tc>
        <w:tc>
          <w:tcPr>
            <w:tcW w:w="278" w:type="pct"/>
            <w:vAlign w:val="center"/>
          </w:tcPr>
          <w:p>
            <w:pPr>
              <w:jc w:val="center"/>
              <w:rPr>
                <w:rFonts w:eastAsia="等线"/>
                <w:color w:val="auto"/>
                <w:szCs w:val="21"/>
                <w:highlight w:val="none"/>
              </w:rPr>
            </w:pPr>
            <w:r>
              <w:rPr>
                <w:rFonts w:eastAsia="等线"/>
                <w:color w:val="auto"/>
                <w:szCs w:val="21"/>
                <w:highlight w:val="none"/>
              </w:rPr>
              <w:t>10.45</w:t>
            </w:r>
          </w:p>
        </w:tc>
        <w:tc>
          <w:tcPr>
            <w:tcW w:w="278" w:type="pct"/>
            <w:vAlign w:val="center"/>
          </w:tcPr>
          <w:p>
            <w:pPr>
              <w:jc w:val="center"/>
              <w:rPr>
                <w:rFonts w:eastAsia="等线"/>
                <w:color w:val="auto"/>
                <w:szCs w:val="21"/>
                <w:highlight w:val="none"/>
              </w:rPr>
            </w:pPr>
            <w:r>
              <w:rPr>
                <w:rFonts w:eastAsia="等线"/>
                <w:color w:val="auto"/>
                <w:szCs w:val="21"/>
                <w:highlight w:val="none"/>
              </w:rPr>
              <w:t>8.75</w:t>
            </w:r>
          </w:p>
        </w:tc>
        <w:tc>
          <w:tcPr>
            <w:tcW w:w="245" w:type="pct"/>
            <w:vAlign w:val="center"/>
          </w:tcPr>
          <w:p>
            <w:pPr>
              <w:jc w:val="center"/>
              <w:rPr>
                <w:rFonts w:eastAsia="等线"/>
                <w:color w:val="auto"/>
                <w:szCs w:val="21"/>
                <w:highlight w:val="none"/>
              </w:rPr>
            </w:pPr>
            <w:r>
              <w:rPr>
                <w:rFonts w:eastAsia="等线"/>
                <w:color w:val="auto"/>
                <w:szCs w:val="21"/>
                <w:highlight w:val="none"/>
              </w:rPr>
              <w:t>7</w:t>
            </w:r>
          </w:p>
        </w:tc>
        <w:tc>
          <w:tcPr>
            <w:tcW w:w="245" w:type="pct"/>
            <w:vAlign w:val="center"/>
          </w:tcPr>
          <w:p>
            <w:pPr>
              <w:jc w:val="center"/>
              <w:rPr>
                <w:rFonts w:eastAsia="等线"/>
                <w:color w:val="auto"/>
                <w:szCs w:val="21"/>
                <w:highlight w:val="none"/>
              </w:rPr>
            </w:pPr>
            <w:r>
              <w:rPr>
                <w:rFonts w:eastAsia="等线"/>
                <w:color w:val="auto"/>
                <w:szCs w:val="21"/>
                <w:highlight w:val="none"/>
              </w:rPr>
              <w:t>5.35</w:t>
            </w:r>
          </w:p>
        </w:tc>
        <w:tc>
          <w:tcPr>
            <w:tcW w:w="245" w:type="pct"/>
            <w:vAlign w:val="center"/>
          </w:tcPr>
          <w:p>
            <w:pPr>
              <w:jc w:val="center"/>
              <w:rPr>
                <w:rFonts w:eastAsia="等线"/>
                <w:color w:val="auto"/>
                <w:szCs w:val="21"/>
                <w:highlight w:val="none"/>
              </w:rPr>
            </w:pPr>
            <w:r>
              <w:rPr>
                <w:rFonts w:eastAsia="等线"/>
                <w:color w:val="auto"/>
                <w:szCs w:val="21"/>
                <w:highlight w:val="none"/>
              </w:rPr>
              <w:t>6.55</w:t>
            </w:r>
          </w:p>
        </w:tc>
        <w:tc>
          <w:tcPr>
            <w:tcW w:w="307" w:type="pct"/>
            <w:vAlign w:val="center"/>
          </w:tcPr>
          <w:p>
            <w:pPr>
              <w:jc w:val="center"/>
              <w:rPr>
                <w:rFonts w:eastAsia="等线"/>
                <w:color w:val="auto"/>
                <w:szCs w:val="21"/>
                <w:highlight w:val="none"/>
              </w:rPr>
            </w:pPr>
            <w:r>
              <w:rPr>
                <w:rFonts w:eastAsia="等线"/>
                <w:color w:val="auto"/>
                <w:szCs w:val="21"/>
                <w:highlight w:val="none"/>
              </w:rPr>
              <w:t>3.65</w:t>
            </w:r>
          </w:p>
        </w:tc>
        <w:tc>
          <w:tcPr>
            <w:tcW w:w="245" w:type="pct"/>
            <w:vAlign w:val="center"/>
          </w:tcPr>
          <w:p>
            <w:pPr>
              <w:jc w:val="center"/>
              <w:rPr>
                <w:rFonts w:eastAsia="等线"/>
                <w:color w:val="auto"/>
                <w:szCs w:val="21"/>
                <w:highlight w:val="none"/>
              </w:rPr>
            </w:pPr>
            <w:r>
              <w:rPr>
                <w:rFonts w:eastAsia="等线"/>
                <w:color w:val="auto"/>
                <w:szCs w:val="21"/>
                <w:highlight w:val="none"/>
              </w:rPr>
              <w:t>5.05</w:t>
            </w:r>
          </w:p>
        </w:tc>
        <w:tc>
          <w:tcPr>
            <w:tcW w:w="301" w:type="pct"/>
            <w:vAlign w:val="center"/>
          </w:tcPr>
          <w:p>
            <w:pPr>
              <w:jc w:val="center"/>
              <w:rPr>
                <w:rFonts w:eastAsia="等线"/>
                <w:color w:val="auto"/>
                <w:szCs w:val="21"/>
                <w:highlight w:val="none"/>
              </w:rPr>
            </w:pPr>
            <w:r>
              <w:rPr>
                <w:rFonts w:eastAsia="等线"/>
                <w:color w:val="auto"/>
                <w:szCs w:val="21"/>
                <w:highlight w:val="none"/>
              </w:rPr>
              <w:t>7.1</w:t>
            </w:r>
          </w:p>
        </w:tc>
        <w:tc>
          <w:tcPr>
            <w:tcW w:w="245" w:type="pct"/>
            <w:vAlign w:val="center"/>
          </w:tcPr>
          <w:p>
            <w:pPr>
              <w:jc w:val="center"/>
              <w:rPr>
                <w:rFonts w:eastAsia="等线"/>
                <w:color w:val="auto"/>
                <w:szCs w:val="21"/>
                <w:highlight w:val="none"/>
              </w:rPr>
            </w:pPr>
            <w:r>
              <w:rPr>
                <w:rFonts w:eastAsia="等线"/>
                <w:color w:val="auto"/>
                <w:szCs w:val="21"/>
                <w:highlight w:val="none"/>
              </w:rPr>
              <w:t>4.75</w:t>
            </w:r>
          </w:p>
        </w:tc>
        <w:tc>
          <w:tcPr>
            <w:tcW w:w="321" w:type="pct"/>
            <w:vAlign w:val="center"/>
          </w:tcPr>
          <w:p>
            <w:pPr>
              <w:jc w:val="center"/>
              <w:rPr>
                <w:rFonts w:eastAsia="等线"/>
                <w:color w:val="auto"/>
                <w:szCs w:val="21"/>
                <w:highlight w:val="none"/>
              </w:rPr>
            </w:pPr>
            <w:r>
              <w:rPr>
                <w:rFonts w:eastAsia="等线"/>
                <w:color w:val="auto"/>
                <w:szCs w:val="21"/>
                <w:highlight w:val="none"/>
              </w:rPr>
              <w:t>3.75</w:t>
            </w:r>
          </w:p>
        </w:tc>
        <w:tc>
          <w:tcPr>
            <w:tcW w:w="245" w:type="pct"/>
            <w:vAlign w:val="center"/>
          </w:tcPr>
          <w:p>
            <w:pPr>
              <w:jc w:val="center"/>
              <w:rPr>
                <w:rFonts w:eastAsia="等线"/>
                <w:color w:val="auto"/>
                <w:szCs w:val="21"/>
                <w:highlight w:val="none"/>
              </w:rPr>
            </w:pPr>
            <w:r>
              <w:rPr>
                <w:rFonts w:eastAsia="等线"/>
                <w:color w:val="auto"/>
                <w:szCs w:val="21"/>
                <w:highlight w:val="none"/>
              </w:rPr>
              <w:t>6.75</w:t>
            </w:r>
          </w:p>
        </w:tc>
        <w:tc>
          <w:tcPr>
            <w:tcW w:w="308" w:type="pct"/>
            <w:vAlign w:val="center"/>
          </w:tcPr>
          <w:p>
            <w:pPr>
              <w:jc w:val="center"/>
              <w:rPr>
                <w:rFonts w:eastAsia="等线"/>
                <w:color w:val="auto"/>
                <w:szCs w:val="21"/>
                <w:highlight w:val="none"/>
              </w:rPr>
            </w:pPr>
            <w:r>
              <w:rPr>
                <w:rFonts w:eastAsia="等线"/>
                <w:color w:val="auto"/>
                <w:szCs w:val="21"/>
                <w:highlight w:val="none"/>
              </w:rPr>
              <w:t>3.05</w:t>
            </w:r>
          </w:p>
        </w:tc>
        <w:tc>
          <w:tcPr>
            <w:tcW w:w="304" w:type="pct"/>
            <w:vAlign w:val="center"/>
          </w:tcPr>
          <w:p>
            <w:pPr>
              <w:jc w:val="center"/>
              <w:rPr>
                <w:rFonts w:eastAsia="等线"/>
                <w:color w:val="auto"/>
                <w:szCs w:val="21"/>
                <w:highlight w:val="none"/>
              </w:rPr>
            </w:pPr>
            <w:r>
              <w:rPr>
                <w:rFonts w:eastAsia="等线"/>
                <w:color w:val="auto"/>
                <w:szCs w:val="21"/>
                <w:highlight w:val="none"/>
              </w:rPr>
              <w:t>7.84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5" w:type="pct"/>
            <w:vAlign w:val="center"/>
          </w:tcPr>
          <w:p>
            <w:pPr>
              <w:jc w:val="center"/>
              <w:rPr>
                <w:rFonts w:eastAsia="等线"/>
                <w:color w:val="auto"/>
                <w:szCs w:val="21"/>
                <w:highlight w:val="none"/>
              </w:rPr>
            </w:pPr>
            <w:r>
              <w:rPr>
                <w:rFonts w:eastAsia="等线"/>
                <w:color w:val="auto"/>
                <w:szCs w:val="21"/>
                <w:highlight w:val="none"/>
              </w:rPr>
              <w:t>5月</w:t>
            </w:r>
          </w:p>
        </w:tc>
        <w:tc>
          <w:tcPr>
            <w:tcW w:w="307" w:type="pct"/>
            <w:vAlign w:val="center"/>
          </w:tcPr>
          <w:p>
            <w:pPr>
              <w:jc w:val="center"/>
              <w:rPr>
                <w:rFonts w:eastAsia="等线"/>
                <w:color w:val="auto"/>
                <w:szCs w:val="21"/>
                <w:highlight w:val="none"/>
              </w:rPr>
            </w:pPr>
            <w:r>
              <w:rPr>
                <w:rFonts w:eastAsia="等线"/>
                <w:color w:val="auto"/>
                <w:szCs w:val="21"/>
                <w:highlight w:val="none"/>
              </w:rPr>
              <w:t>2.14</w:t>
            </w:r>
          </w:p>
        </w:tc>
        <w:tc>
          <w:tcPr>
            <w:tcW w:w="307" w:type="pct"/>
            <w:vAlign w:val="center"/>
          </w:tcPr>
          <w:p>
            <w:pPr>
              <w:jc w:val="center"/>
              <w:rPr>
                <w:rFonts w:eastAsia="等线"/>
                <w:color w:val="auto"/>
                <w:szCs w:val="21"/>
                <w:highlight w:val="none"/>
              </w:rPr>
            </w:pPr>
            <w:r>
              <w:rPr>
                <w:rFonts w:eastAsia="等线"/>
                <w:color w:val="auto"/>
                <w:szCs w:val="21"/>
                <w:highlight w:val="none"/>
              </w:rPr>
              <w:t>3.13</w:t>
            </w:r>
          </w:p>
        </w:tc>
        <w:tc>
          <w:tcPr>
            <w:tcW w:w="307" w:type="pct"/>
            <w:vAlign w:val="center"/>
          </w:tcPr>
          <w:p>
            <w:pPr>
              <w:jc w:val="center"/>
              <w:rPr>
                <w:rFonts w:eastAsia="等线"/>
                <w:color w:val="auto"/>
                <w:szCs w:val="21"/>
                <w:highlight w:val="none"/>
              </w:rPr>
            </w:pPr>
            <w:r>
              <w:rPr>
                <w:rFonts w:eastAsia="等线"/>
                <w:color w:val="auto"/>
                <w:szCs w:val="21"/>
                <w:highlight w:val="none"/>
              </w:rPr>
              <w:t>5.88</w:t>
            </w:r>
          </w:p>
        </w:tc>
        <w:tc>
          <w:tcPr>
            <w:tcW w:w="245" w:type="pct"/>
            <w:vAlign w:val="center"/>
          </w:tcPr>
          <w:p>
            <w:pPr>
              <w:jc w:val="center"/>
              <w:rPr>
                <w:rFonts w:eastAsia="等线"/>
                <w:color w:val="auto"/>
                <w:szCs w:val="21"/>
                <w:highlight w:val="none"/>
              </w:rPr>
            </w:pPr>
            <w:r>
              <w:rPr>
                <w:rFonts w:eastAsia="等线"/>
                <w:color w:val="auto"/>
                <w:szCs w:val="21"/>
                <w:highlight w:val="none"/>
              </w:rPr>
              <w:t>7.33</w:t>
            </w:r>
          </w:p>
        </w:tc>
        <w:tc>
          <w:tcPr>
            <w:tcW w:w="278" w:type="pct"/>
            <w:vAlign w:val="center"/>
          </w:tcPr>
          <w:p>
            <w:pPr>
              <w:jc w:val="center"/>
              <w:rPr>
                <w:rFonts w:eastAsia="等线"/>
                <w:color w:val="auto"/>
                <w:szCs w:val="21"/>
                <w:highlight w:val="none"/>
              </w:rPr>
            </w:pPr>
            <w:r>
              <w:rPr>
                <w:rFonts w:eastAsia="等线"/>
                <w:color w:val="auto"/>
                <w:szCs w:val="21"/>
                <w:highlight w:val="none"/>
              </w:rPr>
              <w:t>11.93</w:t>
            </w:r>
          </w:p>
        </w:tc>
        <w:tc>
          <w:tcPr>
            <w:tcW w:w="278" w:type="pct"/>
            <w:vAlign w:val="center"/>
          </w:tcPr>
          <w:p>
            <w:pPr>
              <w:jc w:val="center"/>
              <w:rPr>
                <w:rFonts w:eastAsia="等线"/>
                <w:color w:val="auto"/>
                <w:szCs w:val="21"/>
                <w:highlight w:val="none"/>
              </w:rPr>
            </w:pPr>
            <w:r>
              <w:rPr>
                <w:rFonts w:eastAsia="等线"/>
                <w:color w:val="auto"/>
                <w:szCs w:val="21"/>
                <w:highlight w:val="none"/>
              </w:rPr>
              <w:t>9.98</w:t>
            </w:r>
          </w:p>
        </w:tc>
        <w:tc>
          <w:tcPr>
            <w:tcW w:w="245" w:type="pct"/>
            <w:vAlign w:val="center"/>
          </w:tcPr>
          <w:p>
            <w:pPr>
              <w:jc w:val="center"/>
              <w:rPr>
                <w:rFonts w:eastAsia="等线"/>
                <w:color w:val="auto"/>
                <w:szCs w:val="21"/>
                <w:highlight w:val="none"/>
              </w:rPr>
            </w:pPr>
            <w:r>
              <w:rPr>
                <w:rFonts w:eastAsia="等线"/>
                <w:color w:val="auto"/>
                <w:szCs w:val="21"/>
                <w:highlight w:val="none"/>
              </w:rPr>
              <w:t>7.98</w:t>
            </w:r>
          </w:p>
        </w:tc>
        <w:tc>
          <w:tcPr>
            <w:tcW w:w="245" w:type="pct"/>
            <w:vAlign w:val="center"/>
          </w:tcPr>
          <w:p>
            <w:pPr>
              <w:jc w:val="center"/>
              <w:rPr>
                <w:rFonts w:eastAsia="等线"/>
                <w:color w:val="auto"/>
                <w:szCs w:val="21"/>
                <w:highlight w:val="none"/>
              </w:rPr>
            </w:pPr>
            <w:r>
              <w:rPr>
                <w:rFonts w:eastAsia="等线"/>
                <w:color w:val="auto"/>
                <w:szCs w:val="21"/>
                <w:highlight w:val="none"/>
              </w:rPr>
              <w:t>5.58</w:t>
            </w:r>
          </w:p>
        </w:tc>
        <w:tc>
          <w:tcPr>
            <w:tcW w:w="245" w:type="pct"/>
            <w:vAlign w:val="center"/>
          </w:tcPr>
          <w:p>
            <w:pPr>
              <w:jc w:val="center"/>
              <w:rPr>
                <w:rFonts w:eastAsia="等线"/>
                <w:color w:val="auto"/>
                <w:szCs w:val="21"/>
                <w:highlight w:val="none"/>
              </w:rPr>
            </w:pPr>
            <w:r>
              <w:rPr>
                <w:rFonts w:eastAsia="等线"/>
                <w:color w:val="auto"/>
                <w:szCs w:val="21"/>
                <w:highlight w:val="none"/>
              </w:rPr>
              <w:t>6.18</w:t>
            </w:r>
          </w:p>
        </w:tc>
        <w:tc>
          <w:tcPr>
            <w:tcW w:w="307" w:type="pct"/>
            <w:vAlign w:val="center"/>
          </w:tcPr>
          <w:p>
            <w:pPr>
              <w:jc w:val="center"/>
              <w:rPr>
                <w:rFonts w:eastAsia="等线"/>
                <w:color w:val="auto"/>
                <w:szCs w:val="21"/>
                <w:highlight w:val="none"/>
              </w:rPr>
            </w:pPr>
            <w:r>
              <w:rPr>
                <w:rFonts w:eastAsia="等线"/>
                <w:color w:val="auto"/>
                <w:szCs w:val="21"/>
                <w:highlight w:val="none"/>
              </w:rPr>
              <w:t>4.08</w:t>
            </w:r>
          </w:p>
        </w:tc>
        <w:tc>
          <w:tcPr>
            <w:tcW w:w="245" w:type="pct"/>
            <w:vAlign w:val="center"/>
          </w:tcPr>
          <w:p>
            <w:pPr>
              <w:jc w:val="center"/>
              <w:rPr>
                <w:rFonts w:eastAsia="等线"/>
                <w:color w:val="auto"/>
                <w:szCs w:val="21"/>
                <w:highlight w:val="none"/>
              </w:rPr>
            </w:pPr>
            <w:r>
              <w:rPr>
                <w:rFonts w:eastAsia="等线"/>
                <w:color w:val="auto"/>
                <w:szCs w:val="21"/>
                <w:highlight w:val="none"/>
              </w:rPr>
              <w:t>5.28</w:t>
            </w:r>
          </w:p>
        </w:tc>
        <w:tc>
          <w:tcPr>
            <w:tcW w:w="301" w:type="pct"/>
            <w:vAlign w:val="center"/>
          </w:tcPr>
          <w:p>
            <w:pPr>
              <w:jc w:val="center"/>
              <w:rPr>
                <w:rFonts w:eastAsia="等线"/>
                <w:color w:val="auto"/>
                <w:szCs w:val="21"/>
                <w:highlight w:val="none"/>
              </w:rPr>
            </w:pPr>
            <w:r>
              <w:rPr>
                <w:rFonts w:eastAsia="等线"/>
                <w:color w:val="auto"/>
                <w:szCs w:val="21"/>
                <w:highlight w:val="none"/>
              </w:rPr>
              <w:t>5.88</w:t>
            </w:r>
          </w:p>
        </w:tc>
        <w:tc>
          <w:tcPr>
            <w:tcW w:w="245" w:type="pct"/>
            <w:vAlign w:val="center"/>
          </w:tcPr>
          <w:p>
            <w:pPr>
              <w:jc w:val="center"/>
              <w:rPr>
                <w:rFonts w:eastAsia="等线"/>
                <w:color w:val="auto"/>
                <w:szCs w:val="21"/>
                <w:highlight w:val="none"/>
              </w:rPr>
            </w:pPr>
            <w:r>
              <w:rPr>
                <w:rFonts w:eastAsia="等线"/>
                <w:color w:val="auto"/>
                <w:szCs w:val="21"/>
                <w:highlight w:val="none"/>
              </w:rPr>
              <w:t>5.78</w:t>
            </w:r>
          </w:p>
        </w:tc>
        <w:tc>
          <w:tcPr>
            <w:tcW w:w="321" w:type="pct"/>
            <w:vAlign w:val="center"/>
          </w:tcPr>
          <w:p>
            <w:pPr>
              <w:jc w:val="center"/>
              <w:rPr>
                <w:rFonts w:eastAsia="等线"/>
                <w:color w:val="auto"/>
                <w:szCs w:val="21"/>
                <w:highlight w:val="none"/>
              </w:rPr>
            </w:pPr>
            <w:r>
              <w:rPr>
                <w:rFonts w:eastAsia="等线"/>
                <w:color w:val="auto"/>
                <w:szCs w:val="21"/>
                <w:highlight w:val="none"/>
              </w:rPr>
              <w:t>4.37</w:t>
            </w:r>
          </w:p>
        </w:tc>
        <w:tc>
          <w:tcPr>
            <w:tcW w:w="245" w:type="pct"/>
            <w:vAlign w:val="center"/>
          </w:tcPr>
          <w:p>
            <w:pPr>
              <w:jc w:val="center"/>
              <w:rPr>
                <w:rFonts w:eastAsia="等线"/>
                <w:color w:val="auto"/>
                <w:szCs w:val="21"/>
                <w:highlight w:val="none"/>
              </w:rPr>
            </w:pPr>
            <w:r>
              <w:rPr>
                <w:rFonts w:eastAsia="等线"/>
                <w:color w:val="auto"/>
                <w:szCs w:val="21"/>
                <w:highlight w:val="none"/>
              </w:rPr>
              <w:t>4.53</w:t>
            </w:r>
          </w:p>
        </w:tc>
        <w:tc>
          <w:tcPr>
            <w:tcW w:w="308" w:type="pct"/>
            <w:vAlign w:val="center"/>
          </w:tcPr>
          <w:p>
            <w:pPr>
              <w:jc w:val="center"/>
              <w:rPr>
                <w:rFonts w:eastAsia="等线"/>
                <w:color w:val="auto"/>
                <w:szCs w:val="21"/>
                <w:highlight w:val="none"/>
              </w:rPr>
            </w:pPr>
            <w:r>
              <w:rPr>
                <w:rFonts w:eastAsia="等线"/>
                <w:color w:val="auto"/>
                <w:szCs w:val="21"/>
                <w:highlight w:val="none"/>
              </w:rPr>
              <w:t>2.24</w:t>
            </w:r>
          </w:p>
        </w:tc>
        <w:tc>
          <w:tcPr>
            <w:tcW w:w="304" w:type="pct"/>
            <w:vAlign w:val="center"/>
          </w:tcPr>
          <w:p>
            <w:pPr>
              <w:jc w:val="center"/>
              <w:rPr>
                <w:rFonts w:eastAsia="等线"/>
                <w:color w:val="auto"/>
                <w:szCs w:val="21"/>
                <w:highlight w:val="none"/>
              </w:rPr>
            </w:pPr>
            <w:r>
              <w:rPr>
                <w:rFonts w:eastAsia="等线"/>
                <w:color w:val="auto"/>
                <w:szCs w:val="21"/>
                <w:highlight w:val="none"/>
              </w:rPr>
              <w:t>7.73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5" w:type="pct"/>
            <w:vAlign w:val="center"/>
          </w:tcPr>
          <w:p>
            <w:pPr>
              <w:jc w:val="center"/>
              <w:rPr>
                <w:rFonts w:eastAsia="等线"/>
                <w:color w:val="auto"/>
                <w:szCs w:val="21"/>
                <w:highlight w:val="none"/>
              </w:rPr>
            </w:pPr>
            <w:r>
              <w:rPr>
                <w:rFonts w:eastAsia="等线"/>
                <w:color w:val="auto"/>
                <w:szCs w:val="21"/>
                <w:highlight w:val="none"/>
              </w:rPr>
              <w:t>6月</w:t>
            </w:r>
          </w:p>
        </w:tc>
        <w:tc>
          <w:tcPr>
            <w:tcW w:w="307" w:type="pct"/>
            <w:vAlign w:val="center"/>
          </w:tcPr>
          <w:p>
            <w:pPr>
              <w:jc w:val="center"/>
              <w:rPr>
                <w:rFonts w:eastAsia="等线"/>
                <w:color w:val="auto"/>
                <w:szCs w:val="21"/>
                <w:highlight w:val="none"/>
              </w:rPr>
            </w:pPr>
            <w:r>
              <w:rPr>
                <w:rFonts w:eastAsia="等线"/>
                <w:color w:val="auto"/>
                <w:szCs w:val="21"/>
                <w:highlight w:val="none"/>
              </w:rPr>
              <w:t>2.78</w:t>
            </w:r>
          </w:p>
        </w:tc>
        <w:tc>
          <w:tcPr>
            <w:tcW w:w="307" w:type="pct"/>
            <w:vAlign w:val="center"/>
          </w:tcPr>
          <w:p>
            <w:pPr>
              <w:jc w:val="center"/>
              <w:rPr>
                <w:rFonts w:eastAsia="等线"/>
                <w:color w:val="auto"/>
                <w:szCs w:val="21"/>
                <w:highlight w:val="none"/>
              </w:rPr>
            </w:pPr>
            <w:r>
              <w:rPr>
                <w:rFonts w:eastAsia="等线"/>
                <w:color w:val="auto"/>
                <w:szCs w:val="21"/>
                <w:highlight w:val="none"/>
              </w:rPr>
              <w:t>3.89</w:t>
            </w:r>
          </w:p>
        </w:tc>
        <w:tc>
          <w:tcPr>
            <w:tcW w:w="307" w:type="pct"/>
            <w:vAlign w:val="center"/>
          </w:tcPr>
          <w:p>
            <w:pPr>
              <w:jc w:val="center"/>
              <w:rPr>
                <w:rFonts w:eastAsia="等线"/>
                <w:color w:val="auto"/>
                <w:szCs w:val="21"/>
                <w:highlight w:val="none"/>
              </w:rPr>
            </w:pPr>
            <w:r>
              <w:rPr>
                <w:rFonts w:eastAsia="等线"/>
                <w:color w:val="auto"/>
                <w:szCs w:val="21"/>
                <w:highlight w:val="none"/>
              </w:rPr>
              <w:t>5.59</w:t>
            </w:r>
          </w:p>
        </w:tc>
        <w:tc>
          <w:tcPr>
            <w:tcW w:w="245" w:type="pct"/>
            <w:vAlign w:val="center"/>
          </w:tcPr>
          <w:p>
            <w:pPr>
              <w:jc w:val="center"/>
              <w:rPr>
                <w:rFonts w:eastAsia="等线"/>
                <w:color w:val="auto"/>
                <w:szCs w:val="21"/>
                <w:highlight w:val="none"/>
              </w:rPr>
            </w:pPr>
            <w:r>
              <w:rPr>
                <w:rFonts w:eastAsia="等线"/>
                <w:color w:val="auto"/>
                <w:szCs w:val="21"/>
                <w:highlight w:val="none"/>
              </w:rPr>
              <w:t>9.24</w:t>
            </w:r>
          </w:p>
        </w:tc>
        <w:tc>
          <w:tcPr>
            <w:tcW w:w="278" w:type="pct"/>
            <w:vAlign w:val="center"/>
          </w:tcPr>
          <w:p>
            <w:pPr>
              <w:jc w:val="center"/>
              <w:rPr>
                <w:rFonts w:eastAsia="等线"/>
                <w:color w:val="auto"/>
                <w:szCs w:val="21"/>
                <w:highlight w:val="none"/>
              </w:rPr>
            </w:pPr>
            <w:r>
              <w:rPr>
                <w:rFonts w:eastAsia="等线"/>
                <w:color w:val="auto"/>
                <w:szCs w:val="21"/>
                <w:highlight w:val="none"/>
              </w:rPr>
              <w:t>16.09</w:t>
            </w:r>
          </w:p>
        </w:tc>
        <w:tc>
          <w:tcPr>
            <w:tcW w:w="278" w:type="pct"/>
            <w:vAlign w:val="center"/>
          </w:tcPr>
          <w:p>
            <w:pPr>
              <w:jc w:val="center"/>
              <w:rPr>
                <w:rFonts w:eastAsia="等线"/>
                <w:color w:val="auto"/>
                <w:szCs w:val="21"/>
                <w:highlight w:val="none"/>
              </w:rPr>
            </w:pPr>
            <w:r>
              <w:rPr>
                <w:rFonts w:eastAsia="等线"/>
                <w:color w:val="auto"/>
                <w:szCs w:val="21"/>
                <w:highlight w:val="none"/>
              </w:rPr>
              <w:t>12.29</w:t>
            </w:r>
          </w:p>
        </w:tc>
        <w:tc>
          <w:tcPr>
            <w:tcW w:w="245" w:type="pct"/>
            <w:vAlign w:val="center"/>
          </w:tcPr>
          <w:p>
            <w:pPr>
              <w:jc w:val="center"/>
              <w:rPr>
                <w:rFonts w:eastAsia="等线"/>
                <w:color w:val="auto"/>
                <w:szCs w:val="21"/>
                <w:highlight w:val="none"/>
              </w:rPr>
            </w:pPr>
            <w:r>
              <w:rPr>
                <w:rFonts w:eastAsia="等线"/>
                <w:color w:val="auto"/>
                <w:szCs w:val="21"/>
                <w:highlight w:val="none"/>
              </w:rPr>
              <w:t>9.94</w:t>
            </w:r>
          </w:p>
        </w:tc>
        <w:tc>
          <w:tcPr>
            <w:tcW w:w="245" w:type="pct"/>
            <w:vAlign w:val="center"/>
          </w:tcPr>
          <w:p>
            <w:pPr>
              <w:jc w:val="center"/>
              <w:rPr>
                <w:rFonts w:eastAsia="等线"/>
                <w:color w:val="auto"/>
                <w:szCs w:val="21"/>
                <w:highlight w:val="none"/>
              </w:rPr>
            </w:pPr>
            <w:r>
              <w:rPr>
                <w:rFonts w:eastAsia="等线"/>
                <w:color w:val="auto"/>
                <w:szCs w:val="21"/>
                <w:highlight w:val="none"/>
              </w:rPr>
              <w:t>7.89</w:t>
            </w:r>
          </w:p>
        </w:tc>
        <w:tc>
          <w:tcPr>
            <w:tcW w:w="245" w:type="pct"/>
            <w:vAlign w:val="center"/>
          </w:tcPr>
          <w:p>
            <w:pPr>
              <w:jc w:val="center"/>
              <w:rPr>
                <w:rFonts w:eastAsia="等线"/>
                <w:color w:val="auto"/>
                <w:szCs w:val="21"/>
                <w:highlight w:val="none"/>
              </w:rPr>
            </w:pPr>
            <w:r>
              <w:rPr>
                <w:rFonts w:eastAsia="等线"/>
                <w:color w:val="auto"/>
                <w:szCs w:val="21"/>
                <w:highlight w:val="none"/>
              </w:rPr>
              <w:t>6.69</w:t>
            </w:r>
          </w:p>
        </w:tc>
        <w:tc>
          <w:tcPr>
            <w:tcW w:w="307" w:type="pct"/>
            <w:vAlign w:val="center"/>
          </w:tcPr>
          <w:p>
            <w:pPr>
              <w:jc w:val="center"/>
              <w:rPr>
                <w:rFonts w:eastAsia="等线"/>
                <w:color w:val="auto"/>
                <w:szCs w:val="21"/>
                <w:highlight w:val="none"/>
              </w:rPr>
            </w:pPr>
            <w:r>
              <w:rPr>
                <w:rFonts w:eastAsia="等线"/>
                <w:color w:val="auto"/>
                <w:szCs w:val="21"/>
                <w:highlight w:val="none"/>
              </w:rPr>
              <w:t>3.52</w:t>
            </w:r>
          </w:p>
        </w:tc>
        <w:tc>
          <w:tcPr>
            <w:tcW w:w="245" w:type="pct"/>
            <w:vAlign w:val="center"/>
          </w:tcPr>
          <w:p>
            <w:pPr>
              <w:jc w:val="center"/>
              <w:rPr>
                <w:rFonts w:eastAsia="等线"/>
                <w:color w:val="auto"/>
                <w:szCs w:val="21"/>
                <w:highlight w:val="none"/>
              </w:rPr>
            </w:pPr>
            <w:r>
              <w:rPr>
                <w:rFonts w:eastAsia="等线"/>
                <w:color w:val="auto"/>
                <w:szCs w:val="21"/>
                <w:highlight w:val="none"/>
              </w:rPr>
              <w:t>3.84</w:t>
            </w:r>
          </w:p>
        </w:tc>
        <w:tc>
          <w:tcPr>
            <w:tcW w:w="301" w:type="pct"/>
            <w:vAlign w:val="center"/>
          </w:tcPr>
          <w:p>
            <w:pPr>
              <w:jc w:val="center"/>
              <w:rPr>
                <w:rFonts w:eastAsia="等线"/>
                <w:color w:val="auto"/>
                <w:szCs w:val="21"/>
                <w:highlight w:val="none"/>
              </w:rPr>
            </w:pPr>
            <w:r>
              <w:rPr>
                <w:rFonts w:eastAsia="等线"/>
                <w:color w:val="auto"/>
                <w:szCs w:val="21"/>
                <w:highlight w:val="none"/>
              </w:rPr>
              <w:t>3.54</w:t>
            </w:r>
          </w:p>
        </w:tc>
        <w:tc>
          <w:tcPr>
            <w:tcW w:w="245" w:type="pct"/>
            <w:vAlign w:val="center"/>
          </w:tcPr>
          <w:p>
            <w:pPr>
              <w:jc w:val="center"/>
              <w:rPr>
                <w:rFonts w:eastAsia="等线"/>
                <w:color w:val="auto"/>
                <w:szCs w:val="21"/>
                <w:highlight w:val="none"/>
              </w:rPr>
            </w:pPr>
            <w:r>
              <w:rPr>
                <w:rFonts w:eastAsia="等线"/>
                <w:color w:val="auto"/>
                <w:szCs w:val="21"/>
                <w:highlight w:val="none"/>
              </w:rPr>
              <w:t>3.1</w:t>
            </w:r>
          </w:p>
        </w:tc>
        <w:tc>
          <w:tcPr>
            <w:tcW w:w="321" w:type="pct"/>
            <w:vAlign w:val="center"/>
          </w:tcPr>
          <w:p>
            <w:pPr>
              <w:jc w:val="center"/>
              <w:rPr>
                <w:rFonts w:eastAsia="等线"/>
                <w:color w:val="auto"/>
                <w:szCs w:val="21"/>
                <w:highlight w:val="none"/>
              </w:rPr>
            </w:pPr>
            <w:r>
              <w:rPr>
                <w:rFonts w:eastAsia="等线"/>
                <w:color w:val="auto"/>
                <w:szCs w:val="21"/>
                <w:highlight w:val="none"/>
              </w:rPr>
              <w:t>2.12</w:t>
            </w:r>
          </w:p>
        </w:tc>
        <w:tc>
          <w:tcPr>
            <w:tcW w:w="245" w:type="pct"/>
            <w:vAlign w:val="center"/>
          </w:tcPr>
          <w:p>
            <w:pPr>
              <w:jc w:val="center"/>
              <w:rPr>
                <w:rFonts w:eastAsia="等线"/>
                <w:color w:val="auto"/>
                <w:szCs w:val="21"/>
                <w:highlight w:val="none"/>
              </w:rPr>
            </w:pPr>
            <w:r>
              <w:rPr>
                <w:rFonts w:eastAsia="等线"/>
                <w:color w:val="auto"/>
                <w:szCs w:val="21"/>
                <w:highlight w:val="none"/>
              </w:rPr>
              <w:t>2.83</w:t>
            </w:r>
          </w:p>
        </w:tc>
        <w:tc>
          <w:tcPr>
            <w:tcW w:w="308" w:type="pct"/>
            <w:vAlign w:val="center"/>
          </w:tcPr>
          <w:p>
            <w:pPr>
              <w:jc w:val="center"/>
              <w:rPr>
                <w:rFonts w:eastAsia="等线"/>
                <w:color w:val="auto"/>
                <w:szCs w:val="21"/>
                <w:highlight w:val="none"/>
              </w:rPr>
            </w:pPr>
            <w:r>
              <w:rPr>
                <w:rFonts w:eastAsia="等线"/>
                <w:color w:val="auto"/>
                <w:szCs w:val="21"/>
                <w:highlight w:val="none"/>
              </w:rPr>
              <w:t>1.95</w:t>
            </w:r>
          </w:p>
        </w:tc>
        <w:tc>
          <w:tcPr>
            <w:tcW w:w="304" w:type="pct"/>
            <w:vAlign w:val="center"/>
          </w:tcPr>
          <w:p>
            <w:pPr>
              <w:jc w:val="center"/>
              <w:rPr>
                <w:rFonts w:eastAsia="等线"/>
                <w:color w:val="auto"/>
                <w:szCs w:val="21"/>
                <w:highlight w:val="none"/>
              </w:rPr>
            </w:pPr>
            <w:r>
              <w:rPr>
                <w:rFonts w:eastAsia="等线"/>
                <w:color w:val="auto"/>
                <w:szCs w:val="21"/>
                <w:highlight w:val="none"/>
              </w:rPr>
              <w:t>4.72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5" w:type="pct"/>
            <w:vAlign w:val="center"/>
          </w:tcPr>
          <w:p>
            <w:pPr>
              <w:jc w:val="center"/>
              <w:rPr>
                <w:rFonts w:eastAsia="等线"/>
                <w:color w:val="auto"/>
                <w:szCs w:val="21"/>
                <w:highlight w:val="none"/>
              </w:rPr>
            </w:pPr>
            <w:r>
              <w:rPr>
                <w:rFonts w:eastAsia="等线"/>
                <w:color w:val="auto"/>
                <w:szCs w:val="21"/>
                <w:highlight w:val="none"/>
              </w:rPr>
              <w:t>7月</w:t>
            </w:r>
          </w:p>
        </w:tc>
        <w:tc>
          <w:tcPr>
            <w:tcW w:w="307" w:type="pct"/>
            <w:vAlign w:val="center"/>
          </w:tcPr>
          <w:p>
            <w:pPr>
              <w:jc w:val="center"/>
              <w:rPr>
                <w:rFonts w:eastAsia="等线"/>
                <w:color w:val="auto"/>
                <w:szCs w:val="21"/>
                <w:highlight w:val="none"/>
              </w:rPr>
            </w:pPr>
            <w:r>
              <w:rPr>
                <w:rFonts w:eastAsia="等线"/>
                <w:color w:val="auto"/>
                <w:szCs w:val="21"/>
                <w:highlight w:val="none"/>
              </w:rPr>
              <w:t>2.11</w:t>
            </w:r>
          </w:p>
        </w:tc>
        <w:tc>
          <w:tcPr>
            <w:tcW w:w="307" w:type="pct"/>
            <w:vAlign w:val="center"/>
          </w:tcPr>
          <w:p>
            <w:pPr>
              <w:jc w:val="center"/>
              <w:rPr>
                <w:rFonts w:eastAsia="等线"/>
                <w:color w:val="auto"/>
                <w:szCs w:val="21"/>
                <w:highlight w:val="none"/>
              </w:rPr>
            </w:pPr>
            <w:r>
              <w:rPr>
                <w:rFonts w:eastAsia="等线"/>
                <w:color w:val="auto"/>
                <w:szCs w:val="21"/>
                <w:highlight w:val="none"/>
              </w:rPr>
              <w:t>4.9</w:t>
            </w:r>
          </w:p>
        </w:tc>
        <w:tc>
          <w:tcPr>
            <w:tcW w:w="307" w:type="pct"/>
            <w:vAlign w:val="center"/>
          </w:tcPr>
          <w:p>
            <w:pPr>
              <w:jc w:val="center"/>
              <w:rPr>
                <w:rFonts w:eastAsia="等线"/>
                <w:color w:val="auto"/>
                <w:szCs w:val="21"/>
                <w:highlight w:val="none"/>
              </w:rPr>
            </w:pPr>
            <w:r>
              <w:rPr>
                <w:rFonts w:eastAsia="等线"/>
                <w:color w:val="auto"/>
                <w:szCs w:val="21"/>
                <w:highlight w:val="none"/>
              </w:rPr>
              <w:t>7.12</w:t>
            </w:r>
          </w:p>
        </w:tc>
        <w:tc>
          <w:tcPr>
            <w:tcW w:w="245" w:type="pct"/>
            <w:vAlign w:val="center"/>
          </w:tcPr>
          <w:p>
            <w:pPr>
              <w:jc w:val="center"/>
              <w:rPr>
                <w:rFonts w:eastAsia="等线"/>
                <w:color w:val="auto"/>
                <w:szCs w:val="21"/>
                <w:highlight w:val="none"/>
              </w:rPr>
            </w:pPr>
            <w:r>
              <w:rPr>
                <w:rFonts w:eastAsia="等线"/>
                <w:color w:val="auto"/>
                <w:szCs w:val="21"/>
                <w:highlight w:val="none"/>
              </w:rPr>
              <w:t>8.75</w:t>
            </w:r>
          </w:p>
        </w:tc>
        <w:tc>
          <w:tcPr>
            <w:tcW w:w="278" w:type="pct"/>
            <w:vAlign w:val="center"/>
          </w:tcPr>
          <w:p>
            <w:pPr>
              <w:jc w:val="center"/>
              <w:rPr>
                <w:rFonts w:eastAsia="等线"/>
                <w:color w:val="auto"/>
                <w:szCs w:val="21"/>
                <w:highlight w:val="none"/>
              </w:rPr>
            </w:pPr>
            <w:r>
              <w:rPr>
                <w:rFonts w:eastAsia="等线"/>
                <w:color w:val="auto"/>
                <w:szCs w:val="21"/>
                <w:highlight w:val="none"/>
              </w:rPr>
              <w:t>13.8</w:t>
            </w:r>
          </w:p>
        </w:tc>
        <w:tc>
          <w:tcPr>
            <w:tcW w:w="278" w:type="pct"/>
            <w:vAlign w:val="center"/>
          </w:tcPr>
          <w:p>
            <w:pPr>
              <w:jc w:val="center"/>
              <w:rPr>
                <w:rFonts w:eastAsia="等线"/>
                <w:color w:val="auto"/>
                <w:szCs w:val="21"/>
                <w:highlight w:val="none"/>
              </w:rPr>
            </w:pPr>
            <w:r>
              <w:rPr>
                <w:rFonts w:eastAsia="等线"/>
                <w:color w:val="auto"/>
                <w:szCs w:val="21"/>
                <w:highlight w:val="none"/>
              </w:rPr>
              <w:t>10.65</w:t>
            </w:r>
          </w:p>
        </w:tc>
        <w:tc>
          <w:tcPr>
            <w:tcW w:w="245" w:type="pct"/>
            <w:vAlign w:val="center"/>
          </w:tcPr>
          <w:p>
            <w:pPr>
              <w:jc w:val="center"/>
              <w:rPr>
                <w:rFonts w:eastAsia="等线"/>
                <w:color w:val="auto"/>
                <w:szCs w:val="21"/>
                <w:highlight w:val="none"/>
              </w:rPr>
            </w:pPr>
            <w:r>
              <w:rPr>
                <w:rFonts w:eastAsia="等线"/>
                <w:color w:val="auto"/>
                <w:szCs w:val="21"/>
                <w:highlight w:val="none"/>
              </w:rPr>
              <w:t>8.4</w:t>
            </w:r>
          </w:p>
        </w:tc>
        <w:tc>
          <w:tcPr>
            <w:tcW w:w="245" w:type="pct"/>
            <w:vAlign w:val="center"/>
          </w:tcPr>
          <w:p>
            <w:pPr>
              <w:jc w:val="center"/>
              <w:rPr>
                <w:rFonts w:eastAsia="等线"/>
                <w:color w:val="auto"/>
                <w:szCs w:val="21"/>
                <w:highlight w:val="none"/>
              </w:rPr>
            </w:pPr>
            <w:r>
              <w:rPr>
                <w:rFonts w:eastAsia="等线"/>
                <w:color w:val="auto"/>
                <w:szCs w:val="21"/>
                <w:highlight w:val="none"/>
              </w:rPr>
              <w:t>5.85</w:t>
            </w:r>
          </w:p>
        </w:tc>
        <w:tc>
          <w:tcPr>
            <w:tcW w:w="245" w:type="pct"/>
            <w:vAlign w:val="center"/>
          </w:tcPr>
          <w:p>
            <w:pPr>
              <w:jc w:val="center"/>
              <w:rPr>
                <w:rFonts w:eastAsia="等线"/>
                <w:color w:val="auto"/>
                <w:szCs w:val="21"/>
                <w:highlight w:val="none"/>
              </w:rPr>
            </w:pPr>
            <w:r>
              <w:rPr>
                <w:rFonts w:eastAsia="等线"/>
                <w:color w:val="auto"/>
                <w:szCs w:val="21"/>
                <w:highlight w:val="none"/>
              </w:rPr>
              <w:t>6.85</w:t>
            </w:r>
          </w:p>
        </w:tc>
        <w:tc>
          <w:tcPr>
            <w:tcW w:w="307" w:type="pct"/>
            <w:vAlign w:val="center"/>
          </w:tcPr>
          <w:p>
            <w:pPr>
              <w:jc w:val="center"/>
              <w:rPr>
                <w:rFonts w:eastAsia="等线"/>
                <w:color w:val="auto"/>
                <w:szCs w:val="21"/>
                <w:highlight w:val="none"/>
              </w:rPr>
            </w:pPr>
            <w:r>
              <w:rPr>
                <w:rFonts w:eastAsia="等线"/>
                <w:color w:val="auto"/>
                <w:szCs w:val="21"/>
                <w:highlight w:val="none"/>
              </w:rPr>
              <w:t>4.8</w:t>
            </w:r>
          </w:p>
        </w:tc>
        <w:tc>
          <w:tcPr>
            <w:tcW w:w="245" w:type="pct"/>
            <w:vAlign w:val="center"/>
          </w:tcPr>
          <w:p>
            <w:pPr>
              <w:jc w:val="center"/>
              <w:rPr>
                <w:rFonts w:eastAsia="等线"/>
                <w:color w:val="auto"/>
                <w:szCs w:val="21"/>
                <w:highlight w:val="none"/>
              </w:rPr>
            </w:pPr>
            <w:r>
              <w:rPr>
                <w:rFonts w:eastAsia="等线"/>
                <w:color w:val="auto"/>
                <w:szCs w:val="21"/>
                <w:highlight w:val="none"/>
              </w:rPr>
              <w:t>6.3</w:t>
            </w:r>
          </w:p>
        </w:tc>
        <w:tc>
          <w:tcPr>
            <w:tcW w:w="301" w:type="pct"/>
            <w:vAlign w:val="center"/>
          </w:tcPr>
          <w:p>
            <w:pPr>
              <w:jc w:val="center"/>
              <w:rPr>
                <w:rFonts w:eastAsia="等线"/>
                <w:color w:val="auto"/>
                <w:szCs w:val="21"/>
                <w:highlight w:val="none"/>
              </w:rPr>
            </w:pPr>
            <w:r>
              <w:rPr>
                <w:rFonts w:eastAsia="等线"/>
                <w:color w:val="auto"/>
                <w:szCs w:val="21"/>
                <w:highlight w:val="none"/>
              </w:rPr>
              <w:t>3.9</w:t>
            </w:r>
          </w:p>
        </w:tc>
        <w:tc>
          <w:tcPr>
            <w:tcW w:w="245" w:type="pct"/>
            <w:vAlign w:val="center"/>
          </w:tcPr>
          <w:p>
            <w:pPr>
              <w:jc w:val="center"/>
              <w:rPr>
                <w:rFonts w:eastAsia="等线"/>
                <w:color w:val="auto"/>
                <w:szCs w:val="21"/>
                <w:highlight w:val="none"/>
              </w:rPr>
            </w:pPr>
            <w:r>
              <w:rPr>
                <w:rFonts w:eastAsia="等线"/>
                <w:color w:val="auto"/>
                <w:szCs w:val="21"/>
                <w:highlight w:val="none"/>
              </w:rPr>
              <w:t>3.8</w:t>
            </w:r>
          </w:p>
        </w:tc>
        <w:tc>
          <w:tcPr>
            <w:tcW w:w="321" w:type="pct"/>
            <w:vAlign w:val="center"/>
          </w:tcPr>
          <w:p>
            <w:pPr>
              <w:jc w:val="center"/>
              <w:rPr>
                <w:rFonts w:eastAsia="等线"/>
                <w:color w:val="auto"/>
                <w:szCs w:val="21"/>
                <w:highlight w:val="none"/>
              </w:rPr>
            </w:pPr>
            <w:r>
              <w:rPr>
                <w:rFonts w:eastAsia="等线"/>
                <w:color w:val="auto"/>
                <w:szCs w:val="21"/>
                <w:highlight w:val="none"/>
              </w:rPr>
              <w:t>2.29</w:t>
            </w:r>
          </w:p>
        </w:tc>
        <w:tc>
          <w:tcPr>
            <w:tcW w:w="245" w:type="pct"/>
            <w:vAlign w:val="center"/>
          </w:tcPr>
          <w:p>
            <w:pPr>
              <w:jc w:val="center"/>
              <w:rPr>
                <w:rFonts w:eastAsia="等线"/>
                <w:color w:val="auto"/>
                <w:szCs w:val="21"/>
                <w:highlight w:val="none"/>
              </w:rPr>
            </w:pPr>
            <w:r>
              <w:rPr>
                <w:rFonts w:eastAsia="等线"/>
                <w:color w:val="auto"/>
                <w:szCs w:val="21"/>
                <w:highlight w:val="none"/>
              </w:rPr>
              <w:t>2.59</w:t>
            </w:r>
          </w:p>
        </w:tc>
        <w:tc>
          <w:tcPr>
            <w:tcW w:w="308" w:type="pct"/>
            <w:vAlign w:val="center"/>
          </w:tcPr>
          <w:p>
            <w:pPr>
              <w:jc w:val="center"/>
              <w:rPr>
                <w:rFonts w:eastAsia="等线"/>
                <w:color w:val="auto"/>
                <w:szCs w:val="21"/>
                <w:highlight w:val="none"/>
              </w:rPr>
            </w:pPr>
            <w:r>
              <w:rPr>
                <w:rFonts w:eastAsia="等线"/>
                <w:color w:val="auto"/>
                <w:szCs w:val="21"/>
                <w:highlight w:val="none"/>
              </w:rPr>
              <w:t>1.49</w:t>
            </w:r>
          </w:p>
        </w:tc>
        <w:tc>
          <w:tcPr>
            <w:tcW w:w="304" w:type="pct"/>
            <w:vAlign w:val="center"/>
          </w:tcPr>
          <w:p>
            <w:pPr>
              <w:jc w:val="center"/>
              <w:rPr>
                <w:rFonts w:eastAsia="等线"/>
                <w:color w:val="auto"/>
                <w:szCs w:val="21"/>
                <w:highlight w:val="none"/>
              </w:rPr>
            </w:pPr>
            <w:r>
              <w:rPr>
                <w:rFonts w:eastAsia="等线"/>
                <w:color w:val="auto"/>
                <w:szCs w:val="21"/>
                <w:highlight w:val="none"/>
              </w:rPr>
              <w:t>6.36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5" w:type="pct"/>
            <w:vAlign w:val="center"/>
          </w:tcPr>
          <w:p>
            <w:pPr>
              <w:jc w:val="center"/>
              <w:rPr>
                <w:rFonts w:eastAsia="等线"/>
                <w:color w:val="auto"/>
                <w:szCs w:val="21"/>
                <w:highlight w:val="none"/>
              </w:rPr>
            </w:pPr>
            <w:r>
              <w:rPr>
                <w:rFonts w:eastAsia="等线"/>
                <w:color w:val="auto"/>
                <w:szCs w:val="21"/>
                <w:highlight w:val="none"/>
              </w:rPr>
              <w:t>8月</w:t>
            </w:r>
          </w:p>
        </w:tc>
        <w:tc>
          <w:tcPr>
            <w:tcW w:w="307" w:type="pct"/>
            <w:vAlign w:val="center"/>
          </w:tcPr>
          <w:p>
            <w:pPr>
              <w:jc w:val="center"/>
              <w:rPr>
                <w:rFonts w:eastAsia="等线"/>
                <w:color w:val="auto"/>
                <w:szCs w:val="21"/>
                <w:highlight w:val="none"/>
              </w:rPr>
            </w:pPr>
            <w:r>
              <w:rPr>
                <w:rFonts w:eastAsia="等线"/>
                <w:color w:val="auto"/>
                <w:szCs w:val="21"/>
                <w:highlight w:val="none"/>
              </w:rPr>
              <w:t>4.81</w:t>
            </w:r>
          </w:p>
        </w:tc>
        <w:tc>
          <w:tcPr>
            <w:tcW w:w="307" w:type="pct"/>
            <w:vAlign w:val="center"/>
          </w:tcPr>
          <w:p>
            <w:pPr>
              <w:jc w:val="center"/>
              <w:rPr>
                <w:rFonts w:eastAsia="等线"/>
                <w:color w:val="auto"/>
                <w:szCs w:val="21"/>
                <w:highlight w:val="none"/>
              </w:rPr>
            </w:pPr>
            <w:r>
              <w:rPr>
                <w:rFonts w:eastAsia="等线"/>
                <w:color w:val="auto"/>
                <w:szCs w:val="21"/>
                <w:highlight w:val="none"/>
              </w:rPr>
              <w:t>9.01</w:t>
            </w:r>
          </w:p>
        </w:tc>
        <w:tc>
          <w:tcPr>
            <w:tcW w:w="307" w:type="pct"/>
            <w:vAlign w:val="center"/>
          </w:tcPr>
          <w:p>
            <w:pPr>
              <w:jc w:val="center"/>
              <w:rPr>
                <w:rFonts w:eastAsia="等线"/>
                <w:color w:val="auto"/>
                <w:szCs w:val="21"/>
                <w:highlight w:val="none"/>
              </w:rPr>
            </w:pPr>
            <w:r>
              <w:rPr>
                <w:rFonts w:eastAsia="等线"/>
                <w:color w:val="auto"/>
                <w:szCs w:val="21"/>
                <w:highlight w:val="none"/>
              </w:rPr>
              <w:t>11.31</w:t>
            </w:r>
          </w:p>
        </w:tc>
        <w:tc>
          <w:tcPr>
            <w:tcW w:w="245" w:type="pct"/>
            <w:vAlign w:val="center"/>
          </w:tcPr>
          <w:p>
            <w:pPr>
              <w:jc w:val="center"/>
              <w:rPr>
                <w:rFonts w:eastAsia="等线"/>
                <w:color w:val="auto"/>
                <w:szCs w:val="21"/>
                <w:highlight w:val="none"/>
              </w:rPr>
            </w:pPr>
            <w:r>
              <w:rPr>
                <w:rFonts w:eastAsia="等线"/>
                <w:color w:val="auto"/>
                <w:szCs w:val="21"/>
                <w:highlight w:val="none"/>
              </w:rPr>
              <w:t>9.66</w:t>
            </w:r>
          </w:p>
        </w:tc>
        <w:tc>
          <w:tcPr>
            <w:tcW w:w="278" w:type="pct"/>
            <w:vAlign w:val="center"/>
          </w:tcPr>
          <w:p>
            <w:pPr>
              <w:jc w:val="center"/>
              <w:rPr>
                <w:rFonts w:eastAsia="等线"/>
                <w:color w:val="auto"/>
                <w:szCs w:val="21"/>
                <w:highlight w:val="none"/>
              </w:rPr>
            </w:pPr>
            <w:r>
              <w:rPr>
                <w:rFonts w:eastAsia="等线"/>
                <w:color w:val="auto"/>
                <w:szCs w:val="21"/>
                <w:highlight w:val="none"/>
              </w:rPr>
              <w:t>13.01</w:t>
            </w:r>
          </w:p>
        </w:tc>
        <w:tc>
          <w:tcPr>
            <w:tcW w:w="278" w:type="pct"/>
            <w:vAlign w:val="center"/>
          </w:tcPr>
          <w:p>
            <w:pPr>
              <w:jc w:val="center"/>
              <w:rPr>
                <w:rFonts w:eastAsia="等线"/>
                <w:color w:val="auto"/>
                <w:szCs w:val="21"/>
                <w:highlight w:val="none"/>
              </w:rPr>
            </w:pPr>
            <w:r>
              <w:rPr>
                <w:rFonts w:eastAsia="等线"/>
                <w:color w:val="auto"/>
                <w:szCs w:val="21"/>
                <w:highlight w:val="none"/>
              </w:rPr>
              <w:t>9.66</w:t>
            </w:r>
          </w:p>
        </w:tc>
        <w:tc>
          <w:tcPr>
            <w:tcW w:w="245" w:type="pct"/>
            <w:vAlign w:val="center"/>
          </w:tcPr>
          <w:p>
            <w:pPr>
              <w:jc w:val="center"/>
              <w:rPr>
                <w:rFonts w:eastAsia="等线"/>
                <w:color w:val="auto"/>
                <w:szCs w:val="21"/>
                <w:highlight w:val="none"/>
              </w:rPr>
            </w:pPr>
            <w:r>
              <w:rPr>
                <w:rFonts w:eastAsia="等线"/>
                <w:color w:val="auto"/>
                <w:szCs w:val="21"/>
                <w:highlight w:val="none"/>
              </w:rPr>
              <w:t>6.66</w:t>
            </w:r>
          </w:p>
        </w:tc>
        <w:tc>
          <w:tcPr>
            <w:tcW w:w="245" w:type="pct"/>
            <w:vAlign w:val="center"/>
          </w:tcPr>
          <w:p>
            <w:pPr>
              <w:jc w:val="center"/>
              <w:rPr>
                <w:rFonts w:eastAsia="等线"/>
                <w:color w:val="auto"/>
                <w:szCs w:val="21"/>
                <w:highlight w:val="none"/>
              </w:rPr>
            </w:pPr>
            <w:r>
              <w:rPr>
                <w:rFonts w:eastAsia="等线"/>
                <w:color w:val="auto"/>
                <w:szCs w:val="21"/>
                <w:highlight w:val="none"/>
              </w:rPr>
              <w:t>4.81</w:t>
            </w:r>
          </w:p>
        </w:tc>
        <w:tc>
          <w:tcPr>
            <w:tcW w:w="245" w:type="pct"/>
            <w:vAlign w:val="center"/>
          </w:tcPr>
          <w:p>
            <w:pPr>
              <w:jc w:val="center"/>
              <w:rPr>
                <w:rFonts w:eastAsia="等线"/>
                <w:color w:val="auto"/>
                <w:szCs w:val="21"/>
                <w:highlight w:val="none"/>
              </w:rPr>
            </w:pPr>
            <w:r>
              <w:rPr>
                <w:rFonts w:eastAsia="等线"/>
                <w:color w:val="auto"/>
                <w:szCs w:val="21"/>
                <w:highlight w:val="none"/>
              </w:rPr>
              <w:t>3.85</w:t>
            </w:r>
          </w:p>
        </w:tc>
        <w:tc>
          <w:tcPr>
            <w:tcW w:w="307" w:type="pct"/>
            <w:vAlign w:val="center"/>
          </w:tcPr>
          <w:p>
            <w:pPr>
              <w:jc w:val="center"/>
              <w:rPr>
                <w:rFonts w:eastAsia="等线"/>
                <w:color w:val="auto"/>
                <w:szCs w:val="21"/>
                <w:highlight w:val="none"/>
              </w:rPr>
            </w:pPr>
            <w:r>
              <w:rPr>
                <w:rFonts w:eastAsia="等线"/>
                <w:color w:val="auto"/>
                <w:szCs w:val="21"/>
                <w:highlight w:val="none"/>
              </w:rPr>
              <w:t>3.28</w:t>
            </w:r>
          </w:p>
        </w:tc>
        <w:tc>
          <w:tcPr>
            <w:tcW w:w="245" w:type="pct"/>
            <w:vAlign w:val="center"/>
          </w:tcPr>
          <w:p>
            <w:pPr>
              <w:jc w:val="center"/>
              <w:rPr>
                <w:rFonts w:eastAsia="等线"/>
                <w:color w:val="auto"/>
                <w:szCs w:val="21"/>
                <w:highlight w:val="none"/>
              </w:rPr>
            </w:pPr>
            <w:r>
              <w:rPr>
                <w:rFonts w:eastAsia="等线"/>
                <w:color w:val="auto"/>
                <w:szCs w:val="21"/>
                <w:highlight w:val="none"/>
              </w:rPr>
              <w:t>3.11</w:t>
            </w:r>
          </w:p>
        </w:tc>
        <w:tc>
          <w:tcPr>
            <w:tcW w:w="301" w:type="pct"/>
            <w:vAlign w:val="center"/>
          </w:tcPr>
          <w:p>
            <w:pPr>
              <w:jc w:val="center"/>
              <w:rPr>
                <w:rFonts w:eastAsia="等线"/>
                <w:color w:val="auto"/>
                <w:szCs w:val="21"/>
                <w:highlight w:val="none"/>
              </w:rPr>
            </w:pPr>
            <w:r>
              <w:rPr>
                <w:rFonts w:eastAsia="等线"/>
                <w:color w:val="auto"/>
                <w:szCs w:val="21"/>
                <w:highlight w:val="none"/>
              </w:rPr>
              <w:t>2.54</w:t>
            </w:r>
          </w:p>
        </w:tc>
        <w:tc>
          <w:tcPr>
            <w:tcW w:w="245" w:type="pct"/>
            <w:vAlign w:val="center"/>
          </w:tcPr>
          <w:p>
            <w:pPr>
              <w:jc w:val="center"/>
              <w:rPr>
                <w:rFonts w:eastAsia="等线"/>
                <w:color w:val="auto"/>
                <w:szCs w:val="21"/>
                <w:highlight w:val="none"/>
              </w:rPr>
            </w:pPr>
            <w:r>
              <w:rPr>
                <w:rFonts w:eastAsia="等线"/>
                <w:color w:val="auto"/>
                <w:szCs w:val="21"/>
                <w:highlight w:val="none"/>
              </w:rPr>
              <w:t>2.27</w:t>
            </w:r>
          </w:p>
        </w:tc>
        <w:tc>
          <w:tcPr>
            <w:tcW w:w="321" w:type="pct"/>
            <w:vAlign w:val="center"/>
          </w:tcPr>
          <w:p>
            <w:pPr>
              <w:jc w:val="center"/>
              <w:rPr>
                <w:rFonts w:eastAsia="等线"/>
                <w:color w:val="auto"/>
                <w:szCs w:val="21"/>
                <w:highlight w:val="none"/>
              </w:rPr>
            </w:pPr>
            <w:r>
              <w:rPr>
                <w:rFonts w:eastAsia="等线"/>
                <w:color w:val="auto"/>
                <w:szCs w:val="21"/>
                <w:highlight w:val="none"/>
              </w:rPr>
              <w:t>2.59</w:t>
            </w:r>
          </w:p>
        </w:tc>
        <w:tc>
          <w:tcPr>
            <w:tcW w:w="245" w:type="pct"/>
            <w:vAlign w:val="center"/>
          </w:tcPr>
          <w:p>
            <w:pPr>
              <w:jc w:val="center"/>
              <w:rPr>
                <w:rFonts w:eastAsia="等线"/>
                <w:color w:val="auto"/>
                <w:szCs w:val="21"/>
                <w:highlight w:val="none"/>
              </w:rPr>
            </w:pPr>
            <w:r>
              <w:rPr>
                <w:rFonts w:eastAsia="等线"/>
                <w:color w:val="auto"/>
                <w:szCs w:val="21"/>
                <w:highlight w:val="none"/>
              </w:rPr>
              <w:t>3.11</w:t>
            </w:r>
          </w:p>
        </w:tc>
        <w:tc>
          <w:tcPr>
            <w:tcW w:w="308" w:type="pct"/>
            <w:vAlign w:val="center"/>
          </w:tcPr>
          <w:p>
            <w:pPr>
              <w:jc w:val="center"/>
              <w:rPr>
                <w:rFonts w:eastAsia="等线"/>
                <w:color w:val="auto"/>
                <w:szCs w:val="21"/>
                <w:highlight w:val="none"/>
              </w:rPr>
            </w:pPr>
            <w:r>
              <w:rPr>
                <w:rFonts w:eastAsia="等线"/>
                <w:color w:val="auto"/>
                <w:szCs w:val="21"/>
                <w:highlight w:val="none"/>
              </w:rPr>
              <w:t>2.46</w:t>
            </w:r>
          </w:p>
        </w:tc>
        <w:tc>
          <w:tcPr>
            <w:tcW w:w="304" w:type="pct"/>
            <w:vAlign w:val="center"/>
          </w:tcPr>
          <w:p>
            <w:pPr>
              <w:jc w:val="center"/>
              <w:rPr>
                <w:rFonts w:eastAsia="等线"/>
                <w:color w:val="auto"/>
                <w:szCs w:val="21"/>
                <w:highlight w:val="none"/>
              </w:rPr>
            </w:pPr>
            <w:r>
              <w:rPr>
                <w:rFonts w:eastAsia="等线"/>
                <w:color w:val="auto"/>
                <w:szCs w:val="21"/>
                <w:highlight w:val="none"/>
              </w:rPr>
              <w:t>7.9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5" w:type="pct"/>
            <w:vAlign w:val="center"/>
          </w:tcPr>
          <w:p>
            <w:pPr>
              <w:jc w:val="center"/>
              <w:rPr>
                <w:rFonts w:eastAsia="等线"/>
                <w:color w:val="auto"/>
                <w:szCs w:val="21"/>
                <w:highlight w:val="none"/>
              </w:rPr>
            </w:pPr>
            <w:r>
              <w:rPr>
                <w:rFonts w:eastAsia="等线"/>
                <w:color w:val="auto"/>
                <w:szCs w:val="21"/>
                <w:highlight w:val="none"/>
              </w:rPr>
              <w:t>9月</w:t>
            </w:r>
          </w:p>
        </w:tc>
        <w:tc>
          <w:tcPr>
            <w:tcW w:w="307" w:type="pct"/>
            <w:vAlign w:val="center"/>
          </w:tcPr>
          <w:p>
            <w:pPr>
              <w:jc w:val="center"/>
              <w:rPr>
                <w:rFonts w:eastAsia="等线"/>
                <w:color w:val="auto"/>
                <w:szCs w:val="21"/>
                <w:highlight w:val="none"/>
              </w:rPr>
            </w:pPr>
            <w:r>
              <w:rPr>
                <w:rFonts w:eastAsia="等线"/>
                <w:color w:val="auto"/>
                <w:szCs w:val="21"/>
                <w:highlight w:val="none"/>
              </w:rPr>
              <w:t>4.17</w:t>
            </w:r>
          </w:p>
        </w:tc>
        <w:tc>
          <w:tcPr>
            <w:tcW w:w="307" w:type="pct"/>
            <w:vAlign w:val="center"/>
          </w:tcPr>
          <w:p>
            <w:pPr>
              <w:jc w:val="center"/>
              <w:rPr>
                <w:rFonts w:eastAsia="等线"/>
                <w:color w:val="auto"/>
                <w:szCs w:val="21"/>
                <w:highlight w:val="none"/>
              </w:rPr>
            </w:pPr>
            <w:r>
              <w:rPr>
                <w:rFonts w:eastAsia="等线"/>
                <w:color w:val="auto"/>
                <w:szCs w:val="21"/>
                <w:highlight w:val="none"/>
              </w:rPr>
              <w:t>10.77</w:t>
            </w:r>
          </w:p>
        </w:tc>
        <w:tc>
          <w:tcPr>
            <w:tcW w:w="307" w:type="pct"/>
            <w:vAlign w:val="center"/>
          </w:tcPr>
          <w:p>
            <w:pPr>
              <w:jc w:val="center"/>
              <w:rPr>
                <w:rFonts w:eastAsia="等线"/>
                <w:color w:val="auto"/>
                <w:szCs w:val="21"/>
                <w:highlight w:val="none"/>
              </w:rPr>
            </w:pPr>
            <w:r>
              <w:rPr>
                <w:rFonts w:eastAsia="等线"/>
                <w:color w:val="auto"/>
                <w:szCs w:val="21"/>
                <w:highlight w:val="none"/>
              </w:rPr>
              <w:t>10.57</w:t>
            </w:r>
          </w:p>
        </w:tc>
        <w:tc>
          <w:tcPr>
            <w:tcW w:w="245" w:type="pct"/>
            <w:vAlign w:val="center"/>
          </w:tcPr>
          <w:p>
            <w:pPr>
              <w:jc w:val="center"/>
              <w:rPr>
                <w:rFonts w:eastAsia="等线"/>
                <w:color w:val="auto"/>
                <w:szCs w:val="21"/>
                <w:highlight w:val="none"/>
              </w:rPr>
            </w:pPr>
            <w:r>
              <w:rPr>
                <w:rFonts w:eastAsia="等线"/>
                <w:color w:val="auto"/>
                <w:szCs w:val="21"/>
                <w:highlight w:val="none"/>
              </w:rPr>
              <w:t>9.67</w:t>
            </w:r>
          </w:p>
        </w:tc>
        <w:tc>
          <w:tcPr>
            <w:tcW w:w="278" w:type="pct"/>
            <w:vAlign w:val="center"/>
          </w:tcPr>
          <w:p>
            <w:pPr>
              <w:jc w:val="center"/>
              <w:rPr>
                <w:rFonts w:eastAsia="等线"/>
                <w:color w:val="auto"/>
                <w:szCs w:val="21"/>
                <w:highlight w:val="none"/>
              </w:rPr>
            </w:pPr>
            <w:r>
              <w:rPr>
                <w:rFonts w:eastAsia="等线"/>
                <w:color w:val="auto"/>
                <w:szCs w:val="21"/>
                <w:highlight w:val="none"/>
              </w:rPr>
              <w:t>11.27</w:t>
            </w:r>
          </w:p>
        </w:tc>
        <w:tc>
          <w:tcPr>
            <w:tcW w:w="278" w:type="pct"/>
            <w:vAlign w:val="center"/>
          </w:tcPr>
          <w:p>
            <w:pPr>
              <w:jc w:val="center"/>
              <w:rPr>
                <w:rFonts w:eastAsia="等线"/>
                <w:color w:val="auto"/>
                <w:szCs w:val="21"/>
                <w:highlight w:val="none"/>
              </w:rPr>
            </w:pPr>
            <w:r>
              <w:rPr>
                <w:rFonts w:eastAsia="等线"/>
                <w:color w:val="auto"/>
                <w:szCs w:val="21"/>
                <w:highlight w:val="none"/>
              </w:rPr>
              <w:t>6.82</w:t>
            </w:r>
          </w:p>
        </w:tc>
        <w:tc>
          <w:tcPr>
            <w:tcW w:w="245" w:type="pct"/>
            <w:vAlign w:val="center"/>
          </w:tcPr>
          <w:p>
            <w:pPr>
              <w:jc w:val="center"/>
              <w:rPr>
                <w:rFonts w:eastAsia="等线"/>
                <w:color w:val="auto"/>
                <w:szCs w:val="21"/>
                <w:highlight w:val="none"/>
              </w:rPr>
            </w:pPr>
            <w:r>
              <w:rPr>
                <w:rFonts w:eastAsia="等线"/>
                <w:color w:val="auto"/>
                <w:szCs w:val="21"/>
                <w:highlight w:val="none"/>
              </w:rPr>
              <w:t>5.27</w:t>
            </w:r>
          </w:p>
        </w:tc>
        <w:tc>
          <w:tcPr>
            <w:tcW w:w="245" w:type="pct"/>
            <w:vAlign w:val="center"/>
          </w:tcPr>
          <w:p>
            <w:pPr>
              <w:jc w:val="center"/>
              <w:rPr>
                <w:rFonts w:eastAsia="等线"/>
                <w:color w:val="auto"/>
                <w:szCs w:val="21"/>
                <w:highlight w:val="none"/>
              </w:rPr>
            </w:pPr>
            <w:r>
              <w:rPr>
                <w:rFonts w:eastAsia="等线"/>
                <w:color w:val="auto"/>
                <w:szCs w:val="21"/>
                <w:highlight w:val="none"/>
              </w:rPr>
              <w:t>3.97</w:t>
            </w:r>
          </w:p>
        </w:tc>
        <w:tc>
          <w:tcPr>
            <w:tcW w:w="245" w:type="pct"/>
            <w:vAlign w:val="center"/>
          </w:tcPr>
          <w:p>
            <w:pPr>
              <w:jc w:val="center"/>
              <w:rPr>
                <w:rFonts w:eastAsia="等线"/>
                <w:color w:val="auto"/>
                <w:szCs w:val="21"/>
                <w:highlight w:val="none"/>
              </w:rPr>
            </w:pPr>
            <w:r>
              <w:rPr>
                <w:rFonts w:eastAsia="等线"/>
                <w:color w:val="auto"/>
                <w:szCs w:val="21"/>
                <w:highlight w:val="none"/>
              </w:rPr>
              <w:t>3.51</w:t>
            </w:r>
          </w:p>
        </w:tc>
        <w:tc>
          <w:tcPr>
            <w:tcW w:w="307" w:type="pct"/>
            <w:vAlign w:val="center"/>
          </w:tcPr>
          <w:p>
            <w:pPr>
              <w:jc w:val="center"/>
              <w:rPr>
                <w:rFonts w:eastAsia="等线"/>
                <w:color w:val="auto"/>
                <w:szCs w:val="21"/>
                <w:highlight w:val="none"/>
              </w:rPr>
            </w:pPr>
            <w:r>
              <w:rPr>
                <w:rFonts w:eastAsia="等线"/>
                <w:color w:val="auto"/>
                <w:szCs w:val="21"/>
                <w:highlight w:val="none"/>
              </w:rPr>
              <w:t>2.07</w:t>
            </w:r>
          </w:p>
        </w:tc>
        <w:tc>
          <w:tcPr>
            <w:tcW w:w="245" w:type="pct"/>
            <w:vAlign w:val="center"/>
          </w:tcPr>
          <w:p>
            <w:pPr>
              <w:jc w:val="center"/>
              <w:rPr>
                <w:rFonts w:eastAsia="等线"/>
                <w:color w:val="auto"/>
                <w:szCs w:val="21"/>
                <w:highlight w:val="none"/>
              </w:rPr>
            </w:pPr>
            <w:r>
              <w:rPr>
                <w:rFonts w:eastAsia="等线"/>
                <w:color w:val="auto"/>
                <w:szCs w:val="21"/>
                <w:highlight w:val="none"/>
              </w:rPr>
              <w:t>2.77</w:t>
            </w:r>
          </w:p>
        </w:tc>
        <w:tc>
          <w:tcPr>
            <w:tcW w:w="301" w:type="pct"/>
            <w:vAlign w:val="center"/>
          </w:tcPr>
          <w:p>
            <w:pPr>
              <w:jc w:val="center"/>
              <w:rPr>
                <w:rFonts w:eastAsia="等线"/>
                <w:color w:val="auto"/>
                <w:szCs w:val="21"/>
                <w:highlight w:val="none"/>
              </w:rPr>
            </w:pPr>
            <w:r>
              <w:rPr>
                <w:rFonts w:eastAsia="等线"/>
                <w:color w:val="auto"/>
                <w:szCs w:val="21"/>
                <w:highlight w:val="none"/>
              </w:rPr>
              <w:t>2.37</w:t>
            </w:r>
          </w:p>
        </w:tc>
        <w:tc>
          <w:tcPr>
            <w:tcW w:w="245" w:type="pct"/>
            <w:vAlign w:val="center"/>
          </w:tcPr>
          <w:p>
            <w:pPr>
              <w:jc w:val="center"/>
              <w:rPr>
                <w:rFonts w:eastAsia="等线"/>
                <w:color w:val="auto"/>
                <w:szCs w:val="21"/>
                <w:highlight w:val="none"/>
              </w:rPr>
            </w:pPr>
            <w:r>
              <w:rPr>
                <w:rFonts w:eastAsia="等线"/>
                <w:color w:val="auto"/>
                <w:szCs w:val="21"/>
                <w:highlight w:val="none"/>
              </w:rPr>
              <w:t>3.15</w:t>
            </w:r>
          </w:p>
        </w:tc>
        <w:tc>
          <w:tcPr>
            <w:tcW w:w="321" w:type="pct"/>
            <w:vAlign w:val="center"/>
          </w:tcPr>
          <w:p>
            <w:pPr>
              <w:jc w:val="center"/>
              <w:rPr>
                <w:rFonts w:eastAsia="等线"/>
                <w:color w:val="auto"/>
                <w:szCs w:val="21"/>
                <w:highlight w:val="none"/>
              </w:rPr>
            </w:pPr>
            <w:r>
              <w:rPr>
                <w:rFonts w:eastAsia="等线"/>
                <w:color w:val="auto"/>
                <w:szCs w:val="21"/>
                <w:highlight w:val="none"/>
              </w:rPr>
              <w:t>3.09</w:t>
            </w:r>
          </w:p>
        </w:tc>
        <w:tc>
          <w:tcPr>
            <w:tcW w:w="245" w:type="pct"/>
            <w:vAlign w:val="center"/>
          </w:tcPr>
          <w:p>
            <w:pPr>
              <w:jc w:val="center"/>
              <w:rPr>
                <w:rFonts w:eastAsia="等线"/>
                <w:color w:val="auto"/>
                <w:szCs w:val="21"/>
                <w:highlight w:val="none"/>
              </w:rPr>
            </w:pPr>
            <w:r>
              <w:rPr>
                <w:rFonts w:eastAsia="等线"/>
                <w:color w:val="auto"/>
                <w:szCs w:val="21"/>
                <w:highlight w:val="none"/>
              </w:rPr>
              <w:t>4.07</w:t>
            </w:r>
          </w:p>
        </w:tc>
        <w:tc>
          <w:tcPr>
            <w:tcW w:w="308" w:type="pct"/>
            <w:vAlign w:val="center"/>
          </w:tcPr>
          <w:p>
            <w:pPr>
              <w:jc w:val="center"/>
              <w:rPr>
                <w:rFonts w:eastAsia="等线"/>
                <w:color w:val="auto"/>
                <w:szCs w:val="21"/>
                <w:highlight w:val="none"/>
              </w:rPr>
            </w:pPr>
            <w:r>
              <w:rPr>
                <w:rFonts w:eastAsia="等线"/>
                <w:color w:val="auto"/>
                <w:szCs w:val="21"/>
                <w:highlight w:val="none"/>
              </w:rPr>
              <w:t>3.43</w:t>
            </w:r>
          </w:p>
        </w:tc>
        <w:tc>
          <w:tcPr>
            <w:tcW w:w="304" w:type="pct"/>
            <w:vAlign w:val="center"/>
          </w:tcPr>
          <w:p>
            <w:pPr>
              <w:jc w:val="center"/>
              <w:rPr>
                <w:rFonts w:eastAsia="等线"/>
                <w:color w:val="auto"/>
                <w:szCs w:val="21"/>
                <w:highlight w:val="none"/>
              </w:rPr>
            </w:pPr>
            <w:r>
              <w:rPr>
                <w:rFonts w:eastAsia="等线"/>
                <w:color w:val="auto"/>
                <w:szCs w:val="21"/>
                <w:highlight w:val="none"/>
              </w:rPr>
              <w:t>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5" w:type="pct"/>
            <w:vAlign w:val="center"/>
          </w:tcPr>
          <w:p>
            <w:pPr>
              <w:jc w:val="center"/>
              <w:rPr>
                <w:rFonts w:eastAsia="等线"/>
                <w:color w:val="auto"/>
                <w:szCs w:val="21"/>
                <w:highlight w:val="none"/>
              </w:rPr>
            </w:pPr>
            <w:r>
              <w:rPr>
                <w:rFonts w:eastAsia="等线"/>
                <w:color w:val="auto"/>
                <w:szCs w:val="21"/>
                <w:highlight w:val="none"/>
              </w:rPr>
              <w:t>10月</w:t>
            </w:r>
          </w:p>
        </w:tc>
        <w:tc>
          <w:tcPr>
            <w:tcW w:w="307" w:type="pct"/>
            <w:vAlign w:val="center"/>
          </w:tcPr>
          <w:p>
            <w:pPr>
              <w:jc w:val="center"/>
              <w:rPr>
                <w:rFonts w:eastAsia="等线"/>
                <w:color w:val="auto"/>
                <w:szCs w:val="21"/>
                <w:highlight w:val="none"/>
              </w:rPr>
            </w:pPr>
            <w:r>
              <w:rPr>
                <w:rFonts w:eastAsia="等线"/>
                <w:color w:val="auto"/>
                <w:szCs w:val="21"/>
                <w:highlight w:val="none"/>
              </w:rPr>
              <w:t>5.23</w:t>
            </w:r>
          </w:p>
        </w:tc>
        <w:tc>
          <w:tcPr>
            <w:tcW w:w="307" w:type="pct"/>
            <w:vAlign w:val="center"/>
          </w:tcPr>
          <w:p>
            <w:pPr>
              <w:jc w:val="center"/>
              <w:rPr>
                <w:rFonts w:eastAsia="等线"/>
                <w:color w:val="auto"/>
                <w:szCs w:val="21"/>
                <w:highlight w:val="none"/>
              </w:rPr>
            </w:pPr>
            <w:r>
              <w:rPr>
                <w:rFonts w:eastAsia="等线"/>
                <w:color w:val="auto"/>
                <w:szCs w:val="21"/>
                <w:highlight w:val="none"/>
              </w:rPr>
              <w:t>7.33</w:t>
            </w:r>
          </w:p>
        </w:tc>
        <w:tc>
          <w:tcPr>
            <w:tcW w:w="307" w:type="pct"/>
            <w:vAlign w:val="center"/>
          </w:tcPr>
          <w:p>
            <w:pPr>
              <w:jc w:val="center"/>
              <w:rPr>
                <w:rFonts w:eastAsia="等线"/>
                <w:color w:val="auto"/>
                <w:szCs w:val="21"/>
                <w:highlight w:val="none"/>
              </w:rPr>
            </w:pPr>
            <w:r>
              <w:rPr>
                <w:rFonts w:eastAsia="等线"/>
                <w:color w:val="auto"/>
                <w:szCs w:val="21"/>
                <w:highlight w:val="none"/>
              </w:rPr>
              <w:t>9.18</w:t>
            </w:r>
          </w:p>
        </w:tc>
        <w:tc>
          <w:tcPr>
            <w:tcW w:w="245" w:type="pct"/>
            <w:vAlign w:val="center"/>
          </w:tcPr>
          <w:p>
            <w:pPr>
              <w:jc w:val="center"/>
              <w:rPr>
                <w:rFonts w:eastAsia="等线"/>
                <w:color w:val="auto"/>
                <w:szCs w:val="21"/>
                <w:highlight w:val="none"/>
              </w:rPr>
            </w:pPr>
            <w:r>
              <w:rPr>
                <w:rFonts w:eastAsia="等线"/>
                <w:color w:val="auto"/>
                <w:szCs w:val="21"/>
                <w:highlight w:val="none"/>
              </w:rPr>
              <w:t>7.38</w:t>
            </w:r>
          </w:p>
        </w:tc>
        <w:tc>
          <w:tcPr>
            <w:tcW w:w="278" w:type="pct"/>
            <w:vAlign w:val="center"/>
          </w:tcPr>
          <w:p>
            <w:pPr>
              <w:jc w:val="center"/>
              <w:rPr>
                <w:rFonts w:eastAsia="等线"/>
                <w:color w:val="auto"/>
                <w:szCs w:val="21"/>
                <w:highlight w:val="none"/>
              </w:rPr>
            </w:pPr>
            <w:r>
              <w:rPr>
                <w:rFonts w:eastAsia="等线"/>
                <w:color w:val="auto"/>
                <w:szCs w:val="21"/>
                <w:highlight w:val="none"/>
              </w:rPr>
              <w:t>8.78</w:t>
            </w:r>
          </w:p>
        </w:tc>
        <w:tc>
          <w:tcPr>
            <w:tcW w:w="278" w:type="pct"/>
            <w:vAlign w:val="center"/>
          </w:tcPr>
          <w:p>
            <w:pPr>
              <w:jc w:val="center"/>
              <w:rPr>
                <w:rFonts w:eastAsia="等线"/>
                <w:color w:val="auto"/>
                <w:szCs w:val="21"/>
                <w:highlight w:val="none"/>
              </w:rPr>
            </w:pPr>
            <w:r>
              <w:rPr>
                <w:rFonts w:eastAsia="等线"/>
                <w:color w:val="auto"/>
                <w:szCs w:val="21"/>
                <w:highlight w:val="none"/>
              </w:rPr>
              <w:t>6.08</w:t>
            </w:r>
          </w:p>
        </w:tc>
        <w:tc>
          <w:tcPr>
            <w:tcW w:w="245" w:type="pct"/>
            <w:vAlign w:val="center"/>
          </w:tcPr>
          <w:p>
            <w:pPr>
              <w:jc w:val="center"/>
              <w:rPr>
                <w:rFonts w:eastAsia="等线"/>
                <w:color w:val="auto"/>
                <w:szCs w:val="21"/>
                <w:highlight w:val="none"/>
              </w:rPr>
            </w:pPr>
            <w:r>
              <w:rPr>
                <w:rFonts w:eastAsia="等线"/>
                <w:color w:val="auto"/>
                <w:szCs w:val="21"/>
                <w:highlight w:val="none"/>
              </w:rPr>
              <w:t>4.68</w:t>
            </w:r>
          </w:p>
        </w:tc>
        <w:tc>
          <w:tcPr>
            <w:tcW w:w="245" w:type="pct"/>
            <w:vAlign w:val="center"/>
          </w:tcPr>
          <w:p>
            <w:pPr>
              <w:jc w:val="center"/>
              <w:rPr>
                <w:rFonts w:eastAsia="等线"/>
                <w:color w:val="auto"/>
                <w:szCs w:val="21"/>
                <w:highlight w:val="none"/>
              </w:rPr>
            </w:pPr>
            <w:r>
              <w:rPr>
                <w:rFonts w:eastAsia="等线"/>
                <w:color w:val="auto"/>
                <w:szCs w:val="21"/>
                <w:highlight w:val="none"/>
              </w:rPr>
              <w:t>3.63</w:t>
            </w:r>
          </w:p>
        </w:tc>
        <w:tc>
          <w:tcPr>
            <w:tcW w:w="245" w:type="pct"/>
            <w:vAlign w:val="center"/>
          </w:tcPr>
          <w:p>
            <w:pPr>
              <w:jc w:val="center"/>
              <w:rPr>
                <w:rFonts w:eastAsia="等线"/>
                <w:color w:val="auto"/>
                <w:szCs w:val="21"/>
                <w:highlight w:val="none"/>
              </w:rPr>
            </w:pPr>
            <w:r>
              <w:rPr>
                <w:rFonts w:eastAsia="等线"/>
                <w:color w:val="auto"/>
                <w:szCs w:val="21"/>
                <w:highlight w:val="none"/>
              </w:rPr>
              <w:t>4.03</w:t>
            </w:r>
          </w:p>
        </w:tc>
        <w:tc>
          <w:tcPr>
            <w:tcW w:w="307" w:type="pct"/>
            <w:vAlign w:val="center"/>
          </w:tcPr>
          <w:p>
            <w:pPr>
              <w:jc w:val="center"/>
              <w:rPr>
                <w:rFonts w:eastAsia="等线"/>
                <w:color w:val="auto"/>
                <w:szCs w:val="21"/>
                <w:highlight w:val="none"/>
              </w:rPr>
            </w:pPr>
            <w:r>
              <w:rPr>
                <w:rFonts w:eastAsia="等线"/>
                <w:color w:val="auto"/>
                <w:szCs w:val="21"/>
                <w:highlight w:val="none"/>
              </w:rPr>
              <w:t>3.05</w:t>
            </w:r>
          </w:p>
        </w:tc>
        <w:tc>
          <w:tcPr>
            <w:tcW w:w="245" w:type="pct"/>
            <w:vAlign w:val="center"/>
          </w:tcPr>
          <w:p>
            <w:pPr>
              <w:jc w:val="center"/>
              <w:rPr>
                <w:rFonts w:eastAsia="等线"/>
                <w:color w:val="auto"/>
                <w:szCs w:val="21"/>
                <w:highlight w:val="none"/>
              </w:rPr>
            </w:pPr>
            <w:r>
              <w:rPr>
                <w:rFonts w:eastAsia="等线"/>
                <w:color w:val="auto"/>
                <w:szCs w:val="21"/>
                <w:highlight w:val="none"/>
              </w:rPr>
              <w:t>3.38</w:t>
            </w:r>
          </w:p>
        </w:tc>
        <w:tc>
          <w:tcPr>
            <w:tcW w:w="301" w:type="pct"/>
            <w:vAlign w:val="center"/>
          </w:tcPr>
          <w:p>
            <w:pPr>
              <w:jc w:val="center"/>
              <w:rPr>
                <w:rFonts w:eastAsia="等线"/>
                <w:color w:val="auto"/>
                <w:szCs w:val="21"/>
                <w:highlight w:val="none"/>
              </w:rPr>
            </w:pPr>
            <w:r>
              <w:rPr>
                <w:rFonts w:eastAsia="等线"/>
                <w:color w:val="auto"/>
                <w:szCs w:val="21"/>
                <w:highlight w:val="none"/>
              </w:rPr>
              <w:t>3.78</w:t>
            </w:r>
          </w:p>
        </w:tc>
        <w:tc>
          <w:tcPr>
            <w:tcW w:w="245" w:type="pct"/>
            <w:vAlign w:val="center"/>
          </w:tcPr>
          <w:p>
            <w:pPr>
              <w:jc w:val="center"/>
              <w:rPr>
                <w:rFonts w:eastAsia="等线"/>
                <w:color w:val="auto"/>
                <w:szCs w:val="21"/>
                <w:highlight w:val="none"/>
              </w:rPr>
            </w:pPr>
            <w:r>
              <w:rPr>
                <w:rFonts w:eastAsia="等线"/>
                <w:color w:val="auto"/>
                <w:szCs w:val="21"/>
                <w:highlight w:val="none"/>
              </w:rPr>
              <w:t>2.98</w:t>
            </w:r>
          </w:p>
        </w:tc>
        <w:tc>
          <w:tcPr>
            <w:tcW w:w="321" w:type="pct"/>
            <w:vAlign w:val="center"/>
          </w:tcPr>
          <w:p>
            <w:pPr>
              <w:jc w:val="center"/>
              <w:rPr>
                <w:rFonts w:eastAsia="等线"/>
                <w:color w:val="auto"/>
                <w:szCs w:val="21"/>
                <w:highlight w:val="none"/>
              </w:rPr>
            </w:pPr>
            <w:r>
              <w:rPr>
                <w:rFonts w:eastAsia="等线"/>
                <w:color w:val="auto"/>
                <w:szCs w:val="21"/>
                <w:highlight w:val="none"/>
              </w:rPr>
              <w:t>2.78</w:t>
            </w:r>
          </w:p>
        </w:tc>
        <w:tc>
          <w:tcPr>
            <w:tcW w:w="245" w:type="pct"/>
            <w:vAlign w:val="center"/>
          </w:tcPr>
          <w:p>
            <w:pPr>
              <w:jc w:val="center"/>
              <w:rPr>
                <w:rFonts w:eastAsia="等线"/>
                <w:color w:val="auto"/>
                <w:szCs w:val="21"/>
                <w:highlight w:val="none"/>
              </w:rPr>
            </w:pPr>
            <w:r>
              <w:rPr>
                <w:rFonts w:eastAsia="等线"/>
                <w:color w:val="auto"/>
                <w:szCs w:val="21"/>
                <w:highlight w:val="none"/>
              </w:rPr>
              <w:t>5.93</w:t>
            </w:r>
          </w:p>
        </w:tc>
        <w:tc>
          <w:tcPr>
            <w:tcW w:w="308" w:type="pct"/>
            <w:vAlign w:val="center"/>
          </w:tcPr>
          <w:p>
            <w:pPr>
              <w:jc w:val="center"/>
              <w:rPr>
                <w:rFonts w:eastAsia="等线"/>
                <w:color w:val="auto"/>
                <w:szCs w:val="21"/>
                <w:highlight w:val="none"/>
              </w:rPr>
            </w:pPr>
            <w:r>
              <w:rPr>
                <w:rFonts w:eastAsia="等线"/>
                <w:color w:val="auto"/>
                <w:szCs w:val="21"/>
                <w:highlight w:val="none"/>
              </w:rPr>
              <w:t>3.83</w:t>
            </w:r>
          </w:p>
        </w:tc>
        <w:tc>
          <w:tcPr>
            <w:tcW w:w="304" w:type="pct"/>
            <w:vAlign w:val="center"/>
          </w:tcPr>
          <w:p>
            <w:pPr>
              <w:jc w:val="center"/>
              <w:rPr>
                <w:rFonts w:eastAsia="等线"/>
                <w:color w:val="auto"/>
                <w:szCs w:val="21"/>
                <w:highlight w:val="none"/>
              </w:rPr>
            </w:pPr>
            <w:r>
              <w:rPr>
                <w:rFonts w:eastAsia="等线"/>
                <w:color w:val="auto"/>
                <w:szCs w:val="21"/>
                <w:highlight w:val="none"/>
              </w:rPr>
              <w:t>18.01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5" w:type="pct"/>
            <w:vAlign w:val="center"/>
          </w:tcPr>
          <w:p>
            <w:pPr>
              <w:jc w:val="center"/>
              <w:rPr>
                <w:rFonts w:eastAsia="等线"/>
                <w:color w:val="auto"/>
                <w:szCs w:val="21"/>
                <w:highlight w:val="none"/>
              </w:rPr>
            </w:pPr>
            <w:r>
              <w:rPr>
                <w:rFonts w:eastAsia="等线"/>
                <w:color w:val="auto"/>
                <w:szCs w:val="21"/>
                <w:highlight w:val="none"/>
              </w:rPr>
              <w:t>11月</w:t>
            </w:r>
          </w:p>
        </w:tc>
        <w:tc>
          <w:tcPr>
            <w:tcW w:w="307" w:type="pct"/>
            <w:vAlign w:val="center"/>
          </w:tcPr>
          <w:p>
            <w:pPr>
              <w:jc w:val="center"/>
              <w:rPr>
                <w:rFonts w:eastAsia="等线"/>
                <w:color w:val="auto"/>
                <w:szCs w:val="21"/>
                <w:highlight w:val="none"/>
              </w:rPr>
            </w:pPr>
            <w:r>
              <w:rPr>
                <w:rFonts w:eastAsia="等线"/>
                <w:color w:val="auto"/>
                <w:szCs w:val="21"/>
                <w:highlight w:val="none"/>
              </w:rPr>
              <w:t>5.34</w:t>
            </w:r>
          </w:p>
        </w:tc>
        <w:tc>
          <w:tcPr>
            <w:tcW w:w="307" w:type="pct"/>
            <w:vAlign w:val="center"/>
          </w:tcPr>
          <w:p>
            <w:pPr>
              <w:jc w:val="center"/>
              <w:rPr>
                <w:rFonts w:eastAsia="等线"/>
                <w:color w:val="auto"/>
                <w:szCs w:val="21"/>
                <w:highlight w:val="none"/>
              </w:rPr>
            </w:pPr>
            <w:r>
              <w:rPr>
                <w:rFonts w:eastAsia="等线"/>
                <w:color w:val="auto"/>
                <w:szCs w:val="21"/>
                <w:highlight w:val="none"/>
              </w:rPr>
              <w:t>8.14</w:t>
            </w:r>
          </w:p>
        </w:tc>
        <w:tc>
          <w:tcPr>
            <w:tcW w:w="307" w:type="pct"/>
            <w:vAlign w:val="center"/>
          </w:tcPr>
          <w:p>
            <w:pPr>
              <w:jc w:val="center"/>
              <w:rPr>
                <w:rFonts w:eastAsia="等线"/>
                <w:color w:val="auto"/>
                <w:szCs w:val="21"/>
                <w:highlight w:val="none"/>
              </w:rPr>
            </w:pPr>
            <w:r>
              <w:rPr>
                <w:rFonts w:eastAsia="等线"/>
                <w:color w:val="auto"/>
                <w:szCs w:val="21"/>
                <w:highlight w:val="none"/>
              </w:rPr>
              <w:t>8.39</w:t>
            </w:r>
          </w:p>
        </w:tc>
        <w:tc>
          <w:tcPr>
            <w:tcW w:w="245" w:type="pct"/>
            <w:vAlign w:val="center"/>
          </w:tcPr>
          <w:p>
            <w:pPr>
              <w:jc w:val="center"/>
              <w:rPr>
                <w:rFonts w:eastAsia="等线"/>
                <w:color w:val="auto"/>
                <w:szCs w:val="21"/>
                <w:highlight w:val="none"/>
              </w:rPr>
            </w:pPr>
            <w:r>
              <w:rPr>
                <w:rFonts w:eastAsia="等线"/>
                <w:color w:val="auto"/>
                <w:szCs w:val="21"/>
                <w:highlight w:val="none"/>
              </w:rPr>
              <w:t>6.94</w:t>
            </w:r>
          </w:p>
        </w:tc>
        <w:tc>
          <w:tcPr>
            <w:tcW w:w="278" w:type="pct"/>
            <w:vAlign w:val="center"/>
          </w:tcPr>
          <w:p>
            <w:pPr>
              <w:jc w:val="center"/>
              <w:rPr>
                <w:rFonts w:eastAsia="等线"/>
                <w:color w:val="auto"/>
                <w:szCs w:val="21"/>
                <w:highlight w:val="none"/>
              </w:rPr>
            </w:pPr>
            <w:r>
              <w:rPr>
                <w:rFonts w:eastAsia="等线"/>
                <w:color w:val="auto"/>
                <w:szCs w:val="21"/>
                <w:highlight w:val="none"/>
              </w:rPr>
              <w:t>7.39</w:t>
            </w:r>
          </w:p>
        </w:tc>
        <w:tc>
          <w:tcPr>
            <w:tcW w:w="278" w:type="pct"/>
            <w:vAlign w:val="center"/>
          </w:tcPr>
          <w:p>
            <w:pPr>
              <w:jc w:val="center"/>
              <w:rPr>
                <w:rFonts w:eastAsia="等线"/>
                <w:color w:val="auto"/>
                <w:szCs w:val="21"/>
                <w:highlight w:val="none"/>
              </w:rPr>
            </w:pPr>
            <w:r>
              <w:rPr>
                <w:rFonts w:eastAsia="等线"/>
                <w:color w:val="auto"/>
                <w:szCs w:val="21"/>
                <w:highlight w:val="none"/>
              </w:rPr>
              <w:t>4.54</w:t>
            </w:r>
          </w:p>
        </w:tc>
        <w:tc>
          <w:tcPr>
            <w:tcW w:w="245" w:type="pct"/>
            <w:vAlign w:val="center"/>
          </w:tcPr>
          <w:p>
            <w:pPr>
              <w:jc w:val="center"/>
              <w:rPr>
                <w:rFonts w:eastAsia="等线"/>
                <w:color w:val="auto"/>
                <w:szCs w:val="21"/>
                <w:highlight w:val="none"/>
              </w:rPr>
            </w:pPr>
            <w:r>
              <w:rPr>
                <w:rFonts w:eastAsia="等线"/>
                <w:color w:val="auto"/>
                <w:szCs w:val="21"/>
                <w:highlight w:val="none"/>
              </w:rPr>
              <w:t>3.69</w:t>
            </w:r>
          </w:p>
        </w:tc>
        <w:tc>
          <w:tcPr>
            <w:tcW w:w="245" w:type="pct"/>
            <w:vAlign w:val="center"/>
          </w:tcPr>
          <w:p>
            <w:pPr>
              <w:jc w:val="center"/>
              <w:rPr>
                <w:rFonts w:eastAsia="等线"/>
                <w:color w:val="auto"/>
                <w:szCs w:val="21"/>
                <w:highlight w:val="none"/>
              </w:rPr>
            </w:pPr>
            <w:r>
              <w:rPr>
                <w:rFonts w:eastAsia="等线"/>
                <w:color w:val="auto"/>
                <w:szCs w:val="21"/>
                <w:highlight w:val="none"/>
              </w:rPr>
              <w:t>3.26</w:t>
            </w:r>
          </w:p>
        </w:tc>
        <w:tc>
          <w:tcPr>
            <w:tcW w:w="245" w:type="pct"/>
            <w:vAlign w:val="center"/>
          </w:tcPr>
          <w:p>
            <w:pPr>
              <w:jc w:val="center"/>
              <w:rPr>
                <w:rFonts w:eastAsia="等线"/>
                <w:color w:val="auto"/>
                <w:szCs w:val="21"/>
                <w:highlight w:val="none"/>
              </w:rPr>
            </w:pPr>
            <w:r>
              <w:rPr>
                <w:rFonts w:eastAsia="等线"/>
                <w:color w:val="auto"/>
                <w:szCs w:val="21"/>
                <w:highlight w:val="none"/>
              </w:rPr>
              <w:t>3.84</w:t>
            </w:r>
          </w:p>
        </w:tc>
        <w:tc>
          <w:tcPr>
            <w:tcW w:w="307" w:type="pct"/>
            <w:vAlign w:val="center"/>
          </w:tcPr>
          <w:p>
            <w:pPr>
              <w:jc w:val="center"/>
              <w:rPr>
                <w:rFonts w:eastAsia="等线"/>
                <w:color w:val="auto"/>
                <w:szCs w:val="21"/>
                <w:highlight w:val="none"/>
              </w:rPr>
            </w:pPr>
            <w:r>
              <w:rPr>
                <w:rFonts w:eastAsia="等线"/>
                <w:color w:val="auto"/>
                <w:szCs w:val="21"/>
                <w:highlight w:val="none"/>
              </w:rPr>
              <w:t>2.79</w:t>
            </w:r>
          </w:p>
        </w:tc>
        <w:tc>
          <w:tcPr>
            <w:tcW w:w="245" w:type="pct"/>
            <w:vAlign w:val="center"/>
          </w:tcPr>
          <w:p>
            <w:pPr>
              <w:jc w:val="center"/>
              <w:rPr>
                <w:rFonts w:eastAsia="等线"/>
                <w:color w:val="auto"/>
                <w:szCs w:val="21"/>
                <w:highlight w:val="none"/>
              </w:rPr>
            </w:pPr>
            <w:r>
              <w:rPr>
                <w:rFonts w:eastAsia="等线"/>
                <w:color w:val="auto"/>
                <w:szCs w:val="21"/>
                <w:highlight w:val="none"/>
              </w:rPr>
              <w:t>4.42</w:t>
            </w:r>
          </w:p>
        </w:tc>
        <w:tc>
          <w:tcPr>
            <w:tcW w:w="301" w:type="pct"/>
            <w:vAlign w:val="center"/>
          </w:tcPr>
          <w:p>
            <w:pPr>
              <w:jc w:val="center"/>
              <w:rPr>
                <w:rFonts w:eastAsia="等线"/>
                <w:color w:val="auto"/>
                <w:szCs w:val="21"/>
                <w:highlight w:val="none"/>
              </w:rPr>
            </w:pPr>
            <w:r>
              <w:rPr>
                <w:rFonts w:eastAsia="等线"/>
                <w:color w:val="auto"/>
                <w:szCs w:val="21"/>
                <w:highlight w:val="none"/>
              </w:rPr>
              <w:t>4.95</w:t>
            </w:r>
          </w:p>
        </w:tc>
        <w:tc>
          <w:tcPr>
            <w:tcW w:w="245" w:type="pct"/>
            <w:vAlign w:val="center"/>
          </w:tcPr>
          <w:p>
            <w:pPr>
              <w:jc w:val="center"/>
              <w:rPr>
                <w:rFonts w:eastAsia="等线"/>
                <w:color w:val="auto"/>
                <w:szCs w:val="21"/>
                <w:highlight w:val="none"/>
              </w:rPr>
            </w:pPr>
            <w:r>
              <w:rPr>
                <w:rFonts w:eastAsia="等线"/>
                <w:color w:val="auto"/>
                <w:szCs w:val="21"/>
                <w:highlight w:val="none"/>
              </w:rPr>
              <w:t>4.9</w:t>
            </w:r>
          </w:p>
        </w:tc>
        <w:tc>
          <w:tcPr>
            <w:tcW w:w="321" w:type="pct"/>
            <w:vAlign w:val="center"/>
          </w:tcPr>
          <w:p>
            <w:pPr>
              <w:jc w:val="center"/>
              <w:rPr>
                <w:rFonts w:eastAsia="等线"/>
                <w:color w:val="auto"/>
                <w:szCs w:val="21"/>
                <w:highlight w:val="none"/>
              </w:rPr>
            </w:pPr>
            <w:r>
              <w:rPr>
                <w:rFonts w:eastAsia="等线"/>
                <w:color w:val="auto"/>
                <w:szCs w:val="21"/>
                <w:highlight w:val="none"/>
              </w:rPr>
              <w:t>3.95</w:t>
            </w:r>
          </w:p>
        </w:tc>
        <w:tc>
          <w:tcPr>
            <w:tcW w:w="245" w:type="pct"/>
            <w:vAlign w:val="center"/>
          </w:tcPr>
          <w:p>
            <w:pPr>
              <w:jc w:val="center"/>
              <w:rPr>
                <w:rFonts w:eastAsia="等线"/>
                <w:color w:val="auto"/>
                <w:szCs w:val="21"/>
                <w:highlight w:val="none"/>
              </w:rPr>
            </w:pPr>
            <w:r>
              <w:rPr>
                <w:rFonts w:eastAsia="等线"/>
                <w:color w:val="auto"/>
                <w:szCs w:val="21"/>
                <w:highlight w:val="none"/>
              </w:rPr>
              <w:t>7.04</w:t>
            </w:r>
          </w:p>
        </w:tc>
        <w:tc>
          <w:tcPr>
            <w:tcW w:w="308" w:type="pct"/>
            <w:vAlign w:val="center"/>
          </w:tcPr>
          <w:p>
            <w:pPr>
              <w:jc w:val="center"/>
              <w:rPr>
                <w:rFonts w:eastAsia="等线"/>
                <w:color w:val="auto"/>
                <w:szCs w:val="21"/>
                <w:highlight w:val="none"/>
              </w:rPr>
            </w:pPr>
            <w:r>
              <w:rPr>
                <w:rFonts w:eastAsia="等线"/>
                <w:color w:val="auto"/>
                <w:szCs w:val="21"/>
                <w:highlight w:val="none"/>
              </w:rPr>
              <w:t>4.24</w:t>
            </w:r>
          </w:p>
        </w:tc>
        <w:tc>
          <w:tcPr>
            <w:tcW w:w="304" w:type="pct"/>
            <w:vAlign w:val="center"/>
          </w:tcPr>
          <w:p>
            <w:pPr>
              <w:jc w:val="center"/>
              <w:rPr>
                <w:rFonts w:eastAsia="等线"/>
                <w:color w:val="auto"/>
                <w:szCs w:val="21"/>
                <w:highlight w:val="none"/>
              </w:rPr>
            </w:pPr>
            <w:r>
              <w:rPr>
                <w:rFonts w:eastAsia="等线"/>
                <w:color w:val="auto"/>
                <w:szCs w:val="21"/>
                <w:highlight w:val="none"/>
              </w:rPr>
              <w:t>16.16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5" w:type="pct"/>
            <w:vAlign w:val="center"/>
          </w:tcPr>
          <w:p>
            <w:pPr>
              <w:jc w:val="center"/>
              <w:rPr>
                <w:rFonts w:eastAsia="等线"/>
                <w:color w:val="auto"/>
                <w:szCs w:val="21"/>
                <w:highlight w:val="none"/>
              </w:rPr>
            </w:pPr>
            <w:r>
              <w:rPr>
                <w:rFonts w:eastAsia="等线"/>
                <w:color w:val="auto"/>
                <w:szCs w:val="21"/>
                <w:highlight w:val="none"/>
              </w:rPr>
              <w:t>12月</w:t>
            </w:r>
          </w:p>
        </w:tc>
        <w:tc>
          <w:tcPr>
            <w:tcW w:w="307" w:type="pct"/>
            <w:vAlign w:val="center"/>
          </w:tcPr>
          <w:p>
            <w:pPr>
              <w:jc w:val="center"/>
              <w:rPr>
                <w:rFonts w:eastAsia="等线"/>
                <w:color w:val="auto"/>
                <w:szCs w:val="21"/>
                <w:highlight w:val="none"/>
              </w:rPr>
            </w:pPr>
            <w:r>
              <w:rPr>
                <w:rFonts w:eastAsia="等线"/>
                <w:color w:val="auto"/>
                <w:szCs w:val="21"/>
                <w:highlight w:val="none"/>
              </w:rPr>
              <w:t>4.31</w:t>
            </w:r>
          </w:p>
        </w:tc>
        <w:tc>
          <w:tcPr>
            <w:tcW w:w="307" w:type="pct"/>
            <w:vAlign w:val="center"/>
          </w:tcPr>
          <w:p>
            <w:pPr>
              <w:jc w:val="center"/>
              <w:rPr>
                <w:rFonts w:eastAsia="等线"/>
                <w:color w:val="auto"/>
                <w:szCs w:val="21"/>
                <w:highlight w:val="none"/>
              </w:rPr>
            </w:pPr>
            <w:r>
              <w:rPr>
                <w:rFonts w:eastAsia="等线"/>
                <w:color w:val="auto"/>
                <w:szCs w:val="21"/>
                <w:highlight w:val="none"/>
              </w:rPr>
              <w:t>7.31</w:t>
            </w:r>
          </w:p>
        </w:tc>
        <w:tc>
          <w:tcPr>
            <w:tcW w:w="307" w:type="pct"/>
            <w:vAlign w:val="center"/>
          </w:tcPr>
          <w:p>
            <w:pPr>
              <w:jc w:val="center"/>
              <w:rPr>
                <w:rFonts w:eastAsia="等线"/>
                <w:color w:val="auto"/>
                <w:szCs w:val="21"/>
                <w:highlight w:val="none"/>
              </w:rPr>
            </w:pPr>
            <w:r>
              <w:rPr>
                <w:rFonts w:eastAsia="等线"/>
                <w:color w:val="auto"/>
                <w:szCs w:val="21"/>
                <w:highlight w:val="none"/>
              </w:rPr>
              <w:t>8.76</w:t>
            </w:r>
          </w:p>
        </w:tc>
        <w:tc>
          <w:tcPr>
            <w:tcW w:w="245" w:type="pct"/>
            <w:vAlign w:val="center"/>
          </w:tcPr>
          <w:p>
            <w:pPr>
              <w:jc w:val="center"/>
              <w:rPr>
                <w:rFonts w:eastAsia="等线"/>
                <w:color w:val="auto"/>
                <w:szCs w:val="21"/>
                <w:highlight w:val="none"/>
              </w:rPr>
            </w:pPr>
            <w:r>
              <w:rPr>
                <w:rFonts w:eastAsia="等线"/>
                <w:color w:val="auto"/>
                <w:szCs w:val="21"/>
                <w:highlight w:val="none"/>
              </w:rPr>
              <w:t>5.5</w:t>
            </w:r>
          </w:p>
        </w:tc>
        <w:tc>
          <w:tcPr>
            <w:tcW w:w="278" w:type="pct"/>
            <w:vAlign w:val="center"/>
          </w:tcPr>
          <w:p>
            <w:pPr>
              <w:jc w:val="center"/>
              <w:rPr>
                <w:rFonts w:eastAsia="等线"/>
                <w:color w:val="auto"/>
                <w:szCs w:val="21"/>
                <w:highlight w:val="none"/>
              </w:rPr>
            </w:pPr>
            <w:r>
              <w:rPr>
                <w:rFonts w:eastAsia="等线"/>
                <w:color w:val="auto"/>
                <w:szCs w:val="21"/>
                <w:highlight w:val="none"/>
              </w:rPr>
              <w:t>7.11</w:t>
            </w:r>
          </w:p>
        </w:tc>
        <w:tc>
          <w:tcPr>
            <w:tcW w:w="278" w:type="pct"/>
            <w:vAlign w:val="center"/>
          </w:tcPr>
          <w:p>
            <w:pPr>
              <w:jc w:val="center"/>
              <w:rPr>
                <w:rFonts w:eastAsia="等线"/>
                <w:color w:val="auto"/>
                <w:szCs w:val="21"/>
                <w:highlight w:val="none"/>
              </w:rPr>
            </w:pPr>
            <w:r>
              <w:rPr>
                <w:rFonts w:eastAsia="等线"/>
                <w:color w:val="auto"/>
                <w:szCs w:val="21"/>
                <w:highlight w:val="none"/>
              </w:rPr>
              <w:t>4.31</w:t>
            </w:r>
          </w:p>
        </w:tc>
        <w:tc>
          <w:tcPr>
            <w:tcW w:w="245" w:type="pct"/>
            <w:vAlign w:val="center"/>
          </w:tcPr>
          <w:p>
            <w:pPr>
              <w:jc w:val="center"/>
              <w:rPr>
                <w:rFonts w:eastAsia="等线"/>
                <w:color w:val="auto"/>
                <w:szCs w:val="21"/>
                <w:highlight w:val="none"/>
              </w:rPr>
            </w:pPr>
            <w:r>
              <w:rPr>
                <w:rFonts w:eastAsia="等线"/>
                <w:color w:val="auto"/>
                <w:szCs w:val="21"/>
                <w:highlight w:val="none"/>
              </w:rPr>
              <w:t>4.59</w:t>
            </w:r>
          </w:p>
        </w:tc>
        <w:tc>
          <w:tcPr>
            <w:tcW w:w="245" w:type="pct"/>
            <w:vAlign w:val="center"/>
          </w:tcPr>
          <w:p>
            <w:pPr>
              <w:jc w:val="center"/>
              <w:rPr>
                <w:rFonts w:eastAsia="等线"/>
                <w:color w:val="auto"/>
                <w:szCs w:val="21"/>
                <w:highlight w:val="none"/>
              </w:rPr>
            </w:pPr>
            <w:r>
              <w:rPr>
                <w:rFonts w:eastAsia="等线"/>
                <w:color w:val="auto"/>
                <w:szCs w:val="21"/>
                <w:highlight w:val="none"/>
              </w:rPr>
              <w:t>3.47</w:t>
            </w:r>
          </w:p>
        </w:tc>
        <w:tc>
          <w:tcPr>
            <w:tcW w:w="245" w:type="pct"/>
            <w:vAlign w:val="center"/>
          </w:tcPr>
          <w:p>
            <w:pPr>
              <w:jc w:val="center"/>
              <w:rPr>
                <w:rFonts w:eastAsia="等线"/>
                <w:color w:val="auto"/>
                <w:szCs w:val="21"/>
                <w:highlight w:val="none"/>
              </w:rPr>
            </w:pPr>
            <w:r>
              <w:rPr>
                <w:rFonts w:eastAsia="等线"/>
                <w:color w:val="auto"/>
                <w:szCs w:val="21"/>
                <w:highlight w:val="none"/>
              </w:rPr>
              <w:t>3.12</w:t>
            </w:r>
          </w:p>
        </w:tc>
        <w:tc>
          <w:tcPr>
            <w:tcW w:w="307" w:type="pct"/>
            <w:vAlign w:val="center"/>
          </w:tcPr>
          <w:p>
            <w:pPr>
              <w:jc w:val="center"/>
              <w:rPr>
                <w:rFonts w:eastAsia="等线"/>
                <w:color w:val="auto"/>
                <w:szCs w:val="21"/>
                <w:highlight w:val="none"/>
              </w:rPr>
            </w:pPr>
            <w:r>
              <w:rPr>
                <w:rFonts w:eastAsia="等线"/>
                <w:color w:val="auto"/>
                <w:szCs w:val="21"/>
                <w:highlight w:val="none"/>
              </w:rPr>
              <w:t>3.23</w:t>
            </w:r>
          </w:p>
        </w:tc>
        <w:tc>
          <w:tcPr>
            <w:tcW w:w="245" w:type="pct"/>
            <w:vAlign w:val="center"/>
          </w:tcPr>
          <w:p>
            <w:pPr>
              <w:jc w:val="center"/>
              <w:rPr>
                <w:rFonts w:eastAsia="等线"/>
                <w:color w:val="auto"/>
                <w:szCs w:val="21"/>
                <w:highlight w:val="none"/>
              </w:rPr>
            </w:pPr>
            <w:r>
              <w:rPr>
                <w:rFonts w:eastAsia="等线"/>
                <w:color w:val="auto"/>
                <w:szCs w:val="21"/>
                <w:highlight w:val="none"/>
              </w:rPr>
              <w:t>3.56</w:t>
            </w:r>
          </w:p>
        </w:tc>
        <w:tc>
          <w:tcPr>
            <w:tcW w:w="301" w:type="pct"/>
            <w:vAlign w:val="center"/>
          </w:tcPr>
          <w:p>
            <w:pPr>
              <w:jc w:val="center"/>
              <w:rPr>
                <w:rFonts w:eastAsia="等线"/>
                <w:color w:val="auto"/>
                <w:szCs w:val="21"/>
                <w:highlight w:val="none"/>
              </w:rPr>
            </w:pPr>
            <w:r>
              <w:rPr>
                <w:rFonts w:eastAsia="等线"/>
                <w:color w:val="auto"/>
                <w:szCs w:val="21"/>
                <w:highlight w:val="none"/>
              </w:rPr>
              <w:t>5.61</w:t>
            </w:r>
          </w:p>
        </w:tc>
        <w:tc>
          <w:tcPr>
            <w:tcW w:w="245" w:type="pct"/>
            <w:vAlign w:val="center"/>
          </w:tcPr>
          <w:p>
            <w:pPr>
              <w:jc w:val="center"/>
              <w:rPr>
                <w:rFonts w:eastAsia="等线"/>
                <w:color w:val="auto"/>
                <w:szCs w:val="21"/>
                <w:highlight w:val="none"/>
              </w:rPr>
            </w:pPr>
            <w:r>
              <w:rPr>
                <w:rFonts w:eastAsia="等线"/>
                <w:color w:val="auto"/>
                <w:szCs w:val="21"/>
                <w:highlight w:val="none"/>
              </w:rPr>
              <w:t>5.21</w:t>
            </w:r>
          </w:p>
        </w:tc>
        <w:tc>
          <w:tcPr>
            <w:tcW w:w="321" w:type="pct"/>
            <w:vAlign w:val="center"/>
          </w:tcPr>
          <w:p>
            <w:pPr>
              <w:jc w:val="center"/>
              <w:rPr>
                <w:rFonts w:eastAsia="等线"/>
                <w:color w:val="auto"/>
                <w:szCs w:val="21"/>
                <w:highlight w:val="none"/>
              </w:rPr>
            </w:pPr>
            <w:r>
              <w:rPr>
                <w:rFonts w:eastAsia="等线"/>
                <w:color w:val="auto"/>
                <w:szCs w:val="21"/>
                <w:highlight w:val="none"/>
              </w:rPr>
              <w:t>5.11</w:t>
            </w:r>
          </w:p>
        </w:tc>
        <w:tc>
          <w:tcPr>
            <w:tcW w:w="245" w:type="pct"/>
            <w:vAlign w:val="center"/>
          </w:tcPr>
          <w:p>
            <w:pPr>
              <w:jc w:val="center"/>
              <w:rPr>
                <w:rFonts w:eastAsia="等线"/>
                <w:color w:val="auto"/>
                <w:szCs w:val="21"/>
                <w:highlight w:val="none"/>
              </w:rPr>
            </w:pPr>
            <w:r>
              <w:rPr>
                <w:rFonts w:eastAsia="等线"/>
                <w:color w:val="auto"/>
                <w:szCs w:val="21"/>
                <w:highlight w:val="none"/>
              </w:rPr>
              <w:t>9.61</w:t>
            </w:r>
          </w:p>
        </w:tc>
        <w:tc>
          <w:tcPr>
            <w:tcW w:w="308" w:type="pct"/>
            <w:vAlign w:val="center"/>
          </w:tcPr>
          <w:p>
            <w:pPr>
              <w:jc w:val="center"/>
              <w:rPr>
                <w:rFonts w:eastAsia="等线"/>
                <w:color w:val="auto"/>
                <w:szCs w:val="21"/>
                <w:highlight w:val="none"/>
              </w:rPr>
            </w:pPr>
            <w:r>
              <w:rPr>
                <w:rFonts w:eastAsia="等线"/>
                <w:color w:val="auto"/>
                <w:szCs w:val="21"/>
                <w:highlight w:val="none"/>
              </w:rPr>
              <w:t>5.36</w:t>
            </w:r>
          </w:p>
        </w:tc>
        <w:tc>
          <w:tcPr>
            <w:tcW w:w="304" w:type="pct"/>
            <w:vAlign w:val="center"/>
          </w:tcPr>
          <w:p>
            <w:pPr>
              <w:jc w:val="center"/>
              <w:rPr>
                <w:rFonts w:eastAsia="等线"/>
                <w:color w:val="auto"/>
                <w:szCs w:val="21"/>
                <w:highlight w:val="none"/>
              </w:rPr>
            </w:pPr>
            <w:r>
              <w:rPr>
                <w:rFonts w:eastAsia="等线"/>
                <w:color w:val="auto"/>
                <w:szCs w:val="21"/>
                <w:highlight w:val="none"/>
              </w:rPr>
              <w:t>13.79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5" w:type="pct"/>
            <w:vAlign w:val="center"/>
          </w:tcPr>
          <w:p>
            <w:pPr>
              <w:jc w:val="center"/>
              <w:rPr>
                <w:rFonts w:eastAsia="等线"/>
                <w:color w:val="auto"/>
                <w:szCs w:val="21"/>
                <w:highlight w:val="none"/>
              </w:rPr>
            </w:pPr>
            <w:r>
              <w:rPr>
                <w:rFonts w:eastAsia="等线"/>
                <w:color w:val="auto"/>
                <w:szCs w:val="21"/>
                <w:highlight w:val="none"/>
              </w:rPr>
              <w:t>全年</w:t>
            </w:r>
          </w:p>
        </w:tc>
        <w:tc>
          <w:tcPr>
            <w:tcW w:w="307" w:type="pct"/>
            <w:vAlign w:val="center"/>
          </w:tcPr>
          <w:p>
            <w:pPr>
              <w:jc w:val="center"/>
              <w:rPr>
                <w:rFonts w:eastAsia="等线"/>
                <w:color w:val="auto"/>
                <w:szCs w:val="21"/>
                <w:highlight w:val="none"/>
              </w:rPr>
            </w:pPr>
            <w:r>
              <w:rPr>
                <w:rFonts w:eastAsia="等线"/>
                <w:color w:val="auto"/>
                <w:szCs w:val="21"/>
                <w:highlight w:val="none"/>
              </w:rPr>
              <w:t>3.85</w:t>
            </w:r>
          </w:p>
        </w:tc>
        <w:tc>
          <w:tcPr>
            <w:tcW w:w="307" w:type="pct"/>
            <w:vAlign w:val="center"/>
          </w:tcPr>
          <w:p>
            <w:pPr>
              <w:jc w:val="center"/>
              <w:rPr>
                <w:rFonts w:eastAsia="等线"/>
                <w:color w:val="auto"/>
                <w:szCs w:val="21"/>
                <w:highlight w:val="none"/>
              </w:rPr>
            </w:pPr>
            <w:r>
              <w:rPr>
                <w:rFonts w:eastAsia="等线"/>
                <w:color w:val="auto"/>
                <w:szCs w:val="21"/>
                <w:highlight w:val="none"/>
              </w:rPr>
              <w:t>6.44</w:t>
            </w:r>
          </w:p>
        </w:tc>
        <w:tc>
          <w:tcPr>
            <w:tcW w:w="307" w:type="pct"/>
            <w:vAlign w:val="center"/>
          </w:tcPr>
          <w:p>
            <w:pPr>
              <w:jc w:val="center"/>
              <w:rPr>
                <w:rFonts w:eastAsia="等线"/>
                <w:color w:val="auto"/>
                <w:szCs w:val="21"/>
                <w:highlight w:val="none"/>
              </w:rPr>
            </w:pPr>
            <w:r>
              <w:rPr>
                <w:rFonts w:eastAsia="等线"/>
                <w:color w:val="auto"/>
                <w:szCs w:val="21"/>
                <w:highlight w:val="none"/>
              </w:rPr>
              <w:t>8.02</w:t>
            </w:r>
          </w:p>
        </w:tc>
        <w:tc>
          <w:tcPr>
            <w:tcW w:w="245" w:type="pct"/>
            <w:vAlign w:val="center"/>
          </w:tcPr>
          <w:p>
            <w:pPr>
              <w:jc w:val="center"/>
              <w:rPr>
                <w:rFonts w:eastAsia="等线"/>
                <w:color w:val="auto"/>
                <w:szCs w:val="21"/>
                <w:highlight w:val="none"/>
              </w:rPr>
            </w:pPr>
            <w:r>
              <w:rPr>
                <w:rFonts w:eastAsia="等线"/>
                <w:color w:val="auto"/>
                <w:szCs w:val="21"/>
                <w:highlight w:val="none"/>
              </w:rPr>
              <w:t>8.06</w:t>
            </w:r>
          </w:p>
        </w:tc>
        <w:tc>
          <w:tcPr>
            <w:tcW w:w="278" w:type="pct"/>
            <w:vAlign w:val="center"/>
          </w:tcPr>
          <w:p>
            <w:pPr>
              <w:jc w:val="center"/>
              <w:rPr>
                <w:rFonts w:eastAsia="等线"/>
                <w:color w:val="auto"/>
                <w:szCs w:val="21"/>
                <w:highlight w:val="none"/>
              </w:rPr>
            </w:pPr>
            <w:r>
              <w:rPr>
                <w:rFonts w:eastAsia="等线"/>
                <w:color w:val="auto"/>
                <w:szCs w:val="21"/>
                <w:highlight w:val="none"/>
              </w:rPr>
              <w:t>11.20</w:t>
            </w:r>
          </w:p>
        </w:tc>
        <w:tc>
          <w:tcPr>
            <w:tcW w:w="278" w:type="pct"/>
            <w:vAlign w:val="center"/>
          </w:tcPr>
          <w:p>
            <w:pPr>
              <w:jc w:val="center"/>
              <w:rPr>
                <w:rFonts w:eastAsia="等线"/>
                <w:color w:val="auto"/>
                <w:szCs w:val="21"/>
                <w:highlight w:val="none"/>
              </w:rPr>
            </w:pPr>
            <w:r>
              <w:rPr>
                <w:rFonts w:eastAsia="等线"/>
                <w:color w:val="auto"/>
                <w:szCs w:val="21"/>
                <w:highlight w:val="none"/>
              </w:rPr>
              <w:t>7.66</w:t>
            </w:r>
          </w:p>
        </w:tc>
        <w:tc>
          <w:tcPr>
            <w:tcW w:w="245" w:type="pct"/>
            <w:vAlign w:val="center"/>
          </w:tcPr>
          <w:p>
            <w:pPr>
              <w:jc w:val="center"/>
              <w:rPr>
                <w:rFonts w:eastAsia="等线"/>
                <w:color w:val="auto"/>
                <w:szCs w:val="21"/>
                <w:highlight w:val="none"/>
              </w:rPr>
            </w:pPr>
            <w:r>
              <w:rPr>
                <w:rFonts w:eastAsia="等线"/>
                <w:color w:val="auto"/>
                <w:szCs w:val="21"/>
                <w:highlight w:val="none"/>
              </w:rPr>
              <w:t>6.19</w:t>
            </w:r>
          </w:p>
        </w:tc>
        <w:tc>
          <w:tcPr>
            <w:tcW w:w="245" w:type="pct"/>
            <w:vAlign w:val="center"/>
          </w:tcPr>
          <w:p>
            <w:pPr>
              <w:jc w:val="center"/>
              <w:rPr>
                <w:rFonts w:eastAsia="等线"/>
                <w:color w:val="auto"/>
                <w:szCs w:val="21"/>
                <w:highlight w:val="none"/>
              </w:rPr>
            </w:pPr>
            <w:r>
              <w:rPr>
                <w:rFonts w:eastAsia="等线"/>
                <w:color w:val="auto"/>
                <w:szCs w:val="21"/>
                <w:highlight w:val="none"/>
              </w:rPr>
              <w:t>4.64</w:t>
            </w:r>
          </w:p>
        </w:tc>
        <w:tc>
          <w:tcPr>
            <w:tcW w:w="245" w:type="pct"/>
            <w:vAlign w:val="center"/>
          </w:tcPr>
          <w:p>
            <w:pPr>
              <w:jc w:val="center"/>
              <w:rPr>
                <w:rFonts w:eastAsia="等线"/>
                <w:color w:val="auto"/>
                <w:szCs w:val="21"/>
                <w:highlight w:val="none"/>
              </w:rPr>
            </w:pPr>
            <w:r>
              <w:rPr>
                <w:rFonts w:eastAsia="等线"/>
                <w:color w:val="auto"/>
                <w:szCs w:val="21"/>
                <w:highlight w:val="none"/>
              </w:rPr>
              <w:t>4.75</w:t>
            </w:r>
          </w:p>
        </w:tc>
        <w:tc>
          <w:tcPr>
            <w:tcW w:w="307" w:type="pct"/>
            <w:vAlign w:val="center"/>
          </w:tcPr>
          <w:p>
            <w:pPr>
              <w:jc w:val="center"/>
              <w:rPr>
                <w:rFonts w:eastAsia="等线"/>
                <w:color w:val="auto"/>
                <w:szCs w:val="21"/>
                <w:highlight w:val="none"/>
              </w:rPr>
            </w:pPr>
            <w:r>
              <w:rPr>
                <w:rFonts w:eastAsia="等线"/>
                <w:color w:val="auto"/>
                <w:szCs w:val="21"/>
                <w:highlight w:val="none"/>
              </w:rPr>
              <w:t>3.28</w:t>
            </w:r>
          </w:p>
        </w:tc>
        <w:tc>
          <w:tcPr>
            <w:tcW w:w="245" w:type="pct"/>
            <w:vAlign w:val="center"/>
          </w:tcPr>
          <w:p>
            <w:pPr>
              <w:jc w:val="center"/>
              <w:rPr>
                <w:rFonts w:eastAsia="等线"/>
                <w:color w:val="auto"/>
                <w:szCs w:val="21"/>
                <w:highlight w:val="none"/>
              </w:rPr>
            </w:pPr>
            <w:r>
              <w:rPr>
                <w:rFonts w:eastAsia="等线"/>
                <w:color w:val="auto"/>
                <w:szCs w:val="21"/>
                <w:highlight w:val="none"/>
              </w:rPr>
              <w:t>4.17</w:t>
            </w:r>
          </w:p>
        </w:tc>
        <w:tc>
          <w:tcPr>
            <w:tcW w:w="301" w:type="pct"/>
            <w:vAlign w:val="center"/>
          </w:tcPr>
          <w:p>
            <w:pPr>
              <w:jc w:val="center"/>
              <w:rPr>
                <w:rFonts w:eastAsia="等线"/>
                <w:color w:val="auto"/>
                <w:szCs w:val="21"/>
                <w:highlight w:val="none"/>
              </w:rPr>
            </w:pPr>
            <w:r>
              <w:rPr>
                <w:rFonts w:eastAsia="等线"/>
                <w:color w:val="auto"/>
                <w:szCs w:val="21"/>
                <w:highlight w:val="none"/>
              </w:rPr>
              <w:t>4.66</w:t>
            </w:r>
          </w:p>
        </w:tc>
        <w:tc>
          <w:tcPr>
            <w:tcW w:w="245" w:type="pct"/>
            <w:vAlign w:val="center"/>
          </w:tcPr>
          <w:p>
            <w:pPr>
              <w:jc w:val="center"/>
              <w:rPr>
                <w:rFonts w:eastAsia="等线"/>
                <w:color w:val="auto"/>
                <w:szCs w:val="21"/>
                <w:highlight w:val="none"/>
              </w:rPr>
            </w:pPr>
            <w:r>
              <w:rPr>
                <w:rFonts w:eastAsia="等线"/>
                <w:color w:val="auto"/>
                <w:szCs w:val="21"/>
                <w:highlight w:val="none"/>
              </w:rPr>
              <w:t>4.12</w:t>
            </w:r>
          </w:p>
        </w:tc>
        <w:tc>
          <w:tcPr>
            <w:tcW w:w="321" w:type="pct"/>
            <w:vAlign w:val="center"/>
          </w:tcPr>
          <w:p>
            <w:pPr>
              <w:jc w:val="center"/>
              <w:rPr>
                <w:rFonts w:eastAsia="等线"/>
                <w:color w:val="auto"/>
                <w:szCs w:val="21"/>
                <w:highlight w:val="none"/>
              </w:rPr>
            </w:pPr>
            <w:r>
              <w:rPr>
                <w:rFonts w:eastAsia="等线"/>
                <w:color w:val="auto"/>
                <w:szCs w:val="21"/>
                <w:highlight w:val="none"/>
              </w:rPr>
              <w:t>3.44</w:t>
            </w:r>
          </w:p>
        </w:tc>
        <w:tc>
          <w:tcPr>
            <w:tcW w:w="245" w:type="pct"/>
            <w:vAlign w:val="center"/>
          </w:tcPr>
          <w:p>
            <w:pPr>
              <w:jc w:val="center"/>
              <w:rPr>
                <w:rFonts w:eastAsia="等线"/>
                <w:color w:val="auto"/>
                <w:szCs w:val="21"/>
                <w:highlight w:val="none"/>
              </w:rPr>
            </w:pPr>
            <w:r>
              <w:rPr>
                <w:rFonts w:eastAsia="等线"/>
                <w:color w:val="auto"/>
                <w:szCs w:val="21"/>
                <w:highlight w:val="none"/>
              </w:rPr>
              <w:t>5.54</w:t>
            </w:r>
          </w:p>
        </w:tc>
        <w:tc>
          <w:tcPr>
            <w:tcW w:w="308" w:type="pct"/>
            <w:vAlign w:val="center"/>
          </w:tcPr>
          <w:p>
            <w:pPr>
              <w:jc w:val="center"/>
              <w:rPr>
                <w:rFonts w:eastAsia="等线"/>
                <w:color w:val="auto"/>
                <w:szCs w:val="21"/>
                <w:highlight w:val="none"/>
              </w:rPr>
            </w:pPr>
            <w:r>
              <w:rPr>
                <w:rFonts w:eastAsia="等线"/>
                <w:color w:val="auto"/>
                <w:szCs w:val="21"/>
                <w:highlight w:val="none"/>
              </w:rPr>
              <w:t>3.36</w:t>
            </w:r>
          </w:p>
        </w:tc>
        <w:tc>
          <w:tcPr>
            <w:tcW w:w="304" w:type="pct"/>
            <w:vAlign w:val="center"/>
          </w:tcPr>
          <w:p>
            <w:pPr>
              <w:jc w:val="center"/>
              <w:rPr>
                <w:rFonts w:eastAsia="等线"/>
                <w:color w:val="auto"/>
                <w:szCs w:val="21"/>
                <w:highlight w:val="none"/>
              </w:rPr>
            </w:pPr>
            <w:r>
              <w:rPr>
                <w:rFonts w:eastAsia="等线"/>
                <w:color w:val="auto"/>
                <w:szCs w:val="21"/>
                <w:highlight w:val="none"/>
              </w:rPr>
              <w:t>10.63</w:t>
            </w:r>
          </w:p>
        </w:tc>
      </w:tr>
    </w:tbl>
    <w:p>
      <w:pPr>
        <w:adjustRightInd w:val="0"/>
        <w:snapToGrid w:val="0"/>
        <w:spacing w:line="360" w:lineRule="auto"/>
        <w:jc w:val="center"/>
        <w:rPr>
          <w:color w:val="auto"/>
          <w:sz w:val="24"/>
          <w:highlight w:val="none"/>
        </w:rPr>
      </w:pPr>
      <w:r>
        <w:rPr>
          <w:color w:val="auto"/>
          <w:highlight w:val="none"/>
        </w:rPr>
        <w:drawing>
          <wp:inline distT="0" distB="0" distL="0" distR="0">
            <wp:extent cx="4391025" cy="5019675"/>
            <wp:effectExtent l="0" t="0" r="9525"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4391025" cy="5019675"/>
                    </a:xfrm>
                    <a:prstGeom prst="rect">
                      <a:avLst/>
                    </a:prstGeom>
                    <a:noFill/>
                    <a:ln>
                      <a:noFill/>
                    </a:ln>
                  </pic:spPr>
                </pic:pic>
              </a:graphicData>
            </a:graphic>
          </wp:inline>
        </w:drawing>
      </w:r>
    </w:p>
    <w:p>
      <w:pPr>
        <w:pStyle w:val="103"/>
        <w:rPr>
          <w:rFonts w:ascii="Times New Roman" w:hAnsi="Times New Roman"/>
          <w:color w:val="auto"/>
          <w:highlight w:val="none"/>
        </w:rPr>
      </w:pPr>
      <w:r>
        <w:rPr>
          <w:rFonts w:ascii="Times New Roman" w:hAnsi="Times New Roman"/>
          <w:color w:val="auto"/>
          <w:highlight w:val="none"/>
        </w:rPr>
        <w:t>图4.1-1  枣庄</w:t>
      </w:r>
      <w:r>
        <w:rPr>
          <w:rFonts w:hint="eastAsia" w:ascii="Times New Roman" w:hAnsi="Times New Roman"/>
          <w:color w:val="auto"/>
          <w:highlight w:val="none"/>
        </w:rPr>
        <w:t>市峄城区</w:t>
      </w:r>
      <w:r>
        <w:rPr>
          <w:rFonts w:ascii="Times New Roman" w:hAnsi="Times New Roman"/>
          <w:color w:val="auto"/>
          <w:highlight w:val="none"/>
        </w:rPr>
        <w:t>2000~2019年平均风向频率玫瑰图</w:t>
      </w:r>
    </w:p>
    <w:p>
      <w:pPr>
        <w:pStyle w:val="101"/>
        <w:spacing w:before="78"/>
        <w:rPr>
          <w:rFonts w:ascii="Times New Roman" w:hAnsi="Times New Roman"/>
          <w:color w:val="auto"/>
          <w:highlight w:val="none"/>
        </w:rPr>
      </w:pPr>
      <w:r>
        <w:rPr>
          <w:rFonts w:ascii="Times New Roman" w:hAnsi="Times New Roman"/>
          <w:color w:val="auto"/>
          <w:highlight w:val="none"/>
        </w:rPr>
        <w:t>4.1.2评价等级及评价范围确定</w:t>
      </w:r>
    </w:p>
    <w:p>
      <w:pPr>
        <w:keepNext/>
        <w:keepLines/>
        <w:spacing w:before="93" w:beforeLines="30" w:line="360" w:lineRule="auto"/>
        <w:jc w:val="left"/>
        <w:outlineLvl w:val="2"/>
        <w:rPr>
          <w:rFonts w:eastAsia="黑体"/>
          <w:color w:val="auto"/>
          <w:sz w:val="24"/>
          <w:highlight w:val="none"/>
        </w:rPr>
      </w:pPr>
      <w:bookmarkStart w:id="140" w:name="_Toc536199173"/>
      <w:bookmarkStart w:id="141" w:name="_Toc535853298"/>
      <w:bookmarkStart w:id="142" w:name="_Toc497165214"/>
      <w:bookmarkStart w:id="143" w:name="_Toc31386"/>
      <w:bookmarkStart w:id="144" w:name="_Toc28456"/>
      <w:r>
        <w:rPr>
          <w:rFonts w:eastAsia="黑体"/>
          <w:color w:val="auto"/>
          <w:sz w:val="24"/>
          <w:highlight w:val="none"/>
        </w:rPr>
        <w:t>4.1.2 环境空气影响预测与评价</w:t>
      </w:r>
      <w:bookmarkEnd w:id="140"/>
      <w:bookmarkEnd w:id="141"/>
      <w:bookmarkEnd w:id="142"/>
      <w:bookmarkEnd w:id="143"/>
      <w:bookmarkEnd w:id="144"/>
    </w:p>
    <w:p>
      <w:pPr>
        <w:pStyle w:val="112"/>
        <w:rPr>
          <w:color w:val="auto"/>
          <w:highlight w:val="none"/>
        </w:rPr>
      </w:pPr>
      <w:r>
        <w:rPr>
          <w:rFonts w:hint="eastAsia"/>
          <w:color w:val="auto"/>
          <w:highlight w:val="none"/>
        </w:rPr>
        <w:t>4.1.2.1 污染源排放参数</w:t>
      </w:r>
    </w:p>
    <w:p>
      <w:pPr>
        <w:spacing w:line="360" w:lineRule="auto"/>
        <w:ind w:firstLine="512" w:firstLineChars="200"/>
        <w:rPr>
          <w:color w:val="auto"/>
          <w:sz w:val="24"/>
          <w:highlight w:val="none"/>
        </w:rPr>
      </w:pPr>
      <w:r>
        <w:rPr>
          <w:color w:val="auto"/>
          <w:spacing w:val="8"/>
          <w:sz w:val="24"/>
          <w:highlight w:val="none"/>
        </w:rPr>
        <w:t>本项目厂址位于平原地区，周围地形条件属简单地形，根据项目的特点和工程分析，所建项目的主要大气污染物是</w:t>
      </w:r>
      <w:r>
        <w:rPr>
          <w:bCs/>
          <w:color w:val="auto"/>
          <w:sz w:val="24"/>
          <w:highlight w:val="none"/>
        </w:rPr>
        <w:t>VOCs</w:t>
      </w:r>
      <w:r>
        <w:rPr>
          <w:rFonts w:hint="eastAsia"/>
          <w:bCs/>
          <w:color w:val="auto"/>
          <w:sz w:val="24"/>
          <w:highlight w:val="none"/>
        </w:rPr>
        <w:t>和颗粒物</w:t>
      </w:r>
      <w:r>
        <w:rPr>
          <w:color w:val="auto"/>
          <w:spacing w:val="8"/>
          <w:sz w:val="24"/>
          <w:highlight w:val="none"/>
        </w:rPr>
        <w:t>。</w:t>
      </w:r>
    </w:p>
    <w:p>
      <w:pPr>
        <w:spacing w:line="360" w:lineRule="auto"/>
        <w:ind w:firstLine="480" w:firstLineChars="200"/>
        <w:rPr>
          <w:color w:val="auto"/>
          <w:sz w:val="24"/>
          <w:highlight w:val="none"/>
          <w:lang w:val="en-GB"/>
        </w:rPr>
      </w:pPr>
      <w:r>
        <w:rPr>
          <w:color w:val="auto"/>
          <w:sz w:val="24"/>
          <w:highlight w:val="none"/>
          <w:lang w:val="en-GB"/>
        </w:rPr>
        <w:t>本项目各污染源强具体数据如表4.1-</w:t>
      </w:r>
      <w:r>
        <w:rPr>
          <w:rFonts w:hint="eastAsia"/>
          <w:color w:val="auto"/>
          <w:sz w:val="24"/>
          <w:highlight w:val="none"/>
        </w:rPr>
        <w:t>8</w:t>
      </w:r>
      <w:r>
        <w:rPr>
          <w:color w:val="auto"/>
          <w:sz w:val="24"/>
          <w:highlight w:val="none"/>
          <w:lang w:val="en-GB"/>
        </w:rPr>
        <w:t>及4.1-</w:t>
      </w:r>
      <w:r>
        <w:rPr>
          <w:rFonts w:hint="eastAsia"/>
          <w:color w:val="auto"/>
          <w:sz w:val="24"/>
          <w:highlight w:val="none"/>
        </w:rPr>
        <w:t>9</w:t>
      </w:r>
      <w:r>
        <w:rPr>
          <w:color w:val="auto"/>
          <w:sz w:val="24"/>
          <w:highlight w:val="none"/>
          <w:lang w:val="en-GB"/>
        </w:rPr>
        <w:t>所示。</w:t>
      </w:r>
    </w:p>
    <w:p>
      <w:pPr>
        <w:jc w:val="center"/>
        <w:rPr>
          <w:rFonts w:eastAsia="黑体"/>
          <w:color w:val="auto"/>
          <w:sz w:val="24"/>
          <w:highlight w:val="none"/>
        </w:rPr>
      </w:pPr>
      <w:r>
        <w:rPr>
          <w:rFonts w:eastAsia="黑体"/>
          <w:color w:val="auto"/>
          <w:sz w:val="24"/>
          <w:highlight w:val="none"/>
        </w:rPr>
        <w:t>表4.1-</w:t>
      </w:r>
      <w:r>
        <w:rPr>
          <w:rFonts w:hint="eastAsia" w:eastAsia="黑体"/>
          <w:color w:val="auto"/>
          <w:sz w:val="24"/>
          <w:highlight w:val="none"/>
        </w:rPr>
        <w:t>8</w:t>
      </w:r>
      <w:r>
        <w:rPr>
          <w:rFonts w:eastAsia="黑体"/>
          <w:color w:val="auto"/>
          <w:sz w:val="24"/>
          <w:highlight w:val="none"/>
        </w:rPr>
        <w:t xml:space="preserve">  有组织废气</w:t>
      </w:r>
      <w:r>
        <w:rPr>
          <w:rFonts w:hint="eastAsia" w:eastAsia="黑体"/>
          <w:color w:val="auto"/>
          <w:sz w:val="24"/>
          <w:highlight w:val="none"/>
        </w:rPr>
        <w:t>污染源参数</w:t>
      </w:r>
      <w:r>
        <w:rPr>
          <w:rFonts w:eastAsia="黑体"/>
          <w:color w:val="auto"/>
          <w:sz w:val="24"/>
          <w:highlight w:val="none"/>
        </w:rPr>
        <w:t>一览表</w:t>
      </w:r>
    </w:p>
    <w:tbl>
      <w:tblPr>
        <w:tblStyle w:val="59"/>
        <w:tblW w:w="4997"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5"/>
        <w:gridCol w:w="1288"/>
        <w:gridCol w:w="1201"/>
        <w:gridCol w:w="897"/>
        <w:gridCol w:w="765"/>
        <w:gridCol w:w="643"/>
        <w:gridCol w:w="765"/>
        <w:gridCol w:w="767"/>
        <w:gridCol w:w="949"/>
        <w:gridCol w:w="88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463" w:type="pct"/>
            <w:vMerge w:val="restart"/>
            <w:tcBorders>
              <w:top w:val="single" w:color="auto" w:sz="12" w:space="0"/>
              <w:left w:val="nil"/>
              <w:bottom w:val="single" w:color="auto" w:sz="2" w:space="0"/>
              <w:right w:val="single" w:color="auto" w:sz="2" w:space="0"/>
            </w:tcBorders>
            <w:vAlign w:val="center"/>
          </w:tcPr>
          <w:p>
            <w:pPr>
              <w:jc w:val="center"/>
              <w:rPr>
                <w:color w:val="auto"/>
                <w:szCs w:val="21"/>
                <w:highlight w:val="none"/>
              </w:rPr>
            </w:pPr>
            <w:r>
              <w:rPr>
                <w:color w:val="auto"/>
                <w:szCs w:val="21"/>
                <w:highlight w:val="none"/>
              </w:rPr>
              <w:t>污染源名称</w:t>
            </w:r>
          </w:p>
        </w:tc>
        <w:tc>
          <w:tcPr>
            <w:tcW w:w="1382" w:type="pct"/>
            <w:gridSpan w:val="2"/>
            <w:tcBorders>
              <w:top w:val="single" w:color="auto" w:sz="12" w:space="0"/>
              <w:left w:val="single" w:color="auto" w:sz="2" w:space="0"/>
              <w:bottom w:val="single" w:color="auto" w:sz="2" w:space="0"/>
              <w:right w:val="single" w:color="auto" w:sz="2" w:space="0"/>
            </w:tcBorders>
            <w:vAlign w:val="center"/>
          </w:tcPr>
          <w:p>
            <w:pPr>
              <w:jc w:val="center"/>
              <w:rPr>
                <w:color w:val="auto"/>
                <w:szCs w:val="21"/>
                <w:highlight w:val="none"/>
              </w:rPr>
            </w:pPr>
            <w:r>
              <w:rPr>
                <w:color w:val="auto"/>
                <w:szCs w:val="21"/>
                <w:highlight w:val="none"/>
              </w:rPr>
              <w:t>排气筒底部中心坐标(°)</w:t>
            </w:r>
          </w:p>
        </w:tc>
        <w:tc>
          <w:tcPr>
            <w:tcW w:w="498" w:type="pct"/>
            <w:vMerge w:val="restart"/>
            <w:tcBorders>
              <w:top w:val="single" w:color="auto" w:sz="12" w:space="0"/>
              <w:left w:val="single" w:color="auto" w:sz="2" w:space="0"/>
              <w:bottom w:val="single" w:color="auto" w:sz="2" w:space="0"/>
              <w:right w:val="single" w:color="auto" w:sz="2" w:space="0"/>
            </w:tcBorders>
            <w:vAlign w:val="center"/>
          </w:tcPr>
          <w:p>
            <w:pPr>
              <w:jc w:val="center"/>
              <w:rPr>
                <w:color w:val="auto"/>
                <w:szCs w:val="21"/>
                <w:highlight w:val="none"/>
              </w:rPr>
            </w:pPr>
            <w:r>
              <w:rPr>
                <w:color w:val="auto"/>
                <w:szCs w:val="21"/>
                <w:highlight w:val="none"/>
              </w:rPr>
              <w:t>排气筒底部海拔高度(m)</w:t>
            </w:r>
          </w:p>
        </w:tc>
        <w:tc>
          <w:tcPr>
            <w:tcW w:w="1633" w:type="pct"/>
            <w:gridSpan w:val="4"/>
            <w:tcBorders>
              <w:top w:val="single" w:color="auto" w:sz="12" w:space="0"/>
              <w:left w:val="single" w:color="auto" w:sz="2" w:space="0"/>
              <w:bottom w:val="single" w:color="auto" w:sz="2" w:space="0"/>
              <w:right w:val="single" w:color="auto" w:sz="2" w:space="0"/>
            </w:tcBorders>
            <w:vAlign w:val="center"/>
          </w:tcPr>
          <w:p>
            <w:pPr>
              <w:jc w:val="center"/>
              <w:rPr>
                <w:color w:val="auto"/>
                <w:szCs w:val="21"/>
                <w:highlight w:val="none"/>
              </w:rPr>
            </w:pPr>
            <w:r>
              <w:rPr>
                <w:color w:val="auto"/>
                <w:szCs w:val="21"/>
                <w:highlight w:val="none"/>
              </w:rPr>
              <w:t>排气筒参数</w:t>
            </w:r>
          </w:p>
        </w:tc>
        <w:tc>
          <w:tcPr>
            <w:tcW w:w="1020" w:type="pct"/>
            <w:gridSpan w:val="2"/>
            <w:tcBorders>
              <w:top w:val="single" w:color="auto" w:sz="12" w:space="0"/>
              <w:left w:val="single" w:color="auto" w:sz="2" w:space="0"/>
              <w:bottom w:val="single" w:color="auto" w:sz="2" w:space="0"/>
              <w:right w:val="nil"/>
            </w:tcBorders>
            <w:vAlign w:val="center"/>
          </w:tcPr>
          <w:p>
            <w:pPr>
              <w:jc w:val="center"/>
              <w:rPr>
                <w:color w:val="auto"/>
                <w:szCs w:val="21"/>
                <w:highlight w:val="none"/>
              </w:rPr>
            </w:pPr>
            <w:r>
              <w:rPr>
                <w:color w:val="auto"/>
                <w:szCs w:val="21"/>
                <w:highlight w:val="none"/>
              </w:rPr>
              <w:t>污染物排放速率(kg/h)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463" w:type="pct"/>
            <w:vMerge w:val="continue"/>
            <w:tcBorders>
              <w:top w:val="single" w:color="auto" w:sz="2" w:space="0"/>
              <w:left w:val="nil"/>
              <w:bottom w:val="single" w:color="auto" w:sz="2" w:space="0"/>
              <w:right w:val="single" w:color="auto" w:sz="2" w:space="0"/>
            </w:tcBorders>
            <w:vAlign w:val="center"/>
          </w:tcPr>
          <w:p>
            <w:pPr>
              <w:jc w:val="center"/>
              <w:rPr>
                <w:color w:val="auto"/>
                <w:szCs w:val="21"/>
                <w:highlight w:val="none"/>
              </w:rPr>
            </w:pPr>
          </w:p>
        </w:tc>
        <w:tc>
          <w:tcPr>
            <w:tcW w:w="715" w:type="pct"/>
            <w:tcBorders>
              <w:top w:val="single" w:color="auto" w:sz="2" w:space="0"/>
              <w:left w:val="single" w:color="auto" w:sz="2" w:space="0"/>
              <w:bottom w:val="single" w:color="auto" w:sz="2" w:space="0"/>
              <w:right w:val="single" w:color="auto" w:sz="2" w:space="0"/>
            </w:tcBorders>
            <w:vAlign w:val="center"/>
          </w:tcPr>
          <w:p>
            <w:pPr>
              <w:jc w:val="center"/>
              <w:rPr>
                <w:color w:val="auto"/>
                <w:szCs w:val="21"/>
                <w:highlight w:val="none"/>
              </w:rPr>
            </w:pPr>
            <w:r>
              <w:rPr>
                <w:color w:val="auto"/>
                <w:szCs w:val="21"/>
                <w:highlight w:val="none"/>
              </w:rPr>
              <w:t>经度</w:t>
            </w:r>
          </w:p>
        </w:tc>
        <w:tc>
          <w:tcPr>
            <w:tcW w:w="666" w:type="pct"/>
            <w:tcBorders>
              <w:top w:val="single" w:color="auto" w:sz="2" w:space="0"/>
              <w:left w:val="single" w:color="auto" w:sz="2" w:space="0"/>
              <w:bottom w:val="single" w:color="auto" w:sz="2" w:space="0"/>
              <w:right w:val="single" w:color="auto" w:sz="2" w:space="0"/>
            </w:tcBorders>
            <w:vAlign w:val="center"/>
          </w:tcPr>
          <w:p>
            <w:pPr>
              <w:jc w:val="center"/>
              <w:rPr>
                <w:color w:val="auto"/>
                <w:szCs w:val="21"/>
                <w:highlight w:val="none"/>
              </w:rPr>
            </w:pPr>
            <w:r>
              <w:rPr>
                <w:color w:val="auto"/>
                <w:szCs w:val="21"/>
                <w:highlight w:val="none"/>
              </w:rPr>
              <w:t>纬度</w:t>
            </w:r>
          </w:p>
        </w:tc>
        <w:tc>
          <w:tcPr>
            <w:tcW w:w="498" w:type="pct"/>
            <w:vMerge w:val="continue"/>
            <w:tcBorders>
              <w:top w:val="single" w:color="auto" w:sz="2" w:space="0"/>
              <w:left w:val="single" w:color="auto" w:sz="2" w:space="0"/>
              <w:bottom w:val="single" w:color="auto" w:sz="2" w:space="0"/>
              <w:right w:val="single" w:color="auto" w:sz="2" w:space="0"/>
            </w:tcBorders>
            <w:vAlign w:val="center"/>
          </w:tcPr>
          <w:p>
            <w:pPr>
              <w:jc w:val="center"/>
              <w:rPr>
                <w:color w:val="auto"/>
                <w:szCs w:val="21"/>
                <w:highlight w:val="none"/>
              </w:rPr>
            </w:pPr>
          </w:p>
        </w:tc>
        <w:tc>
          <w:tcPr>
            <w:tcW w:w="425" w:type="pct"/>
            <w:tcBorders>
              <w:top w:val="single" w:color="auto" w:sz="2" w:space="0"/>
              <w:left w:val="single" w:color="auto" w:sz="2" w:space="0"/>
              <w:bottom w:val="single" w:color="auto" w:sz="2" w:space="0"/>
              <w:right w:val="single" w:color="auto" w:sz="2" w:space="0"/>
            </w:tcBorders>
            <w:vAlign w:val="center"/>
          </w:tcPr>
          <w:p>
            <w:pPr>
              <w:jc w:val="center"/>
              <w:rPr>
                <w:color w:val="auto"/>
                <w:szCs w:val="21"/>
                <w:highlight w:val="none"/>
              </w:rPr>
            </w:pPr>
            <w:r>
              <w:rPr>
                <w:color w:val="auto"/>
                <w:szCs w:val="21"/>
                <w:highlight w:val="none"/>
              </w:rPr>
              <w:t>高度(m)</w:t>
            </w:r>
          </w:p>
        </w:tc>
        <w:tc>
          <w:tcPr>
            <w:tcW w:w="357" w:type="pct"/>
            <w:tcBorders>
              <w:top w:val="single" w:color="auto" w:sz="2" w:space="0"/>
              <w:left w:val="single" w:color="auto" w:sz="2" w:space="0"/>
              <w:bottom w:val="single" w:color="auto" w:sz="2" w:space="0"/>
              <w:right w:val="single" w:color="auto" w:sz="2" w:space="0"/>
            </w:tcBorders>
            <w:vAlign w:val="center"/>
          </w:tcPr>
          <w:p>
            <w:pPr>
              <w:jc w:val="center"/>
              <w:rPr>
                <w:color w:val="auto"/>
                <w:szCs w:val="21"/>
                <w:highlight w:val="none"/>
              </w:rPr>
            </w:pPr>
            <w:r>
              <w:rPr>
                <w:color w:val="auto"/>
                <w:szCs w:val="21"/>
                <w:highlight w:val="none"/>
              </w:rPr>
              <w:t>内径(m)</w:t>
            </w:r>
          </w:p>
        </w:tc>
        <w:tc>
          <w:tcPr>
            <w:tcW w:w="425" w:type="pct"/>
            <w:tcBorders>
              <w:top w:val="single" w:color="auto" w:sz="2" w:space="0"/>
              <w:left w:val="single" w:color="auto" w:sz="2" w:space="0"/>
              <w:bottom w:val="single" w:color="auto" w:sz="2" w:space="0"/>
              <w:right w:val="single" w:color="auto" w:sz="2" w:space="0"/>
            </w:tcBorders>
            <w:vAlign w:val="center"/>
          </w:tcPr>
          <w:p>
            <w:pPr>
              <w:jc w:val="center"/>
              <w:rPr>
                <w:color w:val="auto"/>
                <w:szCs w:val="21"/>
                <w:highlight w:val="none"/>
              </w:rPr>
            </w:pPr>
            <w:r>
              <w:rPr>
                <w:color w:val="auto"/>
                <w:szCs w:val="21"/>
                <w:highlight w:val="none"/>
              </w:rPr>
              <w:t>温度(℃)</w:t>
            </w:r>
          </w:p>
        </w:tc>
        <w:tc>
          <w:tcPr>
            <w:tcW w:w="426" w:type="pct"/>
            <w:tcBorders>
              <w:top w:val="single" w:color="auto" w:sz="2" w:space="0"/>
              <w:left w:val="single" w:color="auto" w:sz="2" w:space="0"/>
              <w:bottom w:val="single" w:color="auto" w:sz="2" w:space="0"/>
              <w:right w:val="single" w:color="auto" w:sz="2" w:space="0"/>
            </w:tcBorders>
            <w:vAlign w:val="center"/>
          </w:tcPr>
          <w:p>
            <w:pPr>
              <w:jc w:val="center"/>
              <w:rPr>
                <w:color w:val="auto"/>
                <w:szCs w:val="21"/>
                <w:highlight w:val="none"/>
              </w:rPr>
            </w:pPr>
            <w:r>
              <w:rPr>
                <w:color w:val="auto"/>
                <w:szCs w:val="21"/>
                <w:highlight w:val="none"/>
              </w:rPr>
              <w:t>流速(m/s)</w:t>
            </w:r>
          </w:p>
        </w:tc>
        <w:tc>
          <w:tcPr>
            <w:tcW w:w="527" w:type="pct"/>
            <w:tcBorders>
              <w:top w:val="single" w:color="auto" w:sz="2" w:space="0"/>
              <w:left w:val="single" w:color="auto" w:sz="2" w:space="0"/>
              <w:bottom w:val="single" w:color="auto" w:sz="2" w:space="0"/>
              <w:right w:val="single" w:color="auto" w:sz="2" w:space="0"/>
            </w:tcBorders>
            <w:vAlign w:val="center"/>
          </w:tcPr>
          <w:p>
            <w:pPr>
              <w:jc w:val="center"/>
              <w:rPr>
                <w:color w:val="auto"/>
                <w:szCs w:val="21"/>
                <w:highlight w:val="none"/>
              </w:rPr>
            </w:pPr>
            <w:r>
              <w:rPr>
                <w:color w:val="auto"/>
                <w:kern w:val="0"/>
                <w:szCs w:val="21"/>
                <w:highlight w:val="none"/>
              </w:rPr>
              <w:t>VOCs</w:t>
            </w:r>
          </w:p>
        </w:tc>
        <w:tc>
          <w:tcPr>
            <w:tcW w:w="493" w:type="pct"/>
            <w:tcBorders>
              <w:top w:val="single" w:color="auto" w:sz="2" w:space="0"/>
              <w:left w:val="single" w:color="auto" w:sz="2" w:space="0"/>
              <w:bottom w:val="single" w:color="auto" w:sz="2" w:space="0"/>
              <w:right w:val="nil"/>
            </w:tcBorders>
            <w:vAlign w:val="center"/>
          </w:tcPr>
          <w:p>
            <w:pPr>
              <w:jc w:val="center"/>
              <w:rPr>
                <w:color w:val="auto"/>
                <w:szCs w:val="21"/>
                <w:highlight w:val="none"/>
              </w:rPr>
            </w:pPr>
            <w:r>
              <w:rPr>
                <w:color w:val="auto"/>
                <w:szCs w:val="21"/>
                <w:highlight w:val="none"/>
              </w:rPr>
              <w:t>PM</w:t>
            </w:r>
            <w:r>
              <w:rPr>
                <w:color w:val="auto"/>
                <w:szCs w:val="21"/>
                <w:highlight w:val="none"/>
                <w:vertAlign w:val="subscript"/>
              </w:rPr>
              <w:t>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463" w:type="pct"/>
            <w:tcBorders>
              <w:top w:val="single" w:color="auto" w:sz="2" w:space="0"/>
              <w:left w:val="nil"/>
              <w:bottom w:val="single" w:color="auto" w:sz="12" w:space="0"/>
              <w:right w:val="single" w:color="auto" w:sz="2" w:space="0"/>
            </w:tcBorders>
            <w:vAlign w:val="center"/>
          </w:tcPr>
          <w:p>
            <w:pPr>
              <w:jc w:val="center"/>
              <w:rPr>
                <w:color w:val="auto"/>
                <w:szCs w:val="21"/>
                <w:highlight w:val="none"/>
              </w:rPr>
            </w:pPr>
            <w:r>
              <w:rPr>
                <w:rFonts w:hint="eastAsia"/>
                <w:color w:val="auto"/>
                <w:szCs w:val="21"/>
                <w:highlight w:val="none"/>
              </w:rPr>
              <w:t>DA001</w:t>
            </w:r>
          </w:p>
        </w:tc>
        <w:tc>
          <w:tcPr>
            <w:tcW w:w="715" w:type="pct"/>
            <w:tcBorders>
              <w:top w:val="single" w:color="auto" w:sz="2" w:space="0"/>
              <w:left w:val="single" w:color="auto" w:sz="2" w:space="0"/>
              <w:bottom w:val="single" w:color="auto" w:sz="12" w:space="0"/>
              <w:right w:val="single" w:color="auto" w:sz="2" w:space="0"/>
            </w:tcBorders>
            <w:vAlign w:val="center"/>
          </w:tcPr>
          <w:p>
            <w:pPr>
              <w:jc w:val="center"/>
              <w:rPr>
                <w:color w:val="auto"/>
                <w:szCs w:val="21"/>
                <w:highlight w:val="none"/>
              </w:rPr>
            </w:pPr>
            <w:r>
              <w:rPr>
                <w:color w:val="auto"/>
                <w:szCs w:val="21"/>
                <w:highlight w:val="none"/>
              </w:rPr>
              <w:t>117.664582</w:t>
            </w:r>
          </w:p>
        </w:tc>
        <w:tc>
          <w:tcPr>
            <w:tcW w:w="666" w:type="pct"/>
            <w:tcBorders>
              <w:top w:val="single" w:color="auto" w:sz="2" w:space="0"/>
              <w:left w:val="single" w:color="auto" w:sz="2" w:space="0"/>
              <w:bottom w:val="single" w:color="auto" w:sz="12" w:space="0"/>
              <w:right w:val="single" w:color="auto" w:sz="2" w:space="0"/>
            </w:tcBorders>
            <w:vAlign w:val="center"/>
          </w:tcPr>
          <w:p>
            <w:pPr>
              <w:jc w:val="center"/>
              <w:rPr>
                <w:color w:val="auto"/>
                <w:szCs w:val="21"/>
                <w:highlight w:val="none"/>
              </w:rPr>
            </w:pPr>
            <w:r>
              <w:rPr>
                <w:color w:val="auto"/>
                <w:szCs w:val="21"/>
                <w:highlight w:val="none"/>
              </w:rPr>
              <w:t>34.766988</w:t>
            </w:r>
          </w:p>
        </w:tc>
        <w:tc>
          <w:tcPr>
            <w:tcW w:w="498" w:type="pct"/>
            <w:tcBorders>
              <w:top w:val="single" w:color="auto" w:sz="2" w:space="0"/>
              <w:left w:val="single" w:color="auto" w:sz="2" w:space="0"/>
              <w:bottom w:val="single" w:color="auto" w:sz="12" w:space="0"/>
              <w:right w:val="single" w:color="auto" w:sz="2" w:space="0"/>
            </w:tcBorders>
            <w:vAlign w:val="center"/>
          </w:tcPr>
          <w:p>
            <w:pPr>
              <w:jc w:val="center"/>
              <w:rPr>
                <w:color w:val="auto"/>
                <w:szCs w:val="21"/>
                <w:highlight w:val="none"/>
              </w:rPr>
            </w:pPr>
            <w:r>
              <w:rPr>
                <w:color w:val="auto"/>
                <w:szCs w:val="21"/>
                <w:highlight w:val="none"/>
              </w:rPr>
              <w:t>62.00</w:t>
            </w:r>
          </w:p>
        </w:tc>
        <w:tc>
          <w:tcPr>
            <w:tcW w:w="425" w:type="pct"/>
            <w:tcBorders>
              <w:top w:val="single" w:color="auto" w:sz="2" w:space="0"/>
              <w:left w:val="single" w:color="auto" w:sz="2" w:space="0"/>
              <w:bottom w:val="single" w:color="auto" w:sz="12" w:space="0"/>
              <w:right w:val="single" w:color="auto" w:sz="2" w:space="0"/>
            </w:tcBorders>
            <w:vAlign w:val="center"/>
          </w:tcPr>
          <w:p>
            <w:pPr>
              <w:jc w:val="center"/>
              <w:rPr>
                <w:color w:val="auto"/>
                <w:szCs w:val="21"/>
                <w:highlight w:val="none"/>
              </w:rPr>
            </w:pPr>
            <w:r>
              <w:rPr>
                <w:color w:val="auto"/>
                <w:szCs w:val="21"/>
                <w:highlight w:val="none"/>
              </w:rPr>
              <w:t>15.00</w:t>
            </w:r>
          </w:p>
        </w:tc>
        <w:tc>
          <w:tcPr>
            <w:tcW w:w="357" w:type="pct"/>
            <w:tcBorders>
              <w:top w:val="single" w:color="auto" w:sz="2" w:space="0"/>
              <w:left w:val="single" w:color="auto" w:sz="2" w:space="0"/>
              <w:bottom w:val="single" w:color="auto" w:sz="12" w:space="0"/>
              <w:right w:val="single" w:color="auto" w:sz="2" w:space="0"/>
            </w:tcBorders>
            <w:vAlign w:val="center"/>
          </w:tcPr>
          <w:p>
            <w:pPr>
              <w:jc w:val="center"/>
              <w:rPr>
                <w:color w:val="auto"/>
                <w:szCs w:val="21"/>
                <w:highlight w:val="none"/>
              </w:rPr>
            </w:pPr>
            <w:r>
              <w:rPr>
                <w:color w:val="auto"/>
                <w:szCs w:val="21"/>
                <w:highlight w:val="none"/>
              </w:rPr>
              <w:t>0.60</w:t>
            </w:r>
          </w:p>
        </w:tc>
        <w:tc>
          <w:tcPr>
            <w:tcW w:w="425" w:type="pct"/>
            <w:tcBorders>
              <w:top w:val="single" w:color="auto" w:sz="2" w:space="0"/>
              <w:left w:val="single" w:color="auto" w:sz="2" w:space="0"/>
              <w:bottom w:val="single" w:color="auto" w:sz="12" w:space="0"/>
              <w:right w:val="single" w:color="auto" w:sz="2" w:space="0"/>
            </w:tcBorders>
            <w:vAlign w:val="center"/>
          </w:tcPr>
          <w:p>
            <w:pPr>
              <w:jc w:val="center"/>
              <w:rPr>
                <w:color w:val="auto"/>
                <w:szCs w:val="21"/>
                <w:highlight w:val="none"/>
              </w:rPr>
            </w:pPr>
            <w:r>
              <w:rPr>
                <w:color w:val="auto"/>
                <w:szCs w:val="21"/>
                <w:highlight w:val="none"/>
              </w:rPr>
              <w:t>25.00</w:t>
            </w:r>
          </w:p>
        </w:tc>
        <w:tc>
          <w:tcPr>
            <w:tcW w:w="426" w:type="pct"/>
            <w:tcBorders>
              <w:top w:val="single" w:color="auto" w:sz="2" w:space="0"/>
              <w:left w:val="single" w:color="auto" w:sz="2" w:space="0"/>
              <w:bottom w:val="single" w:color="auto" w:sz="12" w:space="0"/>
              <w:right w:val="single" w:color="auto" w:sz="2" w:space="0"/>
            </w:tcBorders>
            <w:vAlign w:val="center"/>
          </w:tcPr>
          <w:p>
            <w:pPr>
              <w:jc w:val="center"/>
              <w:rPr>
                <w:color w:val="auto"/>
                <w:szCs w:val="21"/>
                <w:highlight w:val="none"/>
              </w:rPr>
            </w:pPr>
            <w:r>
              <w:rPr>
                <w:color w:val="auto"/>
                <w:szCs w:val="21"/>
                <w:highlight w:val="none"/>
              </w:rPr>
              <w:t>19.65</w:t>
            </w:r>
          </w:p>
        </w:tc>
        <w:tc>
          <w:tcPr>
            <w:tcW w:w="527" w:type="pct"/>
            <w:tcBorders>
              <w:top w:val="single" w:color="auto" w:sz="2" w:space="0"/>
              <w:left w:val="single" w:color="auto" w:sz="2" w:space="0"/>
              <w:bottom w:val="single" w:color="auto" w:sz="12" w:space="0"/>
              <w:right w:val="single" w:color="auto" w:sz="2" w:space="0"/>
            </w:tcBorders>
            <w:vAlign w:val="center"/>
          </w:tcPr>
          <w:p>
            <w:pPr>
              <w:jc w:val="center"/>
              <w:rPr>
                <w:color w:val="auto"/>
                <w:szCs w:val="21"/>
                <w:highlight w:val="none"/>
              </w:rPr>
            </w:pPr>
            <w:r>
              <w:rPr>
                <w:rFonts w:hint="eastAsia"/>
                <w:color w:val="auto"/>
                <w:szCs w:val="21"/>
                <w:highlight w:val="none"/>
              </w:rPr>
              <w:t>0.055</w:t>
            </w:r>
          </w:p>
        </w:tc>
        <w:tc>
          <w:tcPr>
            <w:tcW w:w="493" w:type="pct"/>
            <w:tcBorders>
              <w:top w:val="single" w:color="auto" w:sz="2" w:space="0"/>
              <w:left w:val="single" w:color="auto" w:sz="2" w:space="0"/>
              <w:bottom w:val="single" w:color="auto" w:sz="12" w:space="0"/>
              <w:right w:val="nil"/>
            </w:tcBorders>
            <w:vAlign w:val="center"/>
          </w:tcPr>
          <w:p>
            <w:pPr>
              <w:jc w:val="center"/>
              <w:rPr>
                <w:color w:val="auto"/>
                <w:szCs w:val="21"/>
                <w:highlight w:val="none"/>
              </w:rPr>
            </w:pPr>
            <w:r>
              <w:rPr>
                <w:rFonts w:hint="eastAsia"/>
                <w:color w:val="auto"/>
                <w:highlight w:val="none"/>
              </w:rPr>
              <w:t>0.0</w:t>
            </w:r>
            <w:r>
              <w:rPr>
                <w:rFonts w:hint="eastAsia"/>
                <w:color w:val="auto"/>
                <w:highlight w:val="none"/>
                <w:lang w:val="en-US" w:eastAsia="zh-CN"/>
              </w:rPr>
              <w:t>24</w:t>
            </w:r>
          </w:p>
        </w:tc>
      </w:tr>
    </w:tbl>
    <w:p>
      <w:pPr>
        <w:jc w:val="center"/>
        <w:rPr>
          <w:rFonts w:eastAsia="黑体"/>
          <w:color w:val="auto"/>
          <w:sz w:val="24"/>
          <w:highlight w:val="none"/>
        </w:rPr>
      </w:pPr>
      <w:r>
        <w:rPr>
          <w:rFonts w:eastAsia="黑体"/>
          <w:color w:val="auto"/>
          <w:sz w:val="24"/>
          <w:highlight w:val="none"/>
        </w:rPr>
        <w:t>表4.1-</w:t>
      </w:r>
      <w:r>
        <w:rPr>
          <w:rFonts w:hint="eastAsia" w:eastAsia="黑体"/>
          <w:color w:val="auto"/>
          <w:sz w:val="24"/>
          <w:highlight w:val="none"/>
        </w:rPr>
        <w:t>9</w:t>
      </w:r>
      <w:r>
        <w:rPr>
          <w:rFonts w:eastAsia="黑体"/>
          <w:color w:val="auto"/>
          <w:sz w:val="24"/>
          <w:highlight w:val="none"/>
        </w:rPr>
        <w:t xml:space="preserve">  无组织排放</w:t>
      </w:r>
      <w:r>
        <w:rPr>
          <w:rFonts w:hint="eastAsia" w:eastAsia="黑体"/>
          <w:color w:val="auto"/>
          <w:sz w:val="24"/>
          <w:highlight w:val="none"/>
        </w:rPr>
        <w:t>面源参数</w:t>
      </w:r>
    </w:p>
    <w:tbl>
      <w:tblPr>
        <w:tblStyle w:val="59"/>
        <w:tblW w:w="4997"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39"/>
        <w:gridCol w:w="1261"/>
        <w:gridCol w:w="1206"/>
        <w:gridCol w:w="855"/>
        <w:gridCol w:w="855"/>
        <w:gridCol w:w="986"/>
        <w:gridCol w:w="857"/>
        <w:gridCol w:w="1010"/>
        <w:gridCol w:w="102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21" w:type="pct"/>
            <w:vMerge w:val="restart"/>
            <w:tcBorders>
              <w:tl2br w:val="nil"/>
              <w:tr2bl w:val="nil"/>
            </w:tcBorders>
            <w:vAlign w:val="center"/>
          </w:tcPr>
          <w:p>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污染源名称</w:t>
            </w:r>
          </w:p>
        </w:tc>
        <w:tc>
          <w:tcPr>
            <w:tcW w:w="1370" w:type="pct"/>
            <w:gridSpan w:val="2"/>
            <w:tcBorders>
              <w:tl2br w:val="nil"/>
              <w:tr2bl w:val="nil"/>
            </w:tcBorders>
            <w:vAlign w:val="center"/>
          </w:tcPr>
          <w:p>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坐标(°)</w:t>
            </w:r>
          </w:p>
        </w:tc>
        <w:tc>
          <w:tcPr>
            <w:tcW w:w="475" w:type="pct"/>
            <w:vMerge w:val="restart"/>
            <w:tcBorders>
              <w:tl2br w:val="nil"/>
              <w:tr2bl w:val="nil"/>
            </w:tcBorders>
            <w:vAlign w:val="center"/>
          </w:tcPr>
          <w:p>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海拔高度(m)</w:t>
            </w:r>
          </w:p>
        </w:tc>
        <w:tc>
          <w:tcPr>
            <w:tcW w:w="1499" w:type="pct"/>
            <w:gridSpan w:val="3"/>
            <w:tcBorders>
              <w:tl2br w:val="nil"/>
              <w:tr2bl w:val="nil"/>
            </w:tcBorders>
            <w:vAlign w:val="center"/>
          </w:tcPr>
          <w:p>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矩形面源</w:t>
            </w:r>
          </w:p>
        </w:tc>
        <w:tc>
          <w:tcPr>
            <w:tcW w:w="1133" w:type="pct"/>
            <w:gridSpan w:val="2"/>
            <w:tcBorders>
              <w:tl2br w:val="nil"/>
              <w:tr2bl w:val="nil"/>
            </w:tcBorders>
            <w:vAlign w:val="center"/>
          </w:tcPr>
          <w:p>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污染物排放速率(kg/h)</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21" w:type="pct"/>
            <w:vMerge w:val="continue"/>
            <w:tcBorders>
              <w:tl2br w:val="nil"/>
              <w:tr2bl w:val="nil"/>
            </w:tcBorders>
            <w:vAlign w:val="center"/>
          </w:tcPr>
          <w:p>
            <w:pPr>
              <w:spacing w:line="240" w:lineRule="exact"/>
              <w:jc w:val="center"/>
              <w:rPr>
                <w:rFonts w:hint="default" w:ascii="Times New Roman" w:hAnsi="Times New Roman" w:cs="Times New Roman"/>
                <w:color w:val="auto"/>
                <w:sz w:val="21"/>
                <w:szCs w:val="21"/>
                <w:highlight w:val="none"/>
              </w:rPr>
            </w:pPr>
          </w:p>
        </w:tc>
        <w:tc>
          <w:tcPr>
            <w:tcW w:w="700" w:type="pct"/>
            <w:tcBorders>
              <w:tl2br w:val="nil"/>
              <w:tr2bl w:val="nil"/>
            </w:tcBorders>
            <w:vAlign w:val="center"/>
          </w:tcPr>
          <w:p>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经度</w:t>
            </w:r>
          </w:p>
        </w:tc>
        <w:tc>
          <w:tcPr>
            <w:tcW w:w="670" w:type="pct"/>
            <w:tcBorders>
              <w:tl2br w:val="nil"/>
              <w:tr2bl w:val="nil"/>
            </w:tcBorders>
            <w:vAlign w:val="center"/>
          </w:tcPr>
          <w:p>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纬度</w:t>
            </w:r>
          </w:p>
        </w:tc>
        <w:tc>
          <w:tcPr>
            <w:tcW w:w="475" w:type="pct"/>
            <w:vMerge w:val="continue"/>
            <w:tcBorders>
              <w:tl2br w:val="nil"/>
              <w:tr2bl w:val="nil"/>
            </w:tcBorders>
            <w:vAlign w:val="center"/>
          </w:tcPr>
          <w:p>
            <w:pPr>
              <w:spacing w:line="240" w:lineRule="exact"/>
              <w:jc w:val="center"/>
              <w:rPr>
                <w:rFonts w:hint="default" w:ascii="Times New Roman" w:hAnsi="Times New Roman" w:cs="Times New Roman"/>
                <w:color w:val="auto"/>
                <w:sz w:val="21"/>
                <w:szCs w:val="21"/>
                <w:highlight w:val="none"/>
              </w:rPr>
            </w:pPr>
          </w:p>
        </w:tc>
        <w:tc>
          <w:tcPr>
            <w:tcW w:w="475" w:type="pct"/>
            <w:tcBorders>
              <w:tl2br w:val="nil"/>
              <w:tr2bl w:val="nil"/>
            </w:tcBorders>
            <w:vAlign w:val="center"/>
          </w:tcPr>
          <w:p>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长度(m)</w:t>
            </w:r>
          </w:p>
        </w:tc>
        <w:tc>
          <w:tcPr>
            <w:tcW w:w="547" w:type="pct"/>
            <w:tcBorders>
              <w:tl2br w:val="nil"/>
              <w:tr2bl w:val="nil"/>
            </w:tcBorders>
            <w:vAlign w:val="center"/>
          </w:tcPr>
          <w:p>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宽度(m)</w:t>
            </w:r>
          </w:p>
        </w:tc>
        <w:tc>
          <w:tcPr>
            <w:tcW w:w="476" w:type="pct"/>
            <w:tcBorders>
              <w:tl2br w:val="nil"/>
              <w:tr2bl w:val="nil"/>
            </w:tcBorders>
            <w:vAlign w:val="center"/>
          </w:tcPr>
          <w:p>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有效高度(m)</w:t>
            </w:r>
          </w:p>
        </w:tc>
        <w:tc>
          <w:tcPr>
            <w:tcW w:w="561" w:type="pct"/>
            <w:tcBorders>
              <w:tl2br w:val="nil"/>
              <w:tr2bl w:val="nil"/>
            </w:tcBorders>
            <w:vAlign w:val="center"/>
          </w:tcPr>
          <w:p>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VOCs</w:t>
            </w:r>
          </w:p>
        </w:tc>
        <w:tc>
          <w:tcPr>
            <w:tcW w:w="571" w:type="pct"/>
            <w:tcBorders>
              <w:tl2br w:val="nil"/>
              <w:tr2bl w:val="nil"/>
            </w:tcBorders>
            <w:vAlign w:val="center"/>
          </w:tcPr>
          <w:p>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TSP</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21" w:type="pct"/>
            <w:tcBorders>
              <w:tl2br w:val="nil"/>
              <w:tr2bl w:val="nil"/>
            </w:tcBorders>
            <w:vAlign w:val="center"/>
          </w:tcPr>
          <w:p>
            <w:pPr>
              <w:spacing w:line="24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生产</w:t>
            </w:r>
            <w:r>
              <w:rPr>
                <w:rFonts w:hint="default" w:ascii="Times New Roman" w:hAnsi="Times New Roman" w:cs="Times New Roman"/>
                <w:color w:val="auto"/>
                <w:sz w:val="21"/>
                <w:szCs w:val="21"/>
                <w:highlight w:val="none"/>
                <w:lang w:val="en-US" w:eastAsia="zh-CN"/>
              </w:rPr>
              <w:t>区</w:t>
            </w:r>
          </w:p>
        </w:tc>
        <w:tc>
          <w:tcPr>
            <w:tcW w:w="700" w:type="pct"/>
            <w:tcBorders>
              <w:tl2br w:val="nil"/>
              <w:tr2bl w:val="nil"/>
            </w:tcBorders>
            <w:vAlign w:val="center"/>
          </w:tcPr>
          <w:p>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117.664609</w:t>
            </w:r>
          </w:p>
        </w:tc>
        <w:tc>
          <w:tcPr>
            <w:tcW w:w="670" w:type="pct"/>
            <w:tcBorders>
              <w:tl2br w:val="nil"/>
              <w:tr2bl w:val="nil"/>
            </w:tcBorders>
            <w:vAlign w:val="center"/>
          </w:tcPr>
          <w:p>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34.766985</w:t>
            </w:r>
          </w:p>
        </w:tc>
        <w:tc>
          <w:tcPr>
            <w:tcW w:w="475" w:type="pct"/>
            <w:tcBorders>
              <w:tl2br w:val="nil"/>
              <w:tr2bl w:val="nil"/>
            </w:tcBorders>
            <w:vAlign w:val="center"/>
          </w:tcPr>
          <w:p>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62.00</w:t>
            </w:r>
          </w:p>
        </w:tc>
        <w:tc>
          <w:tcPr>
            <w:tcW w:w="475" w:type="pct"/>
            <w:tcBorders>
              <w:tl2br w:val="nil"/>
              <w:tr2bl w:val="nil"/>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 w:val="0"/>
                <w:color w:val="auto"/>
                <w:sz w:val="21"/>
                <w:szCs w:val="21"/>
                <w:highlight w:val="none"/>
              </w:rPr>
              <w:t>68.24</w:t>
            </w:r>
          </w:p>
        </w:tc>
        <w:tc>
          <w:tcPr>
            <w:tcW w:w="547" w:type="pct"/>
            <w:tcBorders>
              <w:tl2br w:val="nil"/>
              <w:tr2bl w:val="nil"/>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 w:val="0"/>
                <w:color w:val="auto"/>
                <w:sz w:val="21"/>
                <w:szCs w:val="21"/>
                <w:highlight w:val="none"/>
              </w:rPr>
              <w:t>130.96</w:t>
            </w:r>
          </w:p>
        </w:tc>
        <w:tc>
          <w:tcPr>
            <w:tcW w:w="476" w:type="pct"/>
            <w:tcBorders>
              <w:tl2br w:val="nil"/>
              <w:tr2bl w:val="nil"/>
            </w:tcBorders>
            <w:vAlign w:val="center"/>
          </w:tcPr>
          <w:p>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10.00</w:t>
            </w:r>
          </w:p>
        </w:tc>
        <w:tc>
          <w:tcPr>
            <w:tcW w:w="561" w:type="pct"/>
            <w:tcBorders>
              <w:tl2br w:val="nil"/>
              <w:tr2bl w:val="nil"/>
            </w:tcBorders>
            <w:vAlign w:val="center"/>
          </w:tcPr>
          <w:p>
            <w:pPr>
              <w:spacing w:line="240" w:lineRule="exact"/>
              <w:jc w:val="center"/>
              <w:rPr>
                <w:rFonts w:hint="default" w:ascii="Times New Roman" w:hAnsi="Times New Roman" w:cs="Times New Roman"/>
                <w:color w:val="auto"/>
                <w:sz w:val="21"/>
                <w:szCs w:val="21"/>
                <w:highlight w:val="none"/>
              </w:rPr>
            </w:pPr>
            <w:r>
              <w:rPr>
                <w:rFonts w:hint="eastAsia"/>
                <w:color w:val="auto"/>
                <w:sz w:val="21"/>
                <w:szCs w:val="21"/>
                <w:highlight w:val="none"/>
                <w:lang w:val="en-US" w:eastAsia="zh-CN"/>
              </w:rPr>
              <w:t>0.123</w:t>
            </w:r>
          </w:p>
        </w:tc>
        <w:tc>
          <w:tcPr>
            <w:tcW w:w="571" w:type="pct"/>
            <w:tcBorders>
              <w:tl2br w:val="nil"/>
              <w:tr2bl w:val="nil"/>
            </w:tcBorders>
            <w:vAlign w:val="center"/>
          </w:tcPr>
          <w:p>
            <w:pPr>
              <w:spacing w:line="240" w:lineRule="exact"/>
              <w:jc w:val="center"/>
              <w:rPr>
                <w:rFonts w:hint="default" w:ascii="Times New Roman" w:hAnsi="Times New Roman" w:cs="Times New Roman"/>
                <w:color w:val="auto"/>
                <w:sz w:val="21"/>
                <w:szCs w:val="21"/>
                <w:highlight w:val="none"/>
              </w:rPr>
            </w:pPr>
            <w:r>
              <w:rPr>
                <w:rFonts w:hint="eastAsia"/>
                <w:color w:val="auto"/>
                <w:highlight w:val="none"/>
              </w:rPr>
              <w:t>0.0</w:t>
            </w:r>
            <w:r>
              <w:rPr>
                <w:rFonts w:hint="eastAsia"/>
                <w:color w:val="auto"/>
                <w:highlight w:val="none"/>
                <w:lang w:val="en-US" w:eastAsia="zh-CN"/>
              </w:rPr>
              <w:t>53</w:t>
            </w:r>
          </w:p>
        </w:tc>
      </w:tr>
    </w:tbl>
    <w:p>
      <w:pPr>
        <w:pStyle w:val="112"/>
        <w:rPr>
          <w:color w:val="auto"/>
          <w:highlight w:val="none"/>
        </w:rPr>
      </w:pPr>
      <w:r>
        <w:rPr>
          <w:rFonts w:hint="eastAsia"/>
          <w:color w:val="auto"/>
          <w:highlight w:val="none"/>
        </w:rPr>
        <w:t>4.1.2.2 评价工作等级与评价范围</w:t>
      </w:r>
    </w:p>
    <w:p>
      <w:pPr>
        <w:snapToGrid w:val="0"/>
        <w:spacing w:line="360" w:lineRule="auto"/>
        <w:ind w:firstLine="480" w:firstLineChars="200"/>
        <w:rPr>
          <w:color w:val="auto"/>
          <w:sz w:val="24"/>
          <w:highlight w:val="none"/>
        </w:rPr>
      </w:pPr>
      <w:r>
        <w:rPr>
          <w:color w:val="auto"/>
          <w:sz w:val="24"/>
          <w:highlight w:val="none"/>
        </w:rPr>
        <w:t>根据《环境影响评价技术导则  大气环境（HJ2.2-2018）》规定：选择</w:t>
      </w:r>
      <w:r>
        <w:rPr>
          <w:rFonts w:hint="eastAsia"/>
          <w:color w:val="auto"/>
          <w:sz w:val="24"/>
          <w:highlight w:val="none"/>
        </w:rPr>
        <w:t>AERSCREEN估算模式</w:t>
      </w:r>
      <w:r>
        <w:rPr>
          <w:color w:val="auto"/>
          <w:sz w:val="24"/>
          <w:highlight w:val="none"/>
        </w:rPr>
        <w:t>对项目的大气环境评价工作进行分级。</w:t>
      </w:r>
    </w:p>
    <w:p>
      <w:pPr>
        <w:snapToGrid w:val="0"/>
        <w:spacing w:line="360" w:lineRule="auto"/>
        <w:ind w:firstLine="480" w:firstLineChars="200"/>
        <w:rPr>
          <w:color w:val="auto"/>
          <w:sz w:val="24"/>
          <w:highlight w:val="none"/>
        </w:rPr>
      </w:pPr>
      <w:r>
        <w:rPr>
          <w:color w:val="auto"/>
          <w:sz w:val="24"/>
          <w:highlight w:val="none"/>
        </w:rPr>
        <w:t>（1）预测及评价因子的确定</w:t>
      </w:r>
    </w:p>
    <w:p>
      <w:pPr>
        <w:snapToGrid w:val="0"/>
        <w:spacing w:line="360" w:lineRule="auto"/>
        <w:ind w:firstLine="480" w:firstLineChars="200"/>
        <w:rPr>
          <w:color w:val="auto"/>
          <w:sz w:val="24"/>
          <w:highlight w:val="none"/>
        </w:rPr>
      </w:pPr>
      <w:r>
        <w:rPr>
          <w:color w:val="auto"/>
          <w:sz w:val="24"/>
          <w:highlight w:val="none"/>
        </w:rPr>
        <w:t>评价标准的采用见表4.1-</w:t>
      </w:r>
      <w:r>
        <w:rPr>
          <w:rFonts w:hint="eastAsia"/>
          <w:color w:val="auto"/>
          <w:sz w:val="24"/>
          <w:highlight w:val="none"/>
        </w:rPr>
        <w:t>10</w:t>
      </w:r>
      <w:r>
        <w:rPr>
          <w:color w:val="auto"/>
          <w:sz w:val="24"/>
          <w:highlight w:val="none"/>
        </w:rPr>
        <w:t>。</w:t>
      </w:r>
    </w:p>
    <w:p>
      <w:pPr>
        <w:jc w:val="center"/>
        <w:rPr>
          <w:rFonts w:eastAsia="黑体"/>
          <w:color w:val="auto"/>
          <w:sz w:val="24"/>
          <w:highlight w:val="none"/>
        </w:rPr>
      </w:pPr>
      <w:r>
        <w:rPr>
          <w:rFonts w:eastAsia="黑体"/>
          <w:color w:val="auto"/>
          <w:sz w:val="24"/>
          <w:highlight w:val="none"/>
        </w:rPr>
        <w:t>表4.1-</w:t>
      </w:r>
      <w:r>
        <w:rPr>
          <w:rFonts w:hint="eastAsia" w:eastAsia="黑体"/>
          <w:color w:val="auto"/>
          <w:sz w:val="24"/>
          <w:highlight w:val="none"/>
        </w:rPr>
        <w:t>10</w:t>
      </w:r>
      <w:r>
        <w:rPr>
          <w:rFonts w:eastAsia="黑体"/>
          <w:color w:val="auto"/>
          <w:sz w:val="24"/>
          <w:highlight w:val="none"/>
        </w:rPr>
        <w:t xml:space="preserve">  评价因子和评价标准表</w:t>
      </w:r>
    </w:p>
    <w:tbl>
      <w:tblPr>
        <w:tblStyle w:val="5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790"/>
        <w:gridCol w:w="1559"/>
        <w:gridCol w:w="57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Align w:val="center"/>
          </w:tcPr>
          <w:p>
            <w:pPr>
              <w:jc w:val="center"/>
              <w:rPr>
                <w:color w:val="auto"/>
                <w:highlight w:val="none"/>
              </w:rPr>
            </w:pPr>
            <w:r>
              <w:rPr>
                <w:color w:val="auto"/>
                <w:highlight w:val="none"/>
              </w:rPr>
              <w:t>评价因子</w:t>
            </w:r>
          </w:p>
        </w:tc>
        <w:tc>
          <w:tcPr>
            <w:tcW w:w="0" w:type="auto"/>
            <w:vAlign w:val="center"/>
          </w:tcPr>
          <w:p>
            <w:pPr>
              <w:jc w:val="center"/>
              <w:rPr>
                <w:color w:val="auto"/>
                <w:highlight w:val="none"/>
              </w:rPr>
            </w:pPr>
            <w:r>
              <w:rPr>
                <w:color w:val="auto"/>
                <w:highlight w:val="none"/>
              </w:rPr>
              <w:t>平均时段</w:t>
            </w:r>
          </w:p>
        </w:tc>
        <w:tc>
          <w:tcPr>
            <w:tcW w:w="0" w:type="auto"/>
            <w:vAlign w:val="center"/>
          </w:tcPr>
          <w:p>
            <w:pPr>
              <w:jc w:val="center"/>
              <w:rPr>
                <w:color w:val="auto"/>
                <w:highlight w:val="none"/>
              </w:rPr>
            </w:pPr>
            <w:r>
              <w:rPr>
                <w:color w:val="auto"/>
                <w:highlight w:val="none"/>
              </w:rPr>
              <w:t>标准值（mg/m</w:t>
            </w:r>
            <w:r>
              <w:rPr>
                <w:color w:val="auto"/>
                <w:highlight w:val="none"/>
                <w:vertAlign w:val="superscript"/>
              </w:rPr>
              <w:t>3</w:t>
            </w:r>
            <w:r>
              <w:rPr>
                <w:color w:val="auto"/>
                <w:highlight w:val="none"/>
              </w:rPr>
              <w:t>）</w:t>
            </w:r>
          </w:p>
        </w:tc>
        <w:tc>
          <w:tcPr>
            <w:tcW w:w="0" w:type="auto"/>
            <w:vAlign w:val="center"/>
          </w:tcPr>
          <w:p>
            <w:pPr>
              <w:jc w:val="center"/>
              <w:rPr>
                <w:color w:val="auto"/>
                <w:highlight w:val="none"/>
              </w:rPr>
            </w:pPr>
            <w:r>
              <w:rPr>
                <w:color w:val="auto"/>
                <w:highlight w:val="none"/>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0" w:type="auto"/>
            <w:vAlign w:val="center"/>
          </w:tcPr>
          <w:p>
            <w:pPr>
              <w:jc w:val="center"/>
              <w:rPr>
                <w:color w:val="auto"/>
                <w:highlight w:val="none"/>
              </w:rPr>
            </w:pPr>
            <w:r>
              <w:rPr>
                <w:color w:val="auto"/>
                <w:szCs w:val="21"/>
                <w:highlight w:val="none"/>
              </w:rPr>
              <w:t>VOCs</w:t>
            </w:r>
          </w:p>
        </w:tc>
        <w:tc>
          <w:tcPr>
            <w:tcW w:w="0" w:type="auto"/>
            <w:vMerge w:val="restart"/>
            <w:vAlign w:val="center"/>
          </w:tcPr>
          <w:p>
            <w:pPr>
              <w:jc w:val="center"/>
              <w:rPr>
                <w:color w:val="auto"/>
                <w:highlight w:val="none"/>
              </w:rPr>
            </w:pPr>
            <w:r>
              <w:rPr>
                <w:color w:val="auto"/>
                <w:highlight w:val="none"/>
              </w:rPr>
              <w:t>小时值</w:t>
            </w:r>
          </w:p>
        </w:tc>
        <w:tc>
          <w:tcPr>
            <w:tcW w:w="0" w:type="auto"/>
            <w:vAlign w:val="center"/>
          </w:tcPr>
          <w:p>
            <w:pPr>
              <w:jc w:val="center"/>
              <w:rPr>
                <w:color w:val="auto"/>
                <w:highlight w:val="none"/>
              </w:rPr>
            </w:pPr>
            <w:r>
              <w:rPr>
                <w:color w:val="auto"/>
                <w:szCs w:val="21"/>
                <w:highlight w:val="none"/>
              </w:rPr>
              <w:t>2.0</w:t>
            </w:r>
          </w:p>
        </w:tc>
        <w:tc>
          <w:tcPr>
            <w:tcW w:w="0" w:type="auto"/>
            <w:vAlign w:val="center"/>
          </w:tcPr>
          <w:p>
            <w:pPr>
              <w:jc w:val="center"/>
              <w:rPr>
                <w:color w:val="auto"/>
                <w:highlight w:val="none"/>
              </w:rPr>
            </w:pPr>
            <w:r>
              <w:rPr>
                <w:color w:val="auto"/>
                <w:szCs w:val="21"/>
                <w:highlight w:val="none"/>
                <w:lang w:val="en-GB"/>
              </w:rPr>
              <w:t>《大气污染物综合排放标准》(GB16297-1996)表2中非甲烷总烃周界外浓度最高点限值的1/2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restart"/>
            <w:vAlign w:val="center"/>
          </w:tcPr>
          <w:p>
            <w:pPr>
              <w:jc w:val="center"/>
              <w:rPr>
                <w:color w:val="auto"/>
                <w:szCs w:val="21"/>
                <w:highlight w:val="none"/>
              </w:rPr>
            </w:pPr>
            <w:r>
              <w:rPr>
                <w:color w:val="auto"/>
                <w:szCs w:val="21"/>
                <w:highlight w:val="none"/>
              </w:rPr>
              <w:t>颗粒物</w:t>
            </w:r>
          </w:p>
        </w:tc>
        <w:tc>
          <w:tcPr>
            <w:tcW w:w="0" w:type="auto"/>
            <w:vMerge w:val="continue"/>
            <w:vAlign w:val="center"/>
          </w:tcPr>
          <w:p>
            <w:pPr>
              <w:jc w:val="center"/>
              <w:rPr>
                <w:color w:val="auto"/>
                <w:highlight w:val="none"/>
              </w:rPr>
            </w:pPr>
          </w:p>
        </w:tc>
        <w:tc>
          <w:tcPr>
            <w:tcW w:w="0" w:type="auto"/>
            <w:vAlign w:val="center"/>
          </w:tcPr>
          <w:p>
            <w:pPr>
              <w:jc w:val="center"/>
              <w:rPr>
                <w:color w:val="auto"/>
                <w:szCs w:val="21"/>
                <w:highlight w:val="none"/>
              </w:rPr>
            </w:pPr>
            <w:r>
              <w:rPr>
                <w:color w:val="auto"/>
                <w:szCs w:val="21"/>
                <w:highlight w:val="none"/>
              </w:rPr>
              <w:t>有组织0.45</w:t>
            </w:r>
          </w:p>
        </w:tc>
        <w:tc>
          <w:tcPr>
            <w:tcW w:w="0" w:type="auto"/>
            <w:vAlign w:val="center"/>
          </w:tcPr>
          <w:p>
            <w:pPr>
              <w:jc w:val="center"/>
              <w:rPr>
                <w:color w:val="auto"/>
                <w:szCs w:val="21"/>
                <w:highlight w:val="none"/>
              </w:rPr>
            </w:pPr>
            <w:r>
              <w:rPr>
                <w:color w:val="auto"/>
                <w:szCs w:val="21"/>
                <w:highlight w:val="none"/>
              </w:rPr>
              <w:t>《环境空气质量标准》(GB3095-2012)中</w:t>
            </w:r>
            <w:r>
              <w:rPr>
                <w:color w:val="auto"/>
                <w:highlight w:val="none"/>
              </w:rPr>
              <w:t>PM</w:t>
            </w:r>
            <w:r>
              <w:rPr>
                <w:color w:val="auto"/>
                <w:highlight w:val="none"/>
                <w:vertAlign w:val="subscript"/>
              </w:rPr>
              <w:t>10</w:t>
            </w:r>
            <w:r>
              <w:rPr>
                <w:color w:val="auto"/>
                <w:highlight w:val="none"/>
              </w:rPr>
              <w:t>日均值的3倍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vAlign w:val="center"/>
          </w:tcPr>
          <w:p>
            <w:pPr>
              <w:jc w:val="center"/>
              <w:rPr>
                <w:color w:val="auto"/>
                <w:szCs w:val="21"/>
                <w:highlight w:val="none"/>
              </w:rPr>
            </w:pPr>
          </w:p>
        </w:tc>
        <w:tc>
          <w:tcPr>
            <w:tcW w:w="0" w:type="auto"/>
            <w:vMerge w:val="continue"/>
            <w:vAlign w:val="center"/>
          </w:tcPr>
          <w:p>
            <w:pPr>
              <w:jc w:val="center"/>
              <w:rPr>
                <w:color w:val="auto"/>
                <w:highlight w:val="none"/>
              </w:rPr>
            </w:pPr>
          </w:p>
        </w:tc>
        <w:tc>
          <w:tcPr>
            <w:tcW w:w="0" w:type="auto"/>
            <w:vAlign w:val="center"/>
          </w:tcPr>
          <w:p>
            <w:pPr>
              <w:jc w:val="center"/>
              <w:rPr>
                <w:color w:val="auto"/>
                <w:szCs w:val="21"/>
                <w:highlight w:val="none"/>
              </w:rPr>
            </w:pPr>
            <w:r>
              <w:rPr>
                <w:color w:val="auto"/>
                <w:szCs w:val="21"/>
                <w:highlight w:val="none"/>
              </w:rPr>
              <w:t>无组织0.9</w:t>
            </w:r>
          </w:p>
        </w:tc>
        <w:tc>
          <w:tcPr>
            <w:tcW w:w="0" w:type="auto"/>
            <w:vAlign w:val="center"/>
          </w:tcPr>
          <w:p>
            <w:pPr>
              <w:jc w:val="center"/>
              <w:rPr>
                <w:color w:val="auto"/>
                <w:szCs w:val="21"/>
                <w:highlight w:val="none"/>
              </w:rPr>
            </w:pPr>
            <w:r>
              <w:rPr>
                <w:color w:val="auto"/>
                <w:szCs w:val="21"/>
                <w:highlight w:val="none"/>
              </w:rPr>
              <w:t>《环境空气质量标准》(GB3095-2012)中TSP日均值的3倍</w:t>
            </w:r>
          </w:p>
        </w:tc>
      </w:tr>
    </w:tbl>
    <w:p>
      <w:pPr>
        <w:spacing w:line="440" w:lineRule="exact"/>
        <w:ind w:firstLine="512" w:firstLineChars="200"/>
        <w:rPr>
          <w:color w:val="auto"/>
          <w:spacing w:val="8"/>
          <w:sz w:val="24"/>
          <w:highlight w:val="none"/>
        </w:rPr>
      </w:pPr>
      <w:r>
        <w:rPr>
          <w:color w:val="auto"/>
          <w:spacing w:val="8"/>
          <w:sz w:val="24"/>
          <w:highlight w:val="none"/>
        </w:rPr>
        <w:t>（2）评价工作等级的确定</w:t>
      </w:r>
    </w:p>
    <w:p>
      <w:pPr>
        <w:spacing w:line="440" w:lineRule="exact"/>
        <w:ind w:firstLine="512" w:firstLineChars="200"/>
        <w:rPr>
          <w:color w:val="auto"/>
          <w:spacing w:val="8"/>
          <w:sz w:val="24"/>
          <w:highlight w:val="none"/>
        </w:rPr>
      </w:pPr>
      <w:r>
        <w:rPr>
          <w:color w:val="auto"/>
          <w:spacing w:val="8"/>
          <w:sz w:val="24"/>
          <w:highlight w:val="none"/>
        </w:rPr>
        <w:t>采用HJ2.2-2018导推荐的AERSCREEN估算模式，对各污染物排放的最大落地浓度及达到标准限值10%时所对应的最远距离D</w:t>
      </w:r>
      <w:r>
        <w:rPr>
          <w:color w:val="auto"/>
          <w:spacing w:val="8"/>
          <w:sz w:val="24"/>
          <w:highlight w:val="none"/>
          <w:vertAlign w:val="subscript"/>
        </w:rPr>
        <w:t>10%</w:t>
      </w:r>
      <w:r>
        <w:rPr>
          <w:color w:val="auto"/>
          <w:spacing w:val="8"/>
          <w:sz w:val="24"/>
          <w:highlight w:val="none"/>
        </w:rPr>
        <w:t>进行计算，同时采用以下公式计算各污染物的最大地面浓度占标率Pi</w:t>
      </w:r>
      <w:r>
        <w:rPr>
          <w:rFonts w:hint="eastAsia"/>
          <w:color w:val="auto"/>
          <w:spacing w:val="8"/>
          <w:sz w:val="24"/>
          <w:highlight w:val="none"/>
        </w:rPr>
        <w:t>：</w:t>
      </w:r>
    </w:p>
    <w:p>
      <w:pPr>
        <w:pStyle w:val="2"/>
        <w:ind w:firstLine="480"/>
        <w:rPr>
          <w:color w:val="auto"/>
          <w:highlight w:val="none"/>
        </w:rPr>
      </w:pPr>
    </w:p>
    <w:p>
      <w:pPr>
        <w:spacing w:line="360" w:lineRule="auto"/>
        <w:ind w:firstLine="480" w:firstLineChars="200"/>
        <w:rPr>
          <w:color w:val="auto"/>
          <w:spacing w:val="8"/>
          <w:sz w:val="24"/>
          <w:highlight w:val="none"/>
        </w:rPr>
      </w:pPr>
      <w:r>
        <w:rPr>
          <w:color w:val="auto"/>
          <w:sz w:val="24"/>
          <w:highlight w:val="none"/>
        </w:rPr>
        <w:pict>
          <v:shape id="对象 1974" o:spid="_x0000_s1026" o:spt="75" type="#_x0000_t75" style="position:absolute;left:0pt;margin-left:161.25pt;margin-top:-3.4pt;height:38.95pt;width:89.25pt;z-index:251662336;mso-width-relative:page;mso-height-relative:page;" o:ole="t" filled="f" o:preferrelative="t" stroked="f" coordsize="21600,21600">
            <v:path/>
            <v:fill on="f" focussize="0,0"/>
            <v:stroke on="f" joinstyle="miter"/>
            <v:imagedata r:id="rId52" o:title=""/>
            <o:lock v:ext="edit" aspectratio="t"/>
          </v:shape>
          <o:OLEObject Type="Embed" ProgID="Equation.3" ShapeID="对象 1974" DrawAspect="Content" ObjectID="_1468075733" r:id="rId51">
            <o:LockedField>false</o:LockedField>
          </o:OLEObject>
        </w:pict>
      </w:r>
    </w:p>
    <w:p>
      <w:pPr>
        <w:spacing w:line="360" w:lineRule="auto"/>
        <w:ind w:firstLine="512" w:firstLineChars="200"/>
        <w:rPr>
          <w:color w:val="auto"/>
          <w:spacing w:val="8"/>
          <w:sz w:val="24"/>
          <w:highlight w:val="none"/>
        </w:rPr>
      </w:pPr>
      <w:r>
        <w:rPr>
          <w:color w:val="auto"/>
          <w:spacing w:val="8"/>
          <w:sz w:val="24"/>
          <w:highlight w:val="none"/>
        </w:rPr>
        <w:t>根据上述所列源强，估算模型参数表以及计算结果表见4.1-</w:t>
      </w:r>
      <w:r>
        <w:rPr>
          <w:rFonts w:hint="eastAsia"/>
          <w:color w:val="auto"/>
          <w:spacing w:val="8"/>
          <w:sz w:val="24"/>
          <w:highlight w:val="none"/>
        </w:rPr>
        <w:t>11</w:t>
      </w:r>
      <w:r>
        <w:rPr>
          <w:color w:val="auto"/>
          <w:spacing w:val="8"/>
          <w:sz w:val="24"/>
          <w:highlight w:val="none"/>
        </w:rPr>
        <w:t>及4.1-</w:t>
      </w:r>
      <w:r>
        <w:rPr>
          <w:rFonts w:hint="eastAsia"/>
          <w:color w:val="auto"/>
          <w:spacing w:val="8"/>
          <w:sz w:val="24"/>
          <w:highlight w:val="none"/>
        </w:rPr>
        <w:t>12</w:t>
      </w:r>
      <w:r>
        <w:rPr>
          <w:color w:val="auto"/>
          <w:spacing w:val="8"/>
          <w:sz w:val="24"/>
          <w:highlight w:val="none"/>
        </w:rPr>
        <w:t>。</w:t>
      </w:r>
    </w:p>
    <w:p>
      <w:pPr>
        <w:spacing w:line="360" w:lineRule="auto"/>
        <w:ind w:firstLine="480" w:firstLineChars="200"/>
        <w:rPr>
          <w:color w:val="auto"/>
          <w:sz w:val="24"/>
          <w:highlight w:val="none"/>
        </w:rPr>
      </w:pPr>
      <w:r>
        <w:rPr>
          <w:color w:val="auto"/>
          <w:sz w:val="24"/>
          <w:highlight w:val="none"/>
        </w:rPr>
        <w:fldChar w:fldCharType="begin"/>
      </w:r>
      <w:r>
        <w:rPr>
          <w:color w:val="auto"/>
          <w:sz w:val="24"/>
          <w:highlight w:val="none"/>
        </w:rPr>
        <w:instrText xml:space="preserve"> = 1 \* GB3 </w:instrText>
      </w:r>
      <w:r>
        <w:rPr>
          <w:color w:val="auto"/>
          <w:sz w:val="24"/>
          <w:highlight w:val="none"/>
        </w:rPr>
        <w:fldChar w:fldCharType="separate"/>
      </w:r>
      <w:r>
        <w:rPr>
          <w:color w:val="auto"/>
          <w:sz w:val="24"/>
          <w:highlight w:val="none"/>
        </w:rPr>
        <w:t>①</w:t>
      </w:r>
      <w:r>
        <w:rPr>
          <w:color w:val="auto"/>
          <w:sz w:val="24"/>
          <w:highlight w:val="none"/>
        </w:rPr>
        <w:fldChar w:fldCharType="end"/>
      </w:r>
      <w:r>
        <w:rPr>
          <w:color w:val="auto"/>
          <w:sz w:val="24"/>
          <w:highlight w:val="none"/>
        </w:rPr>
        <w:t>估算模型参数</w:t>
      </w:r>
    </w:p>
    <w:p>
      <w:pPr>
        <w:jc w:val="center"/>
        <w:rPr>
          <w:rFonts w:eastAsia="黑体"/>
          <w:color w:val="auto"/>
          <w:sz w:val="24"/>
          <w:highlight w:val="none"/>
        </w:rPr>
      </w:pPr>
      <w:r>
        <w:rPr>
          <w:rFonts w:eastAsia="黑体"/>
          <w:color w:val="auto"/>
          <w:sz w:val="24"/>
          <w:highlight w:val="none"/>
        </w:rPr>
        <w:t>表4.1-</w:t>
      </w:r>
      <w:r>
        <w:rPr>
          <w:rFonts w:hint="eastAsia" w:eastAsia="黑体"/>
          <w:color w:val="auto"/>
          <w:sz w:val="24"/>
          <w:highlight w:val="none"/>
        </w:rPr>
        <w:t>11</w:t>
      </w:r>
      <w:r>
        <w:rPr>
          <w:rFonts w:eastAsia="黑体"/>
          <w:color w:val="auto"/>
          <w:sz w:val="24"/>
          <w:highlight w:val="none"/>
        </w:rPr>
        <w:t xml:space="preserve">  估算模型参数表</w:t>
      </w:r>
    </w:p>
    <w:tbl>
      <w:tblPr>
        <w:tblStyle w:val="59"/>
        <w:tblW w:w="4999"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392"/>
        <w:gridCol w:w="2930"/>
        <w:gridCol w:w="367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956" w:type="pct"/>
            <w:gridSpan w:val="2"/>
            <w:tcBorders>
              <w:top w:val="single" w:color="auto" w:sz="12" w:space="0"/>
              <w:left w:val="nil"/>
              <w:bottom w:val="single" w:color="auto" w:sz="2" w:space="0"/>
              <w:right w:val="single" w:color="auto" w:sz="2" w:space="0"/>
            </w:tcBorders>
            <w:vAlign w:val="center"/>
          </w:tcPr>
          <w:p>
            <w:pPr>
              <w:adjustRightInd w:val="0"/>
              <w:spacing w:line="360" w:lineRule="exact"/>
              <w:jc w:val="center"/>
              <w:rPr>
                <w:color w:val="auto"/>
                <w:highlight w:val="none"/>
              </w:rPr>
            </w:pPr>
            <w:r>
              <w:rPr>
                <w:color w:val="auto"/>
                <w:highlight w:val="none"/>
              </w:rPr>
              <w:t>参数</w:t>
            </w:r>
          </w:p>
        </w:tc>
        <w:tc>
          <w:tcPr>
            <w:tcW w:w="2043" w:type="pct"/>
            <w:tcBorders>
              <w:top w:val="single" w:color="auto" w:sz="12" w:space="0"/>
              <w:left w:val="single" w:color="auto" w:sz="2" w:space="0"/>
              <w:bottom w:val="single" w:color="auto" w:sz="2" w:space="0"/>
              <w:right w:val="nil"/>
            </w:tcBorders>
            <w:vAlign w:val="center"/>
          </w:tcPr>
          <w:p>
            <w:pPr>
              <w:adjustRightInd w:val="0"/>
              <w:spacing w:line="360" w:lineRule="exact"/>
              <w:jc w:val="center"/>
              <w:rPr>
                <w:color w:val="auto"/>
                <w:highlight w:val="none"/>
              </w:rPr>
            </w:pPr>
            <w:r>
              <w:rPr>
                <w:color w:val="auto"/>
                <w:highlight w:val="none"/>
              </w:rPr>
              <w:t>取值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329" w:type="pct"/>
            <w:vMerge w:val="restart"/>
            <w:tcBorders>
              <w:top w:val="single" w:color="auto" w:sz="2" w:space="0"/>
              <w:left w:val="nil"/>
              <w:bottom w:val="single" w:color="auto" w:sz="2" w:space="0"/>
              <w:right w:val="single" w:color="auto" w:sz="2" w:space="0"/>
            </w:tcBorders>
            <w:vAlign w:val="center"/>
          </w:tcPr>
          <w:p>
            <w:pPr>
              <w:adjustRightInd w:val="0"/>
              <w:spacing w:line="360" w:lineRule="exact"/>
              <w:jc w:val="center"/>
              <w:rPr>
                <w:color w:val="auto"/>
                <w:highlight w:val="none"/>
              </w:rPr>
            </w:pPr>
            <w:r>
              <w:rPr>
                <w:color w:val="auto"/>
                <w:highlight w:val="none"/>
              </w:rPr>
              <w:t>城市/农村选项</w:t>
            </w:r>
          </w:p>
        </w:tc>
        <w:tc>
          <w:tcPr>
            <w:tcW w:w="1626" w:type="pct"/>
            <w:tcBorders>
              <w:top w:val="single" w:color="auto" w:sz="2" w:space="0"/>
              <w:left w:val="single" w:color="auto" w:sz="2" w:space="0"/>
              <w:bottom w:val="single" w:color="auto" w:sz="2" w:space="0"/>
              <w:right w:val="single" w:color="auto" w:sz="2" w:space="0"/>
            </w:tcBorders>
            <w:vAlign w:val="center"/>
          </w:tcPr>
          <w:p>
            <w:pPr>
              <w:adjustRightInd w:val="0"/>
              <w:spacing w:line="360" w:lineRule="exact"/>
              <w:jc w:val="center"/>
              <w:rPr>
                <w:color w:val="auto"/>
                <w:highlight w:val="none"/>
              </w:rPr>
            </w:pPr>
            <w:r>
              <w:rPr>
                <w:color w:val="auto"/>
                <w:highlight w:val="none"/>
              </w:rPr>
              <w:t>城市/农村</w:t>
            </w:r>
          </w:p>
        </w:tc>
        <w:tc>
          <w:tcPr>
            <w:tcW w:w="2043" w:type="pct"/>
            <w:tcBorders>
              <w:top w:val="single" w:color="auto" w:sz="2" w:space="0"/>
              <w:left w:val="single" w:color="auto" w:sz="2" w:space="0"/>
              <w:bottom w:val="single" w:color="auto" w:sz="2" w:space="0"/>
              <w:right w:val="nil"/>
            </w:tcBorders>
            <w:vAlign w:val="center"/>
          </w:tcPr>
          <w:p>
            <w:pPr>
              <w:adjustRightInd w:val="0"/>
              <w:spacing w:line="360" w:lineRule="exact"/>
              <w:jc w:val="center"/>
              <w:rPr>
                <w:color w:val="auto"/>
                <w:highlight w:val="none"/>
              </w:rPr>
            </w:pPr>
            <w:r>
              <w:rPr>
                <w:color w:val="auto"/>
                <w:highlight w:val="none"/>
              </w:rPr>
              <w:t>农村</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340" w:hRule="atLeast"/>
        </w:trPr>
        <w:tc>
          <w:tcPr>
            <w:tcW w:w="1329" w:type="pct"/>
            <w:vMerge w:val="continue"/>
            <w:tcBorders>
              <w:top w:val="single" w:color="auto" w:sz="2" w:space="0"/>
              <w:left w:val="nil"/>
              <w:bottom w:val="single" w:color="auto" w:sz="2" w:space="0"/>
              <w:right w:val="single" w:color="auto" w:sz="2" w:space="0"/>
            </w:tcBorders>
            <w:vAlign w:val="center"/>
          </w:tcPr>
          <w:p>
            <w:pPr>
              <w:adjustRightInd w:val="0"/>
              <w:spacing w:line="360" w:lineRule="exact"/>
              <w:jc w:val="center"/>
              <w:rPr>
                <w:color w:val="auto"/>
                <w:highlight w:val="none"/>
              </w:rPr>
            </w:pPr>
          </w:p>
        </w:tc>
        <w:tc>
          <w:tcPr>
            <w:tcW w:w="1626" w:type="pct"/>
            <w:tcBorders>
              <w:top w:val="single" w:color="auto" w:sz="2" w:space="0"/>
              <w:left w:val="single" w:color="auto" w:sz="2" w:space="0"/>
              <w:bottom w:val="single" w:color="auto" w:sz="2" w:space="0"/>
              <w:right w:val="single" w:color="auto" w:sz="2" w:space="0"/>
            </w:tcBorders>
            <w:vAlign w:val="center"/>
          </w:tcPr>
          <w:p>
            <w:pPr>
              <w:adjustRightInd w:val="0"/>
              <w:spacing w:line="360" w:lineRule="exact"/>
              <w:jc w:val="center"/>
              <w:rPr>
                <w:color w:val="auto"/>
                <w:highlight w:val="none"/>
              </w:rPr>
            </w:pPr>
            <w:r>
              <w:rPr>
                <w:color w:val="auto"/>
                <w:highlight w:val="none"/>
              </w:rPr>
              <w:t>人口数(城市人口数)</w:t>
            </w:r>
          </w:p>
        </w:tc>
        <w:tc>
          <w:tcPr>
            <w:tcW w:w="2043" w:type="pct"/>
            <w:tcBorders>
              <w:top w:val="single" w:color="auto" w:sz="2" w:space="0"/>
              <w:left w:val="single" w:color="auto" w:sz="2" w:space="0"/>
              <w:bottom w:val="single" w:color="auto" w:sz="2" w:space="0"/>
              <w:right w:val="nil"/>
            </w:tcBorders>
            <w:vAlign w:val="center"/>
          </w:tcPr>
          <w:p>
            <w:pPr>
              <w:adjustRightInd w:val="0"/>
              <w:spacing w:line="360" w:lineRule="exact"/>
              <w:jc w:val="center"/>
              <w:rPr>
                <w:color w:val="auto"/>
                <w:highlight w:val="none"/>
              </w:rPr>
            </w:pPr>
            <w:r>
              <w:rPr>
                <w:color w:val="auto"/>
                <w:highlight w:val="none"/>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956" w:type="pct"/>
            <w:gridSpan w:val="2"/>
            <w:tcBorders>
              <w:top w:val="single" w:color="auto" w:sz="2" w:space="0"/>
              <w:left w:val="nil"/>
              <w:bottom w:val="single" w:color="auto" w:sz="2" w:space="0"/>
              <w:right w:val="single" w:color="auto" w:sz="2" w:space="0"/>
            </w:tcBorders>
            <w:vAlign w:val="center"/>
          </w:tcPr>
          <w:p>
            <w:pPr>
              <w:adjustRightInd w:val="0"/>
              <w:spacing w:line="360" w:lineRule="exact"/>
              <w:jc w:val="center"/>
              <w:rPr>
                <w:color w:val="auto"/>
                <w:highlight w:val="none"/>
              </w:rPr>
            </w:pPr>
            <w:r>
              <w:rPr>
                <w:color w:val="auto"/>
                <w:highlight w:val="none"/>
              </w:rPr>
              <w:t>最高环境温度</w:t>
            </w:r>
          </w:p>
        </w:tc>
        <w:tc>
          <w:tcPr>
            <w:tcW w:w="2043" w:type="pct"/>
            <w:tcBorders>
              <w:top w:val="single" w:color="auto" w:sz="2" w:space="0"/>
              <w:left w:val="single" w:color="auto" w:sz="2" w:space="0"/>
              <w:bottom w:val="single" w:color="auto" w:sz="2" w:space="0"/>
              <w:right w:val="nil"/>
            </w:tcBorders>
            <w:vAlign w:val="center"/>
          </w:tcPr>
          <w:p>
            <w:pPr>
              <w:adjustRightInd w:val="0"/>
              <w:spacing w:line="360" w:lineRule="exact"/>
              <w:jc w:val="center"/>
              <w:rPr>
                <w:color w:val="auto"/>
                <w:highlight w:val="none"/>
              </w:rPr>
            </w:pPr>
            <w:r>
              <w:rPr>
                <w:color w:val="auto"/>
                <w:highlight w:val="none"/>
              </w:rPr>
              <w:t>39.8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340" w:hRule="atLeast"/>
        </w:trPr>
        <w:tc>
          <w:tcPr>
            <w:tcW w:w="2956" w:type="pct"/>
            <w:gridSpan w:val="2"/>
            <w:tcBorders>
              <w:top w:val="single" w:color="auto" w:sz="2" w:space="0"/>
              <w:left w:val="nil"/>
              <w:bottom w:val="single" w:color="auto" w:sz="2" w:space="0"/>
              <w:right w:val="single" w:color="auto" w:sz="2" w:space="0"/>
            </w:tcBorders>
            <w:vAlign w:val="center"/>
          </w:tcPr>
          <w:p>
            <w:pPr>
              <w:adjustRightInd w:val="0"/>
              <w:spacing w:line="360" w:lineRule="exact"/>
              <w:jc w:val="center"/>
              <w:rPr>
                <w:color w:val="auto"/>
                <w:highlight w:val="none"/>
              </w:rPr>
            </w:pPr>
            <w:r>
              <w:rPr>
                <w:color w:val="auto"/>
                <w:highlight w:val="none"/>
              </w:rPr>
              <w:t>最低环境温度</w:t>
            </w:r>
          </w:p>
        </w:tc>
        <w:tc>
          <w:tcPr>
            <w:tcW w:w="2043" w:type="pct"/>
            <w:tcBorders>
              <w:top w:val="single" w:color="auto" w:sz="2" w:space="0"/>
              <w:left w:val="single" w:color="auto" w:sz="2" w:space="0"/>
              <w:bottom w:val="single" w:color="auto" w:sz="2" w:space="0"/>
              <w:right w:val="nil"/>
            </w:tcBorders>
            <w:vAlign w:val="center"/>
          </w:tcPr>
          <w:p>
            <w:pPr>
              <w:adjustRightInd w:val="0"/>
              <w:spacing w:line="360" w:lineRule="exact"/>
              <w:jc w:val="center"/>
              <w:rPr>
                <w:color w:val="auto"/>
                <w:highlight w:val="none"/>
              </w:rPr>
            </w:pPr>
            <w:r>
              <w:rPr>
                <w:color w:val="auto"/>
                <w:highlight w:val="none"/>
              </w:rPr>
              <w:t>-23.0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956" w:type="pct"/>
            <w:gridSpan w:val="2"/>
            <w:tcBorders>
              <w:top w:val="single" w:color="auto" w:sz="2" w:space="0"/>
              <w:left w:val="nil"/>
              <w:bottom w:val="single" w:color="auto" w:sz="2" w:space="0"/>
              <w:right w:val="single" w:color="auto" w:sz="2" w:space="0"/>
            </w:tcBorders>
            <w:vAlign w:val="center"/>
          </w:tcPr>
          <w:p>
            <w:pPr>
              <w:adjustRightInd w:val="0"/>
              <w:spacing w:line="360" w:lineRule="exact"/>
              <w:jc w:val="center"/>
              <w:rPr>
                <w:color w:val="auto"/>
                <w:highlight w:val="none"/>
              </w:rPr>
            </w:pPr>
            <w:r>
              <w:rPr>
                <w:color w:val="auto"/>
                <w:highlight w:val="none"/>
              </w:rPr>
              <w:t>土地利用类型</w:t>
            </w:r>
          </w:p>
        </w:tc>
        <w:tc>
          <w:tcPr>
            <w:tcW w:w="2043" w:type="pct"/>
            <w:tcBorders>
              <w:top w:val="single" w:color="auto" w:sz="2" w:space="0"/>
              <w:left w:val="single" w:color="auto" w:sz="2" w:space="0"/>
              <w:bottom w:val="single" w:color="auto" w:sz="2" w:space="0"/>
              <w:right w:val="nil"/>
            </w:tcBorders>
            <w:vAlign w:val="center"/>
          </w:tcPr>
          <w:p>
            <w:pPr>
              <w:adjustRightInd w:val="0"/>
              <w:spacing w:line="360" w:lineRule="exact"/>
              <w:jc w:val="center"/>
              <w:rPr>
                <w:color w:val="auto"/>
                <w:highlight w:val="none"/>
              </w:rPr>
            </w:pPr>
            <w:r>
              <w:rPr>
                <w:color w:val="auto"/>
                <w:highlight w:val="none"/>
              </w:rPr>
              <w:t>农田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2956" w:type="pct"/>
            <w:gridSpan w:val="2"/>
            <w:tcBorders>
              <w:top w:val="single" w:color="auto" w:sz="2" w:space="0"/>
              <w:left w:val="nil"/>
              <w:bottom w:val="single" w:color="auto" w:sz="2" w:space="0"/>
              <w:right w:val="single" w:color="auto" w:sz="2" w:space="0"/>
            </w:tcBorders>
            <w:vAlign w:val="center"/>
          </w:tcPr>
          <w:p>
            <w:pPr>
              <w:adjustRightInd w:val="0"/>
              <w:spacing w:line="360" w:lineRule="exact"/>
              <w:jc w:val="center"/>
              <w:rPr>
                <w:color w:val="auto"/>
                <w:highlight w:val="none"/>
              </w:rPr>
            </w:pPr>
            <w:r>
              <w:rPr>
                <w:color w:val="auto"/>
                <w:highlight w:val="none"/>
              </w:rPr>
              <w:t>区域湿度条件</w:t>
            </w:r>
          </w:p>
        </w:tc>
        <w:tc>
          <w:tcPr>
            <w:tcW w:w="2043" w:type="pct"/>
            <w:tcBorders>
              <w:top w:val="single" w:color="auto" w:sz="2" w:space="0"/>
              <w:left w:val="single" w:color="auto" w:sz="2" w:space="0"/>
              <w:bottom w:val="single" w:color="auto" w:sz="2" w:space="0"/>
              <w:right w:val="nil"/>
            </w:tcBorders>
            <w:vAlign w:val="center"/>
          </w:tcPr>
          <w:p>
            <w:pPr>
              <w:adjustRightInd w:val="0"/>
              <w:spacing w:line="360" w:lineRule="exact"/>
              <w:jc w:val="center"/>
              <w:rPr>
                <w:color w:val="auto"/>
                <w:highlight w:val="none"/>
              </w:rPr>
            </w:pPr>
            <w:r>
              <w:rPr>
                <w:color w:val="auto"/>
                <w:highlight w:val="none"/>
              </w:rPr>
              <w:t>中等湿度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340" w:hRule="atLeast"/>
        </w:trPr>
        <w:tc>
          <w:tcPr>
            <w:tcW w:w="1329" w:type="pct"/>
            <w:vMerge w:val="restart"/>
            <w:tcBorders>
              <w:top w:val="single" w:color="auto" w:sz="2" w:space="0"/>
              <w:left w:val="nil"/>
              <w:bottom w:val="single" w:color="auto" w:sz="2" w:space="0"/>
              <w:right w:val="single" w:color="auto" w:sz="2" w:space="0"/>
            </w:tcBorders>
            <w:vAlign w:val="center"/>
          </w:tcPr>
          <w:p>
            <w:pPr>
              <w:adjustRightInd w:val="0"/>
              <w:spacing w:line="360" w:lineRule="exact"/>
              <w:jc w:val="center"/>
              <w:rPr>
                <w:color w:val="auto"/>
                <w:highlight w:val="none"/>
              </w:rPr>
            </w:pPr>
            <w:r>
              <w:rPr>
                <w:color w:val="auto"/>
                <w:highlight w:val="none"/>
              </w:rPr>
              <w:t>是否考虑地形</w:t>
            </w:r>
          </w:p>
        </w:tc>
        <w:tc>
          <w:tcPr>
            <w:tcW w:w="1626" w:type="pct"/>
            <w:tcBorders>
              <w:top w:val="single" w:color="auto" w:sz="2" w:space="0"/>
              <w:left w:val="single" w:color="auto" w:sz="2" w:space="0"/>
              <w:bottom w:val="single" w:color="auto" w:sz="2" w:space="0"/>
              <w:right w:val="single" w:color="auto" w:sz="2" w:space="0"/>
            </w:tcBorders>
            <w:vAlign w:val="center"/>
          </w:tcPr>
          <w:p>
            <w:pPr>
              <w:adjustRightInd w:val="0"/>
              <w:spacing w:line="360" w:lineRule="exact"/>
              <w:jc w:val="center"/>
              <w:rPr>
                <w:color w:val="auto"/>
                <w:highlight w:val="none"/>
              </w:rPr>
            </w:pPr>
            <w:r>
              <w:rPr>
                <w:color w:val="auto"/>
                <w:highlight w:val="none"/>
              </w:rPr>
              <w:t>考虑地形</w:t>
            </w:r>
          </w:p>
        </w:tc>
        <w:tc>
          <w:tcPr>
            <w:tcW w:w="2043" w:type="pct"/>
            <w:tcBorders>
              <w:top w:val="single" w:color="auto" w:sz="2" w:space="0"/>
              <w:left w:val="single" w:color="auto" w:sz="2" w:space="0"/>
              <w:bottom w:val="single" w:color="auto" w:sz="2" w:space="0"/>
              <w:right w:val="nil"/>
            </w:tcBorders>
            <w:vAlign w:val="center"/>
          </w:tcPr>
          <w:p>
            <w:pPr>
              <w:adjustRightInd w:val="0"/>
              <w:spacing w:line="360" w:lineRule="exact"/>
              <w:jc w:val="center"/>
              <w:rPr>
                <w:color w:val="auto"/>
                <w:highlight w:val="none"/>
              </w:rPr>
            </w:pPr>
            <w:r>
              <w:rPr>
                <w:color w:val="auto"/>
                <w:highlight w:val="none"/>
              </w:rP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340" w:hRule="atLeast"/>
        </w:trPr>
        <w:tc>
          <w:tcPr>
            <w:tcW w:w="1329" w:type="pct"/>
            <w:vMerge w:val="continue"/>
            <w:tcBorders>
              <w:top w:val="single" w:color="auto" w:sz="2" w:space="0"/>
              <w:left w:val="nil"/>
              <w:bottom w:val="single" w:color="auto" w:sz="2" w:space="0"/>
              <w:right w:val="single" w:color="auto" w:sz="2" w:space="0"/>
            </w:tcBorders>
            <w:vAlign w:val="center"/>
          </w:tcPr>
          <w:p>
            <w:pPr>
              <w:adjustRightInd w:val="0"/>
              <w:spacing w:line="360" w:lineRule="exact"/>
              <w:jc w:val="center"/>
              <w:rPr>
                <w:color w:val="auto"/>
                <w:highlight w:val="none"/>
              </w:rPr>
            </w:pPr>
          </w:p>
        </w:tc>
        <w:tc>
          <w:tcPr>
            <w:tcW w:w="1626" w:type="pct"/>
            <w:tcBorders>
              <w:top w:val="single" w:color="auto" w:sz="2" w:space="0"/>
              <w:left w:val="single" w:color="auto" w:sz="2" w:space="0"/>
              <w:bottom w:val="single" w:color="auto" w:sz="2" w:space="0"/>
              <w:right w:val="single" w:color="auto" w:sz="2" w:space="0"/>
            </w:tcBorders>
            <w:vAlign w:val="center"/>
          </w:tcPr>
          <w:p>
            <w:pPr>
              <w:adjustRightInd w:val="0"/>
              <w:spacing w:line="360" w:lineRule="exact"/>
              <w:jc w:val="center"/>
              <w:rPr>
                <w:color w:val="auto"/>
                <w:highlight w:val="none"/>
              </w:rPr>
            </w:pPr>
            <w:r>
              <w:rPr>
                <w:color w:val="auto"/>
                <w:highlight w:val="none"/>
              </w:rPr>
              <w:t>地形数据分辨率(m)</w:t>
            </w:r>
          </w:p>
        </w:tc>
        <w:tc>
          <w:tcPr>
            <w:tcW w:w="2043" w:type="pct"/>
            <w:tcBorders>
              <w:top w:val="single" w:color="auto" w:sz="2" w:space="0"/>
              <w:left w:val="single" w:color="auto" w:sz="2" w:space="0"/>
              <w:bottom w:val="single" w:color="auto" w:sz="2" w:space="0"/>
              <w:right w:val="nil"/>
            </w:tcBorders>
            <w:vAlign w:val="center"/>
          </w:tcPr>
          <w:p>
            <w:pPr>
              <w:adjustRightInd w:val="0"/>
              <w:spacing w:line="360" w:lineRule="exact"/>
              <w:jc w:val="center"/>
              <w:rPr>
                <w:color w:val="auto"/>
                <w:highlight w:val="none"/>
              </w:rPr>
            </w:pPr>
            <w:r>
              <w:rPr>
                <w:color w:val="auto"/>
                <w:highlight w:val="none"/>
              </w:rPr>
              <w:t>90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329" w:type="pct"/>
            <w:vMerge w:val="restart"/>
            <w:tcBorders>
              <w:top w:val="single" w:color="auto" w:sz="2" w:space="0"/>
              <w:left w:val="nil"/>
              <w:bottom w:val="single" w:color="auto" w:sz="2" w:space="0"/>
              <w:right w:val="single" w:color="auto" w:sz="2" w:space="0"/>
            </w:tcBorders>
            <w:vAlign w:val="center"/>
          </w:tcPr>
          <w:p>
            <w:pPr>
              <w:adjustRightInd w:val="0"/>
              <w:spacing w:line="360" w:lineRule="exact"/>
              <w:jc w:val="center"/>
              <w:rPr>
                <w:color w:val="auto"/>
                <w:highlight w:val="none"/>
              </w:rPr>
            </w:pPr>
            <w:r>
              <w:rPr>
                <w:color w:val="auto"/>
                <w:highlight w:val="none"/>
              </w:rPr>
              <w:t>是否考虑岸线熏烟</w:t>
            </w:r>
          </w:p>
        </w:tc>
        <w:tc>
          <w:tcPr>
            <w:tcW w:w="1626" w:type="pct"/>
            <w:tcBorders>
              <w:top w:val="single" w:color="auto" w:sz="2" w:space="0"/>
              <w:left w:val="single" w:color="auto" w:sz="2" w:space="0"/>
              <w:bottom w:val="single" w:color="auto" w:sz="2" w:space="0"/>
              <w:right w:val="single" w:color="auto" w:sz="2" w:space="0"/>
            </w:tcBorders>
            <w:vAlign w:val="center"/>
          </w:tcPr>
          <w:p>
            <w:pPr>
              <w:adjustRightInd w:val="0"/>
              <w:spacing w:line="360" w:lineRule="exact"/>
              <w:jc w:val="center"/>
              <w:rPr>
                <w:color w:val="auto"/>
                <w:highlight w:val="none"/>
              </w:rPr>
            </w:pPr>
            <w:r>
              <w:rPr>
                <w:color w:val="auto"/>
                <w:highlight w:val="none"/>
              </w:rPr>
              <w:t>考虑岸线熏烟</w:t>
            </w:r>
          </w:p>
        </w:tc>
        <w:tc>
          <w:tcPr>
            <w:tcW w:w="2043" w:type="pct"/>
            <w:tcBorders>
              <w:top w:val="single" w:color="auto" w:sz="2" w:space="0"/>
              <w:left w:val="single" w:color="auto" w:sz="2" w:space="0"/>
              <w:bottom w:val="single" w:color="auto" w:sz="2" w:space="0"/>
              <w:right w:val="nil"/>
            </w:tcBorders>
            <w:vAlign w:val="center"/>
          </w:tcPr>
          <w:p>
            <w:pPr>
              <w:adjustRightInd w:val="0"/>
              <w:spacing w:line="360" w:lineRule="exact"/>
              <w:jc w:val="center"/>
              <w:rPr>
                <w:color w:val="auto"/>
                <w:highlight w:val="none"/>
              </w:rPr>
            </w:pPr>
            <w:r>
              <w:rPr>
                <w:color w:val="auto"/>
                <w:highlight w:val="none"/>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329" w:type="pct"/>
            <w:vMerge w:val="continue"/>
            <w:tcBorders>
              <w:top w:val="single" w:color="auto" w:sz="2" w:space="0"/>
              <w:left w:val="nil"/>
              <w:bottom w:val="single" w:color="auto" w:sz="2" w:space="0"/>
              <w:right w:val="single" w:color="auto" w:sz="2" w:space="0"/>
            </w:tcBorders>
            <w:vAlign w:val="center"/>
          </w:tcPr>
          <w:p>
            <w:pPr>
              <w:adjustRightInd w:val="0"/>
              <w:spacing w:line="360" w:lineRule="exact"/>
              <w:jc w:val="center"/>
              <w:rPr>
                <w:color w:val="auto"/>
                <w:highlight w:val="none"/>
              </w:rPr>
            </w:pPr>
          </w:p>
        </w:tc>
        <w:tc>
          <w:tcPr>
            <w:tcW w:w="1626" w:type="pct"/>
            <w:tcBorders>
              <w:top w:val="single" w:color="auto" w:sz="2" w:space="0"/>
              <w:left w:val="single" w:color="auto" w:sz="2" w:space="0"/>
              <w:bottom w:val="single" w:color="auto" w:sz="2" w:space="0"/>
              <w:right w:val="single" w:color="auto" w:sz="2" w:space="0"/>
            </w:tcBorders>
            <w:vAlign w:val="center"/>
          </w:tcPr>
          <w:p>
            <w:pPr>
              <w:adjustRightInd w:val="0"/>
              <w:spacing w:line="360" w:lineRule="exact"/>
              <w:jc w:val="center"/>
              <w:rPr>
                <w:color w:val="auto"/>
                <w:highlight w:val="none"/>
              </w:rPr>
            </w:pPr>
            <w:r>
              <w:rPr>
                <w:color w:val="auto"/>
                <w:highlight w:val="none"/>
              </w:rPr>
              <w:t>岸线距离/m</w:t>
            </w:r>
          </w:p>
        </w:tc>
        <w:tc>
          <w:tcPr>
            <w:tcW w:w="2043" w:type="pct"/>
            <w:tcBorders>
              <w:top w:val="single" w:color="auto" w:sz="2" w:space="0"/>
              <w:left w:val="single" w:color="auto" w:sz="2" w:space="0"/>
              <w:bottom w:val="single" w:color="auto" w:sz="2" w:space="0"/>
              <w:right w:val="nil"/>
            </w:tcBorders>
            <w:vAlign w:val="center"/>
          </w:tcPr>
          <w:p>
            <w:pPr>
              <w:adjustRightInd w:val="0"/>
              <w:spacing w:line="360" w:lineRule="exact"/>
              <w:jc w:val="center"/>
              <w:rPr>
                <w:color w:val="auto"/>
                <w:highlight w:val="none"/>
              </w:rPr>
            </w:pPr>
            <w:r>
              <w:rPr>
                <w:color w:val="auto"/>
                <w:highlight w:val="none"/>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340" w:hRule="atLeast"/>
        </w:trPr>
        <w:tc>
          <w:tcPr>
            <w:tcW w:w="1329" w:type="pct"/>
            <w:vMerge w:val="continue"/>
            <w:tcBorders>
              <w:top w:val="single" w:color="auto" w:sz="2" w:space="0"/>
              <w:left w:val="nil"/>
              <w:bottom w:val="single" w:color="auto" w:sz="12" w:space="0"/>
              <w:right w:val="single" w:color="auto" w:sz="2" w:space="0"/>
            </w:tcBorders>
            <w:vAlign w:val="center"/>
          </w:tcPr>
          <w:p>
            <w:pPr>
              <w:adjustRightInd w:val="0"/>
              <w:spacing w:line="360" w:lineRule="exact"/>
              <w:jc w:val="center"/>
              <w:rPr>
                <w:color w:val="auto"/>
                <w:highlight w:val="none"/>
              </w:rPr>
            </w:pPr>
          </w:p>
        </w:tc>
        <w:tc>
          <w:tcPr>
            <w:tcW w:w="1626" w:type="pct"/>
            <w:tcBorders>
              <w:top w:val="single" w:color="auto" w:sz="2" w:space="0"/>
              <w:left w:val="single" w:color="auto" w:sz="2" w:space="0"/>
              <w:bottom w:val="single" w:color="auto" w:sz="12" w:space="0"/>
              <w:right w:val="single" w:color="auto" w:sz="2" w:space="0"/>
            </w:tcBorders>
            <w:vAlign w:val="center"/>
          </w:tcPr>
          <w:p>
            <w:pPr>
              <w:adjustRightInd w:val="0"/>
              <w:spacing w:line="360" w:lineRule="exact"/>
              <w:jc w:val="center"/>
              <w:rPr>
                <w:color w:val="auto"/>
                <w:highlight w:val="none"/>
              </w:rPr>
            </w:pPr>
            <w:r>
              <w:rPr>
                <w:color w:val="auto"/>
                <w:highlight w:val="none"/>
              </w:rPr>
              <w:t>岸线方向/°</w:t>
            </w:r>
          </w:p>
        </w:tc>
        <w:tc>
          <w:tcPr>
            <w:tcW w:w="2043" w:type="pct"/>
            <w:tcBorders>
              <w:top w:val="single" w:color="auto" w:sz="2" w:space="0"/>
              <w:left w:val="single" w:color="auto" w:sz="2" w:space="0"/>
              <w:bottom w:val="single" w:color="auto" w:sz="12" w:space="0"/>
              <w:right w:val="nil"/>
            </w:tcBorders>
            <w:vAlign w:val="center"/>
          </w:tcPr>
          <w:p>
            <w:pPr>
              <w:adjustRightInd w:val="0"/>
              <w:spacing w:line="360" w:lineRule="exact"/>
              <w:jc w:val="center"/>
              <w:rPr>
                <w:color w:val="auto"/>
                <w:highlight w:val="none"/>
              </w:rPr>
            </w:pPr>
            <w:r>
              <w:rPr>
                <w:color w:val="auto"/>
                <w:highlight w:val="none"/>
              </w:rPr>
              <w:t>/</w:t>
            </w:r>
          </w:p>
        </w:tc>
      </w:tr>
    </w:tbl>
    <w:p>
      <w:pPr>
        <w:spacing w:line="360" w:lineRule="auto"/>
        <w:ind w:firstLine="480" w:firstLineChars="200"/>
        <w:rPr>
          <w:color w:val="auto"/>
          <w:sz w:val="24"/>
          <w:highlight w:val="none"/>
        </w:rPr>
      </w:pPr>
      <w:r>
        <w:rPr>
          <w:color w:val="auto"/>
          <w:sz w:val="24"/>
          <w:highlight w:val="none"/>
        </w:rPr>
        <w:fldChar w:fldCharType="begin"/>
      </w:r>
      <w:r>
        <w:rPr>
          <w:color w:val="auto"/>
          <w:sz w:val="24"/>
          <w:highlight w:val="none"/>
        </w:rPr>
        <w:instrText xml:space="preserve"> = 2 \* GB3 </w:instrText>
      </w:r>
      <w:r>
        <w:rPr>
          <w:color w:val="auto"/>
          <w:sz w:val="24"/>
          <w:highlight w:val="none"/>
        </w:rPr>
        <w:fldChar w:fldCharType="separate"/>
      </w:r>
      <w:r>
        <w:rPr>
          <w:color w:val="auto"/>
          <w:sz w:val="24"/>
          <w:highlight w:val="none"/>
        </w:rPr>
        <w:t>②</w:t>
      </w:r>
      <w:r>
        <w:rPr>
          <w:color w:val="auto"/>
          <w:sz w:val="24"/>
          <w:highlight w:val="none"/>
        </w:rPr>
        <w:fldChar w:fldCharType="end"/>
      </w:r>
      <w:r>
        <w:rPr>
          <w:color w:val="auto"/>
          <w:sz w:val="24"/>
          <w:highlight w:val="none"/>
        </w:rPr>
        <w:t>主要污染源估算模型计算结果</w:t>
      </w:r>
    </w:p>
    <w:p>
      <w:pPr>
        <w:jc w:val="center"/>
        <w:rPr>
          <w:rFonts w:eastAsia="黑体"/>
          <w:color w:val="auto"/>
          <w:sz w:val="24"/>
          <w:highlight w:val="none"/>
        </w:rPr>
      </w:pPr>
      <w:bookmarkStart w:id="145" w:name="_Hlk530646059"/>
      <w:bookmarkStart w:id="146" w:name="_Hlk530730126"/>
      <w:r>
        <w:rPr>
          <w:rFonts w:eastAsia="黑体"/>
          <w:color w:val="auto"/>
          <w:sz w:val="24"/>
          <w:highlight w:val="none"/>
        </w:rPr>
        <w:t>表4.1-</w:t>
      </w:r>
      <w:r>
        <w:rPr>
          <w:rFonts w:hint="eastAsia" w:eastAsia="黑体"/>
          <w:color w:val="auto"/>
          <w:sz w:val="24"/>
          <w:highlight w:val="none"/>
        </w:rPr>
        <w:t>12</w:t>
      </w:r>
      <w:r>
        <w:rPr>
          <w:rFonts w:eastAsia="黑体"/>
          <w:color w:val="auto"/>
          <w:sz w:val="24"/>
          <w:highlight w:val="none"/>
        </w:rPr>
        <w:t xml:space="preserve">  主要污染源估算模型计算结果表</w:t>
      </w:r>
    </w:p>
    <w:tbl>
      <w:tblPr>
        <w:tblStyle w:val="59"/>
        <w:tblW w:w="4997"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365"/>
        <w:gridCol w:w="1170"/>
        <w:gridCol w:w="1813"/>
        <w:gridCol w:w="1874"/>
        <w:gridCol w:w="1560"/>
        <w:gridCol w:w="121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58" w:type="pct"/>
            <w:tcBorders>
              <w:tl2br w:val="nil"/>
              <w:tr2bl w:val="nil"/>
            </w:tcBorders>
            <w:vAlign w:val="center"/>
          </w:tcPr>
          <w:p>
            <w:pPr>
              <w:spacing w:line="240" w:lineRule="exact"/>
              <w:jc w:val="center"/>
              <w:rPr>
                <w:color w:val="auto"/>
                <w:szCs w:val="21"/>
                <w:highlight w:val="none"/>
              </w:rPr>
            </w:pPr>
            <w:r>
              <w:rPr>
                <w:color w:val="auto"/>
                <w:szCs w:val="21"/>
                <w:highlight w:val="none"/>
              </w:rPr>
              <w:t>污染源名称</w:t>
            </w:r>
          </w:p>
        </w:tc>
        <w:tc>
          <w:tcPr>
            <w:tcW w:w="650" w:type="pct"/>
            <w:tcBorders>
              <w:tl2br w:val="nil"/>
              <w:tr2bl w:val="nil"/>
            </w:tcBorders>
            <w:vAlign w:val="center"/>
          </w:tcPr>
          <w:p>
            <w:pPr>
              <w:spacing w:line="240" w:lineRule="exact"/>
              <w:jc w:val="center"/>
              <w:rPr>
                <w:color w:val="auto"/>
                <w:szCs w:val="21"/>
                <w:highlight w:val="none"/>
              </w:rPr>
            </w:pPr>
            <w:r>
              <w:rPr>
                <w:color w:val="auto"/>
                <w:szCs w:val="21"/>
                <w:highlight w:val="none"/>
              </w:rPr>
              <w:t>评价因子</w:t>
            </w:r>
          </w:p>
        </w:tc>
        <w:tc>
          <w:tcPr>
            <w:tcW w:w="1007" w:type="pct"/>
            <w:tcBorders>
              <w:tl2br w:val="nil"/>
              <w:tr2bl w:val="nil"/>
            </w:tcBorders>
            <w:vAlign w:val="center"/>
          </w:tcPr>
          <w:p>
            <w:pPr>
              <w:spacing w:line="240" w:lineRule="exact"/>
              <w:jc w:val="center"/>
              <w:rPr>
                <w:color w:val="auto"/>
                <w:szCs w:val="21"/>
                <w:highlight w:val="none"/>
              </w:rPr>
            </w:pPr>
            <w:r>
              <w:rPr>
                <w:color w:val="auto"/>
                <w:szCs w:val="21"/>
                <w:highlight w:val="none"/>
              </w:rPr>
              <w:t>评价标准(μg/m³)</w:t>
            </w:r>
          </w:p>
        </w:tc>
        <w:tc>
          <w:tcPr>
            <w:tcW w:w="1041" w:type="pct"/>
            <w:tcBorders>
              <w:tl2br w:val="nil"/>
              <w:tr2bl w:val="nil"/>
            </w:tcBorders>
            <w:vAlign w:val="center"/>
          </w:tcPr>
          <w:p>
            <w:pPr>
              <w:spacing w:line="240" w:lineRule="exact"/>
              <w:jc w:val="center"/>
              <w:rPr>
                <w:color w:val="auto"/>
                <w:szCs w:val="21"/>
                <w:highlight w:val="none"/>
              </w:rPr>
            </w:pPr>
            <w:r>
              <w:rPr>
                <w:color w:val="auto"/>
                <w:szCs w:val="21"/>
                <w:highlight w:val="none"/>
              </w:rPr>
              <w:t>Cmax(μg/m³)</w:t>
            </w:r>
          </w:p>
        </w:tc>
        <w:tc>
          <w:tcPr>
            <w:tcW w:w="866" w:type="pct"/>
            <w:tcBorders>
              <w:tl2br w:val="nil"/>
              <w:tr2bl w:val="nil"/>
            </w:tcBorders>
            <w:vAlign w:val="center"/>
          </w:tcPr>
          <w:p>
            <w:pPr>
              <w:spacing w:line="240" w:lineRule="exact"/>
              <w:jc w:val="center"/>
              <w:rPr>
                <w:color w:val="auto"/>
                <w:szCs w:val="21"/>
                <w:highlight w:val="none"/>
              </w:rPr>
            </w:pPr>
            <w:r>
              <w:rPr>
                <w:color w:val="auto"/>
                <w:szCs w:val="21"/>
                <w:highlight w:val="none"/>
              </w:rPr>
              <w:t>Pmax(%)</w:t>
            </w:r>
          </w:p>
        </w:tc>
        <w:tc>
          <w:tcPr>
            <w:tcW w:w="675" w:type="pct"/>
            <w:tcBorders>
              <w:tl2br w:val="nil"/>
              <w:tr2bl w:val="nil"/>
            </w:tcBorders>
            <w:vAlign w:val="center"/>
          </w:tcPr>
          <w:p>
            <w:pPr>
              <w:spacing w:line="240" w:lineRule="exact"/>
              <w:jc w:val="center"/>
              <w:rPr>
                <w:color w:val="auto"/>
                <w:szCs w:val="21"/>
                <w:highlight w:val="none"/>
              </w:rPr>
            </w:pPr>
            <w:r>
              <w:rPr>
                <w:color w:val="auto"/>
                <w:szCs w:val="21"/>
                <w:highlight w:val="none"/>
              </w:rPr>
              <w:t>D10%(m)</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58" w:type="pct"/>
            <w:vMerge w:val="restart"/>
            <w:tcBorders>
              <w:tl2br w:val="nil"/>
              <w:tr2bl w:val="nil"/>
            </w:tcBorders>
            <w:vAlign w:val="center"/>
          </w:tcPr>
          <w:p>
            <w:pPr>
              <w:spacing w:line="240" w:lineRule="exact"/>
              <w:jc w:val="center"/>
              <w:rPr>
                <w:color w:val="auto"/>
                <w:szCs w:val="21"/>
                <w:highlight w:val="none"/>
              </w:rPr>
            </w:pPr>
            <w:r>
              <w:rPr>
                <w:rFonts w:hint="eastAsia"/>
                <w:color w:val="auto"/>
                <w:szCs w:val="21"/>
                <w:highlight w:val="none"/>
                <w:lang w:val="en-US" w:eastAsia="zh-CN"/>
              </w:rPr>
              <w:t>生产区</w:t>
            </w:r>
          </w:p>
        </w:tc>
        <w:tc>
          <w:tcPr>
            <w:tcW w:w="650" w:type="pct"/>
            <w:tcBorders>
              <w:tl2br w:val="nil"/>
              <w:tr2bl w:val="nil"/>
            </w:tcBorders>
            <w:vAlign w:val="center"/>
          </w:tcPr>
          <w:p>
            <w:pPr>
              <w:spacing w:line="240" w:lineRule="exact"/>
              <w:jc w:val="center"/>
              <w:rPr>
                <w:color w:val="auto"/>
                <w:szCs w:val="21"/>
                <w:highlight w:val="none"/>
              </w:rPr>
            </w:pPr>
            <w:r>
              <w:rPr>
                <w:color w:val="auto"/>
                <w:szCs w:val="21"/>
                <w:highlight w:val="none"/>
              </w:rPr>
              <w:t>TSP</w:t>
            </w:r>
          </w:p>
        </w:tc>
        <w:tc>
          <w:tcPr>
            <w:tcW w:w="1007" w:type="pct"/>
            <w:tcBorders>
              <w:tl2br w:val="nil"/>
              <w:tr2bl w:val="nil"/>
            </w:tcBorders>
            <w:vAlign w:val="center"/>
          </w:tcPr>
          <w:p>
            <w:pPr>
              <w:spacing w:line="240" w:lineRule="exact"/>
              <w:jc w:val="center"/>
              <w:rPr>
                <w:color w:val="auto"/>
                <w:szCs w:val="21"/>
                <w:highlight w:val="none"/>
              </w:rPr>
            </w:pPr>
            <w:r>
              <w:rPr>
                <w:color w:val="auto"/>
                <w:szCs w:val="21"/>
                <w:highlight w:val="none"/>
              </w:rPr>
              <w:t>900.0</w:t>
            </w:r>
          </w:p>
        </w:tc>
        <w:tc>
          <w:tcPr>
            <w:tcW w:w="1041" w:type="pct"/>
            <w:tcBorders>
              <w:tl2br w:val="nil"/>
              <w:tr2bl w:val="nil"/>
            </w:tcBorders>
            <w:vAlign w:val="center"/>
          </w:tcPr>
          <w:p>
            <w:pPr>
              <w:spacing w:line="240" w:lineRule="exact"/>
              <w:jc w:val="center"/>
              <w:rPr>
                <w:color w:val="auto"/>
                <w:szCs w:val="21"/>
                <w:highlight w:val="none"/>
              </w:rPr>
            </w:pPr>
            <w:r>
              <w:rPr>
                <w:rFonts w:hint="eastAsia"/>
                <w:color w:val="auto"/>
                <w:szCs w:val="21"/>
                <w:highlight w:val="none"/>
              </w:rPr>
              <w:t>22.4117</w:t>
            </w:r>
          </w:p>
        </w:tc>
        <w:tc>
          <w:tcPr>
            <w:tcW w:w="866" w:type="pct"/>
            <w:tcBorders>
              <w:tl2br w:val="nil"/>
              <w:tr2bl w:val="nil"/>
            </w:tcBorders>
            <w:vAlign w:val="center"/>
          </w:tcPr>
          <w:p>
            <w:pPr>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2.49</w:t>
            </w:r>
          </w:p>
        </w:tc>
        <w:tc>
          <w:tcPr>
            <w:tcW w:w="675" w:type="pct"/>
            <w:tcBorders>
              <w:tl2br w:val="nil"/>
              <w:tr2bl w:val="nil"/>
            </w:tcBorders>
            <w:vAlign w:val="center"/>
          </w:tcPr>
          <w:p>
            <w:pPr>
              <w:spacing w:line="240" w:lineRule="exact"/>
              <w:jc w:val="center"/>
              <w:rPr>
                <w:color w:val="auto"/>
                <w:szCs w:val="21"/>
                <w:highlight w:val="none"/>
              </w:rPr>
            </w:pPr>
            <w:r>
              <w:rPr>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58" w:type="pct"/>
            <w:vMerge w:val="continue"/>
            <w:tcBorders>
              <w:tl2br w:val="nil"/>
              <w:tr2bl w:val="nil"/>
            </w:tcBorders>
            <w:vAlign w:val="center"/>
          </w:tcPr>
          <w:p>
            <w:pPr>
              <w:spacing w:line="240" w:lineRule="exact"/>
              <w:jc w:val="center"/>
              <w:rPr>
                <w:rFonts w:hint="eastAsia"/>
                <w:color w:val="auto"/>
                <w:szCs w:val="21"/>
                <w:highlight w:val="none"/>
                <w:lang w:val="en-US" w:eastAsia="zh-CN"/>
              </w:rPr>
            </w:pPr>
          </w:p>
        </w:tc>
        <w:tc>
          <w:tcPr>
            <w:tcW w:w="650" w:type="pct"/>
            <w:tcBorders>
              <w:tl2br w:val="nil"/>
              <w:tr2bl w:val="nil"/>
            </w:tcBorders>
            <w:vAlign w:val="center"/>
          </w:tcPr>
          <w:p>
            <w:pPr>
              <w:spacing w:line="240" w:lineRule="exact"/>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VOCs</w:t>
            </w:r>
          </w:p>
        </w:tc>
        <w:tc>
          <w:tcPr>
            <w:tcW w:w="1007" w:type="pct"/>
            <w:tcBorders>
              <w:tl2br w:val="nil"/>
              <w:tr2bl w:val="nil"/>
            </w:tcBorders>
            <w:vAlign w:val="center"/>
          </w:tcPr>
          <w:p>
            <w:pPr>
              <w:spacing w:line="240" w:lineRule="exact"/>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2000.0</w:t>
            </w:r>
          </w:p>
        </w:tc>
        <w:tc>
          <w:tcPr>
            <w:tcW w:w="1041" w:type="pct"/>
            <w:tcBorders>
              <w:tl2br w:val="nil"/>
              <w:tr2bl w:val="nil"/>
            </w:tcBorders>
            <w:vAlign w:val="center"/>
          </w:tcPr>
          <w:p>
            <w:pPr>
              <w:spacing w:line="240" w:lineRule="exact"/>
              <w:jc w:val="center"/>
              <w:rPr>
                <w:color w:val="auto"/>
                <w:szCs w:val="21"/>
                <w:highlight w:val="none"/>
                <w:lang w:val="en-US" w:eastAsia="zh-CN"/>
              </w:rPr>
            </w:pPr>
            <w:r>
              <w:rPr>
                <w:color w:val="auto"/>
                <w:szCs w:val="21"/>
                <w:highlight w:val="none"/>
              </w:rPr>
              <w:t>52.0120</w:t>
            </w:r>
          </w:p>
        </w:tc>
        <w:tc>
          <w:tcPr>
            <w:tcW w:w="866" w:type="pct"/>
            <w:tcBorders>
              <w:tl2br w:val="nil"/>
              <w:tr2bl w:val="nil"/>
            </w:tcBorders>
            <w:vAlign w:val="center"/>
          </w:tcPr>
          <w:p>
            <w:pPr>
              <w:spacing w:line="240" w:lineRule="exact"/>
              <w:jc w:val="center"/>
              <w:rPr>
                <w:rFonts w:hint="eastAsia"/>
                <w:color w:val="auto"/>
                <w:szCs w:val="21"/>
                <w:highlight w:val="none"/>
                <w:lang w:val="en-US" w:eastAsia="zh-CN"/>
              </w:rPr>
            </w:pPr>
            <w:r>
              <w:rPr>
                <w:color w:val="auto"/>
                <w:szCs w:val="21"/>
                <w:highlight w:val="none"/>
              </w:rPr>
              <w:t>2.60</w:t>
            </w:r>
          </w:p>
        </w:tc>
        <w:tc>
          <w:tcPr>
            <w:tcW w:w="675" w:type="pct"/>
            <w:tcBorders>
              <w:tl2br w:val="nil"/>
              <w:tr2bl w:val="nil"/>
            </w:tcBorders>
            <w:vAlign w:val="center"/>
          </w:tcPr>
          <w:p>
            <w:pPr>
              <w:spacing w:line="240" w:lineRule="exact"/>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58" w:type="pct"/>
            <w:tcBorders>
              <w:tl2br w:val="nil"/>
              <w:tr2bl w:val="nil"/>
            </w:tcBorders>
            <w:vAlign w:val="center"/>
          </w:tcPr>
          <w:p>
            <w:pPr>
              <w:spacing w:line="240" w:lineRule="exact"/>
              <w:jc w:val="center"/>
              <w:rPr>
                <w:color w:val="auto"/>
                <w:szCs w:val="21"/>
                <w:highlight w:val="none"/>
              </w:rPr>
            </w:pPr>
            <w:r>
              <w:rPr>
                <w:rFonts w:hint="eastAsia"/>
                <w:color w:val="auto"/>
                <w:szCs w:val="21"/>
                <w:highlight w:val="none"/>
              </w:rPr>
              <w:t>DA001</w:t>
            </w:r>
          </w:p>
        </w:tc>
        <w:tc>
          <w:tcPr>
            <w:tcW w:w="650" w:type="pct"/>
            <w:tcBorders>
              <w:tl2br w:val="nil"/>
              <w:tr2bl w:val="nil"/>
            </w:tcBorders>
            <w:vAlign w:val="center"/>
          </w:tcPr>
          <w:p>
            <w:pPr>
              <w:spacing w:line="240" w:lineRule="exact"/>
              <w:jc w:val="center"/>
              <w:rPr>
                <w:color w:val="auto"/>
                <w:szCs w:val="21"/>
                <w:highlight w:val="none"/>
              </w:rPr>
            </w:pPr>
            <w:r>
              <w:rPr>
                <w:color w:val="auto"/>
                <w:szCs w:val="21"/>
                <w:highlight w:val="none"/>
              </w:rPr>
              <w:t>PM</w:t>
            </w:r>
            <w:r>
              <w:rPr>
                <w:color w:val="auto"/>
                <w:szCs w:val="21"/>
                <w:highlight w:val="none"/>
                <w:vertAlign w:val="subscript"/>
              </w:rPr>
              <w:t>10</w:t>
            </w:r>
          </w:p>
        </w:tc>
        <w:tc>
          <w:tcPr>
            <w:tcW w:w="1007" w:type="pct"/>
            <w:tcBorders>
              <w:tl2br w:val="nil"/>
              <w:tr2bl w:val="nil"/>
            </w:tcBorders>
            <w:vAlign w:val="center"/>
          </w:tcPr>
          <w:p>
            <w:pPr>
              <w:spacing w:line="240" w:lineRule="exact"/>
              <w:jc w:val="center"/>
              <w:rPr>
                <w:color w:val="auto"/>
                <w:szCs w:val="21"/>
                <w:highlight w:val="none"/>
              </w:rPr>
            </w:pPr>
            <w:r>
              <w:rPr>
                <w:color w:val="auto"/>
                <w:szCs w:val="21"/>
                <w:highlight w:val="none"/>
              </w:rPr>
              <w:t>450.0</w:t>
            </w:r>
          </w:p>
        </w:tc>
        <w:tc>
          <w:tcPr>
            <w:tcW w:w="1041" w:type="pct"/>
            <w:tcBorders>
              <w:tl2br w:val="nil"/>
              <w:tr2bl w:val="nil"/>
            </w:tcBorders>
            <w:vAlign w:val="center"/>
          </w:tcPr>
          <w:p>
            <w:pPr>
              <w:spacing w:line="240" w:lineRule="exact"/>
              <w:jc w:val="center"/>
              <w:rPr>
                <w:color w:val="auto"/>
                <w:szCs w:val="21"/>
                <w:highlight w:val="none"/>
              </w:rPr>
            </w:pPr>
            <w:r>
              <w:rPr>
                <w:rFonts w:hint="eastAsia"/>
                <w:color w:val="auto"/>
                <w:szCs w:val="21"/>
                <w:highlight w:val="none"/>
              </w:rPr>
              <w:t>10.9430</w:t>
            </w:r>
          </w:p>
        </w:tc>
        <w:tc>
          <w:tcPr>
            <w:tcW w:w="866" w:type="pct"/>
            <w:tcBorders>
              <w:tl2br w:val="nil"/>
              <w:tr2bl w:val="nil"/>
            </w:tcBorders>
            <w:vAlign w:val="center"/>
          </w:tcPr>
          <w:p>
            <w:pPr>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2.43</w:t>
            </w:r>
          </w:p>
        </w:tc>
        <w:tc>
          <w:tcPr>
            <w:tcW w:w="675" w:type="pct"/>
            <w:tcBorders>
              <w:tl2br w:val="nil"/>
              <w:tr2bl w:val="nil"/>
            </w:tcBorders>
            <w:vAlign w:val="center"/>
          </w:tcPr>
          <w:p>
            <w:pPr>
              <w:spacing w:line="240" w:lineRule="exact"/>
              <w:jc w:val="center"/>
              <w:rPr>
                <w:color w:val="auto"/>
                <w:szCs w:val="21"/>
                <w:highlight w:val="none"/>
              </w:rPr>
            </w:pPr>
            <w:r>
              <w:rPr>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58" w:type="pct"/>
            <w:tcBorders>
              <w:tl2br w:val="nil"/>
              <w:tr2bl w:val="nil"/>
            </w:tcBorders>
            <w:vAlign w:val="center"/>
          </w:tcPr>
          <w:p>
            <w:pPr>
              <w:spacing w:line="240" w:lineRule="exact"/>
              <w:jc w:val="center"/>
              <w:rPr>
                <w:color w:val="auto"/>
                <w:szCs w:val="21"/>
                <w:highlight w:val="none"/>
              </w:rPr>
            </w:pPr>
            <w:r>
              <w:rPr>
                <w:rFonts w:hint="eastAsia"/>
                <w:color w:val="auto"/>
                <w:szCs w:val="21"/>
                <w:highlight w:val="none"/>
              </w:rPr>
              <w:t>DA001</w:t>
            </w:r>
          </w:p>
        </w:tc>
        <w:tc>
          <w:tcPr>
            <w:tcW w:w="650" w:type="pct"/>
            <w:tcBorders>
              <w:tl2br w:val="nil"/>
              <w:tr2bl w:val="nil"/>
            </w:tcBorders>
            <w:vAlign w:val="center"/>
          </w:tcPr>
          <w:p>
            <w:pPr>
              <w:spacing w:line="240" w:lineRule="exact"/>
              <w:jc w:val="center"/>
              <w:rPr>
                <w:color w:val="auto"/>
                <w:szCs w:val="21"/>
                <w:highlight w:val="none"/>
              </w:rPr>
            </w:pPr>
            <w:r>
              <w:rPr>
                <w:color w:val="auto"/>
                <w:szCs w:val="21"/>
                <w:highlight w:val="none"/>
              </w:rPr>
              <w:t>VOCs</w:t>
            </w:r>
          </w:p>
        </w:tc>
        <w:tc>
          <w:tcPr>
            <w:tcW w:w="1007" w:type="pct"/>
            <w:tcBorders>
              <w:tl2br w:val="nil"/>
              <w:tr2bl w:val="nil"/>
            </w:tcBorders>
            <w:vAlign w:val="center"/>
          </w:tcPr>
          <w:p>
            <w:pPr>
              <w:spacing w:line="240" w:lineRule="exact"/>
              <w:jc w:val="center"/>
              <w:rPr>
                <w:color w:val="auto"/>
                <w:szCs w:val="21"/>
                <w:highlight w:val="none"/>
              </w:rPr>
            </w:pPr>
            <w:r>
              <w:rPr>
                <w:color w:val="auto"/>
                <w:szCs w:val="21"/>
                <w:highlight w:val="none"/>
              </w:rPr>
              <w:t>2000.0</w:t>
            </w:r>
          </w:p>
        </w:tc>
        <w:tc>
          <w:tcPr>
            <w:tcW w:w="1041" w:type="pct"/>
            <w:tcBorders>
              <w:tl2br w:val="nil"/>
              <w:tr2bl w:val="nil"/>
            </w:tcBorders>
            <w:vAlign w:val="center"/>
          </w:tcPr>
          <w:p>
            <w:pPr>
              <w:spacing w:line="240" w:lineRule="exact"/>
              <w:jc w:val="center"/>
              <w:rPr>
                <w:color w:val="auto"/>
                <w:szCs w:val="21"/>
                <w:highlight w:val="none"/>
              </w:rPr>
            </w:pPr>
            <w:r>
              <w:rPr>
                <w:color w:val="auto"/>
                <w:szCs w:val="21"/>
                <w:highlight w:val="none"/>
              </w:rPr>
              <w:t>25.0781</w:t>
            </w:r>
          </w:p>
        </w:tc>
        <w:tc>
          <w:tcPr>
            <w:tcW w:w="866" w:type="pct"/>
            <w:tcBorders>
              <w:tl2br w:val="nil"/>
              <w:tr2bl w:val="nil"/>
            </w:tcBorders>
            <w:vAlign w:val="center"/>
          </w:tcPr>
          <w:p>
            <w:pPr>
              <w:spacing w:line="240" w:lineRule="exact"/>
              <w:jc w:val="center"/>
              <w:rPr>
                <w:color w:val="auto"/>
                <w:szCs w:val="21"/>
                <w:highlight w:val="none"/>
              </w:rPr>
            </w:pPr>
            <w:r>
              <w:rPr>
                <w:color w:val="auto"/>
                <w:szCs w:val="21"/>
                <w:highlight w:val="none"/>
              </w:rPr>
              <w:t>1.25</w:t>
            </w:r>
          </w:p>
        </w:tc>
        <w:tc>
          <w:tcPr>
            <w:tcW w:w="675" w:type="pct"/>
            <w:tcBorders>
              <w:tl2br w:val="nil"/>
              <w:tr2bl w:val="nil"/>
            </w:tcBorders>
            <w:vAlign w:val="center"/>
          </w:tcPr>
          <w:p>
            <w:pPr>
              <w:spacing w:line="240" w:lineRule="exact"/>
              <w:jc w:val="center"/>
              <w:rPr>
                <w:color w:val="auto"/>
                <w:szCs w:val="21"/>
                <w:highlight w:val="none"/>
              </w:rPr>
            </w:pPr>
            <w:r>
              <w:rPr>
                <w:color w:val="auto"/>
                <w:szCs w:val="21"/>
                <w:highlight w:val="none"/>
              </w:rPr>
              <w:t>/</w:t>
            </w:r>
          </w:p>
        </w:tc>
      </w:tr>
      <w:bookmarkEnd w:id="145"/>
    </w:tbl>
    <w:p>
      <w:pPr>
        <w:spacing w:line="360" w:lineRule="auto"/>
        <w:ind w:firstLine="480" w:firstLineChars="200"/>
        <w:rPr>
          <w:rFonts w:hint="eastAsia"/>
          <w:color w:val="auto"/>
          <w:sz w:val="24"/>
          <w:highlight w:val="none"/>
          <w:lang w:val="en-US" w:eastAsia="zh-CN"/>
        </w:rPr>
      </w:pPr>
      <w:r>
        <w:rPr>
          <w:color w:val="auto"/>
          <w:sz w:val="24"/>
          <w:highlight w:val="none"/>
        </w:rPr>
        <w:fldChar w:fldCharType="begin"/>
      </w:r>
      <w:r>
        <w:rPr>
          <w:color w:val="auto"/>
          <w:sz w:val="24"/>
          <w:highlight w:val="none"/>
        </w:rPr>
        <w:instrText xml:space="preserve"> = 3 \* GB3 \* MERGEFORMAT </w:instrText>
      </w:r>
      <w:r>
        <w:rPr>
          <w:color w:val="auto"/>
          <w:sz w:val="24"/>
          <w:highlight w:val="none"/>
        </w:rPr>
        <w:fldChar w:fldCharType="separate"/>
      </w:r>
      <w:r>
        <w:rPr>
          <w:color w:val="auto"/>
          <w:sz w:val="24"/>
          <w:highlight w:val="none"/>
        </w:rPr>
        <w:t>③</w:t>
      </w:r>
      <w:r>
        <w:rPr>
          <w:color w:val="auto"/>
          <w:sz w:val="24"/>
          <w:highlight w:val="none"/>
        </w:rPr>
        <w:fldChar w:fldCharType="end"/>
      </w:r>
      <w:r>
        <w:rPr>
          <w:rFonts w:hint="eastAsia"/>
          <w:color w:val="auto"/>
          <w:sz w:val="24"/>
          <w:highlight w:val="none"/>
        </w:rPr>
        <w:t>下风向不同距离最大落地浓度</w:t>
      </w:r>
      <w:r>
        <w:rPr>
          <w:rFonts w:hint="eastAsia"/>
          <w:color w:val="auto"/>
          <w:sz w:val="24"/>
          <w:highlight w:val="none"/>
          <w:lang w:val="en-US" w:eastAsia="zh-CN"/>
        </w:rPr>
        <w:t>及占标率</w:t>
      </w:r>
    </w:p>
    <w:p>
      <w:pPr>
        <w:jc w:val="center"/>
        <w:rPr>
          <w:rFonts w:hint="eastAsia" w:eastAsia="黑体"/>
          <w:color w:val="auto"/>
          <w:sz w:val="24"/>
          <w:highlight w:val="none"/>
        </w:rPr>
      </w:pPr>
      <w:r>
        <w:rPr>
          <w:rFonts w:hint="eastAsia" w:eastAsia="黑体"/>
          <w:color w:val="auto"/>
          <w:sz w:val="24"/>
          <w:highlight w:val="none"/>
        </w:rPr>
        <w:t>表4.1-1</w:t>
      </w:r>
      <w:r>
        <w:rPr>
          <w:rFonts w:hint="eastAsia" w:eastAsia="黑体"/>
          <w:color w:val="auto"/>
          <w:sz w:val="24"/>
          <w:highlight w:val="none"/>
          <w:lang w:val="en-US" w:eastAsia="zh-CN"/>
        </w:rPr>
        <w:t>3</w:t>
      </w:r>
      <w:r>
        <w:rPr>
          <w:rFonts w:hint="eastAsia" w:eastAsia="黑体"/>
          <w:color w:val="auto"/>
          <w:sz w:val="24"/>
          <w:highlight w:val="none"/>
        </w:rPr>
        <w:t xml:space="preserve">  </w:t>
      </w:r>
      <w:r>
        <w:rPr>
          <w:rFonts w:hint="eastAsia" w:eastAsia="黑体"/>
          <w:color w:val="auto"/>
          <w:sz w:val="24"/>
          <w:highlight w:val="none"/>
          <w:lang w:val="en-US" w:eastAsia="zh-CN"/>
        </w:rPr>
        <w:t>本项目</w:t>
      </w:r>
      <w:r>
        <w:rPr>
          <w:rFonts w:hint="eastAsia" w:eastAsia="黑体"/>
          <w:color w:val="auto"/>
          <w:sz w:val="24"/>
          <w:highlight w:val="none"/>
        </w:rPr>
        <w:t>下风向不同距离最大落地浓度及占标率</w:t>
      </w:r>
    </w:p>
    <w:tbl>
      <w:tblPr>
        <w:tblStyle w:val="59"/>
        <w:tblW w:w="4997"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40"/>
        <w:gridCol w:w="1018"/>
        <w:gridCol w:w="865"/>
        <w:gridCol w:w="1010"/>
        <w:gridCol w:w="980"/>
        <w:gridCol w:w="1125"/>
        <w:gridCol w:w="916"/>
        <w:gridCol w:w="1137"/>
        <w:gridCol w:w="100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52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下风向距离</w:t>
            </w:r>
          </w:p>
        </w:tc>
        <w:tc>
          <w:tcPr>
            <w:tcW w:w="2152"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矩形面源</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生产区 含1#车间、</w:t>
            </w:r>
            <w:r>
              <w:rPr>
                <w:rFonts w:hint="default" w:ascii="Times New Roman" w:hAnsi="Times New Roman" w:eastAsia="宋体" w:cs="Times New Roman"/>
                <w:color w:val="auto"/>
                <w:sz w:val="21"/>
                <w:szCs w:val="21"/>
                <w:highlight w:val="none"/>
                <w:lang w:val="en-US" w:eastAsia="zh-CN"/>
              </w:rPr>
              <w:t>2#车间</w:t>
            </w:r>
            <w:r>
              <w:rPr>
                <w:rFonts w:hint="default" w:ascii="Times New Roman" w:hAnsi="Times New Roman" w:eastAsia="宋体" w:cs="Times New Roman"/>
                <w:color w:val="auto"/>
                <w:sz w:val="21"/>
                <w:szCs w:val="21"/>
                <w:highlight w:val="none"/>
                <w:lang w:eastAsia="zh-CN"/>
              </w:rPr>
              <w:t>）</w:t>
            </w:r>
          </w:p>
        </w:tc>
        <w:tc>
          <w:tcPr>
            <w:tcW w:w="2325"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点源（DA001）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5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p>
        </w:tc>
        <w:tc>
          <w:tcPr>
            <w:tcW w:w="5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NMHC浓度(μg/m³)</w:t>
            </w:r>
          </w:p>
        </w:tc>
        <w:tc>
          <w:tcPr>
            <w:tcW w:w="48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NMHC占标率(%)</w:t>
            </w:r>
          </w:p>
        </w:tc>
        <w:tc>
          <w:tcPr>
            <w:tcW w:w="561" w:type="pct"/>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TSP浓度(μg/m³)</w:t>
            </w:r>
          </w:p>
        </w:tc>
        <w:tc>
          <w:tcPr>
            <w:tcW w:w="544" w:type="pct"/>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TSP占标率(%)</w:t>
            </w:r>
          </w:p>
        </w:tc>
        <w:tc>
          <w:tcPr>
            <w:tcW w:w="625" w:type="pct"/>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PM10浓度(μg/m³)</w:t>
            </w:r>
          </w:p>
        </w:tc>
        <w:tc>
          <w:tcPr>
            <w:tcW w:w="509" w:type="pct"/>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PM10占标率(%)</w:t>
            </w:r>
          </w:p>
        </w:tc>
        <w:tc>
          <w:tcPr>
            <w:tcW w:w="631" w:type="pct"/>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NMHC浓度(μg/m³)</w:t>
            </w:r>
          </w:p>
        </w:tc>
        <w:tc>
          <w:tcPr>
            <w:tcW w:w="559" w:type="pct"/>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NMHC占标率(%)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w:t>
            </w:r>
          </w:p>
        </w:tc>
        <w:tc>
          <w:tcPr>
            <w:tcW w:w="56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41.9100</w:t>
            </w:r>
          </w:p>
        </w:tc>
        <w:tc>
          <w:tcPr>
            <w:tcW w:w="480"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2.0955</w:t>
            </w:r>
          </w:p>
        </w:tc>
        <w:tc>
          <w:tcPr>
            <w:tcW w:w="56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18.0588</w:t>
            </w:r>
          </w:p>
        </w:tc>
        <w:tc>
          <w:tcPr>
            <w:tcW w:w="544"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2.0065</w:t>
            </w:r>
          </w:p>
        </w:tc>
        <w:tc>
          <w:tcPr>
            <w:tcW w:w="62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1.0907</w:t>
            </w:r>
          </w:p>
        </w:tc>
        <w:tc>
          <w:tcPr>
            <w:tcW w:w="50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0.2424</w:t>
            </w:r>
          </w:p>
        </w:tc>
        <w:tc>
          <w:tcPr>
            <w:tcW w:w="63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2.4997</w:t>
            </w:r>
          </w:p>
        </w:tc>
        <w:tc>
          <w:tcPr>
            <w:tcW w:w="55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0.1250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w:t>
            </w:r>
          </w:p>
        </w:tc>
        <w:tc>
          <w:tcPr>
            <w:tcW w:w="56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51.8650</w:t>
            </w:r>
          </w:p>
        </w:tc>
        <w:tc>
          <w:tcPr>
            <w:tcW w:w="480"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2.5933</w:t>
            </w:r>
          </w:p>
        </w:tc>
        <w:tc>
          <w:tcPr>
            <w:tcW w:w="56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22.3483</w:t>
            </w:r>
          </w:p>
        </w:tc>
        <w:tc>
          <w:tcPr>
            <w:tcW w:w="544"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2.4831</w:t>
            </w:r>
          </w:p>
        </w:tc>
        <w:tc>
          <w:tcPr>
            <w:tcW w:w="62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1.8407</w:t>
            </w:r>
          </w:p>
        </w:tc>
        <w:tc>
          <w:tcPr>
            <w:tcW w:w="50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0.4090</w:t>
            </w:r>
          </w:p>
        </w:tc>
        <w:tc>
          <w:tcPr>
            <w:tcW w:w="63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4.2182</w:t>
            </w:r>
          </w:p>
        </w:tc>
        <w:tc>
          <w:tcPr>
            <w:tcW w:w="55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0.2109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200.0</w:t>
            </w:r>
          </w:p>
        </w:tc>
        <w:tc>
          <w:tcPr>
            <w:tcW w:w="56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37.3310</w:t>
            </w:r>
          </w:p>
        </w:tc>
        <w:tc>
          <w:tcPr>
            <w:tcW w:w="480"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1.8666</w:t>
            </w:r>
          </w:p>
        </w:tc>
        <w:tc>
          <w:tcPr>
            <w:tcW w:w="56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16.0857</w:t>
            </w:r>
          </w:p>
        </w:tc>
        <w:tc>
          <w:tcPr>
            <w:tcW w:w="544"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1.7873</w:t>
            </w:r>
          </w:p>
        </w:tc>
        <w:tc>
          <w:tcPr>
            <w:tcW w:w="62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2.2074</w:t>
            </w:r>
          </w:p>
        </w:tc>
        <w:tc>
          <w:tcPr>
            <w:tcW w:w="50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0.4905</w:t>
            </w:r>
          </w:p>
        </w:tc>
        <w:tc>
          <w:tcPr>
            <w:tcW w:w="63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5.0589</w:t>
            </w:r>
          </w:p>
        </w:tc>
        <w:tc>
          <w:tcPr>
            <w:tcW w:w="55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0.2529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300.0</w:t>
            </w:r>
          </w:p>
        </w:tc>
        <w:tc>
          <w:tcPr>
            <w:tcW w:w="56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29.4210</w:t>
            </w:r>
          </w:p>
        </w:tc>
        <w:tc>
          <w:tcPr>
            <w:tcW w:w="480"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1.4710</w:t>
            </w:r>
          </w:p>
        </w:tc>
        <w:tc>
          <w:tcPr>
            <w:tcW w:w="56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12.6773</w:t>
            </w:r>
          </w:p>
        </w:tc>
        <w:tc>
          <w:tcPr>
            <w:tcW w:w="544"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1.4086</w:t>
            </w:r>
          </w:p>
        </w:tc>
        <w:tc>
          <w:tcPr>
            <w:tcW w:w="62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1.9080</w:t>
            </w:r>
          </w:p>
        </w:tc>
        <w:tc>
          <w:tcPr>
            <w:tcW w:w="50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0.4240</w:t>
            </w:r>
          </w:p>
        </w:tc>
        <w:tc>
          <w:tcPr>
            <w:tcW w:w="63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4.3728</w:t>
            </w:r>
          </w:p>
        </w:tc>
        <w:tc>
          <w:tcPr>
            <w:tcW w:w="55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0.2186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400.0</w:t>
            </w:r>
          </w:p>
        </w:tc>
        <w:tc>
          <w:tcPr>
            <w:tcW w:w="56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24.5590</w:t>
            </w:r>
          </w:p>
        </w:tc>
        <w:tc>
          <w:tcPr>
            <w:tcW w:w="480"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1.2280</w:t>
            </w:r>
          </w:p>
        </w:tc>
        <w:tc>
          <w:tcPr>
            <w:tcW w:w="56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10.5823</w:t>
            </w:r>
          </w:p>
        </w:tc>
        <w:tc>
          <w:tcPr>
            <w:tcW w:w="544"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1.1758</w:t>
            </w:r>
          </w:p>
        </w:tc>
        <w:tc>
          <w:tcPr>
            <w:tcW w:w="62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1.5312</w:t>
            </w:r>
          </w:p>
        </w:tc>
        <w:tc>
          <w:tcPr>
            <w:tcW w:w="50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0.3403</w:t>
            </w:r>
          </w:p>
        </w:tc>
        <w:tc>
          <w:tcPr>
            <w:tcW w:w="63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3.5090</w:t>
            </w:r>
          </w:p>
        </w:tc>
        <w:tc>
          <w:tcPr>
            <w:tcW w:w="55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0.1754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500.0</w:t>
            </w:r>
          </w:p>
        </w:tc>
        <w:tc>
          <w:tcPr>
            <w:tcW w:w="56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22.0070</w:t>
            </w:r>
          </w:p>
        </w:tc>
        <w:tc>
          <w:tcPr>
            <w:tcW w:w="480"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1.1004</w:t>
            </w:r>
          </w:p>
        </w:tc>
        <w:tc>
          <w:tcPr>
            <w:tcW w:w="56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9.4827</w:t>
            </w:r>
          </w:p>
        </w:tc>
        <w:tc>
          <w:tcPr>
            <w:tcW w:w="544"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1.0536</w:t>
            </w:r>
          </w:p>
        </w:tc>
        <w:tc>
          <w:tcPr>
            <w:tcW w:w="62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1.2579</w:t>
            </w:r>
          </w:p>
        </w:tc>
        <w:tc>
          <w:tcPr>
            <w:tcW w:w="50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0.2795</w:t>
            </w:r>
          </w:p>
        </w:tc>
        <w:tc>
          <w:tcPr>
            <w:tcW w:w="63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2.8828</w:t>
            </w:r>
          </w:p>
        </w:tc>
        <w:tc>
          <w:tcPr>
            <w:tcW w:w="55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0.1441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600.0</w:t>
            </w:r>
          </w:p>
        </w:tc>
        <w:tc>
          <w:tcPr>
            <w:tcW w:w="56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20.5470</w:t>
            </w:r>
          </w:p>
        </w:tc>
        <w:tc>
          <w:tcPr>
            <w:tcW w:w="480"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1.0273</w:t>
            </w:r>
          </w:p>
        </w:tc>
        <w:tc>
          <w:tcPr>
            <w:tcW w:w="56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8.8536</w:t>
            </w:r>
          </w:p>
        </w:tc>
        <w:tc>
          <w:tcPr>
            <w:tcW w:w="544"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0.9837</w:t>
            </w:r>
          </w:p>
        </w:tc>
        <w:tc>
          <w:tcPr>
            <w:tcW w:w="62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1.2664</w:t>
            </w:r>
          </w:p>
        </w:tc>
        <w:tc>
          <w:tcPr>
            <w:tcW w:w="50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0.2814</w:t>
            </w:r>
          </w:p>
        </w:tc>
        <w:tc>
          <w:tcPr>
            <w:tcW w:w="63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2.9021</w:t>
            </w:r>
          </w:p>
        </w:tc>
        <w:tc>
          <w:tcPr>
            <w:tcW w:w="55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0.1451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700.0</w:t>
            </w:r>
          </w:p>
        </w:tc>
        <w:tc>
          <w:tcPr>
            <w:tcW w:w="56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19.6740</w:t>
            </w:r>
          </w:p>
        </w:tc>
        <w:tc>
          <w:tcPr>
            <w:tcW w:w="480"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0.9837</w:t>
            </w:r>
          </w:p>
        </w:tc>
        <w:tc>
          <w:tcPr>
            <w:tcW w:w="56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8.4774</w:t>
            </w:r>
          </w:p>
        </w:tc>
        <w:tc>
          <w:tcPr>
            <w:tcW w:w="544"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0.9419</w:t>
            </w:r>
          </w:p>
        </w:tc>
        <w:tc>
          <w:tcPr>
            <w:tcW w:w="62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10.6770</w:t>
            </w:r>
          </w:p>
        </w:tc>
        <w:tc>
          <w:tcPr>
            <w:tcW w:w="50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2.3727</w:t>
            </w:r>
          </w:p>
        </w:tc>
        <w:tc>
          <w:tcPr>
            <w:tcW w:w="63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24.4684</w:t>
            </w:r>
          </w:p>
        </w:tc>
        <w:tc>
          <w:tcPr>
            <w:tcW w:w="55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1.2234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800.0</w:t>
            </w:r>
          </w:p>
        </w:tc>
        <w:tc>
          <w:tcPr>
            <w:tcW w:w="56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18.8820</w:t>
            </w:r>
          </w:p>
        </w:tc>
        <w:tc>
          <w:tcPr>
            <w:tcW w:w="480"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0.9441</w:t>
            </w:r>
          </w:p>
        </w:tc>
        <w:tc>
          <w:tcPr>
            <w:tcW w:w="56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8.1361</w:t>
            </w:r>
          </w:p>
        </w:tc>
        <w:tc>
          <w:tcPr>
            <w:tcW w:w="544"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0.9040</w:t>
            </w:r>
          </w:p>
        </w:tc>
        <w:tc>
          <w:tcPr>
            <w:tcW w:w="62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9.6014</w:t>
            </w:r>
          </w:p>
        </w:tc>
        <w:tc>
          <w:tcPr>
            <w:tcW w:w="50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2.1336</w:t>
            </w:r>
          </w:p>
        </w:tc>
        <w:tc>
          <w:tcPr>
            <w:tcW w:w="63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22.0038</w:t>
            </w:r>
          </w:p>
        </w:tc>
        <w:tc>
          <w:tcPr>
            <w:tcW w:w="55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1.1002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w:t>
            </w:r>
          </w:p>
        </w:tc>
        <w:tc>
          <w:tcPr>
            <w:tcW w:w="56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18.1440</w:t>
            </w:r>
          </w:p>
        </w:tc>
        <w:tc>
          <w:tcPr>
            <w:tcW w:w="480"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0.9072</w:t>
            </w:r>
          </w:p>
        </w:tc>
        <w:tc>
          <w:tcPr>
            <w:tcW w:w="56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7.8181</w:t>
            </w:r>
          </w:p>
        </w:tc>
        <w:tc>
          <w:tcPr>
            <w:tcW w:w="544"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0.8687</w:t>
            </w:r>
          </w:p>
        </w:tc>
        <w:tc>
          <w:tcPr>
            <w:tcW w:w="62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8.2508</w:t>
            </w:r>
          </w:p>
        </w:tc>
        <w:tc>
          <w:tcPr>
            <w:tcW w:w="50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1.8335</w:t>
            </w:r>
          </w:p>
        </w:tc>
        <w:tc>
          <w:tcPr>
            <w:tcW w:w="63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18.9087</w:t>
            </w:r>
          </w:p>
        </w:tc>
        <w:tc>
          <w:tcPr>
            <w:tcW w:w="55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0.9454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1000.0</w:t>
            </w:r>
          </w:p>
        </w:tc>
        <w:tc>
          <w:tcPr>
            <w:tcW w:w="56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17.4790</w:t>
            </w:r>
          </w:p>
        </w:tc>
        <w:tc>
          <w:tcPr>
            <w:tcW w:w="480"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0.8739</w:t>
            </w:r>
          </w:p>
        </w:tc>
        <w:tc>
          <w:tcPr>
            <w:tcW w:w="56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7.5316</w:t>
            </w:r>
          </w:p>
        </w:tc>
        <w:tc>
          <w:tcPr>
            <w:tcW w:w="544"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0.8368</w:t>
            </w:r>
          </w:p>
        </w:tc>
        <w:tc>
          <w:tcPr>
            <w:tcW w:w="62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7.1191</w:t>
            </w:r>
          </w:p>
        </w:tc>
        <w:tc>
          <w:tcPr>
            <w:tcW w:w="50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1.5820</w:t>
            </w:r>
          </w:p>
        </w:tc>
        <w:tc>
          <w:tcPr>
            <w:tcW w:w="63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16.3152</w:t>
            </w:r>
          </w:p>
        </w:tc>
        <w:tc>
          <w:tcPr>
            <w:tcW w:w="55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0.8158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1200.0</w:t>
            </w:r>
          </w:p>
        </w:tc>
        <w:tc>
          <w:tcPr>
            <w:tcW w:w="56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16.2390</w:t>
            </w:r>
          </w:p>
        </w:tc>
        <w:tc>
          <w:tcPr>
            <w:tcW w:w="480"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0.8119</w:t>
            </w:r>
          </w:p>
        </w:tc>
        <w:tc>
          <w:tcPr>
            <w:tcW w:w="56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6.9973</w:t>
            </w:r>
          </w:p>
        </w:tc>
        <w:tc>
          <w:tcPr>
            <w:tcW w:w="544"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0.7775</w:t>
            </w:r>
          </w:p>
        </w:tc>
        <w:tc>
          <w:tcPr>
            <w:tcW w:w="62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1.6864</w:t>
            </w:r>
          </w:p>
        </w:tc>
        <w:tc>
          <w:tcPr>
            <w:tcW w:w="50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0.3748</w:t>
            </w:r>
          </w:p>
        </w:tc>
        <w:tc>
          <w:tcPr>
            <w:tcW w:w="63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3.8649</w:t>
            </w:r>
          </w:p>
        </w:tc>
        <w:tc>
          <w:tcPr>
            <w:tcW w:w="55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0.1932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1400.0</w:t>
            </w:r>
          </w:p>
        </w:tc>
        <w:tc>
          <w:tcPr>
            <w:tcW w:w="56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15.1560</w:t>
            </w:r>
          </w:p>
        </w:tc>
        <w:tc>
          <w:tcPr>
            <w:tcW w:w="480"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0.7578</w:t>
            </w:r>
          </w:p>
        </w:tc>
        <w:tc>
          <w:tcPr>
            <w:tcW w:w="56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6.5306</w:t>
            </w:r>
          </w:p>
        </w:tc>
        <w:tc>
          <w:tcPr>
            <w:tcW w:w="544"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0.7256</w:t>
            </w:r>
          </w:p>
        </w:tc>
        <w:tc>
          <w:tcPr>
            <w:tcW w:w="62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4.7803</w:t>
            </w:r>
          </w:p>
        </w:tc>
        <w:tc>
          <w:tcPr>
            <w:tcW w:w="50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1.0623</w:t>
            </w:r>
          </w:p>
        </w:tc>
        <w:tc>
          <w:tcPr>
            <w:tcW w:w="63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10.9552</w:t>
            </w:r>
          </w:p>
        </w:tc>
        <w:tc>
          <w:tcPr>
            <w:tcW w:w="55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0.5478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1600.0</w:t>
            </w:r>
          </w:p>
        </w:tc>
        <w:tc>
          <w:tcPr>
            <w:tcW w:w="56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14.2010</w:t>
            </w:r>
          </w:p>
        </w:tc>
        <w:tc>
          <w:tcPr>
            <w:tcW w:w="480"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0.7100</w:t>
            </w:r>
          </w:p>
        </w:tc>
        <w:tc>
          <w:tcPr>
            <w:tcW w:w="56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6.1191</w:t>
            </w:r>
          </w:p>
        </w:tc>
        <w:tc>
          <w:tcPr>
            <w:tcW w:w="544"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0.6799</w:t>
            </w:r>
          </w:p>
        </w:tc>
        <w:tc>
          <w:tcPr>
            <w:tcW w:w="62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4.0213</w:t>
            </w:r>
          </w:p>
        </w:tc>
        <w:tc>
          <w:tcPr>
            <w:tcW w:w="50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0.8936</w:t>
            </w:r>
          </w:p>
        </w:tc>
        <w:tc>
          <w:tcPr>
            <w:tcW w:w="63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9.2158</w:t>
            </w:r>
          </w:p>
        </w:tc>
        <w:tc>
          <w:tcPr>
            <w:tcW w:w="55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0.4608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1800.0</w:t>
            </w:r>
          </w:p>
        </w:tc>
        <w:tc>
          <w:tcPr>
            <w:tcW w:w="56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13.3320</w:t>
            </w:r>
          </w:p>
        </w:tc>
        <w:tc>
          <w:tcPr>
            <w:tcW w:w="480"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0.6666</w:t>
            </w:r>
          </w:p>
        </w:tc>
        <w:tc>
          <w:tcPr>
            <w:tcW w:w="56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5.7447</w:t>
            </w:r>
          </w:p>
        </w:tc>
        <w:tc>
          <w:tcPr>
            <w:tcW w:w="544"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0.6383</w:t>
            </w:r>
          </w:p>
        </w:tc>
        <w:tc>
          <w:tcPr>
            <w:tcW w:w="62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3.4915</w:t>
            </w:r>
          </w:p>
        </w:tc>
        <w:tc>
          <w:tcPr>
            <w:tcW w:w="50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0.7759</w:t>
            </w:r>
          </w:p>
        </w:tc>
        <w:tc>
          <w:tcPr>
            <w:tcW w:w="63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8.0014</w:t>
            </w:r>
          </w:p>
        </w:tc>
        <w:tc>
          <w:tcPr>
            <w:tcW w:w="55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0.4001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2000.0</w:t>
            </w:r>
          </w:p>
        </w:tc>
        <w:tc>
          <w:tcPr>
            <w:tcW w:w="56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12.6990</w:t>
            </w:r>
          </w:p>
        </w:tc>
        <w:tc>
          <w:tcPr>
            <w:tcW w:w="480"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0.6350</w:t>
            </w:r>
          </w:p>
        </w:tc>
        <w:tc>
          <w:tcPr>
            <w:tcW w:w="56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5.4719</w:t>
            </w:r>
          </w:p>
        </w:tc>
        <w:tc>
          <w:tcPr>
            <w:tcW w:w="544"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0.6080</w:t>
            </w:r>
          </w:p>
        </w:tc>
        <w:tc>
          <w:tcPr>
            <w:tcW w:w="62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2.7092</w:t>
            </w:r>
          </w:p>
        </w:tc>
        <w:tc>
          <w:tcPr>
            <w:tcW w:w="50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0.6020</w:t>
            </w:r>
          </w:p>
        </w:tc>
        <w:tc>
          <w:tcPr>
            <w:tcW w:w="63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6.2090</w:t>
            </w:r>
          </w:p>
        </w:tc>
        <w:tc>
          <w:tcPr>
            <w:tcW w:w="55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0.3104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2500.0</w:t>
            </w:r>
          </w:p>
        </w:tc>
        <w:tc>
          <w:tcPr>
            <w:tcW w:w="56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11.0220</w:t>
            </w:r>
          </w:p>
        </w:tc>
        <w:tc>
          <w:tcPr>
            <w:tcW w:w="480"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0.5511</w:t>
            </w:r>
          </w:p>
        </w:tc>
        <w:tc>
          <w:tcPr>
            <w:tcW w:w="56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4.7493</w:t>
            </w:r>
          </w:p>
        </w:tc>
        <w:tc>
          <w:tcPr>
            <w:tcW w:w="544"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0.5277</w:t>
            </w:r>
          </w:p>
        </w:tc>
        <w:tc>
          <w:tcPr>
            <w:tcW w:w="62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1.0580</w:t>
            </w:r>
          </w:p>
        </w:tc>
        <w:tc>
          <w:tcPr>
            <w:tcW w:w="50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0.2351</w:t>
            </w:r>
          </w:p>
        </w:tc>
        <w:tc>
          <w:tcPr>
            <w:tcW w:w="63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2.4246</w:t>
            </w:r>
          </w:p>
        </w:tc>
        <w:tc>
          <w:tcPr>
            <w:tcW w:w="55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0.1212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下风向最大浓度</w:t>
            </w:r>
          </w:p>
        </w:tc>
        <w:tc>
          <w:tcPr>
            <w:tcW w:w="56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52.0120</w:t>
            </w:r>
          </w:p>
        </w:tc>
        <w:tc>
          <w:tcPr>
            <w:tcW w:w="480"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2.6006</w:t>
            </w:r>
          </w:p>
        </w:tc>
        <w:tc>
          <w:tcPr>
            <w:tcW w:w="56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22.4117</w:t>
            </w:r>
          </w:p>
        </w:tc>
        <w:tc>
          <w:tcPr>
            <w:tcW w:w="544"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2.4902</w:t>
            </w:r>
          </w:p>
        </w:tc>
        <w:tc>
          <w:tcPr>
            <w:tcW w:w="62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10.9430</w:t>
            </w:r>
          </w:p>
        </w:tc>
        <w:tc>
          <w:tcPr>
            <w:tcW w:w="50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rPr>
              <w:t>2.4318</w:t>
            </w:r>
          </w:p>
        </w:tc>
        <w:tc>
          <w:tcPr>
            <w:tcW w:w="63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25.0781</w:t>
            </w:r>
          </w:p>
        </w:tc>
        <w:tc>
          <w:tcPr>
            <w:tcW w:w="55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1.2539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下风向最大浓度出现距离</w:t>
            </w:r>
          </w:p>
        </w:tc>
        <w:tc>
          <w:tcPr>
            <w:tcW w:w="56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95.0</w:t>
            </w:r>
          </w:p>
        </w:tc>
        <w:tc>
          <w:tcPr>
            <w:tcW w:w="480"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95.0</w:t>
            </w:r>
          </w:p>
        </w:tc>
        <w:tc>
          <w:tcPr>
            <w:tcW w:w="56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95.0</w:t>
            </w:r>
          </w:p>
        </w:tc>
        <w:tc>
          <w:tcPr>
            <w:tcW w:w="544"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95.0</w:t>
            </w:r>
          </w:p>
        </w:tc>
        <w:tc>
          <w:tcPr>
            <w:tcW w:w="62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715.0</w:t>
            </w:r>
          </w:p>
        </w:tc>
        <w:tc>
          <w:tcPr>
            <w:tcW w:w="50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715.0</w:t>
            </w:r>
          </w:p>
        </w:tc>
        <w:tc>
          <w:tcPr>
            <w:tcW w:w="631"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715.0</w:t>
            </w:r>
          </w:p>
        </w:tc>
        <w:tc>
          <w:tcPr>
            <w:tcW w:w="559"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715.0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D10%最远距离</w:t>
            </w:r>
          </w:p>
        </w:tc>
        <w:tc>
          <w:tcPr>
            <w:tcW w:w="5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48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61" w:type="pct"/>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w:t>
            </w:r>
          </w:p>
        </w:tc>
        <w:tc>
          <w:tcPr>
            <w:tcW w:w="544" w:type="pct"/>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w:t>
            </w:r>
          </w:p>
        </w:tc>
        <w:tc>
          <w:tcPr>
            <w:tcW w:w="625" w:type="pct"/>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w:t>
            </w:r>
          </w:p>
        </w:tc>
        <w:tc>
          <w:tcPr>
            <w:tcW w:w="509" w:type="pct"/>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w:t>
            </w:r>
          </w:p>
        </w:tc>
        <w:tc>
          <w:tcPr>
            <w:tcW w:w="631" w:type="pct"/>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w:t>
            </w:r>
          </w:p>
        </w:tc>
        <w:tc>
          <w:tcPr>
            <w:tcW w:w="559" w:type="pct"/>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w:t>
            </w:r>
          </w:p>
        </w:tc>
      </w:tr>
    </w:tbl>
    <w:p>
      <w:pPr>
        <w:spacing w:line="360" w:lineRule="auto"/>
        <w:ind w:firstLine="454"/>
        <w:rPr>
          <w:color w:val="auto"/>
          <w:sz w:val="24"/>
          <w:szCs w:val="24"/>
          <w:highlight w:val="none"/>
        </w:rPr>
      </w:pPr>
      <w:r>
        <w:rPr>
          <w:color w:val="auto"/>
          <w:sz w:val="24"/>
          <w:szCs w:val="24"/>
          <w:highlight w:val="none"/>
        </w:rPr>
        <w:t>本项目Pmax最大值出现为无组织面源排放的VOCs Pmax值为</w:t>
      </w:r>
      <w:r>
        <w:rPr>
          <w:rFonts w:hint="eastAsia"/>
          <w:color w:val="auto"/>
          <w:sz w:val="24"/>
          <w:szCs w:val="24"/>
          <w:highlight w:val="none"/>
          <w:lang w:val="en-US" w:eastAsia="zh-CN"/>
        </w:rPr>
        <w:t>2.60</w:t>
      </w:r>
      <w:r>
        <w:rPr>
          <w:color w:val="auto"/>
          <w:sz w:val="24"/>
          <w:szCs w:val="24"/>
          <w:highlight w:val="none"/>
        </w:rPr>
        <w:t>%，Cmax为</w:t>
      </w:r>
      <w:r>
        <w:rPr>
          <w:rFonts w:hint="eastAsia"/>
          <w:color w:val="auto"/>
          <w:sz w:val="24"/>
          <w:szCs w:val="24"/>
          <w:highlight w:val="none"/>
        </w:rPr>
        <w:t>52.012</w:t>
      </w:r>
      <w:r>
        <w:rPr>
          <w:color w:val="auto"/>
          <w:sz w:val="24"/>
          <w:szCs w:val="24"/>
          <w:highlight w:val="none"/>
        </w:rPr>
        <w:t>μg/m³，根据《环境影响评价技术导则 大气环境》（HJ2.2-2018）分级判据，确定本项目大气环境影响评价工作等级为二级。</w:t>
      </w:r>
    </w:p>
    <w:p>
      <w:pPr>
        <w:spacing w:line="360" w:lineRule="auto"/>
        <w:ind w:firstLine="512" w:firstLineChars="200"/>
        <w:rPr>
          <w:color w:val="auto"/>
          <w:spacing w:val="8"/>
          <w:sz w:val="24"/>
          <w:highlight w:val="none"/>
        </w:rPr>
      </w:pPr>
      <w:bookmarkStart w:id="147" w:name="_Toc497165215"/>
      <w:bookmarkStart w:id="148" w:name="_Toc490295868"/>
      <w:r>
        <w:rPr>
          <w:color w:val="auto"/>
          <w:spacing w:val="8"/>
          <w:sz w:val="24"/>
          <w:highlight w:val="none"/>
        </w:rPr>
        <w:t>（3）评价范围的确定</w:t>
      </w:r>
      <w:bookmarkEnd w:id="147"/>
      <w:bookmarkEnd w:id="148"/>
    </w:p>
    <w:p>
      <w:pPr>
        <w:spacing w:line="360" w:lineRule="auto"/>
        <w:ind w:firstLine="512" w:firstLineChars="200"/>
        <w:rPr>
          <w:color w:val="auto"/>
          <w:highlight w:val="none"/>
        </w:rPr>
      </w:pPr>
      <w:r>
        <w:rPr>
          <w:color w:val="auto"/>
          <w:spacing w:val="8"/>
          <w:sz w:val="24"/>
          <w:highlight w:val="none"/>
        </w:rPr>
        <w:t>根据《环境影响评价技术导则  大气环境》（HJ2.2-2018）5.4.2相关规定，该项目大气环境影响评价范围为以厂址为中心，边长为5km的矩形区域。</w:t>
      </w:r>
    </w:p>
    <w:p>
      <w:pPr>
        <w:pStyle w:val="112"/>
        <w:rPr>
          <w:color w:val="auto"/>
          <w:highlight w:val="none"/>
        </w:rPr>
      </w:pPr>
      <w:r>
        <w:rPr>
          <w:rFonts w:hint="eastAsia"/>
          <w:color w:val="auto"/>
          <w:highlight w:val="none"/>
        </w:rPr>
        <w:t>4.1.2.3 污染物排放量核算</w:t>
      </w:r>
    </w:p>
    <w:p>
      <w:pPr>
        <w:spacing w:line="360" w:lineRule="auto"/>
        <w:ind w:firstLine="512" w:firstLineChars="200"/>
        <w:rPr>
          <w:color w:val="auto"/>
          <w:spacing w:val="8"/>
          <w:sz w:val="24"/>
          <w:highlight w:val="none"/>
        </w:rPr>
      </w:pPr>
      <w:r>
        <w:rPr>
          <w:color w:val="auto"/>
          <w:spacing w:val="8"/>
          <w:sz w:val="24"/>
          <w:highlight w:val="none"/>
        </w:rPr>
        <w:t>根据《环境影响评价技术导则 大气环境》（HJ2.2-2018）规定，二级评价项目不进行进一步影响预测与评价，只对污染物排放量进行核算。</w:t>
      </w:r>
    </w:p>
    <w:p>
      <w:pPr>
        <w:spacing w:line="360" w:lineRule="auto"/>
        <w:ind w:firstLine="480" w:firstLineChars="200"/>
        <w:rPr>
          <w:color w:val="auto"/>
          <w:sz w:val="24"/>
          <w:highlight w:val="none"/>
        </w:rPr>
      </w:pPr>
      <w:r>
        <w:rPr>
          <w:color w:val="auto"/>
          <w:sz w:val="24"/>
          <w:highlight w:val="none"/>
        </w:rPr>
        <w:t>1、有组织排放量核算</w:t>
      </w:r>
    </w:p>
    <w:p>
      <w:pPr>
        <w:spacing w:line="360" w:lineRule="auto"/>
        <w:ind w:firstLine="512" w:firstLineChars="200"/>
        <w:rPr>
          <w:color w:val="auto"/>
          <w:sz w:val="24"/>
          <w:highlight w:val="none"/>
        </w:rPr>
      </w:pPr>
      <w:r>
        <w:rPr>
          <w:color w:val="auto"/>
          <w:spacing w:val="8"/>
          <w:sz w:val="24"/>
          <w:highlight w:val="none"/>
        </w:rPr>
        <w:t>污染物有组织排放量核算表见表4.1-</w:t>
      </w:r>
      <w:r>
        <w:rPr>
          <w:rFonts w:hint="eastAsia"/>
          <w:color w:val="auto"/>
          <w:spacing w:val="8"/>
          <w:sz w:val="24"/>
          <w:highlight w:val="none"/>
        </w:rPr>
        <w:t>1</w:t>
      </w:r>
      <w:r>
        <w:rPr>
          <w:rFonts w:hint="eastAsia"/>
          <w:color w:val="auto"/>
          <w:spacing w:val="8"/>
          <w:sz w:val="24"/>
          <w:highlight w:val="none"/>
          <w:lang w:val="en-US" w:eastAsia="zh-CN"/>
        </w:rPr>
        <w:t>4</w:t>
      </w:r>
      <w:r>
        <w:rPr>
          <w:color w:val="auto"/>
          <w:spacing w:val="8"/>
          <w:sz w:val="24"/>
          <w:highlight w:val="none"/>
        </w:rPr>
        <w:t>。</w:t>
      </w:r>
    </w:p>
    <w:p>
      <w:pPr>
        <w:jc w:val="center"/>
        <w:rPr>
          <w:color w:val="auto"/>
          <w:sz w:val="24"/>
          <w:highlight w:val="none"/>
        </w:rPr>
      </w:pPr>
      <w:r>
        <w:rPr>
          <w:rFonts w:eastAsia="黑体"/>
          <w:color w:val="auto"/>
          <w:sz w:val="24"/>
          <w:highlight w:val="none"/>
        </w:rPr>
        <w:t>表</w:t>
      </w:r>
      <w:r>
        <w:rPr>
          <w:color w:val="auto"/>
          <w:spacing w:val="8"/>
          <w:sz w:val="24"/>
          <w:highlight w:val="none"/>
        </w:rPr>
        <w:t>4.1-</w:t>
      </w:r>
      <w:r>
        <w:rPr>
          <w:rFonts w:hint="eastAsia"/>
          <w:color w:val="auto"/>
          <w:spacing w:val="8"/>
          <w:sz w:val="24"/>
          <w:highlight w:val="none"/>
        </w:rPr>
        <w:t>1</w:t>
      </w:r>
      <w:r>
        <w:rPr>
          <w:rFonts w:hint="eastAsia"/>
          <w:color w:val="auto"/>
          <w:spacing w:val="8"/>
          <w:sz w:val="24"/>
          <w:highlight w:val="none"/>
          <w:lang w:val="en-US" w:eastAsia="zh-CN"/>
        </w:rPr>
        <w:t>4</w:t>
      </w:r>
      <w:r>
        <w:rPr>
          <w:rFonts w:hint="eastAsia"/>
          <w:color w:val="auto"/>
          <w:spacing w:val="8"/>
          <w:sz w:val="24"/>
          <w:highlight w:val="none"/>
        </w:rPr>
        <w:t xml:space="preserve"> </w:t>
      </w:r>
      <w:r>
        <w:rPr>
          <w:rFonts w:eastAsia="黑体"/>
          <w:color w:val="auto"/>
          <w:sz w:val="24"/>
          <w:highlight w:val="none"/>
        </w:rPr>
        <w:t xml:space="preserve"> 大气污染物有组织排放量核算表</w:t>
      </w:r>
      <w:bookmarkEnd w:id="146"/>
    </w:p>
    <w:tbl>
      <w:tblPr>
        <w:tblStyle w:val="59"/>
        <w:tblW w:w="917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416"/>
        <w:gridCol w:w="1134"/>
        <w:gridCol w:w="2552"/>
        <w:gridCol w:w="1585"/>
        <w:gridCol w:w="15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0" w:type="dxa"/>
            <w:vAlign w:val="center"/>
          </w:tcPr>
          <w:p>
            <w:pPr>
              <w:jc w:val="center"/>
              <w:rPr>
                <w:color w:val="auto"/>
                <w:szCs w:val="21"/>
                <w:highlight w:val="none"/>
              </w:rPr>
            </w:pPr>
            <w:r>
              <w:rPr>
                <w:color w:val="auto"/>
                <w:szCs w:val="21"/>
                <w:highlight w:val="none"/>
              </w:rPr>
              <w:t>序号</w:t>
            </w:r>
          </w:p>
        </w:tc>
        <w:tc>
          <w:tcPr>
            <w:tcW w:w="1416" w:type="dxa"/>
            <w:vAlign w:val="center"/>
          </w:tcPr>
          <w:p>
            <w:pPr>
              <w:jc w:val="center"/>
              <w:rPr>
                <w:color w:val="auto"/>
                <w:szCs w:val="21"/>
                <w:highlight w:val="none"/>
              </w:rPr>
            </w:pPr>
            <w:r>
              <w:rPr>
                <w:color w:val="auto"/>
                <w:szCs w:val="21"/>
                <w:highlight w:val="none"/>
              </w:rPr>
              <w:t>排放口编号</w:t>
            </w:r>
          </w:p>
        </w:tc>
        <w:tc>
          <w:tcPr>
            <w:tcW w:w="1134" w:type="dxa"/>
            <w:vAlign w:val="center"/>
          </w:tcPr>
          <w:p>
            <w:pPr>
              <w:jc w:val="center"/>
              <w:rPr>
                <w:color w:val="auto"/>
                <w:szCs w:val="21"/>
                <w:highlight w:val="none"/>
              </w:rPr>
            </w:pPr>
            <w:r>
              <w:rPr>
                <w:color w:val="auto"/>
                <w:szCs w:val="21"/>
                <w:highlight w:val="none"/>
              </w:rPr>
              <w:t>污染物</w:t>
            </w:r>
          </w:p>
        </w:tc>
        <w:tc>
          <w:tcPr>
            <w:tcW w:w="2552" w:type="dxa"/>
            <w:vAlign w:val="center"/>
          </w:tcPr>
          <w:p>
            <w:pPr>
              <w:jc w:val="center"/>
              <w:rPr>
                <w:color w:val="auto"/>
                <w:szCs w:val="21"/>
                <w:highlight w:val="none"/>
              </w:rPr>
            </w:pPr>
            <w:r>
              <w:rPr>
                <w:color w:val="auto"/>
                <w:szCs w:val="21"/>
                <w:highlight w:val="none"/>
              </w:rPr>
              <w:t>核算排放浓度/(mg/m</w:t>
            </w:r>
            <w:r>
              <w:rPr>
                <w:color w:val="auto"/>
                <w:szCs w:val="21"/>
                <w:highlight w:val="none"/>
                <w:vertAlign w:val="superscript"/>
              </w:rPr>
              <w:t>3</w:t>
            </w:r>
            <w:r>
              <w:rPr>
                <w:color w:val="auto"/>
                <w:szCs w:val="21"/>
                <w:highlight w:val="none"/>
              </w:rPr>
              <w:t>)</w:t>
            </w:r>
          </w:p>
        </w:tc>
        <w:tc>
          <w:tcPr>
            <w:tcW w:w="1585" w:type="dxa"/>
            <w:vAlign w:val="center"/>
          </w:tcPr>
          <w:p>
            <w:pPr>
              <w:jc w:val="center"/>
              <w:rPr>
                <w:color w:val="auto"/>
                <w:szCs w:val="21"/>
                <w:highlight w:val="none"/>
              </w:rPr>
            </w:pPr>
            <w:r>
              <w:rPr>
                <w:color w:val="auto"/>
                <w:szCs w:val="21"/>
                <w:highlight w:val="none"/>
              </w:rPr>
              <w:t>核算排放速率/(kg/h)</w:t>
            </w:r>
          </w:p>
        </w:tc>
        <w:tc>
          <w:tcPr>
            <w:tcW w:w="1527" w:type="dxa"/>
            <w:vAlign w:val="center"/>
          </w:tcPr>
          <w:p>
            <w:pPr>
              <w:jc w:val="center"/>
              <w:rPr>
                <w:color w:val="auto"/>
                <w:szCs w:val="21"/>
                <w:highlight w:val="none"/>
              </w:rPr>
            </w:pPr>
            <w:r>
              <w:rPr>
                <w:color w:val="auto"/>
                <w:szCs w:val="21"/>
                <w:highlight w:val="none"/>
              </w:rPr>
              <w:t>核算年排放量/(t/a)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74" w:type="dxa"/>
            <w:gridSpan w:val="6"/>
            <w:vAlign w:val="center"/>
          </w:tcPr>
          <w:p>
            <w:pPr>
              <w:jc w:val="center"/>
              <w:rPr>
                <w:color w:val="auto"/>
                <w:szCs w:val="21"/>
                <w:highlight w:val="none"/>
              </w:rPr>
            </w:pPr>
            <w:r>
              <w:rPr>
                <w:color w:val="auto"/>
                <w:szCs w:val="21"/>
                <w:highlight w:val="none"/>
              </w:rPr>
              <w:t>一般排放口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0" w:type="dxa"/>
            <w:vAlign w:val="center"/>
          </w:tcPr>
          <w:p>
            <w:pPr>
              <w:jc w:val="center"/>
              <w:rPr>
                <w:color w:val="auto"/>
                <w:szCs w:val="21"/>
                <w:highlight w:val="none"/>
              </w:rPr>
            </w:pPr>
            <w:r>
              <w:rPr>
                <w:color w:val="auto"/>
                <w:szCs w:val="21"/>
                <w:highlight w:val="none"/>
              </w:rPr>
              <w:t>1</w:t>
            </w:r>
          </w:p>
        </w:tc>
        <w:tc>
          <w:tcPr>
            <w:tcW w:w="1416" w:type="dxa"/>
            <w:vMerge w:val="restart"/>
            <w:vAlign w:val="center"/>
          </w:tcPr>
          <w:p>
            <w:pPr>
              <w:jc w:val="center"/>
              <w:rPr>
                <w:color w:val="auto"/>
                <w:szCs w:val="21"/>
                <w:highlight w:val="none"/>
              </w:rPr>
            </w:pPr>
            <w:r>
              <w:rPr>
                <w:color w:val="auto"/>
                <w:szCs w:val="21"/>
                <w:highlight w:val="none"/>
              </w:rPr>
              <w:t>DA001</w:t>
            </w:r>
          </w:p>
        </w:tc>
        <w:tc>
          <w:tcPr>
            <w:tcW w:w="1134" w:type="dxa"/>
            <w:vAlign w:val="center"/>
          </w:tcPr>
          <w:p>
            <w:pPr>
              <w:jc w:val="center"/>
              <w:rPr>
                <w:color w:val="auto"/>
                <w:szCs w:val="21"/>
                <w:highlight w:val="none"/>
              </w:rPr>
            </w:pPr>
            <w:r>
              <w:rPr>
                <w:color w:val="auto"/>
                <w:szCs w:val="21"/>
                <w:highlight w:val="none"/>
              </w:rPr>
              <w:t>VOCs</w:t>
            </w:r>
          </w:p>
        </w:tc>
        <w:tc>
          <w:tcPr>
            <w:tcW w:w="2552" w:type="dxa"/>
            <w:vAlign w:val="center"/>
          </w:tcPr>
          <w:p>
            <w:pPr>
              <w:jc w:val="center"/>
              <w:rPr>
                <w:bCs/>
                <w:color w:val="auto"/>
                <w:szCs w:val="21"/>
                <w:highlight w:val="none"/>
              </w:rPr>
            </w:pPr>
            <w:r>
              <w:rPr>
                <w:rFonts w:hint="eastAsia"/>
                <w:color w:val="auto"/>
                <w:szCs w:val="21"/>
                <w:highlight w:val="none"/>
                <w:lang w:val="en-US" w:eastAsia="zh-CN"/>
              </w:rPr>
              <w:t>2.75</w:t>
            </w:r>
          </w:p>
        </w:tc>
        <w:tc>
          <w:tcPr>
            <w:tcW w:w="1585" w:type="dxa"/>
            <w:vAlign w:val="center"/>
          </w:tcPr>
          <w:p>
            <w:pPr>
              <w:jc w:val="center"/>
              <w:rPr>
                <w:bCs/>
                <w:color w:val="auto"/>
                <w:szCs w:val="21"/>
                <w:highlight w:val="none"/>
              </w:rPr>
            </w:pPr>
            <w:r>
              <w:rPr>
                <w:rFonts w:hint="eastAsia"/>
                <w:color w:val="auto"/>
                <w:szCs w:val="21"/>
                <w:highlight w:val="none"/>
                <w:lang w:val="en-US" w:eastAsia="zh-CN"/>
              </w:rPr>
              <w:t>0.055</w:t>
            </w:r>
          </w:p>
        </w:tc>
        <w:tc>
          <w:tcPr>
            <w:tcW w:w="1527" w:type="dxa"/>
            <w:vAlign w:val="center"/>
          </w:tcPr>
          <w:p>
            <w:pPr>
              <w:jc w:val="center"/>
              <w:rPr>
                <w:bCs/>
                <w:color w:val="auto"/>
                <w:szCs w:val="21"/>
                <w:highlight w:val="none"/>
              </w:rPr>
            </w:pPr>
            <w:r>
              <w:rPr>
                <w:rFonts w:hint="eastAsia"/>
                <w:color w:val="auto"/>
                <w:szCs w:val="21"/>
                <w:highlight w:val="none"/>
                <w:lang w:val="en-US" w:eastAsia="zh-CN"/>
              </w:rPr>
              <w:t>0.398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0" w:type="dxa"/>
            <w:vAlign w:val="center"/>
          </w:tcPr>
          <w:p>
            <w:pPr>
              <w:jc w:val="center"/>
              <w:rPr>
                <w:color w:val="auto"/>
                <w:szCs w:val="21"/>
                <w:highlight w:val="none"/>
              </w:rPr>
            </w:pPr>
            <w:r>
              <w:rPr>
                <w:rFonts w:hint="eastAsia"/>
                <w:color w:val="auto"/>
                <w:szCs w:val="21"/>
                <w:highlight w:val="none"/>
              </w:rPr>
              <w:t>2</w:t>
            </w:r>
          </w:p>
        </w:tc>
        <w:tc>
          <w:tcPr>
            <w:tcW w:w="1416" w:type="dxa"/>
            <w:vMerge w:val="continue"/>
            <w:vAlign w:val="center"/>
          </w:tcPr>
          <w:p>
            <w:pPr>
              <w:jc w:val="center"/>
              <w:rPr>
                <w:color w:val="auto"/>
                <w:szCs w:val="21"/>
                <w:highlight w:val="none"/>
              </w:rPr>
            </w:pPr>
          </w:p>
        </w:tc>
        <w:tc>
          <w:tcPr>
            <w:tcW w:w="1134" w:type="dxa"/>
            <w:vAlign w:val="center"/>
          </w:tcPr>
          <w:p>
            <w:pPr>
              <w:jc w:val="center"/>
              <w:rPr>
                <w:bCs/>
                <w:color w:val="auto"/>
                <w:szCs w:val="21"/>
                <w:highlight w:val="none"/>
              </w:rPr>
            </w:pPr>
            <w:r>
              <w:rPr>
                <w:color w:val="auto"/>
                <w:szCs w:val="21"/>
                <w:highlight w:val="none"/>
              </w:rPr>
              <w:t>颗粒物</w:t>
            </w:r>
          </w:p>
        </w:tc>
        <w:tc>
          <w:tcPr>
            <w:tcW w:w="2552" w:type="dxa"/>
            <w:vAlign w:val="center"/>
          </w:tcPr>
          <w:p>
            <w:pPr>
              <w:jc w:val="center"/>
              <w:rPr>
                <w:color w:val="auto"/>
                <w:kern w:val="0"/>
                <w:szCs w:val="21"/>
                <w:highlight w:val="none"/>
              </w:rPr>
            </w:pPr>
            <w:r>
              <w:rPr>
                <w:rFonts w:hint="eastAsia"/>
                <w:color w:val="auto"/>
                <w:highlight w:val="none"/>
                <w:lang w:val="en-US" w:eastAsia="zh-CN"/>
              </w:rPr>
              <w:t>1.6</w:t>
            </w:r>
          </w:p>
        </w:tc>
        <w:tc>
          <w:tcPr>
            <w:tcW w:w="1585" w:type="dxa"/>
            <w:vAlign w:val="center"/>
          </w:tcPr>
          <w:p>
            <w:pPr>
              <w:jc w:val="center"/>
              <w:rPr>
                <w:color w:val="auto"/>
                <w:kern w:val="0"/>
                <w:szCs w:val="21"/>
                <w:highlight w:val="none"/>
              </w:rPr>
            </w:pPr>
            <w:r>
              <w:rPr>
                <w:rFonts w:hint="eastAsia"/>
                <w:color w:val="auto"/>
                <w:highlight w:val="none"/>
              </w:rPr>
              <w:t>0.0</w:t>
            </w:r>
            <w:r>
              <w:rPr>
                <w:rFonts w:hint="eastAsia"/>
                <w:color w:val="auto"/>
                <w:highlight w:val="none"/>
                <w:lang w:val="en-US" w:eastAsia="zh-CN"/>
              </w:rPr>
              <w:t>24</w:t>
            </w:r>
          </w:p>
        </w:tc>
        <w:tc>
          <w:tcPr>
            <w:tcW w:w="1527" w:type="dxa"/>
            <w:vAlign w:val="center"/>
          </w:tcPr>
          <w:p>
            <w:pPr>
              <w:jc w:val="center"/>
              <w:rPr>
                <w:color w:val="auto"/>
                <w:szCs w:val="21"/>
                <w:highlight w:val="none"/>
              </w:rPr>
            </w:pPr>
            <w:r>
              <w:rPr>
                <w:rFonts w:hint="eastAsia"/>
                <w:color w:val="auto"/>
                <w:highlight w:val="none"/>
                <w:lang w:val="en-US" w:eastAsia="zh-CN"/>
              </w:rPr>
              <w:t>0.173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6" w:type="dxa"/>
            <w:gridSpan w:val="2"/>
            <w:vMerge w:val="restart"/>
            <w:vAlign w:val="center"/>
          </w:tcPr>
          <w:p>
            <w:pPr>
              <w:jc w:val="center"/>
              <w:rPr>
                <w:color w:val="auto"/>
                <w:szCs w:val="21"/>
                <w:highlight w:val="none"/>
              </w:rPr>
            </w:pPr>
            <w:r>
              <w:rPr>
                <w:color w:val="auto"/>
                <w:szCs w:val="21"/>
                <w:highlight w:val="none"/>
              </w:rPr>
              <w:t>有组织排放总计</w:t>
            </w:r>
          </w:p>
        </w:tc>
        <w:tc>
          <w:tcPr>
            <w:tcW w:w="5271" w:type="dxa"/>
            <w:gridSpan w:val="3"/>
            <w:vAlign w:val="center"/>
          </w:tcPr>
          <w:p>
            <w:pPr>
              <w:jc w:val="center"/>
              <w:rPr>
                <w:color w:val="auto"/>
                <w:szCs w:val="21"/>
                <w:highlight w:val="none"/>
              </w:rPr>
            </w:pPr>
            <w:r>
              <w:rPr>
                <w:color w:val="auto"/>
                <w:szCs w:val="21"/>
                <w:highlight w:val="none"/>
              </w:rPr>
              <w:t>VOCs</w:t>
            </w:r>
          </w:p>
        </w:tc>
        <w:tc>
          <w:tcPr>
            <w:tcW w:w="1527" w:type="dxa"/>
            <w:vAlign w:val="center"/>
          </w:tcPr>
          <w:p>
            <w:pPr>
              <w:jc w:val="center"/>
              <w:rPr>
                <w:color w:val="auto"/>
                <w:szCs w:val="21"/>
                <w:highlight w:val="none"/>
              </w:rPr>
            </w:pPr>
            <w:r>
              <w:rPr>
                <w:rFonts w:hint="eastAsia"/>
                <w:color w:val="auto"/>
                <w:szCs w:val="21"/>
                <w:highlight w:val="none"/>
                <w:lang w:val="en-US" w:eastAsia="zh-CN"/>
              </w:rPr>
              <w:t>0.398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376" w:type="dxa"/>
            <w:gridSpan w:val="2"/>
            <w:vMerge w:val="continue"/>
            <w:vAlign w:val="center"/>
          </w:tcPr>
          <w:p>
            <w:pPr>
              <w:jc w:val="center"/>
              <w:rPr>
                <w:color w:val="auto"/>
                <w:szCs w:val="21"/>
                <w:highlight w:val="none"/>
              </w:rPr>
            </w:pPr>
          </w:p>
        </w:tc>
        <w:tc>
          <w:tcPr>
            <w:tcW w:w="5271" w:type="dxa"/>
            <w:gridSpan w:val="3"/>
            <w:vAlign w:val="center"/>
          </w:tcPr>
          <w:p>
            <w:pPr>
              <w:jc w:val="center"/>
              <w:rPr>
                <w:color w:val="auto"/>
                <w:szCs w:val="21"/>
                <w:highlight w:val="none"/>
              </w:rPr>
            </w:pPr>
            <w:r>
              <w:rPr>
                <w:color w:val="auto"/>
                <w:szCs w:val="21"/>
                <w:highlight w:val="none"/>
              </w:rPr>
              <w:t>颗粒物</w:t>
            </w:r>
          </w:p>
        </w:tc>
        <w:tc>
          <w:tcPr>
            <w:tcW w:w="1527" w:type="dxa"/>
            <w:vAlign w:val="center"/>
          </w:tcPr>
          <w:p>
            <w:pPr>
              <w:jc w:val="center"/>
              <w:rPr>
                <w:color w:val="auto"/>
                <w:szCs w:val="21"/>
                <w:highlight w:val="none"/>
              </w:rPr>
            </w:pPr>
            <w:r>
              <w:rPr>
                <w:rFonts w:hint="eastAsia"/>
                <w:color w:val="auto"/>
                <w:highlight w:val="none"/>
                <w:lang w:val="en-US" w:eastAsia="zh-CN"/>
              </w:rPr>
              <w:t>0.173</w:t>
            </w:r>
          </w:p>
        </w:tc>
      </w:tr>
    </w:tbl>
    <w:p>
      <w:pPr>
        <w:spacing w:line="360" w:lineRule="auto"/>
        <w:ind w:firstLine="480" w:firstLineChars="200"/>
        <w:rPr>
          <w:color w:val="auto"/>
          <w:sz w:val="24"/>
          <w:highlight w:val="none"/>
        </w:rPr>
      </w:pPr>
      <w:r>
        <w:rPr>
          <w:color w:val="auto"/>
          <w:sz w:val="24"/>
          <w:highlight w:val="none"/>
        </w:rPr>
        <w:t>2、无组织排放量核算</w:t>
      </w:r>
    </w:p>
    <w:p>
      <w:pPr>
        <w:spacing w:line="360" w:lineRule="auto"/>
        <w:ind w:firstLine="512" w:firstLineChars="200"/>
        <w:rPr>
          <w:color w:val="auto"/>
          <w:sz w:val="24"/>
          <w:highlight w:val="none"/>
        </w:rPr>
      </w:pPr>
      <w:r>
        <w:rPr>
          <w:color w:val="auto"/>
          <w:spacing w:val="8"/>
          <w:sz w:val="24"/>
          <w:highlight w:val="none"/>
        </w:rPr>
        <w:t>污染物无组织排放量核算表见表4.1-</w:t>
      </w:r>
      <w:r>
        <w:rPr>
          <w:rFonts w:hint="eastAsia"/>
          <w:color w:val="auto"/>
          <w:spacing w:val="8"/>
          <w:sz w:val="24"/>
          <w:highlight w:val="none"/>
        </w:rPr>
        <w:t>1</w:t>
      </w:r>
      <w:r>
        <w:rPr>
          <w:rFonts w:hint="eastAsia"/>
          <w:color w:val="auto"/>
          <w:spacing w:val="8"/>
          <w:sz w:val="24"/>
          <w:highlight w:val="none"/>
          <w:lang w:val="en-US" w:eastAsia="zh-CN"/>
        </w:rPr>
        <w:t>5</w:t>
      </w:r>
      <w:r>
        <w:rPr>
          <w:color w:val="auto"/>
          <w:spacing w:val="8"/>
          <w:sz w:val="24"/>
          <w:highlight w:val="none"/>
        </w:rPr>
        <w:t>。</w:t>
      </w:r>
    </w:p>
    <w:p>
      <w:pPr>
        <w:jc w:val="center"/>
        <w:rPr>
          <w:rFonts w:eastAsia="黑体"/>
          <w:color w:val="auto"/>
          <w:sz w:val="24"/>
          <w:highlight w:val="none"/>
        </w:rPr>
      </w:pPr>
      <w:r>
        <w:rPr>
          <w:rFonts w:eastAsia="黑体"/>
          <w:color w:val="auto"/>
          <w:sz w:val="24"/>
          <w:highlight w:val="none"/>
        </w:rPr>
        <w:t>表4.1-</w:t>
      </w:r>
      <w:r>
        <w:rPr>
          <w:rFonts w:hint="eastAsia" w:eastAsia="黑体"/>
          <w:color w:val="auto"/>
          <w:sz w:val="24"/>
          <w:highlight w:val="none"/>
        </w:rPr>
        <w:t>1</w:t>
      </w:r>
      <w:r>
        <w:rPr>
          <w:rFonts w:hint="eastAsia" w:eastAsia="黑体"/>
          <w:color w:val="auto"/>
          <w:sz w:val="24"/>
          <w:highlight w:val="none"/>
          <w:lang w:val="en-US" w:eastAsia="zh-CN"/>
        </w:rPr>
        <w:t>5</w:t>
      </w:r>
      <w:r>
        <w:rPr>
          <w:rFonts w:hint="eastAsia" w:eastAsia="黑体"/>
          <w:color w:val="auto"/>
          <w:sz w:val="24"/>
          <w:highlight w:val="none"/>
        </w:rPr>
        <w:t xml:space="preserve"> </w:t>
      </w:r>
      <w:r>
        <w:rPr>
          <w:rFonts w:eastAsia="黑体"/>
          <w:color w:val="auto"/>
          <w:sz w:val="24"/>
          <w:highlight w:val="none"/>
        </w:rPr>
        <w:t xml:space="preserve"> 大气污染物无组织排放量核算表</w:t>
      </w:r>
    </w:p>
    <w:tbl>
      <w:tblPr>
        <w:tblStyle w:val="59"/>
        <w:tblW w:w="917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090"/>
        <w:gridCol w:w="1130"/>
        <w:gridCol w:w="991"/>
        <w:gridCol w:w="308"/>
        <w:gridCol w:w="711"/>
        <w:gridCol w:w="1818"/>
        <w:gridCol w:w="717"/>
        <w:gridCol w:w="1125"/>
        <w:gridCol w:w="8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 w:type="dxa"/>
            <w:vMerge w:val="restart"/>
            <w:vAlign w:val="center"/>
          </w:tcPr>
          <w:p>
            <w:pPr>
              <w:jc w:val="center"/>
              <w:rPr>
                <w:color w:val="auto"/>
                <w:szCs w:val="21"/>
                <w:highlight w:val="none"/>
              </w:rPr>
            </w:pPr>
            <w:bookmarkStart w:id="149" w:name="_Hlk530730866"/>
            <w:r>
              <w:rPr>
                <w:color w:val="auto"/>
                <w:szCs w:val="21"/>
                <w:highlight w:val="none"/>
              </w:rPr>
              <w:t>序号</w:t>
            </w:r>
          </w:p>
        </w:tc>
        <w:tc>
          <w:tcPr>
            <w:tcW w:w="1090" w:type="dxa"/>
            <w:vMerge w:val="restart"/>
            <w:vAlign w:val="center"/>
          </w:tcPr>
          <w:p>
            <w:pPr>
              <w:jc w:val="center"/>
              <w:rPr>
                <w:color w:val="auto"/>
                <w:szCs w:val="21"/>
                <w:highlight w:val="none"/>
              </w:rPr>
            </w:pPr>
            <w:r>
              <w:rPr>
                <w:color w:val="auto"/>
                <w:szCs w:val="21"/>
                <w:highlight w:val="none"/>
              </w:rPr>
              <w:t>排放口编号</w:t>
            </w:r>
          </w:p>
        </w:tc>
        <w:tc>
          <w:tcPr>
            <w:tcW w:w="1130" w:type="dxa"/>
            <w:vMerge w:val="restart"/>
            <w:vAlign w:val="center"/>
          </w:tcPr>
          <w:p>
            <w:pPr>
              <w:jc w:val="center"/>
              <w:rPr>
                <w:color w:val="auto"/>
                <w:szCs w:val="21"/>
                <w:highlight w:val="none"/>
              </w:rPr>
            </w:pPr>
            <w:r>
              <w:rPr>
                <w:color w:val="auto"/>
                <w:szCs w:val="21"/>
                <w:highlight w:val="none"/>
              </w:rPr>
              <w:t>产污环节</w:t>
            </w:r>
          </w:p>
        </w:tc>
        <w:tc>
          <w:tcPr>
            <w:tcW w:w="991" w:type="dxa"/>
            <w:vMerge w:val="restart"/>
            <w:vAlign w:val="center"/>
          </w:tcPr>
          <w:p>
            <w:pPr>
              <w:jc w:val="center"/>
              <w:rPr>
                <w:color w:val="auto"/>
                <w:szCs w:val="21"/>
                <w:highlight w:val="none"/>
              </w:rPr>
            </w:pPr>
            <w:r>
              <w:rPr>
                <w:color w:val="auto"/>
                <w:szCs w:val="21"/>
                <w:highlight w:val="none"/>
              </w:rPr>
              <w:t>污染物</w:t>
            </w:r>
          </w:p>
        </w:tc>
        <w:tc>
          <w:tcPr>
            <w:tcW w:w="1019" w:type="dxa"/>
            <w:gridSpan w:val="2"/>
            <w:vMerge w:val="restart"/>
            <w:vAlign w:val="center"/>
          </w:tcPr>
          <w:p>
            <w:pPr>
              <w:jc w:val="center"/>
              <w:rPr>
                <w:color w:val="auto"/>
                <w:szCs w:val="21"/>
                <w:highlight w:val="none"/>
              </w:rPr>
            </w:pPr>
            <w:r>
              <w:rPr>
                <w:color w:val="auto"/>
                <w:szCs w:val="21"/>
                <w:highlight w:val="none"/>
              </w:rPr>
              <w:t>主要污染防治措施</w:t>
            </w:r>
          </w:p>
        </w:tc>
        <w:tc>
          <w:tcPr>
            <w:tcW w:w="3660" w:type="dxa"/>
            <w:gridSpan w:val="3"/>
            <w:vAlign w:val="center"/>
          </w:tcPr>
          <w:p>
            <w:pPr>
              <w:jc w:val="center"/>
              <w:rPr>
                <w:color w:val="auto"/>
                <w:szCs w:val="21"/>
                <w:highlight w:val="none"/>
              </w:rPr>
            </w:pPr>
            <w:r>
              <w:rPr>
                <w:color w:val="auto"/>
                <w:szCs w:val="21"/>
                <w:highlight w:val="none"/>
              </w:rPr>
              <w:t>国家或地方污染物排放标准</w:t>
            </w:r>
          </w:p>
        </w:tc>
        <w:tc>
          <w:tcPr>
            <w:tcW w:w="844" w:type="dxa"/>
            <w:vMerge w:val="restart"/>
            <w:vAlign w:val="center"/>
          </w:tcPr>
          <w:p>
            <w:pPr>
              <w:jc w:val="center"/>
              <w:rPr>
                <w:color w:val="auto"/>
                <w:szCs w:val="21"/>
                <w:highlight w:val="none"/>
              </w:rPr>
            </w:pPr>
            <w:r>
              <w:rPr>
                <w:color w:val="auto"/>
                <w:szCs w:val="21"/>
                <w:highlight w:val="none"/>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 w:type="dxa"/>
            <w:vMerge w:val="continue"/>
            <w:vAlign w:val="center"/>
          </w:tcPr>
          <w:p>
            <w:pPr>
              <w:jc w:val="center"/>
              <w:rPr>
                <w:color w:val="auto"/>
                <w:szCs w:val="21"/>
                <w:highlight w:val="none"/>
              </w:rPr>
            </w:pPr>
          </w:p>
        </w:tc>
        <w:tc>
          <w:tcPr>
            <w:tcW w:w="1090" w:type="dxa"/>
            <w:vMerge w:val="continue"/>
            <w:vAlign w:val="center"/>
          </w:tcPr>
          <w:p>
            <w:pPr>
              <w:jc w:val="center"/>
              <w:rPr>
                <w:color w:val="auto"/>
                <w:szCs w:val="21"/>
                <w:highlight w:val="none"/>
              </w:rPr>
            </w:pPr>
          </w:p>
        </w:tc>
        <w:tc>
          <w:tcPr>
            <w:tcW w:w="1130" w:type="dxa"/>
            <w:vMerge w:val="continue"/>
            <w:vAlign w:val="center"/>
          </w:tcPr>
          <w:p>
            <w:pPr>
              <w:jc w:val="center"/>
              <w:rPr>
                <w:color w:val="auto"/>
                <w:szCs w:val="21"/>
                <w:highlight w:val="none"/>
              </w:rPr>
            </w:pPr>
          </w:p>
        </w:tc>
        <w:tc>
          <w:tcPr>
            <w:tcW w:w="991" w:type="dxa"/>
            <w:vMerge w:val="continue"/>
            <w:vAlign w:val="center"/>
          </w:tcPr>
          <w:p>
            <w:pPr>
              <w:jc w:val="center"/>
              <w:rPr>
                <w:color w:val="auto"/>
                <w:szCs w:val="21"/>
                <w:highlight w:val="none"/>
              </w:rPr>
            </w:pPr>
          </w:p>
        </w:tc>
        <w:tc>
          <w:tcPr>
            <w:tcW w:w="1019" w:type="dxa"/>
            <w:gridSpan w:val="2"/>
            <w:vMerge w:val="continue"/>
            <w:vAlign w:val="center"/>
          </w:tcPr>
          <w:p>
            <w:pPr>
              <w:jc w:val="center"/>
              <w:rPr>
                <w:color w:val="auto"/>
                <w:szCs w:val="21"/>
                <w:highlight w:val="none"/>
              </w:rPr>
            </w:pPr>
          </w:p>
        </w:tc>
        <w:tc>
          <w:tcPr>
            <w:tcW w:w="2535" w:type="dxa"/>
            <w:gridSpan w:val="2"/>
            <w:vAlign w:val="center"/>
          </w:tcPr>
          <w:p>
            <w:pPr>
              <w:jc w:val="center"/>
              <w:rPr>
                <w:color w:val="auto"/>
                <w:szCs w:val="21"/>
                <w:highlight w:val="none"/>
              </w:rPr>
            </w:pPr>
            <w:r>
              <w:rPr>
                <w:color w:val="auto"/>
                <w:szCs w:val="21"/>
                <w:highlight w:val="none"/>
              </w:rPr>
              <w:t>标准名称</w:t>
            </w:r>
          </w:p>
        </w:tc>
        <w:tc>
          <w:tcPr>
            <w:tcW w:w="1125" w:type="dxa"/>
            <w:vAlign w:val="center"/>
          </w:tcPr>
          <w:p>
            <w:pPr>
              <w:jc w:val="center"/>
              <w:rPr>
                <w:color w:val="auto"/>
                <w:szCs w:val="21"/>
                <w:highlight w:val="none"/>
              </w:rPr>
            </w:pPr>
            <w:r>
              <w:rPr>
                <w:color w:val="auto"/>
                <w:szCs w:val="21"/>
                <w:highlight w:val="none"/>
              </w:rPr>
              <w:t>浓度限值/(mg/m</w:t>
            </w:r>
            <w:r>
              <w:rPr>
                <w:color w:val="auto"/>
                <w:szCs w:val="21"/>
                <w:highlight w:val="none"/>
                <w:vertAlign w:val="superscript"/>
              </w:rPr>
              <w:t>3</w:t>
            </w:r>
            <w:r>
              <w:rPr>
                <w:color w:val="auto"/>
                <w:szCs w:val="21"/>
                <w:highlight w:val="none"/>
              </w:rPr>
              <w:t>)</w:t>
            </w:r>
          </w:p>
        </w:tc>
        <w:tc>
          <w:tcPr>
            <w:tcW w:w="844" w:type="dxa"/>
            <w:vMerge w:val="continue"/>
            <w:vAlign w:val="center"/>
          </w:tcPr>
          <w:p>
            <w:pPr>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 w:type="dxa"/>
            <w:vAlign w:val="center"/>
          </w:tcPr>
          <w:p>
            <w:pPr>
              <w:jc w:val="center"/>
              <w:rPr>
                <w:color w:val="auto"/>
                <w:szCs w:val="21"/>
                <w:highlight w:val="none"/>
              </w:rPr>
            </w:pPr>
            <w:r>
              <w:rPr>
                <w:color w:val="auto"/>
                <w:szCs w:val="21"/>
                <w:highlight w:val="none"/>
              </w:rPr>
              <w:t>1</w:t>
            </w:r>
          </w:p>
        </w:tc>
        <w:tc>
          <w:tcPr>
            <w:tcW w:w="1090" w:type="dxa"/>
            <w:vMerge w:val="restart"/>
            <w:vAlign w:val="center"/>
          </w:tcPr>
          <w:p>
            <w:pPr>
              <w:jc w:val="center"/>
              <w:rPr>
                <w:color w:val="auto"/>
                <w:szCs w:val="21"/>
                <w:highlight w:val="none"/>
              </w:rPr>
            </w:pPr>
            <w:r>
              <w:rPr>
                <w:rFonts w:hint="eastAsia"/>
                <w:color w:val="auto"/>
                <w:kern w:val="0"/>
                <w:szCs w:val="21"/>
                <w:highlight w:val="none"/>
              </w:rPr>
              <w:t>生产车间</w:t>
            </w:r>
          </w:p>
        </w:tc>
        <w:tc>
          <w:tcPr>
            <w:tcW w:w="1130" w:type="dxa"/>
            <w:vMerge w:val="restart"/>
            <w:vAlign w:val="center"/>
          </w:tcPr>
          <w:p>
            <w:pPr>
              <w:jc w:val="center"/>
              <w:rPr>
                <w:color w:val="auto"/>
                <w:szCs w:val="21"/>
                <w:highlight w:val="none"/>
              </w:rPr>
            </w:pPr>
            <w:r>
              <w:rPr>
                <w:rFonts w:hint="eastAsia"/>
                <w:color w:val="auto"/>
                <w:szCs w:val="21"/>
                <w:highlight w:val="none"/>
              </w:rPr>
              <w:t>造粒、挤出、注塑、破碎等</w:t>
            </w:r>
          </w:p>
        </w:tc>
        <w:tc>
          <w:tcPr>
            <w:tcW w:w="991" w:type="dxa"/>
            <w:vAlign w:val="center"/>
          </w:tcPr>
          <w:p>
            <w:pPr>
              <w:jc w:val="center"/>
              <w:rPr>
                <w:color w:val="auto"/>
                <w:szCs w:val="21"/>
                <w:highlight w:val="none"/>
              </w:rPr>
            </w:pPr>
            <w:r>
              <w:rPr>
                <w:rFonts w:hint="eastAsia"/>
                <w:color w:val="auto"/>
                <w:highlight w:val="none"/>
              </w:rPr>
              <w:t>颗粒物</w:t>
            </w:r>
          </w:p>
        </w:tc>
        <w:tc>
          <w:tcPr>
            <w:tcW w:w="1019" w:type="dxa"/>
            <w:gridSpan w:val="2"/>
            <w:vMerge w:val="restart"/>
            <w:vAlign w:val="center"/>
          </w:tcPr>
          <w:p>
            <w:pPr>
              <w:jc w:val="center"/>
              <w:rPr>
                <w:color w:val="auto"/>
                <w:szCs w:val="21"/>
                <w:highlight w:val="none"/>
              </w:rPr>
            </w:pPr>
            <w:r>
              <w:rPr>
                <w:rFonts w:hint="eastAsia"/>
                <w:color w:val="auto"/>
                <w:szCs w:val="21"/>
                <w:highlight w:val="none"/>
              </w:rPr>
              <w:t>车间通风</w:t>
            </w:r>
          </w:p>
        </w:tc>
        <w:tc>
          <w:tcPr>
            <w:tcW w:w="2535" w:type="dxa"/>
            <w:gridSpan w:val="2"/>
            <w:vAlign w:val="center"/>
          </w:tcPr>
          <w:p>
            <w:pPr>
              <w:jc w:val="center"/>
              <w:rPr>
                <w:color w:val="auto"/>
                <w:szCs w:val="21"/>
                <w:highlight w:val="none"/>
                <w:lang w:val="en-GB"/>
              </w:rPr>
            </w:pPr>
            <w:r>
              <w:rPr>
                <w:rFonts w:hint="eastAsia"/>
                <w:color w:val="auto"/>
                <w:szCs w:val="21"/>
                <w:highlight w:val="none"/>
                <w:lang w:val="en-GB"/>
              </w:rPr>
              <w:t>《挥发性有机物排放标准 第6部分：有机化工行业》（DB37/2801.6-2018</w:t>
            </w:r>
          </w:p>
        </w:tc>
        <w:tc>
          <w:tcPr>
            <w:tcW w:w="1125" w:type="dxa"/>
            <w:vAlign w:val="center"/>
          </w:tcPr>
          <w:p>
            <w:pPr>
              <w:jc w:val="center"/>
              <w:rPr>
                <w:color w:val="auto"/>
                <w:szCs w:val="21"/>
                <w:highlight w:val="none"/>
              </w:rPr>
            </w:pPr>
            <w:r>
              <w:rPr>
                <w:color w:val="auto"/>
                <w:szCs w:val="21"/>
                <w:highlight w:val="none"/>
              </w:rPr>
              <w:t>1.0</w:t>
            </w:r>
          </w:p>
        </w:tc>
        <w:tc>
          <w:tcPr>
            <w:tcW w:w="844" w:type="dxa"/>
            <w:vAlign w:val="center"/>
          </w:tcPr>
          <w:p>
            <w:pPr>
              <w:jc w:val="center"/>
              <w:rPr>
                <w:color w:val="auto"/>
                <w:szCs w:val="21"/>
                <w:highlight w:val="none"/>
              </w:rPr>
            </w:pPr>
            <w:r>
              <w:rPr>
                <w:rFonts w:hint="eastAsia"/>
                <w:color w:val="auto"/>
                <w:highlight w:val="none"/>
                <w:lang w:val="en-US" w:eastAsia="zh-CN"/>
              </w:rPr>
              <w:t>0.384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 w:type="dxa"/>
            <w:vAlign w:val="center"/>
          </w:tcPr>
          <w:p>
            <w:pPr>
              <w:jc w:val="center"/>
              <w:rPr>
                <w:color w:val="auto"/>
                <w:szCs w:val="21"/>
                <w:highlight w:val="none"/>
              </w:rPr>
            </w:pPr>
            <w:r>
              <w:rPr>
                <w:rFonts w:hint="eastAsia"/>
                <w:color w:val="auto"/>
                <w:szCs w:val="21"/>
                <w:highlight w:val="none"/>
              </w:rPr>
              <w:t>2</w:t>
            </w:r>
          </w:p>
        </w:tc>
        <w:tc>
          <w:tcPr>
            <w:tcW w:w="1090" w:type="dxa"/>
            <w:vMerge w:val="continue"/>
            <w:vAlign w:val="center"/>
          </w:tcPr>
          <w:p>
            <w:pPr>
              <w:jc w:val="center"/>
              <w:rPr>
                <w:color w:val="auto"/>
                <w:kern w:val="0"/>
                <w:szCs w:val="21"/>
                <w:highlight w:val="none"/>
              </w:rPr>
            </w:pPr>
          </w:p>
        </w:tc>
        <w:tc>
          <w:tcPr>
            <w:tcW w:w="1130" w:type="dxa"/>
            <w:vMerge w:val="continue"/>
            <w:vAlign w:val="center"/>
          </w:tcPr>
          <w:p>
            <w:pPr>
              <w:jc w:val="center"/>
              <w:rPr>
                <w:color w:val="auto"/>
                <w:szCs w:val="21"/>
                <w:highlight w:val="none"/>
              </w:rPr>
            </w:pPr>
          </w:p>
        </w:tc>
        <w:tc>
          <w:tcPr>
            <w:tcW w:w="991" w:type="dxa"/>
            <w:vAlign w:val="center"/>
          </w:tcPr>
          <w:p>
            <w:pPr>
              <w:jc w:val="center"/>
              <w:rPr>
                <w:color w:val="auto"/>
                <w:szCs w:val="21"/>
                <w:highlight w:val="none"/>
                <w:lang w:val="zh-CN"/>
              </w:rPr>
            </w:pPr>
            <w:r>
              <w:rPr>
                <w:rFonts w:hint="eastAsia"/>
                <w:color w:val="auto"/>
                <w:highlight w:val="none"/>
              </w:rPr>
              <w:t>VOC</w:t>
            </w:r>
            <w:r>
              <w:rPr>
                <w:rFonts w:hint="eastAsia"/>
                <w:color w:val="auto"/>
                <w:highlight w:val="none"/>
                <w:vertAlign w:val="subscript"/>
              </w:rPr>
              <w:t>S</w:t>
            </w:r>
          </w:p>
        </w:tc>
        <w:tc>
          <w:tcPr>
            <w:tcW w:w="1019" w:type="dxa"/>
            <w:gridSpan w:val="2"/>
            <w:vMerge w:val="continue"/>
            <w:vAlign w:val="center"/>
          </w:tcPr>
          <w:p>
            <w:pPr>
              <w:jc w:val="center"/>
              <w:rPr>
                <w:bCs/>
                <w:color w:val="auto"/>
                <w:szCs w:val="21"/>
                <w:highlight w:val="none"/>
              </w:rPr>
            </w:pPr>
          </w:p>
        </w:tc>
        <w:tc>
          <w:tcPr>
            <w:tcW w:w="2535" w:type="dxa"/>
            <w:gridSpan w:val="2"/>
            <w:vAlign w:val="center"/>
          </w:tcPr>
          <w:p>
            <w:pPr>
              <w:jc w:val="center"/>
              <w:rPr>
                <w:color w:val="auto"/>
                <w:szCs w:val="21"/>
                <w:highlight w:val="none"/>
              </w:rPr>
            </w:pPr>
            <w:r>
              <w:rPr>
                <w:rFonts w:hint="eastAsia"/>
                <w:color w:val="auto"/>
                <w:highlight w:val="none"/>
              </w:rPr>
              <w:t>《大气污染物综合排放标准》(GB16297-1996)</w:t>
            </w:r>
          </w:p>
        </w:tc>
        <w:tc>
          <w:tcPr>
            <w:tcW w:w="1125" w:type="dxa"/>
            <w:vAlign w:val="center"/>
          </w:tcPr>
          <w:p>
            <w:pPr>
              <w:jc w:val="center"/>
              <w:rPr>
                <w:color w:val="auto"/>
                <w:szCs w:val="21"/>
                <w:highlight w:val="none"/>
              </w:rPr>
            </w:pPr>
            <w:r>
              <w:rPr>
                <w:rFonts w:hint="eastAsia"/>
                <w:color w:val="auto"/>
                <w:szCs w:val="21"/>
                <w:highlight w:val="none"/>
              </w:rPr>
              <w:t>2.0</w:t>
            </w:r>
          </w:p>
        </w:tc>
        <w:tc>
          <w:tcPr>
            <w:tcW w:w="844" w:type="dxa"/>
            <w:vAlign w:val="center"/>
          </w:tcPr>
          <w:p>
            <w:pPr>
              <w:jc w:val="center"/>
              <w:rPr>
                <w:color w:val="auto"/>
                <w:kern w:val="0"/>
                <w:szCs w:val="21"/>
                <w:highlight w:val="none"/>
              </w:rPr>
            </w:pPr>
            <w:r>
              <w:rPr>
                <w:rFonts w:hint="eastAsia"/>
                <w:color w:val="auto"/>
                <w:highlight w:val="none"/>
                <w:lang w:val="en-US" w:eastAsia="zh-CN"/>
              </w:rPr>
              <w:t>0.885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74" w:type="dxa"/>
            <w:gridSpan w:val="10"/>
            <w:vAlign w:val="center"/>
          </w:tcPr>
          <w:p>
            <w:pPr>
              <w:jc w:val="center"/>
              <w:rPr>
                <w:color w:val="auto"/>
                <w:szCs w:val="21"/>
                <w:highlight w:val="none"/>
              </w:rPr>
            </w:pPr>
            <w:r>
              <w:rPr>
                <w:color w:val="auto"/>
                <w:szCs w:val="21"/>
                <w:highlight w:val="none"/>
              </w:rPr>
              <w:t>无组织排放总计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9" w:type="dxa"/>
            <w:gridSpan w:val="5"/>
            <w:vMerge w:val="restart"/>
            <w:vAlign w:val="center"/>
          </w:tcPr>
          <w:p>
            <w:pPr>
              <w:jc w:val="center"/>
              <w:rPr>
                <w:color w:val="auto"/>
                <w:szCs w:val="21"/>
                <w:highlight w:val="none"/>
              </w:rPr>
            </w:pPr>
            <w:r>
              <w:rPr>
                <w:color w:val="auto"/>
                <w:szCs w:val="21"/>
                <w:highlight w:val="none"/>
              </w:rPr>
              <w:t>无组织排放总计</w:t>
            </w:r>
          </w:p>
        </w:tc>
        <w:tc>
          <w:tcPr>
            <w:tcW w:w="2529" w:type="dxa"/>
            <w:gridSpan w:val="2"/>
            <w:vAlign w:val="center"/>
          </w:tcPr>
          <w:p>
            <w:pPr>
              <w:pStyle w:val="127"/>
              <w:rPr>
                <w:color w:val="auto"/>
                <w:szCs w:val="21"/>
                <w:highlight w:val="none"/>
              </w:rPr>
            </w:pPr>
            <w:r>
              <w:rPr>
                <w:rFonts w:eastAsia="宋体"/>
                <w:color w:val="auto"/>
                <w:sz w:val="21"/>
                <w:szCs w:val="21"/>
                <w:highlight w:val="none"/>
                <w:lang w:val="zh-CN"/>
              </w:rPr>
              <w:t>颗粒物</w:t>
            </w:r>
          </w:p>
        </w:tc>
        <w:tc>
          <w:tcPr>
            <w:tcW w:w="2686" w:type="dxa"/>
            <w:gridSpan w:val="3"/>
            <w:vAlign w:val="center"/>
          </w:tcPr>
          <w:p>
            <w:pPr>
              <w:jc w:val="center"/>
              <w:rPr>
                <w:color w:val="auto"/>
                <w:szCs w:val="21"/>
                <w:highlight w:val="none"/>
                <w:lang w:val="zh-CN"/>
              </w:rPr>
            </w:pPr>
            <w:r>
              <w:rPr>
                <w:rFonts w:hint="eastAsia"/>
                <w:color w:val="auto"/>
                <w:highlight w:val="none"/>
                <w:lang w:val="en-US" w:eastAsia="zh-CN"/>
              </w:rPr>
              <w:t>0.384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9" w:type="dxa"/>
            <w:gridSpan w:val="5"/>
            <w:vMerge w:val="continue"/>
            <w:vAlign w:val="center"/>
          </w:tcPr>
          <w:p>
            <w:pPr>
              <w:jc w:val="center"/>
              <w:rPr>
                <w:color w:val="auto"/>
                <w:szCs w:val="21"/>
                <w:highlight w:val="none"/>
              </w:rPr>
            </w:pPr>
          </w:p>
        </w:tc>
        <w:tc>
          <w:tcPr>
            <w:tcW w:w="2529" w:type="dxa"/>
            <w:gridSpan w:val="2"/>
            <w:vAlign w:val="center"/>
          </w:tcPr>
          <w:p>
            <w:pPr>
              <w:pStyle w:val="127"/>
              <w:rPr>
                <w:color w:val="auto"/>
                <w:szCs w:val="21"/>
                <w:highlight w:val="none"/>
              </w:rPr>
            </w:pPr>
            <w:r>
              <w:rPr>
                <w:rFonts w:eastAsia="宋体"/>
                <w:color w:val="auto"/>
                <w:sz w:val="21"/>
                <w:szCs w:val="21"/>
                <w:highlight w:val="none"/>
              </w:rPr>
              <w:t>VOCs</w:t>
            </w:r>
          </w:p>
        </w:tc>
        <w:tc>
          <w:tcPr>
            <w:tcW w:w="2686" w:type="dxa"/>
            <w:gridSpan w:val="3"/>
            <w:vAlign w:val="center"/>
          </w:tcPr>
          <w:p>
            <w:pPr>
              <w:jc w:val="center"/>
              <w:rPr>
                <w:color w:val="auto"/>
                <w:szCs w:val="21"/>
                <w:highlight w:val="none"/>
                <w:lang w:val="zh-CN"/>
              </w:rPr>
            </w:pPr>
            <w:r>
              <w:rPr>
                <w:rFonts w:hint="eastAsia"/>
                <w:color w:val="auto"/>
                <w:highlight w:val="none"/>
                <w:lang w:val="en-US" w:eastAsia="zh-CN"/>
              </w:rPr>
              <w:t>0.885</w:t>
            </w:r>
          </w:p>
        </w:tc>
      </w:tr>
    </w:tbl>
    <w:p>
      <w:pPr>
        <w:spacing w:line="360" w:lineRule="auto"/>
        <w:ind w:firstLine="480" w:firstLineChars="200"/>
        <w:rPr>
          <w:color w:val="auto"/>
          <w:sz w:val="24"/>
          <w:highlight w:val="none"/>
        </w:rPr>
      </w:pPr>
      <w:r>
        <w:rPr>
          <w:color w:val="auto"/>
          <w:sz w:val="24"/>
          <w:highlight w:val="none"/>
        </w:rPr>
        <w:t>3、项目大气污染物年排放量核算</w:t>
      </w:r>
    </w:p>
    <w:p>
      <w:pPr>
        <w:spacing w:line="360" w:lineRule="auto"/>
        <w:ind w:firstLine="480" w:firstLineChars="200"/>
        <w:rPr>
          <w:color w:val="auto"/>
          <w:sz w:val="24"/>
          <w:highlight w:val="none"/>
        </w:rPr>
      </w:pPr>
      <w:r>
        <w:rPr>
          <w:color w:val="auto"/>
          <w:sz w:val="24"/>
          <w:highlight w:val="none"/>
        </w:rPr>
        <w:t>项目大气污染物年排放量核算见表4.1-1</w:t>
      </w:r>
      <w:r>
        <w:rPr>
          <w:rFonts w:hint="eastAsia"/>
          <w:color w:val="auto"/>
          <w:sz w:val="24"/>
          <w:highlight w:val="none"/>
          <w:lang w:val="en-US" w:eastAsia="zh-CN"/>
        </w:rPr>
        <w:t>6</w:t>
      </w:r>
      <w:r>
        <w:rPr>
          <w:color w:val="auto"/>
          <w:sz w:val="24"/>
          <w:highlight w:val="none"/>
        </w:rPr>
        <w:t>。</w:t>
      </w:r>
    </w:p>
    <w:bookmarkEnd w:id="149"/>
    <w:p>
      <w:pPr>
        <w:jc w:val="center"/>
        <w:rPr>
          <w:rFonts w:eastAsia="黑体"/>
          <w:color w:val="auto"/>
          <w:sz w:val="24"/>
          <w:highlight w:val="none"/>
        </w:rPr>
      </w:pPr>
      <w:r>
        <w:rPr>
          <w:rFonts w:eastAsia="黑体"/>
          <w:color w:val="auto"/>
          <w:sz w:val="24"/>
          <w:highlight w:val="none"/>
        </w:rPr>
        <w:t>表4.1-1</w:t>
      </w:r>
      <w:r>
        <w:rPr>
          <w:rFonts w:hint="eastAsia" w:eastAsia="黑体"/>
          <w:color w:val="auto"/>
          <w:sz w:val="24"/>
          <w:highlight w:val="none"/>
          <w:lang w:val="en-US" w:eastAsia="zh-CN"/>
        </w:rPr>
        <w:t>6</w:t>
      </w:r>
      <w:r>
        <w:rPr>
          <w:rFonts w:hint="eastAsia" w:eastAsia="黑体"/>
          <w:color w:val="auto"/>
          <w:sz w:val="24"/>
          <w:highlight w:val="none"/>
        </w:rPr>
        <w:t xml:space="preserve"> </w:t>
      </w:r>
      <w:r>
        <w:rPr>
          <w:rFonts w:eastAsia="黑体"/>
          <w:color w:val="auto"/>
          <w:sz w:val="24"/>
          <w:highlight w:val="none"/>
        </w:rPr>
        <w:t xml:space="preserve">  大气污染物年排放量核算表</w:t>
      </w:r>
    </w:p>
    <w:tbl>
      <w:tblPr>
        <w:tblStyle w:val="59"/>
        <w:tblW w:w="917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56"/>
        <w:gridCol w:w="3059"/>
        <w:gridCol w:w="30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056" w:type="dxa"/>
            <w:vAlign w:val="center"/>
          </w:tcPr>
          <w:p>
            <w:pPr>
              <w:jc w:val="center"/>
              <w:rPr>
                <w:color w:val="auto"/>
                <w:szCs w:val="21"/>
                <w:highlight w:val="none"/>
              </w:rPr>
            </w:pPr>
            <w:r>
              <w:rPr>
                <w:color w:val="auto"/>
                <w:szCs w:val="21"/>
                <w:highlight w:val="none"/>
              </w:rPr>
              <w:t>序号</w:t>
            </w:r>
          </w:p>
        </w:tc>
        <w:tc>
          <w:tcPr>
            <w:tcW w:w="3059" w:type="dxa"/>
            <w:vAlign w:val="center"/>
          </w:tcPr>
          <w:p>
            <w:pPr>
              <w:jc w:val="center"/>
              <w:rPr>
                <w:color w:val="auto"/>
                <w:szCs w:val="21"/>
                <w:highlight w:val="none"/>
              </w:rPr>
            </w:pPr>
            <w:r>
              <w:rPr>
                <w:color w:val="auto"/>
                <w:szCs w:val="21"/>
                <w:highlight w:val="none"/>
              </w:rPr>
              <w:t>污染物</w:t>
            </w:r>
          </w:p>
        </w:tc>
        <w:tc>
          <w:tcPr>
            <w:tcW w:w="3059" w:type="dxa"/>
            <w:vAlign w:val="center"/>
          </w:tcPr>
          <w:p>
            <w:pPr>
              <w:jc w:val="center"/>
              <w:rPr>
                <w:color w:val="auto"/>
                <w:szCs w:val="21"/>
                <w:highlight w:val="none"/>
              </w:rPr>
            </w:pPr>
            <w:r>
              <w:rPr>
                <w:color w:val="auto"/>
                <w:szCs w:val="21"/>
                <w:highlight w:val="none"/>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056" w:type="dxa"/>
            <w:vAlign w:val="center"/>
          </w:tcPr>
          <w:p>
            <w:pPr>
              <w:jc w:val="center"/>
              <w:rPr>
                <w:color w:val="auto"/>
                <w:szCs w:val="21"/>
                <w:highlight w:val="none"/>
              </w:rPr>
            </w:pPr>
            <w:r>
              <w:rPr>
                <w:color w:val="auto"/>
                <w:szCs w:val="21"/>
                <w:highlight w:val="none"/>
              </w:rPr>
              <w:t>1</w:t>
            </w:r>
          </w:p>
        </w:tc>
        <w:tc>
          <w:tcPr>
            <w:tcW w:w="3059" w:type="dxa"/>
            <w:vAlign w:val="center"/>
          </w:tcPr>
          <w:p>
            <w:pPr>
              <w:jc w:val="center"/>
              <w:rPr>
                <w:color w:val="auto"/>
                <w:szCs w:val="21"/>
                <w:highlight w:val="none"/>
              </w:rPr>
            </w:pPr>
            <w:r>
              <w:rPr>
                <w:color w:val="auto"/>
                <w:kern w:val="0"/>
                <w:szCs w:val="21"/>
                <w:highlight w:val="none"/>
              </w:rPr>
              <w:t>颗粒物</w:t>
            </w:r>
          </w:p>
        </w:tc>
        <w:tc>
          <w:tcPr>
            <w:tcW w:w="3059" w:type="dxa"/>
            <w:vAlign w:val="bottom"/>
          </w:tcPr>
          <w:p>
            <w:pPr>
              <w:widowControl/>
              <w:jc w:val="center"/>
              <w:textAlignment w:val="bottom"/>
              <w:rPr>
                <w:rFonts w:hint="default" w:eastAsia="等线"/>
                <w:color w:val="auto"/>
                <w:kern w:val="0"/>
                <w:szCs w:val="21"/>
                <w:highlight w:val="none"/>
                <w:lang w:val="en-US" w:eastAsia="zh-CN" w:bidi="ar"/>
              </w:rPr>
            </w:pPr>
            <w:r>
              <w:rPr>
                <w:rFonts w:hint="eastAsia" w:eastAsia="等线"/>
                <w:color w:val="auto"/>
                <w:kern w:val="0"/>
                <w:szCs w:val="21"/>
                <w:highlight w:val="none"/>
                <w:lang w:val="en-US" w:eastAsia="zh-CN" w:bidi="ar"/>
              </w:rPr>
              <w:t>0.557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56" w:type="dxa"/>
            <w:vAlign w:val="center"/>
          </w:tcPr>
          <w:p>
            <w:pPr>
              <w:jc w:val="center"/>
              <w:rPr>
                <w:color w:val="auto"/>
                <w:szCs w:val="21"/>
                <w:highlight w:val="none"/>
              </w:rPr>
            </w:pPr>
            <w:r>
              <w:rPr>
                <w:color w:val="auto"/>
                <w:szCs w:val="21"/>
                <w:highlight w:val="none"/>
              </w:rPr>
              <w:t>2</w:t>
            </w:r>
          </w:p>
        </w:tc>
        <w:tc>
          <w:tcPr>
            <w:tcW w:w="3059" w:type="dxa"/>
            <w:vAlign w:val="center"/>
          </w:tcPr>
          <w:p>
            <w:pPr>
              <w:jc w:val="center"/>
              <w:rPr>
                <w:color w:val="auto"/>
                <w:szCs w:val="21"/>
                <w:highlight w:val="none"/>
              </w:rPr>
            </w:pPr>
            <w:r>
              <w:rPr>
                <w:color w:val="auto"/>
                <w:kern w:val="0"/>
                <w:szCs w:val="21"/>
                <w:highlight w:val="none"/>
              </w:rPr>
              <w:t>VOCs</w:t>
            </w:r>
          </w:p>
        </w:tc>
        <w:tc>
          <w:tcPr>
            <w:tcW w:w="3059" w:type="dxa"/>
            <w:vAlign w:val="bottom"/>
          </w:tcPr>
          <w:p>
            <w:pPr>
              <w:widowControl/>
              <w:jc w:val="center"/>
              <w:textAlignment w:val="bottom"/>
              <w:rPr>
                <w:rFonts w:hint="default" w:eastAsia="等线"/>
                <w:color w:val="auto"/>
                <w:kern w:val="0"/>
                <w:szCs w:val="21"/>
                <w:highlight w:val="none"/>
                <w:lang w:val="en-US" w:eastAsia="zh-CN" w:bidi="ar"/>
              </w:rPr>
            </w:pPr>
            <w:r>
              <w:rPr>
                <w:rFonts w:hint="eastAsia" w:eastAsia="等线"/>
                <w:color w:val="auto"/>
                <w:kern w:val="0"/>
                <w:szCs w:val="21"/>
                <w:highlight w:val="none"/>
                <w:lang w:val="en-US" w:eastAsia="zh-CN" w:bidi="ar"/>
              </w:rPr>
              <w:t>1.283</w:t>
            </w:r>
          </w:p>
        </w:tc>
      </w:tr>
    </w:tbl>
    <w:p>
      <w:pPr>
        <w:spacing w:line="360" w:lineRule="auto"/>
        <w:ind w:firstLine="480" w:firstLineChars="200"/>
        <w:rPr>
          <w:color w:val="auto"/>
          <w:sz w:val="24"/>
          <w:highlight w:val="none"/>
        </w:rPr>
      </w:pPr>
      <w:r>
        <w:rPr>
          <w:color w:val="auto"/>
          <w:sz w:val="24"/>
          <w:highlight w:val="none"/>
        </w:rPr>
        <w:t>4、非正常排放量核算</w:t>
      </w:r>
    </w:p>
    <w:p>
      <w:pPr>
        <w:spacing w:line="360" w:lineRule="auto"/>
        <w:ind w:firstLine="480" w:firstLineChars="200"/>
        <w:rPr>
          <w:color w:val="auto"/>
          <w:sz w:val="24"/>
          <w:highlight w:val="none"/>
        </w:rPr>
      </w:pPr>
      <w:r>
        <w:rPr>
          <w:color w:val="auto"/>
          <w:sz w:val="24"/>
          <w:highlight w:val="none"/>
        </w:rPr>
        <w:t>非正常排放量核算见表4.1-1</w:t>
      </w:r>
      <w:r>
        <w:rPr>
          <w:rFonts w:hint="eastAsia"/>
          <w:color w:val="auto"/>
          <w:sz w:val="24"/>
          <w:highlight w:val="none"/>
        </w:rPr>
        <w:t>6</w:t>
      </w:r>
      <w:r>
        <w:rPr>
          <w:color w:val="auto"/>
          <w:sz w:val="24"/>
          <w:highlight w:val="none"/>
        </w:rPr>
        <w:t>。</w:t>
      </w:r>
    </w:p>
    <w:p>
      <w:pPr>
        <w:jc w:val="center"/>
        <w:rPr>
          <w:rFonts w:eastAsia="黑体"/>
          <w:color w:val="auto"/>
          <w:sz w:val="24"/>
          <w:highlight w:val="none"/>
        </w:rPr>
      </w:pPr>
      <w:r>
        <w:rPr>
          <w:rFonts w:eastAsia="黑体"/>
          <w:color w:val="auto"/>
          <w:sz w:val="24"/>
          <w:highlight w:val="none"/>
        </w:rPr>
        <w:t>表4.1-1</w:t>
      </w:r>
      <w:r>
        <w:rPr>
          <w:rFonts w:hint="eastAsia" w:eastAsia="黑体"/>
          <w:color w:val="auto"/>
          <w:sz w:val="24"/>
          <w:highlight w:val="none"/>
        </w:rPr>
        <w:t>6</w:t>
      </w:r>
      <w:r>
        <w:rPr>
          <w:rFonts w:eastAsia="黑体"/>
          <w:color w:val="auto"/>
          <w:sz w:val="24"/>
          <w:highlight w:val="none"/>
        </w:rPr>
        <w:t xml:space="preserve">   污染物非正常排放量核算表</w:t>
      </w:r>
    </w:p>
    <w:tbl>
      <w:tblPr>
        <w:tblStyle w:val="59"/>
        <w:tblW w:w="917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416"/>
        <w:gridCol w:w="1134"/>
        <w:gridCol w:w="2552"/>
        <w:gridCol w:w="1585"/>
        <w:gridCol w:w="15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960" w:type="dxa"/>
            <w:vAlign w:val="center"/>
          </w:tcPr>
          <w:p>
            <w:pPr>
              <w:jc w:val="center"/>
              <w:rPr>
                <w:color w:val="auto"/>
                <w:szCs w:val="21"/>
                <w:highlight w:val="none"/>
              </w:rPr>
            </w:pPr>
            <w:r>
              <w:rPr>
                <w:color w:val="auto"/>
                <w:highlight w:val="none"/>
              </w:rPr>
              <w:t>污染源</w:t>
            </w:r>
          </w:p>
        </w:tc>
        <w:tc>
          <w:tcPr>
            <w:tcW w:w="1416" w:type="dxa"/>
            <w:vAlign w:val="center"/>
          </w:tcPr>
          <w:p>
            <w:pPr>
              <w:jc w:val="center"/>
              <w:rPr>
                <w:color w:val="auto"/>
                <w:szCs w:val="21"/>
                <w:highlight w:val="none"/>
              </w:rPr>
            </w:pPr>
            <w:r>
              <w:rPr>
                <w:color w:val="auto"/>
                <w:highlight w:val="none"/>
              </w:rPr>
              <w:t>故障类型</w:t>
            </w:r>
          </w:p>
        </w:tc>
        <w:tc>
          <w:tcPr>
            <w:tcW w:w="1134" w:type="dxa"/>
            <w:vAlign w:val="center"/>
          </w:tcPr>
          <w:p>
            <w:pPr>
              <w:pStyle w:val="137"/>
              <w:spacing w:line="240" w:lineRule="exact"/>
              <w:rPr>
                <w:color w:val="auto"/>
                <w:sz w:val="21"/>
                <w:szCs w:val="21"/>
                <w:highlight w:val="none"/>
              </w:rPr>
            </w:pPr>
            <w:r>
              <w:rPr>
                <w:color w:val="auto"/>
                <w:sz w:val="21"/>
                <w:szCs w:val="21"/>
                <w:highlight w:val="none"/>
              </w:rPr>
              <w:t>污染物</w:t>
            </w:r>
          </w:p>
        </w:tc>
        <w:tc>
          <w:tcPr>
            <w:tcW w:w="2552" w:type="dxa"/>
            <w:vAlign w:val="center"/>
          </w:tcPr>
          <w:p>
            <w:pPr>
              <w:spacing w:line="240" w:lineRule="exact"/>
              <w:rPr>
                <w:color w:val="auto"/>
                <w:szCs w:val="21"/>
                <w:highlight w:val="none"/>
              </w:rPr>
            </w:pPr>
            <w:r>
              <w:rPr>
                <w:color w:val="auto"/>
                <w:highlight w:val="none"/>
              </w:rPr>
              <w:t>非正常排放浓度（mg/m</w:t>
            </w:r>
            <w:r>
              <w:rPr>
                <w:color w:val="auto"/>
                <w:highlight w:val="none"/>
                <w:vertAlign w:val="superscript"/>
              </w:rPr>
              <w:t>3</w:t>
            </w:r>
            <w:r>
              <w:rPr>
                <w:color w:val="auto"/>
                <w:highlight w:val="none"/>
              </w:rPr>
              <w:t>）</w:t>
            </w:r>
          </w:p>
        </w:tc>
        <w:tc>
          <w:tcPr>
            <w:tcW w:w="1585" w:type="dxa"/>
            <w:vAlign w:val="center"/>
          </w:tcPr>
          <w:p>
            <w:pPr>
              <w:pStyle w:val="137"/>
              <w:spacing w:line="240" w:lineRule="exact"/>
              <w:rPr>
                <w:color w:val="auto"/>
                <w:sz w:val="21"/>
                <w:szCs w:val="21"/>
                <w:highlight w:val="none"/>
              </w:rPr>
            </w:pPr>
            <w:r>
              <w:rPr>
                <w:color w:val="auto"/>
                <w:highlight w:val="none"/>
              </w:rPr>
              <w:t>非正常排放速率（kg/h）</w:t>
            </w:r>
          </w:p>
        </w:tc>
        <w:tc>
          <w:tcPr>
            <w:tcW w:w="1527" w:type="dxa"/>
            <w:vAlign w:val="center"/>
          </w:tcPr>
          <w:p>
            <w:pPr>
              <w:pStyle w:val="137"/>
              <w:spacing w:line="240" w:lineRule="exact"/>
              <w:rPr>
                <w:color w:val="auto"/>
                <w:sz w:val="21"/>
                <w:szCs w:val="21"/>
                <w:highlight w:val="none"/>
              </w:rPr>
            </w:pPr>
            <w:r>
              <w:rPr>
                <w:color w:val="auto"/>
                <w:szCs w:val="21"/>
                <w:highlight w:val="none"/>
              </w:rPr>
              <w:t>应对措施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60" w:type="dxa"/>
            <w:vMerge w:val="restart"/>
            <w:vAlign w:val="center"/>
          </w:tcPr>
          <w:p>
            <w:pPr>
              <w:jc w:val="center"/>
              <w:rPr>
                <w:color w:val="auto"/>
                <w:szCs w:val="21"/>
                <w:highlight w:val="none"/>
              </w:rPr>
            </w:pPr>
            <w:r>
              <w:rPr>
                <w:color w:val="auto"/>
                <w:szCs w:val="21"/>
                <w:highlight w:val="none"/>
              </w:rPr>
              <w:t>DA001</w:t>
            </w:r>
          </w:p>
        </w:tc>
        <w:tc>
          <w:tcPr>
            <w:tcW w:w="1416" w:type="dxa"/>
            <w:vMerge w:val="restart"/>
            <w:vAlign w:val="center"/>
          </w:tcPr>
          <w:p>
            <w:pPr>
              <w:jc w:val="center"/>
              <w:rPr>
                <w:color w:val="auto"/>
                <w:szCs w:val="21"/>
                <w:highlight w:val="none"/>
              </w:rPr>
            </w:pPr>
            <w:r>
              <w:rPr>
                <w:color w:val="auto"/>
                <w:highlight w:val="none"/>
              </w:rPr>
              <w:t>净化装置失效</w:t>
            </w:r>
          </w:p>
        </w:tc>
        <w:tc>
          <w:tcPr>
            <w:tcW w:w="1134" w:type="dxa"/>
            <w:vAlign w:val="center"/>
          </w:tcPr>
          <w:p>
            <w:pPr>
              <w:jc w:val="center"/>
              <w:rPr>
                <w:color w:val="auto"/>
                <w:szCs w:val="21"/>
                <w:highlight w:val="none"/>
              </w:rPr>
            </w:pPr>
            <w:r>
              <w:rPr>
                <w:rFonts w:hint="eastAsia"/>
                <w:color w:val="auto"/>
                <w:highlight w:val="none"/>
              </w:rPr>
              <w:t>VOCs</w:t>
            </w:r>
          </w:p>
        </w:tc>
        <w:tc>
          <w:tcPr>
            <w:tcW w:w="2552" w:type="dxa"/>
            <w:vAlign w:val="center"/>
          </w:tcPr>
          <w:p>
            <w:pPr>
              <w:jc w:val="center"/>
              <w:rPr>
                <w:bCs/>
                <w:color w:val="auto"/>
                <w:szCs w:val="21"/>
                <w:highlight w:val="none"/>
              </w:rPr>
            </w:pPr>
            <w:r>
              <w:rPr>
                <w:rFonts w:hint="eastAsia"/>
                <w:color w:val="auto"/>
                <w:szCs w:val="21"/>
                <w:highlight w:val="none"/>
                <w:lang w:val="en-US" w:eastAsia="zh-CN"/>
              </w:rPr>
              <w:t>55.3</w:t>
            </w:r>
          </w:p>
        </w:tc>
        <w:tc>
          <w:tcPr>
            <w:tcW w:w="1585" w:type="dxa"/>
            <w:vAlign w:val="center"/>
          </w:tcPr>
          <w:p>
            <w:pPr>
              <w:jc w:val="center"/>
              <w:rPr>
                <w:bCs/>
                <w:color w:val="auto"/>
                <w:szCs w:val="21"/>
                <w:highlight w:val="none"/>
              </w:rPr>
            </w:pPr>
            <w:r>
              <w:rPr>
                <w:rFonts w:hint="eastAsia"/>
                <w:color w:val="auto"/>
                <w:szCs w:val="21"/>
                <w:highlight w:val="none"/>
                <w:lang w:val="en-US" w:eastAsia="zh-CN"/>
              </w:rPr>
              <w:t>1.106</w:t>
            </w:r>
          </w:p>
        </w:tc>
        <w:tc>
          <w:tcPr>
            <w:tcW w:w="1527" w:type="dxa"/>
            <w:vAlign w:val="center"/>
          </w:tcPr>
          <w:p>
            <w:pPr>
              <w:spacing w:line="240" w:lineRule="exact"/>
              <w:jc w:val="center"/>
              <w:rPr>
                <w:bCs/>
                <w:color w:val="auto"/>
                <w:szCs w:val="21"/>
                <w:highlight w:val="none"/>
              </w:rPr>
            </w:pPr>
            <w:r>
              <w:rPr>
                <w:color w:val="auto"/>
                <w:highlight w:val="none"/>
              </w:rPr>
              <w:t>停产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0" w:type="dxa"/>
            <w:vMerge w:val="continue"/>
            <w:vAlign w:val="center"/>
          </w:tcPr>
          <w:p>
            <w:pPr>
              <w:jc w:val="center"/>
              <w:rPr>
                <w:color w:val="auto"/>
                <w:szCs w:val="21"/>
                <w:highlight w:val="none"/>
              </w:rPr>
            </w:pPr>
          </w:p>
        </w:tc>
        <w:tc>
          <w:tcPr>
            <w:tcW w:w="1416" w:type="dxa"/>
            <w:vMerge w:val="continue"/>
            <w:vAlign w:val="center"/>
          </w:tcPr>
          <w:p>
            <w:pPr>
              <w:jc w:val="center"/>
              <w:rPr>
                <w:color w:val="auto"/>
                <w:szCs w:val="21"/>
                <w:highlight w:val="none"/>
              </w:rPr>
            </w:pPr>
          </w:p>
        </w:tc>
        <w:tc>
          <w:tcPr>
            <w:tcW w:w="1134" w:type="dxa"/>
            <w:vAlign w:val="center"/>
          </w:tcPr>
          <w:p>
            <w:pPr>
              <w:jc w:val="center"/>
              <w:rPr>
                <w:color w:val="auto"/>
                <w:szCs w:val="21"/>
                <w:highlight w:val="none"/>
              </w:rPr>
            </w:pPr>
            <w:r>
              <w:rPr>
                <w:rFonts w:hint="eastAsia"/>
                <w:color w:val="auto"/>
                <w:highlight w:val="none"/>
              </w:rPr>
              <w:t>颗粒物</w:t>
            </w:r>
          </w:p>
        </w:tc>
        <w:tc>
          <w:tcPr>
            <w:tcW w:w="2552" w:type="dxa"/>
            <w:vAlign w:val="center"/>
          </w:tcPr>
          <w:p>
            <w:pPr>
              <w:jc w:val="center"/>
              <w:rPr>
                <w:bCs/>
                <w:color w:val="auto"/>
                <w:szCs w:val="21"/>
                <w:highlight w:val="none"/>
              </w:rPr>
            </w:pPr>
            <w:r>
              <w:rPr>
                <w:rFonts w:hint="eastAsia"/>
                <w:color w:val="auto"/>
                <w:szCs w:val="21"/>
                <w:highlight w:val="none"/>
                <w:lang w:val="en-US" w:eastAsia="zh-CN"/>
              </w:rPr>
              <w:t>32</w:t>
            </w:r>
          </w:p>
        </w:tc>
        <w:tc>
          <w:tcPr>
            <w:tcW w:w="1585" w:type="dxa"/>
            <w:vAlign w:val="center"/>
          </w:tcPr>
          <w:p>
            <w:pPr>
              <w:jc w:val="center"/>
              <w:rPr>
                <w:bCs/>
                <w:color w:val="auto"/>
                <w:szCs w:val="21"/>
                <w:highlight w:val="none"/>
              </w:rPr>
            </w:pPr>
            <w:r>
              <w:rPr>
                <w:rFonts w:hint="eastAsia"/>
                <w:color w:val="auto"/>
                <w:szCs w:val="21"/>
                <w:highlight w:val="none"/>
                <w:lang w:val="en-US" w:eastAsia="zh-CN"/>
              </w:rPr>
              <w:t>0.48</w:t>
            </w:r>
          </w:p>
        </w:tc>
        <w:tc>
          <w:tcPr>
            <w:tcW w:w="1527" w:type="dxa"/>
            <w:vAlign w:val="center"/>
          </w:tcPr>
          <w:p>
            <w:pPr>
              <w:spacing w:line="240" w:lineRule="exact"/>
              <w:jc w:val="center"/>
              <w:rPr>
                <w:bCs/>
                <w:color w:val="auto"/>
                <w:szCs w:val="21"/>
                <w:highlight w:val="none"/>
              </w:rPr>
            </w:pPr>
            <w:r>
              <w:rPr>
                <w:color w:val="auto"/>
                <w:highlight w:val="none"/>
              </w:rPr>
              <w:t>停产</w:t>
            </w:r>
          </w:p>
        </w:tc>
      </w:tr>
    </w:tbl>
    <w:p>
      <w:pPr>
        <w:numPr>
          <w:ilvl w:val="0"/>
          <w:numId w:val="15"/>
        </w:numPr>
        <w:spacing w:line="360" w:lineRule="auto"/>
        <w:ind w:left="0" w:leftChars="0" w:firstLine="480" w:firstLineChars="200"/>
        <w:rPr>
          <w:color w:val="auto"/>
          <w:sz w:val="24"/>
          <w:highlight w:val="none"/>
        </w:rPr>
      </w:pPr>
      <w:r>
        <w:rPr>
          <w:color w:val="auto"/>
          <w:sz w:val="24"/>
          <w:highlight w:val="none"/>
        </w:rPr>
        <w:t>自行监测计划</w:t>
      </w:r>
    </w:p>
    <w:p>
      <w:pPr>
        <w:spacing w:line="360" w:lineRule="auto"/>
        <w:ind w:firstLine="480" w:firstLineChars="200"/>
        <w:rPr>
          <w:color w:val="auto"/>
          <w:sz w:val="24"/>
          <w:highlight w:val="none"/>
        </w:rPr>
      </w:pPr>
      <w:r>
        <w:rPr>
          <w:rFonts w:hint="eastAsia"/>
          <w:color w:val="auto"/>
          <w:sz w:val="24"/>
          <w:highlight w:val="none"/>
          <w:lang w:val="en-US" w:eastAsia="zh-CN"/>
        </w:rPr>
        <w:t>根据《</w:t>
      </w:r>
      <w:r>
        <w:rPr>
          <w:rFonts w:hint="eastAsia"/>
          <w:color w:val="auto"/>
          <w:sz w:val="24"/>
          <w:highlight w:val="none"/>
        </w:rPr>
        <w:t>排污许可证申请与核发技术规范橡胶和塑料制品工业</w:t>
      </w:r>
      <w:r>
        <w:rPr>
          <w:rFonts w:hint="eastAsia"/>
          <w:color w:val="auto"/>
          <w:sz w:val="24"/>
          <w:highlight w:val="none"/>
          <w:lang w:val="en-US" w:eastAsia="zh-CN"/>
        </w:rPr>
        <w:t>》（HJ1122—2020），本项目属于简化管理，废气</w:t>
      </w:r>
      <w:r>
        <w:rPr>
          <w:color w:val="auto"/>
          <w:sz w:val="24"/>
          <w:highlight w:val="none"/>
        </w:rPr>
        <w:t>自行检测计划见4.1-1</w:t>
      </w:r>
      <w:r>
        <w:rPr>
          <w:rFonts w:hint="eastAsia"/>
          <w:color w:val="auto"/>
          <w:sz w:val="24"/>
          <w:highlight w:val="none"/>
        </w:rPr>
        <w:t>7</w:t>
      </w:r>
      <w:r>
        <w:rPr>
          <w:color w:val="auto"/>
          <w:sz w:val="24"/>
          <w:highlight w:val="none"/>
        </w:rPr>
        <w:t>~4.1-1</w:t>
      </w:r>
      <w:r>
        <w:rPr>
          <w:rFonts w:hint="eastAsia"/>
          <w:color w:val="auto"/>
          <w:sz w:val="24"/>
          <w:highlight w:val="none"/>
        </w:rPr>
        <w:t>8</w:t>
      </w:r>
      <w:r>
        <w:rPr>
          <w:color w:val="auto"/>
          <w:sz w:val="24"/>
          <w:highlight w:val="none"/>
        </w:rPr>
        <w:t>。</w:t>
      </w:r>
    </w:p>
    <w:p>
      <w:pPr>
        <w:jc w:val="center"/>
        <w:rPr>
          <w:rFonts w:eastAsia="黑体"/>
          <w:color w:val="auto"/>
          <w:sz w:val="24"/>
          <w:highlight w:val="none"/>
        </w:rPr>
      </w:pPr>
      <w:bookmarkStart w:id="150" w:name="_Toc535853299"/>
      <w:bookmarkStart w:id="151" w:name="_Toc497165216"/>
      <w:bookmarkStart w:id="152" w:name="_Toc420915948"/>
      <w:bookmarkStart w:id="153" w:name="_Toc536199174"/>
      <w:bookmarkStart w:id="154" w:name="_Toc229383901"/>
      <w:bookmarkStart w:id="155" w:name="_Toc25171"/>
      <w:r>
        <w:rPr>
          <w:rFonts w:eastAsia="黑体"/>
          <w:color w:val="auto"/>
          <w:sz w:val="24"/>
          <w:highlight w:val="none"/>
        </w:rPr>
        <w:t>表4.1-1</w:t>
      </w:r>
      <w:r>
        <w:rPr>
          <w:rFonts w:hint="eastAsia" w:eastAsia="黑体"/>
          <w:color w:val="auto"/>
          <w:sz w:val="24"/>
          <w:highlight w:val="none"/>
        </w:rPr>
        <w:t>7</w:t>
      </w:r>
      <w:r>
        <w:rPr>
          <w:rFonts w:eastAsia="黑体"/>
          <w:color w:val="auto"/>
          <w:sz w:val="24"/>
          <w:highlight w:val="none"/>
        </w:rPr>
        <w:t xml:space="preserve">   有组织废气自行监测方案</w:t>
      </w:r>
    </w:p>
    <w:tbl>
      <w:tblPr>
        <w:tblStyle w:val="59"/>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264"/>
        <w:gridCol w:w="2961"/>
        <w:gridCol w:w="33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8" w:type="dxa"/>
            <w:vAlign w:val="center"/>
          </w:tcPr>
          <w:p>
            <w:pPr>
              <w:jc w:val="center"/>
              <w:rPr>
                <w:color w:val="auto"/>
                <w:szCs w:val="21"/>
                <w:highlight w:val="none"/>
              </w:rPr>
            </w:pPr>
            <w:r>
              <w:rPr>
                <w:color w:val="auto"/>
                <w:szCs w:val="21"/>
                <w:highlight w:val="none"/>
              </w:rPr>
              <w:t>监测点位</w:t>
            </w:r>
          </w:p>
        </w:tc>
        <w:tc>
          <w:tcPr>
            <w:tcW w:w="1264" w:type="dxa"/>
            <w:vAlign w:val="center"/>
          </w:tcPr>
          <w:p>
            <w:pPr>
              <w:jc w:val="center"/>
              <w:rPr>
                <w:color w:val="auto"/>
                <w:szCs w:val="21"/>
                <w:highlight w:val="none"/>
              </w:rPr>
            </w:pPr>
            <w:r>
              <w:rPr>
                <w:color w:val="auto"/>
                <w:szCs w:val="21"/>
                <w:highlight w:val="none"/>
              </w:rPr>
              <w:t>检测指标</w:t>
            </w:r>
          </w:p>
        </w:tc>
        <w:tc>
          <w:tcPr>
            <w:tcW w:w="2961" w:type="dxa"/>
            <w:vAlign w:val="center"/>
          </w:tcPr>
          <w:p>
            <w:pPr>
              <w:jc w:val="center"/>
              <w:rPr>
                <w:color w:val="auto"/>
                <w:szCs w:val="21"/>
                <w:highlight w:val="none"/>
              </w:rPr>
            </w:pPr>
            <w:r>
              <w:rPr>
                <w:color w:val="auto"/>
                <w:szCs w:val="21"/>
                <w:highlight w:val="none"/>
              </w:rPr>
              <w:t>监测频次</w:t>
            </w:r>
          </w:p>
        </w:tc>
        <w:tc>
          <w:tcPr>
            <w:tcW w:w="3353" w:type="dxa"/>
            <w:vAlign w:val="center"/>
          </w:tcPr>
          <w:p>
            <w:pPr>
              <w:jc w:val="center"/>
              <w:rPr>
                <w:color w:val="auto"/>
                <w:szCs w:val="21"/>
                <w:highlight w:val="none"/>
              </w:rPr>
            </w:pPr>
            <w:r>
              <w:rPr>
                <w:color w:val="auto"/>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8" w:type="dxa"/>
            <w:vMerge w:val="restart"/>
            <w:vAlign w:val="center"/>
          </w:tcPr>
          <w:p>
            <w:pPr>
              <w:jc w:val="center"/>
              <w:rPr>
                <w:color w:val="auto"/>
                <w:szCs w:val="21"/>
                <w:highlight w:val="none"/>
              </w:rPr>
            </w:pPr>
            <w:r>
              <w:rPr>
                <w:color w:val="auto"/>
                <w:szCs w:val="21"/>
                <w:highlight w:val="none"/>
              </w:rPr>
              <w:t>DA001</w:t>
            </w:r>
          </w:p>
        </w:tc>
        <w:tc>
          <w:tcPr>
            <w:tcW w:w="1264" w:type="dxa"/>
            <w:vAlign w:val="center"/>
          </w:tcPr>
          <w:p>
            <w:pPr>
              <w:pStyle w:val="46"/>
              <w:overflowPunct w:val="0"/>
              <w:spacing w:line="240" w:lineRule="auto"/>
              <w:rPr>
                <w:rFonts w:ascii="Times New Roman" w:eastAsia="宋体"/>
                <w:color w:val="auto"/>
                <w:sz w:val="21"/>
                <w:szCs w:val="21"/>
                <w:highlight w:val="none"/>
              </w:rPr>
            </w:pPr>
            <w:r>
              <w:rPr>
                <w:rFonts w:hint="eastAsia" w:ascii="Times New Roman" w:eastAsia="宋体"/>
                <w:color w:val="auto"/>
                <w:sz w:val="21"/>
                <w:szCs w:val="21"/>
                <w:highlight w:val="none"/>
              </w:rPr>
              <w:t>VOCs</w:t>
            </w:r>
          </w:p>
        </w:tc>
        <w:tc>
          <w:tcPr>
            <w:tcW w:w="2961" w:type="dxa"/>
          </w:tcPr>
          <w:p>
            <w:pPr>
              <w:jc w:val="center"/>
              <w:rPr>
                <w:bCs/>
                <w:color w:val="auto"/>
                <w:szCs w:val="21"/>
                <w:highlight w:val="none"/>
              </w:rPr>
            </w:pPr>
            <w:r>
              <w:rPr>
                <w:rFonts w:hint="eastAsia"/>
                <w:color w:val="auto"/>
                <w:szCs w:val="21"/>
                <w:highlight w:val="none"/>
                <w:lang w:val="en-US" w:eastAsia="zh-CN"/>
              </w:rPr>
              <w:t>1次/年</w:t>
            </w:r>
          </w:p>
        </w:tc>
        <w:tc>
          <w:tcPr>
            <w:tcW w:w="3353" w:type="dxa"/>
            <w:vAlign w:val="center"/>
          </w:tcPr>
          <w:p>
            <w:pPr>
              <w:jc w:val="center"/>
              <w:rPr>
                <w:rFonts w:hint="default" w:eastAsia="宋体"/>
                <w:bCs/>
                <w:color w:val="auto"/>
                <w:szCs w:val="21"/>
                <w:highlight w:val="none"/>
                <w:lang w:val="en-US" w:eastAsia="zh-CN"/>
              </w:rPr>
            </w:pPr>
            <w:r>
              <w:rPr>
                <w:color w:val="auto"/>
                <w:szCs w:val="21"/>
                <w:highlight w:val="none"/>
              </w:rPr>
              <w:t>委托监测</w:t>
            </w:r>
            <w:r>
              <w:rPr>
                <w:rFonts w:hint="eastAsia"/>
                <w:color w:val="auto"/>
                <w:szCs w:val="21"/>
                <w:highlight w:val="none"/>
                <w:lang w:eastAsia="zh-CN"/>
              </w:rPr>
              <w:t>、</w:t>
            </w:r>
            <w:r>
              <w:rPr>
                <w:rFonts w:hint="eastAsia"/>
                <w:color w:val="auto"/>
                <w:szCs w:val="21"/>
                <w:highlight w:val="none"/>
                <w:lang w:val="en-US" w:eastAsia="zh-CN"/>
              </w:rPr>
              <w:t>在线监测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8" w:type="dxa"/>
            <w:vMerge w:val="continue"/>
            <w:vAlign w:val="center"/>
          </w:tcPr>
          <w:p>
            <w:pPr>
              <w:jc w:val="center"/>
              <w:rPr>
                <w:color w:val="auto"/>
                <w:szCs w:val="21"/>
                <w:highlight w:val="none"/>
              </w:rPr>
            </w:pPr>
          </w:p>
        </w:tc>
        <w:tc>
          <w:tcPr>
            <w:tcW w:w="1264" w:type="dxa"/>
            <w:vAlign w:val="center"/>
          </w:tcPr>
          <w:p>
            <w:pPr>
              <w:pStyle w:val="46"/>
              <w:overflowPunct w:val="0"/>
              <w:spacing w:line="240" w:lineRule="auto"/>
              <w:rPr>
                <w:rFonts w:ascii="Times New Roman"/>
                <w:color w:val="auto"/>
                <w:sz w:val="21"/>
                <w:szCs w:val="21"/>
                <w:highlight w:val="none"/>
              </w:rPr>
            </w:pPr>
            <w:r>
              <w:rPr>
                <w:rFonts w:ascii="Times New Roman" w:eastAsia="宋体"/>
                <w:bCs/>
                <w:color w:val="auto"/>
                <w:sz w:val="21"/>
                <w:szCs w:val="21"/>
                <w:highlight w:val="none"/>
              </w:rPr>
              <w:t>颗粒物</w:t>
            </w:r>
          </w:p>
        </w:tc>
        <w:tc>
          <w:tcPr>
            <w:tcW w:w="2961" w:type="dxa"/>
          </w:tcPr>
          <w:p>
            <w:pPr>
              <w:jc w:val="center"/>
              <w:rPr>
                <w:bCs/>
                <w:color w:val="auto"/>
                <w:szCs w:val="21"/>
                <w:highlight w:val="none"/>
              </w:rPr>
            </w:pPr>
            <w:r>
              <w:rPr>
                <w:rFonts w:hint="eastAsia"/>
                <w:color w:val="auto"/>
                <w:szCs w:val="21"/>
                <w:highlight w:val="none"/>
                <w:lang w:val="en-US" w:eastAsia="zh-CN"/>
              </w:rPr>
              <w:t>1次/年</w:t>
            </w:r>
          </w:p>
        </w:tc>
        <w:tc>
          <w:tcPr>
            <w:tcW w:w="3353" w:type="dxa"/>
            <w:vAlign w:val="center"/>
          </w:tcPr>
          <w:p>
            <w:pPr>
              <w:jc w:val="center"/>
              <w:rPr>
                <w:bCs/>
                <w:color w:val="auto"/>
                <w:szCs w:val="21"/>
                <w:highlight w:val="none"/>
              </w:rPr>
            </w:pPr>
            <w:r>
              <w:rPr>
                <w:color w:val="auto"/>
                <w:szCs w:val="21"/>
                <w:highlight w:val="none"/>
              </w:rPr>
              <w:t>委托监测</w:t>
            </w:r>
          </w:p>
        </w:tc>
      </w:tr>
    </w:tbl>
    <w:p>
      <w:pPr>
        <w:jc w:val="center"/>
        <w:rPr>
          <w:rFonts w:eastAsia="黑体"/>
          <w:color w:val="auto"/>
          <w:sz w:val="24"/>
          <w:highlight w:val="none"/>
        </w:rPr>
      </w:pPr>
      <w:r>
        <w:rPr>
          <w:rFonts w:eastAsia="黑体"/>
          <w:color w:val="auto"/>
          <w:sz w:val="24"/>
          <w:highlight w:val="none"/>
        </w:rPr>
        <w:t>表4.1-1</w:t>
      </w:r>
      <w:r>
        <w:rPr>
          <w:rFonts w:hint="eastAsia" w:eastAsia="黑体"/>
          <w:color w:val="auto"/>
          <w:sz w:val="24"/>
          <w:highlight w:val="none"/>
        </w:rPr>
        <w:t>8</w:t>
      </w:r>
      <w:r>
        <w:rPr>
          <w:rFonts w:eastAsia="黑体"/>
          <w:color w:val="auto"/>
          <w:sz w:val="24"/>
          <w:highlight w:val="none"/>
        </w:rPr>
        <w:t xml:space="preserve">  无组织废气监测计划表</w:t>
      </w:r>
    </w:p>
    <w:tbl>
      <w:tblPr>
        <w:tblStyle w:val="59"/>
        <w:tblW w:w="917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93"/>
        <w:gridCol w:w="1983"/>
        <w:gridCol w:w="1560"/>
        <w:gridCol w:w="33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93" w:type="dxa"/>
            <w:vAlign w:val="center"/>
          </w:tcPr>
          <w:p>
            <w:pPr>
              <w:jc w:val="center"/>
              <w:rPr>
                <w:color w:val="auto"/>
                <w:szCs w:val="21"/>
                <w:highlight w:val="none"/>
              </w:rPr>
            </w:pPr>
            <w:r>
              <w:rPr>
                <w:color w:val="auto"/>
                <w:szCs w:val="21"/>
                <w:highlight w:val="none"/>
              </w:rPr>
              <w:t>监测点位</w:t>
            </w:r>
          </w:p>
        </w:tc>
        <w:tc>
          <w:tcPr>
            <w:tcW w:w="1983" w:type="dxa"/>
            <w:vAlign w:val="center"/>
          </w:tcPr>
          <w:p>
            <w:pPr>
              <w:jc w:val="center"/>
              <w:rPr>
                <w:color w:val="auto"/>
                <w:szCs w:val="21"/>
                <w:highlight w:val="none"/>
              </w:rPr>
            </w:pPr>
            <w:r>
              <w:rPr>
                <w:color w:val="auto"/>
                <w:szCs w:val="21"/>
                <w:highlight w:val="none"/>
              </w:rPr>
              <w:t>检测指标</w:t>
            </w:r>
          </w:p>
        </w:tc>
        <w:tc>
          <w:tcPr>
            <w:tcW w:w="1560" w:type="dxa"/>
            <w:vAlign w:val="center"/>
          </w:tcPr>
          <w:p>
            <w:pPr>
              <w:jc w:val="center"/>
              <w:rPr>
                <w:color w:val="auto"/>
                <w:szCs w:val="21"/>
                <w:highlight w:val="none"/>
              </w:rPr>
            </w:pPr>
            <w:r>
              <w:rPr>
                <w:color w:val="auto"/>
                <w:szCs w:val="21"/>
                <w:highlight w:val="none"/>
              </w:rPr>
              <w:t>监测频次</w:t>
            </w:r>
          </w:p>
        </w:tc>
        <w:tc>
          <w:tcPr>
            <w:tcW w:w="3338" w:type="dxa"/>
            <w:vAlign w:val="center"/>
          </w:tcPr>
          <w:p>
            <w:pPr>
              <w:jc w:val="center"/>
              <w:rPr>
                <w:color w:val="auto"/>
                <w:szCs w:val="21"/>
                <w:highlight w:val="none"/>
              </w:rPr>
            </w:pPr>
            <w:r>
              <w:rPr>
                <w:color w:val="auto"/>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293" w:type="dxa"/>
            <w:vMerge w:val="restart"/>
            <w:vAlign w:val="center"/>
          </w:tcPr>
          <w:p>
            <w:pPr>
              <w:jc w:val="center"/>
              <w:rPr>
                <w:color w:val="auto"/>
                <w:szCs w:val="21"/>
                <w:highlight w:val="none"/>
              </w:rPr>
            </w:pPr>
            <w:r>
              <w:rPr>
                <w:color w:val="auto"/>
                <w:szCs w:val="21"/>
                <w:highlight w:val="none"/>
              </w:rPr>
              <w:t>厂界</w:t>
            </w:r>
          </w:p>
        </w:tc>
        <w:tc>
          <w:tcPr>
            <w:tcW w:w="1983" w:type="dxa"/>
            <w:vAlign w:val="center"/>
          </w:tcPr>
          <w:p>
            <w:pPr>
              <w:pStyle w:val="127"/>
              <w:rPr>
                <w:color w:val="auto"/>
                <w:szCs w:val="21"/>
                <w:highlight w:val="none"/>
              </w:rPr>
            </w:pPr>
            <w:r>
              <w:rPr>
                <w:rFonts w:eastAsia="宋体"/>
                <w:color w:val="auto"/>
                <w:sz w:val="21"/>
                <w:szCs w:val="21"/>
                <w:highlight w:val="none"/>
                <w:lang w:val="zh-CN"/>
              </w:rPr>
              <w:t>颗粒物</w:t>
            </w:r>
          </w:p>
        </w:tc>
        <w:tc>
          <w:tcPr>
            <w:tcW w:w="1560" w:type="dxa"/>
          </w:tcPr>
          <w:p>
            <w:pPr>
              <w:jc w:val="center"/>
              <w:rPr>
                <w:color w:val="auto"/>
                <w:highlight w:val="none"/>
              </w:rPr>
            </w:pPr>
            <w:r>
              <w:rPr>
                <w:rFonts w:hint="eastAsia"/>
                <w:color w:val="auto"/>
                <w:szCs w:val="21"/>
                <w:highlight w:val="none"/>
                <w:lang w:val="en-US" w:eastAsia="zh-CN"/>
              </w:rPr>
              <w:t>1次/年</w:t>
            </w:r>
          </w:p>
        </w:tc>
        <w:tc>
          <w:tcPr>
            <w:tcW w:w="3338" w:type="dxa"/>
            <w:vAlign w:val="center"/>
          </w:tcPr>
          <w:p>
            <w:pPr>
              <w:jc w:val="center"/>
              <w:rPr>
                <w:color w:val="auto"/>
                <w:szCs w:val="21"/>
                <w:highlight w:val="none"/>
              </w:rPr>
            </w:pPr>
            <w:r>
              <w:rPr>
                <w:color w:val="auto"/>
                <w:szCs w:val="21"/>
                <w:highlight w:val="none"/>
              </w:rPr>
              <w:t>委托监测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293" w:type="dxa"/>
            <w:vMerge w:val="continue"/>
            <w:vAlign w:val="center"/>
          </w:tcPr>
          <w:p>
            <w:pPr>
              <w:jc w:val="center"/>
              <w:rPr>
                <w:color w:val="auto"/>
                <w:szCs w:val="21"/>
                <w:highlight w:val="none"/>
              </w:rPr>
            </w:pPr>
          </w:p>
        </w:tc>
        <w:tc>
          <w:tcPr>
            <w:tcW w:w="1983" w:type="dxa"/>
            <w:vAlign w:val="center"/>
          </w:tcPr>
          <w:p>
            <w:pPr>
              <w:pStyle w:val="127"/>
              <w:rPr>
                <w:bCs/>
                <w:color w:val="auto"/>
                <w:szCs w:val="21"/>
                <w:highlight w:val="none"/>
              </w:rPr>
            </w:pPr>
            <w:r>
              <w:rPr>
                <w:rFonts w:eastAsia="宋体"/>
                <w:color w:val="auto"/>
                <w:sz w:val="21"/>
                <w:szCs w:val="21"/>
                <w:highlight w:val="none"/>
              </w:rPr>
              <w:t>VOCs</w:t>
            </w:r>
          </w:p>
        </w:tc>
        <w:tc>
          <w:tcPr>
            <w:tcW w:w="1560" w:type="dxa"/>
          </w:tcPr>
          <w:p>
            <w:pPr>
              <w:jc w:val="center"/>
              <w:rPr>
                <w:color w:val="auto"/>
                <w:highlight w:val="none"/>
              </w:rPr>
            </w:pPr>
            <w:r>
              <w:rPr>
                <w:rFonts w:hint="eastAsia"/>
                <w:color w:val="auto"/>
                <w:szCs w:val="21"/>
                <w:highlight w:val="none"/>
                <w:lang w:val="en-US" w:eastAsia="zh-CN"/>
              </w:rPr>
              <w:t>1次/年</w:t>
            </w:r>
          </w:p>
        </w:tc>
        <w:tc>
          <w:tcPr>
            <w:tcW w:w="3338" w:type="dxa"/>
            <w:vAlign w:val="center"/>
          </w:tcPr>
          <w:p>
            <w:pPr>
              <w:jc w:val="center"/>
              <w:rPr>
                <w:color w:val="auto"/>
                <w:szCs w:val="21"/>
                <w:highlight w:val="none"/>
              </w:rPr>
            </w:pPr>
            <w:r>
              <w:rPr>
                <w:color w:val="auto"/>
                <w:szCs w:val="21"/>
                <w:highlight w:val="none"/>
              </w:rPr>
              <w:t>委托监测</w:t>
            </w:r>
          </w:p>
        </w:tc>
      </w:tr>
    </w:tbl>
    <w:p>
      <w:pPr>
        <w:keepNext/>
        <w:keepLines/>
        <w:spacing w:before="93" w:beforeLines="30" w:line="360" w:lineRule="auto"/>
        <w:jc w:val="left"/>
        <w:outlineLvl w:val="2"/>
        <w:rPr>
          <w:rFonts w:eastAsia="黑体"/>
          <w:color w:val="auto"/>
          <w:sz w:val="24"/>
          <w:highlight w:val="none"/>
        </w:rPr>
      </w:pPr>
      <w:bookmarkStart w:id="156" w:name="_Toc15759"/>
      <w:r>
        <w:rPr>
          <w:rFonts w:eastAsia="黑体"/>
          <w:color w:val="auto"/>
          <w:sz w:val="24"/>
          <w:highlight w:val="none"/>
        </w:rPr>
        <w:t>4.1.3大气环境影响评价结论及建议</w:t>
      </w:r>
      <w:bookmarkEnd w:id="150"/>
      <w:bookmarkEnd w:id="151"/>
      <w:bookmarkEnd w:id="152"/>
      <w:bookmarkEnd w:id="153"/>
      <w:bookmarkEnd w:id="154"/>
      <w:bookmarkEnd w:id="155"/>
      <w:bookmarkEnd w:id="156"/>
    </w:p>
    <w:p>
      <w:pPr>
        <w:pStyle w:val="112"/>
        <w:rPr>
          <w:color w:val="auto"/>
          <w:highlight w:val="none"/>
        </w:rPr>
      </w:pPr>
      <w:r>
        <w:rPr>
          <w:rFonts w:hint="eastAsia"/>
          <w:color w:val="auto"/>
          <w:highlight w:val="none"/>
        </w:rPr>
        <w:t>4.1.3.1 污染物排放影响分析结果</w:t>
      </w:r>
    </w:p>
    <w:p>
      <w:pPr>
        <w:spacing w:line="360" w:lineRule="auto"/>
        <w:ind w:firstLine="480" w:firstLineChars="200"/>
        <w:rPr>
          <w:color w:val="auto"/>
          <w:sz w:val="24"/>
          <w:highlight w:val="none"/>
        </w:rPr>
      </w:pPr>
      <w:r>
        <w:rPr>
          <w:color w:val="auto"/>
          <w:sz w:val="24"/>
          <w:highlight w:val="none"/>
        </w:rPr>
        <w:t>由估算模式计算结果可知，本项目</w:t>
      </w:r>
      <w:r>
        <w:rPr>
          <w:color w:val="auto"/>
          <w:spacing w:val="8"/>
          <w:sz w:val="24"/>
          <w:highlight w:val="none"/>
        </w:rPr>
        <w:t>有组织、无组织排放各类污染物中最大占标率为</w:t>
      </w:r>
      <w:r>
        <w:rPr>
          <w:color w:val="auto"/>
          <w:sz w:val="24"/>
          <w:szCs w:val="24"/>
          <w:highlight w:val="none"/>
        </w:rPr>
        <w:t>无组织面源排放的VOCs Pmax值为</w:t>
      </w:r>
      <w:r>
        <w:rPr>
          <w:rFonts w:hint="eastAsia"/>
          <w:color w:val="auto"/>
          <w:sz w:val="24"/>
          <w:szCs w:val="24"/>
          <w:highlight w:val="none"/>
          <w:lang w:val="en-US" w:eastAsia="zh-CN"/>
        </w:rPr>
        <w:t>2.60</w:t>
      </w:r>
      <w:r>
        <w:rPr>
          <w:color w:val="auto"/>
          <w:sz w:val="24"/>
          <w:szCs w:val="24"/>
          <w:highlight w:val="none"/>
        </w:rPr>
        <w:t>%</w:t>
      </w:r>
      <w:r>
        <w:rPr>
          <w:color w:val="auto"/>
          <w:spacing w:val="8"/>
          <w:sz w:val="24"/>
          <w:highlight w:val="none"/>
        </w:rPr>
        <w:t>，为二级评价。</w:t>
      </w:r>
    </w:p>
    <w:p>
      <w:pPr>
        <w:pStyle w:val="112"/>
        <w:rPr>
          <w:color w:val="auto"/>
          <w:highlight w:val="none"/>
        </w:rPr>
      </w:pPr>
      <w:r>
        <w:rPr>
          <w:rFonts w:hint="eastAsia"/>
          <w:color w:val="auto"/>
          <w:highlight w:val="none"/>
        </w:rPr>
        <w:t>4.1.3.2 大气污染控制措施</w:t>
      </w:r>
    </w:p>
    <w:p>
      <w:pPr>
        <w:spacing w:line="360" w:lineRule="auto"/>
        <w:ind w:firstLine="480" w:firstLineChars="200"/>
        <w:rPr>
          <w:color w:val="auto"/>
          <w:sz w:val="24"/>
          <w:highlight w:val="none"/>
        </w:rPr>
      </w:pPr>
      <w:r>
        <w:rPr>
          <w:color w:val="auto"/>
          <w:sz w:val="24"/>
          <w:highlight w:val="none"/>
        </w:rPr>
        <w:t>由估算模式可知，经相应措施处理后项目废气均能达标排放，同时最终环境影响也符合环境功能区划要求。大气污染控制措施可行，项目废气处理应加强管理，防止因处理设施故障造成废气非正常排放。</w:t>
      </w:r>
    </w:p>
    <w:p>
      <w:pPr>
        <w:pStyle w:val="112"/>
        <w:rPr>
          <w:color w:val="auto"/>
          <w:highlight w:val="none"/>
        </w:rPr>
      </w:pPr>
      <w:r>
        <w:rPr>
          <w:rFonts w:hint="eastAsia"/>
          <w:color w:val="auto"/>
          <w:highlight w:val="none"/>
        </w:rPr>
        <w:t>4.1.3.3 大气环境影响评价结论</w:t>
      </w:r>
    </w:p>
    <w:p>
      <w:pPr>
        <w:spacing w:line="360" w:lineRule="auto"/>
        <w:ind w:firstLine="480" w:firstLineChars="200"/>
        <w:rPr>
          <w:rFonts w:eastAsia="黑体"/>
          <w:color w:val="auto"/>
          <w:sz w:val="24"/>
          <w:highlight w:val="none"/>
        </w:rPr>
      </w:pPr>
      <w:r>
        <w:rPr>
          <w:color w:val="auto"/>
          <w:sz w:val="24"/>
          <w:highlight w:val="none"/>
        </w:rPr>
        <w:t>综上所述，项目选址及总图布置合理可行，采取的污染控制措施可以保证污染物达标排放，大气环境影响评价级别为二级，不需要设置大气环境防护距离，项目废气对外界环境影响很小。</w:t>
      </w:r>
    </w:p>
    <w:p>
      <w:pPr>
        <w:tabs>
          <w:tab w:val="left" w:pos="720"/>
        </w:tabs>
        <w:spacing w:line="360" w:lineRule="auto"/>
        <w:ind w:firstLine="480" w:firstLineChars="200"/>
        <w:rPr>
          <w:color w:val="auto"/>
          <w:kern w:val="0"/>
          <w:sz w:val="24"/>
          <w:highlight w:val="none"/>
        </w:rPr>
      </w:pPr>
      <w:r>
        <w:rPr>
          <w:color w:val="auto"/>
          <w:kern w:val="0"/>
          <w:sz w:val="24"/>
          <w:highlight w:val="none"/>
        </w:rPr>
        <w:t>大气环境影响评价自查表详见表4.1-</w:t>
      </w:r>
      <w:r>
        <w:rPr>
          <w:rFonts w:hint="eastAsia"/>
          <w:color w:val="auto"/>
          <w:kern w:val="0"/>
          <w:sz w:val="24"/>
          <w:highlight w:val="none"/>
        </w:rPr>
        <w:t>19</w:t>
      </w:r>
      <w:r>
        <w:rPr>
          <w:color w:val="auto"/>
          <w:kern w:val="0"/>
          <w:sz w:val="24"/>
          <w:highlight w:val="none"/>
        </w:rPr>
        <w:t>。</w:t>
      </w:r>
    </w:p>
    <w:p>
      <w:pPr>
        <w:spacing w:line="360" w:lineRule="auto"/>
        <w:jc w:val="center"/>
        <w:rPr>
          <w:rFonts w:eastAsia="黑体"/>
          <w:color w:val="auto"/>
          <w:sz w:val="24"/>
          <w:highlight w:val="none"/>
        </w:rPr>
      </w:pPr>
      <w:r>
        <w:rPr>
          <w:rFonts w:eastAsia="黑体"/>
          <w:color w:val="auto"/>
          <w:sz w:val="24"/>
          <w:highlight w:val="none"/>
        </w:rPr>
        <w:t>表4.1-</w:t>
      </w:r>
      <w:r>
        <w:rPr>
          <w:rFonts w:hint="eastAsia" w:eastAsia="黑体"/>
          <w:color w:val="auto"/>
          <w:sz w:val="24"/>
          <w:highlight w:val="none"/>
        </w:rPr>
        <w:t>19</w:t>
      </w:r>
      <w:r>
        <w:rPr>
          <w:rFonts w:eastAsia="黑体"/>
          <w:color w:val="auto"/>
          <w:sz w:val="24"/>
          <w:highlight w:val="none"/>
        </w:rPr>
        <w:t xml:space="preserve">   大气环境影响评价自查表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49"/>
        <w:gridCol w:w="1447"/>
        <w:gridCol w:w="862"/>
        <w:gridCol w:w="83"/>
        <w:gridCol w:w="571"/>
        <w:gridCol w:w="115"/>
        <w:gridCol w:w="264"/>
        <w:gridCol w:w="962"/>
        <w:gridCol w:w="334"/>
        <w:gridCol w:w="27"/>
        <w:gridCol w:w="202"/>
        <w:gridCol w:w="515"/>
        <w:gridCol w:w="124"/>
        <w:gridCol w:w="219"/>
        <w:gridCol w:w="640"/>
        <w:gridCol w:w="97"/>
        <w:gridCol w:w="64"/>
        <w:gridCol w:w="278"/>
        <w:gridCol w:w="134"/>
        <w:gridCol w:w="310"/>
        <w:gridCol w:w="8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42" w:type="pct"/>
            <w:gridSpan w:val="2"/>
            <w:vAlign w:val="center"/>
          </w:tcPr>
          <w:p>
            <w:pPr>
              <w:spacing w:line="240" w:lineRule="exact"/>
              <w:jc w:val="center"/>
              <w:rPr>
                <w:color w:val="auto"/>
                <w:sz w:val="18"/>
                <w:szCs w:val="18"/>
                <w:highlight w:val="none"/>
              </w:rPr>
            </w:pPr>
            <w:r>
              <w:rPr>
                <w:color w:val="auto"/>
                <w:sz w:val="18"/>
                <w:szCs w:val="18"/>
                <w:highlight w:val="none"/>
              </w:rPr>
              <w:t>工作内容</w:t>
            </w:r>
          </w:p>
        </w:tc>
        <w:tc>
          <w:tcPr>
            <w:tcW w:w="3757" w:type="pct"/>
            <w:gridSpan w:val="19"/>
            <w:vAlign w:val="center"/>
          </w:tcPr>
          <w:p>
            <w:pPr>
              <w:spacing w:line="240" w:lineRule="exact"/>
              <w:jc w:val="center"/>
              <w:rPr>
                <w:color w:val="auto"/>
                <w:sz w:val="18"/>
                <w:szCs w:val="18"/>
                <w:highlight w:val="none"/>
              </w:rPr>
            </w:pPr>
            <w:r>
              <w:rPr>
                <w:color w:val="auto"/>
                <w:sz w:val="18"/>
                <w:szCs w:val="18"/>
                <w:highlight w:val="none"/>
              </w:rPr>
              <w:t>自查项目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4" w:type="pct"/>
            <w:vMerge w:val="restart"/>
            <w:vAlign w:val="center"/>
          </w:tcPr>
          <w:p>
            <w:pPr>
              <w:spacing w:line="240" w:lineRule="exact"/>
              <w:jc w:val="center"/>
              <w:rPr>
                <w:color w:val="auto"/>
                <w:sz w:val="18"/>
                <w:szCs w:val="18"/>
                <w:highlight w:val="none"/>
              </w:rPr>
            </w:pPr>
            <w:r>
              <w:rPr>
                <w:color w:val="auto"/>
                <w:sz w:val="18"/>
                <w:szCs w:val="18"/>
                <w:highlight w:val="none"/>
              </w:rPr>
              <w:t>评价等级与范围</w:t>
            </w:r>
          </w:p>
        </w:tc>
        <w:tc>
          <w:tcPr>
            <w:tcW w:w="817" w:type="pct"/>
            <w:vAlign w:val="center"/>
          </w:tcPr>
          <w:p>
            <w:pPr>
              <w:spacing w:line="240" w:lineRule="exact"/>
              <w:jc w:val="center"/>
              <w:rPr>
                <w:color w:val="auto"/>
                <w:sz w:val="18"/>
                <w:szCs w:val="18"/>
                <w:highlight w:val="none"/>
              </w:rPr>
            </w:pPr>
            <w:r>
              <w:rPr>
                <w:color w:val="auto"/>
                <w:sz w:val="18"/>
                <w:szCs w:val="18"/>
                <w:highlight w:val="none"/>
              </w:rPr>
              <w:t>评价等级</w:t>
            </w:r>
          </w:p>
        </w:tc>
        <w:tc>
          <w:tcPr>
            <w:tcW w:w="1071" w:type="pct"/>
            <w:gridSpan w:val="5"/>
            <w:vAlign w:val="center"/>
          </w:tcPr>
          <w:p>
            <w:pPr>
              <w:spacing w:line="240" w:lineRule="exact"/>
              <w:jc w:val="center"/>
              <w:rPr>
                <w:color w:val="auto"/>
                <w:sz w:val="18"/>
                <w:szCs w:val="18"/>
                <w:highlight w:val="none"/>
              </w:rPr>
            </w:pPr>
            <w:r>
              <w:rPr>
                <w:color w:val="auto"/>
                <w:sz w:val="18"/>
                <w:szCs w:val="18"/>
                <w:highlight w:val="none"/>
              </w:rPr>
              <w:t>一级□</w:t>
            </w:r>
          </w:p>
        </w:tc>
        <w:tc>
          <w:tcPr>
            <w:tcW w:w="1346" w:type="pct"/>
            <w:gridSpan w:val="7"/>
            <w:vAlign w:val="center"/>
          </w:tcPr>
          <w:p>
            <w:pPr>
              <w:spacing w:line="240" w:lineRule="exact"/>
              <w:jc w:val="center"/>
              <w:rPr>
                <w:color w:val="auto"/>
                <w:sz w:val="18"/>
                <w:szCs w:val="18"/>
                <w:highlight w:val="none"/>
              </w:rPr>
            </w:pPr>
            <w:r>
              <w:rPr>
                <w:color w:val="auto"/>
                <w:sz w:val="18"/>
                <w:szCs w:val="18"/>
                <w:highlight w:val="none"/>
              </w:rPr>
              <w:t>二级√</w:t>
            </w:r>
          </w:p>
        </w:tc>
        <w:tc>
          <w:tcPr>
            <w:tcW w:w="1339" w:type="pct"/>
            <w:gridSpan w:val="7"/>
            <w:vAlign w:val="center"/>
          </w:tcPr>
          <w:p>
            <w:pPr>
              <w:spacing w:line="240" w:lineRule="exact"/>
              <w:jc w:val="center"/>
              <w:rPr>
                <w:color w:val="auto"/>
                <w:sz w:val="18"/>
                <w:szCs w:val="18"/>
                <w:highlight w:val="none"/>
              </w:rPr>
            </w:pPr>
            <w:r>
              <w:rPr>
                <w:color w:val="auto"/>
                <w:sz w:val="18"/>
                <w:szCs w:val="18"/>
                <w:highlight w:val="none"/>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24" w:type="pct"/>
            <w:vMerge w:val="continue"/>
            <w:vAlign w:val="center"/>
          </w:tcPr>
          <w:p>
            <w:pPr>
              <w:widowControl/>
              <w:spacing w:line="240" w:lineRule="exact"/>
              <w:jc w:val="left"/>
              <w:rPr>
                <w:color w:val="auto"/>
                <w:sz w:val="18"/>
                <w:szCs w:val="18"/>
                <w:highlight w:val="none"/>
              </w:rPr>
            </w:pPr>
          </w:p>
        </w:tc>
        <w:tc>
          <w:tcPr>
            <w:tcW w:w="817" w:type="pct"/>
            <w:vAlign w:val="center"/>
          </w:tcPr>
          <w:p>
            <w:pPr>
              <w:spacing w:line="240" w:lineRule="exact"/>
              <w:jc w:val="center"/>
              <w:rPr>
                <w:color w:val="auto"/>
                <w:sz w:val="18"/>
                <w:szCs w:val="18"/>
                <w:highlight w:val="none"/>
              </w:rPr>
            </w:pPr>
            <w:r>
              <w:rPr>
                <w:color w:val="auto"/>
                <w:sz w:val="18"/>
                <w:szCs w:val="18"/>
                <w:highlight w:val="none"/>
              </w:rPr>
              <w:t>评价范围</w:t>
            </w:r>
          </w:p>
        </w:tc>
        <w:tc>
          <w:tcPr>
            <w:tcW w:w="1071" w:type="pct"/>
            <w:gridSpan w:val="5"/>
            <w:vAlign w:val="center"/>
          </w:tcPr>
          <w:p>
            <w:pPr>
              <w:spacing w:line="240" w:lineRule="exact"/>
              <w:jc w:val="center"/>
              <w:rPr>
                <w:color w:val="auto"/>
                <w:sz w:val="18"/>
                <w:szCs w:val="18"/>
                <w:highlight w:val="none"/>
              </w:rPr>
            </w:pPr>
            <w:r>
              <w:rPr>
                <w:color w:val="auto"/>
                <w:sz w:val="18"/>
                <w:szCs w:val="18"/>
                <w:highlight w:val="none"/>
              </w:rPr>
              <w:t>边长=50km □</w:t>
            </w:r>
          </w:p>
        </w:tc>
        <w:tc>
          <w:tcPr>
            <w:tcW w:w="1346" w:type="pct"/>
            <w:gridSpan w:val="7"/>
            <w:vAlign w:val="center"/>
          </w:tcPr>
          <w:p>
            <w:pPr>
              <w:spacing w:line="240" w:lineRule="exact"/>
              <w:jc w:val="center"/>
              <w:rPr>
                <w:color w:val="auto"/>
                <w:sz w:val="18"/>
                <w:szCs w:val="18"/>
                <w:highlight w:val="none"/>
              </w:rPr>
            </w:pPr>
            <w:r>
              <w:rPr>
                <w:color w:val="auto"/>
                <w:sz w:val="18"/>
                <w:szCs w:val="18"/>
                <w:highlight w:val="none"/>
              </w:rPr>
              <w:t xml:space="preserve">边长5~50km□ </w:t>
            </w:r>
          </w:p>
        </w:tc>
        <w:tc>
          <w:tcPr>
            <w:tcW w:w="1339" w:type="pct"/>
            <w:gridSpan w:val="7"/>
            <w:vAlign w:val="center"/>
          </w:tcPr>
          <w:p>
            <w:pPr>
              <w:spacing w:line="240" w:lineRule="exact"/>
              <w:jc w:val="center"/>
              <w:rPr>
                <w:color w:val="auto"/>
                <w:sz w:val="18"/>
                <w:szCs w:val="18"/>
                <w:highlight w:val="none"/>
              </w:rPr>
            </w:pPr>
            <w:r>
              <w:rPr>
                <w:color w:val="auto"/>
                <w:sz w:val="18"/>
                <w:szCs w:val="18"/>
                <w:highlight w:val="none"/>
              </w:rPr>
              <w:t>边长=5km√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4" w:type="pct"/>
            <w:vMerge w:val="restart"/>
            <w:vAlign w:val="center"/>
          </w:tcPr>
          <w:p>
            <w:pPr>
              <w:spacing w:line="240" w:lineRule="exact"/>
              <w:jc w:val="center"/>
              <w:rPr>
                <w:color w:val="auto"/>
                <w:sz w:val="18"/>
                <w:szCs w:val="18"/>
                <w:highlight w:val="none"/>
              </w:rPr>
            </w:pPr>
            <w:r>
              <w:rPr>
                <w:color w:val="auto"/>
                <w:sz w:val="18"/>
                <w:szCs w:val="18"/>
                <w:highlight w:val="none"/>
              </w:rPr>
              <w:t>评价因子</w:t>
            </w:r>
          </w:p>
        </w:tc>
        <w:tc>
          <w:tcPr>
            <w:tcW w:w="817" w:type="pct"/>
            <w:vAlign w:val="center"/>
          </w:tcPr>
          <w:p>
            <w:pPr>
              <w:spacing w:line="240" w:lineRule="exact"/>
              <w:jc w:val="center"/>
              <w:rPr>
                <w:color w:val="auto"/>
                <w:sz w:val="18"/>
                <w:szCs w:val="18"/>
                <w:highlight w:val="none"/>
              </w:rPr>
            </w:pPr>
            <w:r>
              <w:rPr>
                <w:color w:val="auto"/>
                <w:sz w:val="18"/>
                <w:szCs w:val="18"/>
                <w:highlight w:val="none"/>
              </w:rPr>
              <w:t>SO</w:t>
            </w:r>
            <w:r>
              <w:rPr>
                <w:color w:val="auto"/>
                <w:sz w:val="18"/>
                <w:szCs w:val="18"/>
                <w:highlight w:val="none"/>
                <w:vertAlign w:val="subscript"/>
              </w:rPr>
              <w:t>2</w:t>
            </w:r>
            <w:r>
              <w:rPr>
                <w:color w:val="auto"/>
                <w:sz w:val="18"/>
                <w:szCs w:val="18"/>
                <w:highlight w:val="none"/>
              </w:rPr>
              <w:t>+NO</w:t>
            </w:r>
            <w:r>
              <w:rPr>
                <w:color w:val="auto"/>
                <w:sz w:val="18"/>
                <w:szCs w:val="18"/>
                <w:highlight w:val="none"/>
                <w:vertAlign w:val="subscript"/>
              </w:rPr>
              <w:t>x</w:t>
            </w:r>
            <w:r>
              <w:rPr>
                <w:color w:val="auto"/>
                <w:sz w:val="18"/>
                <w:szCs w:val="18"/>
                <w:highlight w:val="none"/>
              </w:rPr>
              <w:t>排放量</w:t>
            </w:r>
          </w:p>
        </w:tc>
        <w:tc>
          <w:tcPr>
            <w:tcW w:w="1071" w:type="pct"/>
            <w:gridSpan w:val="5"/>
            <w:vAlign w:val="center"/>
          </w:tcPr>
          <w:p>
            <w:pPr>
              <w:spacing w:line="240" w:lineRule="exact"/>
              <w:jc w:val="center"/>
              <w:rPr>
                <w:color w:val="auto"/>
                <w:sz w:val="18"/>
                <w:szCs w:val="18"/>
                <w:highlight w:val="none"/>
              </w:rPr>
            </w:pPr>
            <w:r>
              <w:rPr>
                <w:color w:val="auto"/>
                <w:sz w:val="18"/>
                <w:szCs w:val="18"/>
                <w:highlight w:val="none"/>
              </w:rPr>
              <w:t>≥2000t/a □</w:t>
            </w:r>
          </w:p>
        </w:tc>
        <w:tc>
          <w:tcPr>
            <w:tcW w:w="1346" w:type="pct"/>
            <w:gridSpan w:val="7"/>
            <w:vAlign w:val="center"/>
          </w:tcPr>
          <w:p>
            <w:pPr>
              <w:spacing w:line="240" w:lineRule="exact"/>
              <w:jc w:val="center"/>
              <w:rPr>
                <w:color w:val="auto"/>
                <w:sz w:val="18"/>
                <w:szCs w:val="18"/>
                <w:highlight w:val="none"/>
              </w:rPr>
            </w:pPr>
            <w:r>
              <w:rPr>
                <w:color w:val="auto"/>
                <w:sz w:val="18"/>
                <w:szCs w:val="18"/>
                <w:highlight w:val="none"/>
              </w:rPr>
              <w:t>500~2000t/a □</w:t>
            </w:r>
          </w:p>
        </w:tc>
        <w:tc>
          <w:tcPr>
            <w:tcW w:w="1339" w:type="pct"/>
            <w:gridSpan w:val="7"/>
            <w:vAlign w:val="center"/>
          </w:tcPr>
          <w:p>
            <w:pPr>
              <w:spacing w:line="240" w:lineRule="exact"/>
              <w:jc w:val="center"/>
              <w:rPr>
                <w:color w:val="auto"/>
                <w:sz w:val="18"/>
                <w:szCs w:val="18"/>
                <w:highlight w:val="none"/>
              </w:rPr>
            </w:pPr>
            <w:r>
              <w:rPr>
                <w:color w:val="auto"/>
                <w:sz w:val="18"/>
                <w:szCs w:val="18"/>
                <w:highlight w:val="none"/>
              </w:rPr>
              <w:t>＜500t/a√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4" w:type="pct"/>
            <w:vMerge w:val="continue"/>
            <w:vAlign w:val="center"/>
          </w:tcPr>
          <w:p>
            <w:pPr>
              <w:widowControl/>
              <w:spacing w:line="240" w:lineRule="exact"/>
              <w:jc w:val="left"/>
              <w:rPr>
                <w:color w:val="auto"/>
                <w:sz w:val="18"/>
                <w:szCs w:val="18"/>
                <w:highlight w:val="none"/>
              </w:rPr>
            </w:pPr>
          </w:p>
        </w:tc>
        <w:tc>
          <w:tcPr>
            <w:tcW w:w="817" w:type="pct"/>
            <w:vAlign w:val="center"/>
          </w:tcPr>
          <w:p>
            <w:pPr>
              <w:spacing w:line="240" w:lineRule="exact"/>
              <w:jc w:val="center"/>
              <w:rPr>
                <w:color w:val="auto"/>
                <w:sz w:val="18"/>
                <w:szCs w:val="18"/>
                <w:highlight w:val="none"/>
              </w:rPr>
            </w:pPr>
            <w:r>
              <w:rPr>
                <w:color w:val="auto"/>
                <w:sz w:val="18"/>
                <w:szCs w:val="18"/>
                <w:highlight w:val="none"/>
              </w:rPr>
              <w:t>评价因子</w:t>
            </w:r>
          </w:p>
        </w:tc>
        <w:tc>
          <w:tcPr>
            <w:tcW w:w="2418" w:type="pct"/>
            <w:gridSpan w:val="12"/>
            <w:vAlign w:val="center"/>
          </w:tcPr>
          <w:p>
            <w:pPr>
              <w:spacing w:line="240" w:lineRule="exact"/>
              <w:jc w:val="center"/>
              <w:rPr>
                <w:color w:val="auto"/>
                <w:sz w:val="18"/>
                <w:szCs w:val="18"/>
                <w:highlight w:val="none"/>
              </w:rPr>
            </w:pPr>
            <w:r>
              <w:rPr>
                <w:color w:val="auto"/>
                <w:sz w:val="18"/>
                <w:szCs w:val="18"/>
                <w:highlight w:val="none"/>
              </w:rPr>
              <w:t>基本污染物（SO</w:t>
            </w:r>
            <w:r>
              <w:rPr>
                <w:color w:val="auto"/>
                <w:sz w:val="18"/>
                <w:szCs w:val="18"/>
                <w:highlight w:val="none"/>
                <w:vertAlign w:val="subscript"/>
              </w:rPr>
              <w:t>2</w:t>
            </w:r>
            <w:r>
              <w:rPr>
                <w:color w:val="auto"/>
                <w:sz w:val="18"/>
                <w:szCs w:val="18"/>
                <w:highlight w:val="none"/>
              </w:rPr>
              <w:t>、NOx、PM</w:t>
            </w:r>
            <w:r>
              <w:rPr>
                <w:color w:val="auto"/>
                <w:sz w:val="18"/>
                <w:szCs w:val="18"/>
                <w:highlight w:val="none"/>
                <w:vertAlign w:val="subscript"/>
              </w:rPr>
              <w:t>10</w:t>
            </w:r>
            <w:r>
              <w:rPr>
                <w:color w:val="auto"/>
                <w:sz w:val="18"/>
                <w:szCs w:val="18"/>
                <w:highlight w:val="none"/>
              </w:rPr>
              <w:t>）</w:t>
            </w:r>
          </w:p>
          <w:p>
            <w:pPr>
              <w:spacing w:line="240" w:lineRule="exact"/>
              <w:jc w:val="center"/>
              <w:rPr>
                <w:color w:val="auto"/>
                <w:sz w:val="18"/>
                <w:szCs w:val="18"/>
                <w:highlight w:val="none"/>
              </w:rPr>
            </w:pPr>
            <w:r>
              <w:rPr>
                <w:color w:val="auto"/>
                <w:sz w:val="18"/>
                <w:szCs w:val="18"/>
                <w:highlight w:val="none"/>
              </w:rPr>
              <w:t>其他污染物（VOCs（以非甲烷总烃计）、</w:t>
            </w:r>
            <w:r>
              <w:rPr>
                <w:rFonts w:hint="eastAsia"/>
                <w:color w:val="auto"/>
                <w:sz w:val="18"/>
                <w:szCs w:val="18"/>
                <w:highlight w:val="none"/>
              </w:rPr>
              <w:t>TSP</w:t>
            </w:r>
            <w:r>
              <w:rPr>
                <w:color w:val="auto"/>
                <w:sz w:val="18"/>
                <w:szCs w:val="18"/>
                <w:highlight w:val="none"/>
              </w:rPr>
              <w:t>）</w:t>
            </w:r>
          </w:p>
        </w:tc>
        <w:tc>
          <w:tcPr>
            <w:tcW w:w="1339" w:type="pct"/>
            <w:gridSpan w:val="7"/>
            <w:vAlign w:val="center"/>
          </w:tcPr>
          <w:p>
            <w:pPr>
              <w:spacing w:line="240" w:lineRule="exact"/>
              <w:jc w:val="center"/>
              <w:rPr>
                <w:color w:val="auto"/>
                <w:sz w:val="18"/>
                <w:szCs w:val="18"/>
                <w:highlight w:val="none"/>
              </w:rPr>
            </w:pPr>
            <w:r>
              <w:rPr>
                <w:color w:val="auto"/>
                <w:sz w:val="18"/>
                <w:szCs w:val="18"/>
                <w:highlight w:val="none"/>
              </w:rPr>
              <w:t>包括二次PM2.5□</w:t>
            </w:r>
          </w:p>
          <w:p>
            <w:pPr>
              <w:spacing w:line="240" w:lineRule="exact"/>
              <w:jc w:val="center"/>
              <w:rPr>
                <w:color w:val="auto"/>
                <w:sz w:val="18"/>
                <w:szCs w:val="18"/>
                <w:highlight w:val="none"/>
              </w:rPr>
            </w:pPr>
            <w:r>
              <w:rPr>
                <w:color w:val="auto"/>
                <w:sz w:val="18"/>
                <w:szCs w:val="18"/>
                <w:highlight w:val="none"/>
              </w:rPr>
              <w:t>不包括二次PM2.5√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4" w:type="pct"/>
            <w:vAlign w:val="center"/>
          </w:tcPr>
          <w:p>
            <w:pPr>
              <w:spacing w:line="240" w:lineRule="exact"/>
              <w:jc w:val="center"/>
              <w:rPr>
                <w:color w:val="auto"/>
                <w:sz w:val="18"/>
                <w:szCs w:val="18"/>
                <w:highlight w:val="none"/>
              </w:rPr>
            </w:pPr>
            <w:r>
              <w:rPr>
                <w:color w:val="auto"/>
                <w:sz w:val="18"/>
                <w:szCs w:val="18"/>
                <w:highlight w:val="none"/>
              </w:rPr>
              <w:t>评价标准</w:t>
            </w:r>
          </w:p>
        </w:tc>
        <w:tc>
          <w:tcPr>
            <w:tcW w:w="817" w:type="pct"/>
            <w:vAlign w:val="center"/>
          </w:tcPr>
          <w:p>
            <w:pPr>
              <w:spacing w:line="240" w:lineRule="exact"/>
              <w:jc w:val="center"/>
              <w:rPr>
                <w:color w:val="auto"/>
                <w:sz w:val="18"/>
                <w:szCs w:val="18"/>
                <w:highlight w:val="none"/>
              </w:rPr>
            </w:pPr>
            <w:r>
              <w:rPr>
                <w:color w:val="auto"/>
                <w:sz w:val="18"/>
                <w:szCs w:val="18"/>
                <w:highlight w:val="none"/>
              </w:rPr>
              <w:t>评价标准</w:t>
            </w:r>
          </w:p>
        </w:tc>
        <w:tc>
          <w:tcPr>
            <w:tcW w:w="857" w:type="pct"/>
            <w:gridSpan w:val="3"/>
            <w:vAlign w:val="center"/>
          </w:tcPr>
          <w:p>
            <w:pPr>
              <w:spacing w:line="240" w:lineRule="exact"/>
              <w:jc w:val="center"/>
              <w:rPr>
                <w:color w:val="auto"/>
                <w:sz w:val="18"/>
                <w:szCs w:val="18"/>
                <w:highlight w:val="none"/>
              </w:rPr>
            </w:pPr>
            <w:r>
              <w:rPr>
                <w:color w:val="auto"/>
                <w:sz w:val="18"/>
                <w:szCs w:val="18"/>
                <w:highlight w:val="none"/>
              </w:rPr>
              <w:t>国家标准√</w:t>
            </w:r>
          </w:p>
        </w:tc>
        <w:tc>
          <w:tcPr>
            <w:tcW w:w="962" w:type="pct"/>
            <w:gridSpan w:val="5"/>
            <w:vAlign w:val="center"/>
          </w:tcPr>
          <w:p>
            <w:pPr>
              <w:spacing w:line="240" w:lineRule="exact"/>
              <w:jc w:val="center"/>
              <w:rPr>
                <w:color w:val="auto"/>
                <w:sz w:val="18"/>
                <w:szCs w:val="18"/>
                <w:highlight w:val="none"/>
              </w:rPr>
            </w:pPr>
            <w:r>
              <w:rPr>
                <w:color w:val="auto"/>
                <w:sz w:val="18"/>
                <w:szCs w:val="18"/>
                <w:highlight w:val="none"/>
              </w:rPr>
              <w:t>地方标准□</w:t>
            </w:r>
          </w:p>
        </w:tc>
        <w:tc>
          <w:tcPr>
            <w:tcW w:w="961" w:type="pct"/>
            <w:gridSpan w:val="5"/>
            <w:vAlign w:val="center"/>
          </w:tcPr>
          <w:p>
            <w:pPr>
              <w:spacing w:line="240" w:lineRule="exact"/>
              <w:jc w:val="center"/>
              <w:rPr>
                <w:color w:val="auto"/>
                <w:sz w:val="18"/>
                <w:szCs w:val="18"/>
                <w:highlight w:val="none"/>
              </w:rPr>
            </w:pPr>
            <w:r>
              <w:rPr>
                <w:color w:val="auto"/>
                <w:sz w:val="18"/>
                <w:szCs w:val="18"/>
                <w:highlight w:val="none"/>
              </w:rPr>
              <w:t>附录D√</w:t>
            </w:r>
          </w:p>
        </w:tc>
        <w:tc>
          <w:tcPr>
            <w:tcW w:w="976" w:type="pct"/>
            <w:gridSpan w:val="6"/>
            <w:vAlign w:val="center"/>
          </w:tcPr>
          <w:p>
            <w:pPr>
              <w:spacing w:line="240" w:lineRule="exact"/>
              <w:jc w:val="center"/>
              <w:rPr>
                <w:color w:val="auto"/>
                <w:sz w:val="18"/>
                <w:szCs w:val="18"/>
                <w:highlight w:val="none"/>
              </w:rPr>
            </w:pPr>
            <w:r>
              <w:rPr>
                <w:color w:val="auto"/>
                <w:sz w:val="18"/>
                <w:szCs w:val="18"/>
                <w:highlight w:val="none"/>
              </w:rPr>
              <w:t>其他标准√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4" w:type="pct"/>
            <w:vMerge w:val="restart"/>
            <w:vAlign w:val="center"/>
          </w:tcPr>
          <w:p>
            <w:pPr>
              <w:spacing w:line="240" w:lineRule="exact"/>
              <w:jc w:val="center"/>
              <w:rPr>
                <w:color w:val="auto"/>
                <w:sz w:val="18"/>
                <w:szCs w:val="18"/>
                <w:highlight w:val="none"/>
              </w:rPr>
            </w:pPr>
            <w:r>
              <w:rPr>
                <w:color w:val="auto"/>
                <w:sz w:val="18"/>
                <w:szCs w:val="18"/>
                <w:highlight w:val="none"/>
              </w:rPr>
              <w:t>现状评价</w:t>
            </w:r>
          </w:p>
        </w:tc>
        <w:tc>
          <w:tcPr>
            <w:tcW w:w="817" w:type="pct"/>
            <w:vAlign w:val="center"/>
          </w:tcPr>
          <w:p>
            <w:pPr>
              <w:spacing w:line="240" w:lineRule="exact"/>
              <w:jc w:val="center"/>
              <w:rPr>
                <w:color w:val="auto"/>
                <w:sz w:val="18"/>
                <w:szCs w:val="18"/>
                <w:highlight w:val="none"/>
              </w:rPr>
            </w:pPr>
            <w:r>
              <w:rPr>
                <w:color w:val="auto"/>
                <w:sz w:val="18"/>
                <w:szCs w:val="18"/>
                <w:highlight w:val="none"/>
              </w:rPr>
              <w:t>环境功能区</w:t>
            </w:r>
          </w:p>
        </w:tc>
        <w:tc>
          <w:tcPr>
            <w:tcW w:w="1071" w:type="pct"/>
            <w:gridSpan w:val="5"/>
            <w:vAlign w:val="center"/>
          </w:tcPr>
          <w:p>
            <w:pPr>
              <w:spacing w:line="240" w:lineRule="exact"/>
              <w:jc w:val="center"/>
              <w:rPr>
                <w:color w:val="auto"/>
                <w:sz w:val="18"/>
                <w:szCs w:val="18"/>
                <w:highlight w:val="none"/>
              </w:rPr>
            </w:pPr>
            <w:r>
              <w:rPr>
                <w:color w:val="auto"/>
                <w:sz w:val="18"/>
                <w:szCs w:val="18"/>
                <w:highlight w:val="none"/>
              </w:rPr>
              <w:t>一类区□</w:t>
            </w:r>
          </w:p>
        </w:tc>
        <w:tc>
          <w:tcPr>
            <w:tcW w:w="1346" w:type="pct"/>
            <w:gridSpan w:val="7"/>
            <w:vAlign w:val="center"/>
          </w:tcPr>
          <w:p>
            <w:pPr>
              <w:spacing w:line="240" w:lineRule="exact"/>
              <w:jc w:val="center"/>
              <w:rPr>
                <w:color w:val="auto"/>
                <w:sz w:val="18"/>
                <w:szCs w:val="18"/>
                <w:highlight w:val="none"/>
              </w:rPr>
            </w:pPr>
            <w:r>
              <w:rPr>
                <w:color w:val="auto"/>
                <w:sz w:val="18"/>
                <w:szCs w:val="18"/>
                <w:highlight w:val="none"/>
              </w:rPr>
              <w:t>二类区√</w:t>
            </w:r>
          </w:p>
        </w:tc>
        <w:tc>
          <w:tcPr>
            <w:tcW w:w="1339" w:type="pct"/>
            <w:gridSpan w:val="7"/>
            <w:vAlign w:val="center"/>
          </w:tcPr>
          <w:p>
            <w:pPr>
              <w:spacing w:line="240" w:lineRule="exact"/>
              <w:jc w:val="center"/>
              <w:rPr>
                <w:color w:val="auto"/>
                <w:sz w:val="18"/>
                <w:szCs w:val="18"/>
                <w:highlight w:val="none"/>
              </w:rPr>
            </w:pPr>
            <w:r>
              <w:rPr>
                <w:color w:val="auto"/>
                <w:sz w:val="18"/>
                <w:szCs w:val="18"/>
                <w:highlight w:val="none"/>
              </w:rPr>
              <w:t>一类区和二类区□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4" w:type="pct"/>
            <w:vMerge w:val="continue"/>
            <w:vAlign w:val="center"/>
          </w:tcPr>
          <w:p>
            <w:pPr>
              <w:widowControl/>
              <w:spacing w:line="240" w:lineRule="exact"/>
              <w:jc w:val="left"/>
              <w:rPr>
                <w:color w:val="auto"/>
                <w:sz w:val="18"/>
                <w:szCs w:val="18"/>
                <w:highlight w:val="none"/>
              </w:rPr>
            </w:pPr>
          </w:p>
        </w:tc>
        <w:tc>
          <w:tcPr>
            <w:tcW w:w="817" w:type="pct"/>
            <w:vAlign w:val="center"/>
          </w:tcPr>
          <w:p>
            <w:pPr>
              <w:spacing w:line="240" w:lineRule="exact"/>
              <w:jc w:val="center"/>
              <w:rPr>
                <w:color w:val="auto"/>
                <w:sz w:val="18"/>
                <w:szCs w:val="18"/>
                <w:highlight w:val="none"/>
              </w:rPr>
            </w:pPr>
            <w:r>
              <w:rPr>
                <w:color w:val="auto"/>
                <w:sz w:val="18"/>
                <w:szCs w:val="18"/>
                <w:highlight w:val="none"/>
              </w:rPr>
              <w:t>评价基准年</w:t>
            </w:r>
          </w:p>
        </w:tc>
        <w:tc>
          <w:tcPr>
            <w:tcW w:w="3757" w:type="pct"/>
            <w:gridSpan w:val="19"/>
            <w:vAlign w:val="center"/>
          </w:tcPr>
          <w:p>
            <w:pPr>
              <w:spacing w:line="240" w:lineRule="exact"/>
              <w:jc w:val="center"/>
              <w:rPr>
                <w:color w:val="auto"/>
                <w:sz w:val="18"/>
                <w:szCs w:val="18"/>
                <w:highlight w:val="none"/>
              </w:rPr>
            </w:pPr>
            <w:r>
              <w:rPr>
                <w:color w:val="auto"/>
                <w:sz w:val="18"/>
                <w:szCs w:val="18"/>
                <w:highlight w:val="none"/>
              </w:rPr>
              <w:t>（20</w:t>
            </w:r>
            <w:r>
              <w:rPr>
                <w:rFonts w:hint="eastAsia"/>
                <w:color w:val="auto"/>
                <w:sz w:val="18"/>
                <w:szCs w:val="18"/>
                <w:highlight w:val="none"/>
              </w:rPr>
              <w:t>2</w:t>
            </w:r>
            <w:r>
              <w:rPr>
                <w:rFonts w:hint="eastAsia"/>
                <w:color w:val="auto"/>
                <w:sz w:val="18"/>
                <w:szCs w:val="18"/>
                <w:highlight w:val="none"/>
                <w:lang w:val="en-US" w:eastAsia="zh-CN"/>
              </w:rPr>
              <w:t>1</w:t>
            </w:r>
            <w:r>
              <w:rPr>
                <w:color w:val="auto"/>
                <w:sz w:val="18"/>
                <w:szCs w:val="18"/>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4" w:type="pct"/>
            <w:vMerge w:val="continue"/>
            <w:vAlign w:val="center"/>
          </w:tcPr>
          <w:p>
            <w:pPr>
              <w:widowControl/>
              <w:spacing w:line="240" w:lineRule="exact"/>
              <w:jc w:val="left"/>
              <w:rPr>
                <w:color w:val="auto"/>
                <w:sz w:val="18"/>
                <w:szCs w:val="18"/>
                <w:highlight w:val="none"/>
              </w:rPr>
            </w:pPr>
          </w:p>
        </w:tc>
        <w:tc>
          <w:tcPr>
            <w:tcW w:w="817" w:type="pct"/>
            <w:vAlign w:val="center"/>
          </w:tcPr>
          <w:p>
            <w:pPr>
              <w:spacing w:line="240" w:lineRule="exact"/>
              <w:jc w:val="center"/>
              <w:rPr>
                <w:color w:val="auto"/>
                <w:sz w:val="18"/>
                <w:szCs w:val="18"/>
                <w:highlight w:val="none"/>
              </w:rPr>
            </w:pPr>
            <w:r>
              <w:rPr>
                <w:color w:val="auto"/>
                <w:sz w:val="18"/>
                <w:szCs w:val="18"/>
                <w:highlight w:val="none"/>
              </w:rPr>
              <w:t>环境空气质量现状调查数据来源</w:t>
            </w:r>
          </w:p>
        </w:tc>
        <w:tc>
          <w:tcPr>
            <w:tcW w:w="1071" w:type="pct"/>
            <w:gridSpan w:val="5"/>
            <w:vAlign w:val="center"/>
          </w:tcPr>
          <w:p>
            <w:pPr>
              <w:spacing w:line="240" w:lineRule="exact"/>
              <w:jc w:val="center"/>
              <w:rPr>
                <w:color w:val="auto"/>
                <w:sz w:val="18"/>
                <w:szCs w:val="18"/>
                <w:highlight w:val="none"/>
              </w:rPr>
            </w:pPr>
            <w:r>
              <w:rPr>
                <w:color w:val="auto"/>
                <w:sz w:val="18"/>
                <w:szCs w:val="18"/>
                <w:highlight w:val="none"/>
              </w:rPr>
              <w:t>长期例行监测数据□</w:t>
            </w:r>
          </w:p>
        </w:tc>
        <w:tc>
          <w:tcPr>
            <w:tcW w:w="1346" w:type="pct"/>
            <w:gridSpan w:val="7"/>
            <w:vAlign w:val="center"/>
          </w:tcPr>
          <w:p>
            <w:pPr>
              <w:spacing w:line="240" w:lineRule="exact"/>
              <w:jc w:val="center"/>
              <w:rPr>
                <w:color w:val="auto"/>
                <w:sz w:val="18"/>
                <w:szCs w:val="18"/>
                <w:highlight w:val="none"/>
              </w:rPr>
            </w:pPr>
            <w:r>
              <w:rPr>
                <w:color w:val="auto"/>
                <w:sz w:val="18"/>
                <w:szCs w:val="18"/>
                <w:highlight w:val="none"/>
              </w:rPr>
              <w:t>主管部门发布的数据√</w:t>
            </w:r>
          </w:p>
        </w:tc>
        <w:tc>
          <w:tcPr>
            <w:tcW w:w="1339" w:type="pct"/>
            <w:gridSpan w:val="7"/>
            <w:vAlign w:val="center"/>
          </w:tcPr>
          <w:p>
            <w:pPr>
              <w:spacing w:line="240" w:lineRule="exact"/>
              <w:jc w:val="center"/>
              <w:rPr>
                <w:color w:val="auto"/>
                <w:sz w:val="18"/>
                <w:szCs w:val="18"/>
                <w:highlight w:val="none"/>
              </w:rPr>
            </w:pPr>
            <w:r>
              <w:rPr>
                <w:color w:val="auto"/>
                <w:sz w:val="18"/>
                <w:szCs w:val="18"/>
                <w:highlight w:val="none"/>
              </w:rPr>
              <w:t>现状补充监测√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24" w:type="pct"/>
            <w:vMerge w:val="continue"/>
            <w:vAlign w:val="center"/>
          </w:tcPr>
          <w:p>
            <w:pPr>
              <w:widowControl/>
              <w:spacing w:line="240" w:lineRule="exact"/>
              <w:jc w:val="left"/>
              <w:rPr>
                <w:color w:val="auto"/>
                <w:sz w:val="18"/>
                <w:szCs w:val="18"/>
                <w:highlight w:val="none"/>
              </w:rPr>
            </w:pPr>
          </w:p>
        </w:tc>
        <w:tc>
          <w:tcPr>
            <w:tcW w:w="817" w:type="pct"/>
            <w:vAlign w:val="center"/>
          </w:tcPr>
          <w:p>
            <w:pPr>
              <w:spacing w:line="240" w:lineRule="exact"/>
              <w:jc w:val="center"/>
              <w:rPr>
                <w:color w:val="auto"/>
                <w:sz w:val="18"/>
                <w:szCs w:val="18"/>
                <w:highlight w:val="none"/>
              </w:rPr>
            </w:pPr>
            <w:r>
              <w:rPr>
                <w:color w:val="auto"/>
                <w:sz w:val="18"/>
                <w:szCs w:val="18"/>
                <w:highlight w:val="none"/>
              </w:rPr>
              <w:t>现状评价</w:t>
            </w:r>
          </w:p>
        </w:tc>
        <w:tc>
          <w:tcPr>
            <w:tcW w:w="2418" w:type="pct"/>
            <w:gridSpan w:val="12"/>
            <w:vAlign w:val="center"/>
          </w:tcPr>
          <w:p>
            <w:pPr>
              <w:spacing w:line="240" w:lineRule="exact"/>
              <w:jc w:val="center"/>
              <w:rPr>
                <w:color w:val="auto"/>
                <w:sz w:val="18"/>
                <w:szCs w:val="18"/>
                <w:highlight w:val="none"/>
              </w:rPr>
            </w:pPr>
            <w:r>
              <w:rPr>
                <w:color w:val="auto"/>
                <w:sz w:val="18"/>
                <w:szCs w:val="18"/>
                <w:highlight w:val="none"/>
              </w:rPr>
              <w:t>达标区□</w:t>
            </w:r>
          </w:p>
        </w:tc>
        <w:tc>
          <w:tcPr>
            <w:tcW w:w="1339" w:type="pct"/>
            <w:gridSpan w:val="7"/>
            <w:vAlign w:val="center"/>
          </w:tcPr>
          <w:p>
            <w:pPr>
              <w:spacing w:line="240" w:lineRule="exact"/>
              <w:jc w:val="center"/>
              <w:rPr>
                <w:color w:val="auto"/>
                <w:sz w:val="18"/>
                <w:szCs w:val="18"/>
                <w:highlight w:val="none"/>
              </w:rPr>
            </w:pPr>
            <w:r>
              <w:rPr>
                <w:color w:val="auto"/>
                <w:sz w:val="18"/>
                <w:szCs w:val="18"/>
                <w:highlight w:val="none"/>
              </w:rPr>
              <w:t>不达标区√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4" w:type="pct"/>
            <w:vAlign w:val="center"/>
          </w:tcPr>
          <w:p>
            <w:pPr>
              <w:spacing w:line="240" w:lineRule="exact"/>
              <w:jc w:val="center"/>
              <w:rPr>
                <w:color w:val="auto"/>
                <w:sz w:val="18"/>
                <w:szCs w:val="18"/>
                <w:highlight w:val="none"/>
              </w:rPr>
            </w:pPr>
            <w:r>
              <w:rPr>
                <w:color w:val="auto"/>
                <w:sz w:val="18"/>
                <w:szCs w:val="18"/>
                <w:highlight w:val="none"/>
              </w:rPr>
              <w:t>污染源</w:t>
            </w:r>
          </w:p>
          <w:p>
            <w:pPr>
              <w:spacing w:line="240" w:lineRule="exact"/>
              <w:jc w:val="center"/>
              <w:rPr>
                <w:color w:val="auto"/>
                <w:sz w:val="18"/>
                <w:szCs w:val="18"/>
                <w:highlight w:val="none"/>
              </w:rPr>
            </w:pPr>
            <w:r>
              <w:rPr>
                <w:color w:val="auto"/>
                <w:sz w:val="18"/>
                <w:szCs w:val="18"/>
                <w:highlight w:val="none"/>
              </w:rPr>
              <w:t>调查</w:t>
            </w:r>
          </w:p>
        </w:tc>
        <w:tc>
          <w:tcPr>
            <w:tcW w:w="817" w:type="pct"/>
            <w:vAlign w:val="center"/>
          </w:tcPr>
          <w:p>
            <w:pPr>
              <w:spacing w:line="240" w:lineRule="exact"/>
              <w:jc w:val="center"/>
              <w:rPr>
                <w:color w:val="auto"/>
                <w:sz w:val="18"/>
                <w:szCs w:val="18"/>
                <w:highlight w:val="none"/>
              </w:rPr>
            </w:pPr>
            <w:r>
              <w:rPr>
                <w:color w:val="auto"/>
                <w:sz w:val="18"/>
                <w:szCs w:val="18"/>
                <w:highlight w:val="none"/>
              </w:rPr>
              <w:t>调查内容</w:t>
            </w:r>
          </w:p>
        </w:tc>
        <w:tc>
          <w:tcPr>
            <w:tcW w:w="1071" w:type="pct"/>
            <w:gridSpan w:val="5"/>
            <w:vAlign w:val="center"/>
          </w:tcPr>
          <w:p>
            <w:pPr>
              <w:spacing w:line="240" w:lineRule="exact"/>
              <w:jc w:val="right"/>
              <w:rPr>
                <w:color w:val="auto"/>
                <w:sz w:val="18"/>
                <w:szCs w:val="18"/>
                <w:highlight w:val="none"/>
              </w:rPr>
            </w:pPr>
            <w:r>
              <w:rPr>
                <w:color w:val="auto"/>
                <w:sz w:val="18"/>
                <w:szCs w:val="18"/>
                <w:highlight w:val="none"/>
              </w:rPr>
              <w:t>本项目正常排放源√</w:t>
            </w:r>
          </w:p>
          <w:p>
            <w:pPr>
              <w:spacing w:line="240" w:lineRule="exact"/>
              <w:jc w:val="right"/>
              <w:rPr>
                <w:color w:val="auto"/>
                <w:sz w:val="18"/>
                <w:szCs w:val="18"/>
                <w:highlight w:val="none"/>
              </w:rPr>
            </w:pPr>
            <w:r>
              <w:rPr>
                <w:color w:val="auto"/>
                <w:sz w:val="18"/>
                <w:szCs w:val="18"/>
                <w:highlight w:val="none"/>
              </w:rPr>
              <w:t>本项目非正常排放源√</w:t>
            </w:r>
          </w:p>
          <w:p>
            <w:pPr>
              <w:spacing w:line="240" w:lineRule="exact"/>
              <w:jc w:val="right"/>
              <w:rPr>
                <w:color w:val="auto"/>
                <w:sz w:val="18"/>
                <w:szCs w:val="18"/>
                <w:highlight w:val="none"/>
              </w:rPr>
            </w:pPr>
            <w:r>
              <w:rPr>
                <w:color w:val="auto"/>
                <w:sz w:val="18"/>
                <w:szCs w:val="18"/>
                <w:highlight w:val="none"/>
              </w:rPr>
              <w:t xml:space="preserve">现有污染源□ </w:t>
            </w:r>
          </w:p>
        </w:tc>
        <w:tc>
          <w:tcPr>
            <w:tcW w:w="862" w:type="pct"/>
            <w:gridSpan w:val="4"/>
            <w:vAlign w:val="center"/>
          </w:tcPr>
          <w:p>
            <w:pPr>
              <w:spacing w:line="240" w:lineRule="exact"/>
              <w:jc w:val="center"/>
              <w:rPr>
                <w:color w:val="auto"/>
                <w:sz w:val="18"/>
                <w:szCs w:val="18"/>
                <w:highlight w:val="none"/>
              </w:rPr>
            </w:pPr>
            <w:r>
              <w:rPr>
                <w:color w:val="auto"/>
                <w:sz w:val="18"/>
                <w:szCs w:val="18"/>
                <w:highlight w:val="none"/>
              </w:rPr>
              <w:t>拟替代的污染源□</w:t>
            </w:r>
          </w:p>
        </w:tc>
        <w:tc>
          <w:tcPr>
            <w:tcW w:w="1095" w:type="pct"/>
            <w:gridSpan w:val="7"/>
            <w:vAlign w:val="center"/>
          </w:tcPr>
          <w:p>
            <w:pPr>
              <w:spacing w:line="240" w:lineRule="exact"/>
              <w:jc w:val="center"/>
              <w:rPr>
                <w:color w:val="auto"/>
                <w:sz w:val="18"/>
                <w:szCs w:val="18"/>
                <w:highlight w:val="none"/>
              </w:rPr>
            </w:pPr>
            <w:r>
              <w:rPr>
                <w:color w:val="auto"/>
                <w:sz w:val="18"/>
                <w:szCs w:val="18"/>
                <w:highlight w:val="none"/>
              </w:rPr>
              <w:t>其他在建、拟建项目</w:t>
            </w:r>
          </w:p>
          <w:p>
            <w:pPr>
              <w:spacing w:line="240" w:lineRule="exact"/>
              <w:jc w:val="center"/>
              <w:rPr>
                <w:color w:val="auto"/>
                <w:sz w:val="18"/>
                <w:szCs w:val="18"/>
                <w:highlight w:val="none"/>
              </w:rPr>
            </w:pPr>
            <w:r>
              <w:rPr>
                <w:color w:val="auto"/>
                <w:sz w:val="18"/>
                <w:szCs w:val="18"/>
                <w:highlight w:val="none"/>
              </w:rPr>
              <w:t>污染源□</w:t>
            </w:r>
          </w:p>
        </w:tc>
        <w:tc>
          <w:tcPr>
            <w:tcW w:w="728" w:type="pct"/>
            <w:gridSpan w:val="3"/>
            <w:vAlign w:val="center"/>
          </w:tcPr>
          <w:p>
            <w:pPr>
              <w:spacing w:line="240" w:lineRule="exact"/>
              <w:jc w:val="center"/>
              <w:rPr>
                <w:color w:val="auto"/>
                <w:sz w:val="18"/>
                <w:szCs w:val="18"/>
                <w:highlight w:val="none"/>
              </w:rPr>
            </w:pPr>
            <w:r>
              <w:rPr>
                <w:color w:val="auto"/>
                <w:sz w:val="18"/>
                <w:szCs w:val="18"/>
                <w:highlight w:val="none"/>
              </w:rPr>
              <w:t>区域污染源□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4" w:type="pct"/>
            <w:vMerge w:val="restart"/>
            <w:vAlign w:val="center"/>
          </w:tcPr>
          <w:p>
            <w:pPr>
              <w:spacing w:line="240" w:lineRule="exact"/>
              <w:jc w:val="center"/>
              <w:rPr>
                <w:color w:val="auto"/>
                <w:sz w:val="18"/>
                <w:szCs w:val="18"/>
                <w:highlight w:val="none"/>
              </w:rPr>
            </w:pPr>
            <w:r>
              <w:rPr>
                <w:color w:val="auto"/>
                <w:sz w:val="18"/>
                <w:szCs w:val="18"/>
                <w:highlight w:val="none"/>
              </w:rPr>
              <w:t>大气环境影响预测与评价</w:t>
            </w:r>
          </w:p>
        </w:tc>
        <w:tc>
          <w:tcPr>
            <w:tcW w:w="817" w:type="pct"/>
            <w:vAlign w:val="center"/>
          </w:tcPr>
          <w:p>
            <w:pPr>
              <w:spacing w:line="240" w:lineRule="exact"/>
              <w:jc w:val="center"/>
              <w:rPr>
                <w:color w:val="auto"/>
                <w:sz w:val="18"/>
                <w:szCs w:val="18"/>
                <w:highlight w:val="none"/>
              </w:rPr>
            </w:pPr>
            <w:r>
              <w:rPr>
                <w:color w:val="auto"/>
                <w:sz w:val="18"/>
                <w:szCs w:val="18"/>
                <w:highlight w:val="none"/>
              </w:rPr>
              <w:t>预测模型</w:t>
            </w:r>
          </w:p>
        </w:tc>
        <w:tc>
          <w:tcPr>
            <w:tcW w:w="534" w:type="pct"/>
            <w:gridSpan w:val="2"/>
            <w:vAlign w:val="center"/>
          </w:tcPr>
          <w:p>
            <w:pPr>
              <w:spacing w:line="240" w:lineRule="exact"/>
              <w:jc w:val="center"/>
              <w:rPr>
                <w:color w:val="auto"/>
                <w:sz w:val="18"/>
                <w:szCs w:val="18"/>
                <w:highlight w:val="none"/>
              </w:rPr>
            </w:pPr>
            <w:r>
              <w:rPr>
                <w:color w:val="auto"/>
                <w:sz w:val="18"/>
                <w:szCs w:val="18"/>
                <w:highlight w:val="none"/>
              </w:rPr>
              <w:t>AERMOD□</w:t>
            </w:r>
          </w:p>
        </w:tc>
        <w:tc>
          <w:tcPr>
            <w:tcW w:w="387" w:type="pct"/>
            <w:gridSpan w:val="2"/>
            <w:vAlign w:val="center"/>
          </w:tcPr>
          <w:p>
            <w:pPr>
              <w:spacing w:line="240" w:lineRule="exact"/>
              <w:jc w:val="center"/>
              <w:rPr>
                <w:color w:val="auto"/>
                <w:sz w:val="18"/>
                <w:szCs w:val="18"/>
                <w:highlight w:val="none"/>
              </w:rPr>
            </w:pPr>
            <w:r>
              <w:rPr>
                <w:color w:val="auto"/>
                <w:sz w:val="18"/>
                <w:szCs w:val="18"/>
                <w:highlight w:val="none"/>
              </w:rPr>
              <w:t>ADMS□</w:t>
            </w:r>
          </w:p>
        </w:tc>
        <w:tc>
          <w:tcPr>
            <w:tcW w:w="693" w:type="pct"/>
            <w:gridSpan w:val="2"/>
            <w:vAlign w:val="center"/>
          </w:tcPr>
          <w:p>
            <w:pPr>
              <w:spacing w:line="240" w:lineRule="exact"/>
              <w:jc w:val="center"/>
              <w:rPr>
                <w:color w:val="auto"/>
                <w:sz w:val="18"/>
                <w:szCs w:val="18"/>
                <w:highlight w:val="none"/>
              </w:rPr>
            </w:pPr>
            <w:r>
              <w:rPr>
                <w:color w:val="auto"/>
                <w:sz w:val="18"/>
                <w:szCs w:val="18"/>
                <w:highlight w:val="none"/>
              </w:rPr>
              <w:t>AUSTAL2000□</w:t>
            </w:r>
          </w:p>
        </w:tc>
        <w:tc>
          <w:tcPr>
            <w:tcW w:w="679" w:type="pct"/>
            <w:gridSpan w:val="5"/>
            <w:vAlign w:val="center"/>
          </w:tcPr>
          <w:p>
            <w:pPr>
              <w:spacing w:line="240" w:lineRule="exact"/>
              <w:jc w:val="center"/>
              <w:rPr>
                <w:color w:val="auto"/>
                <w:sz w:val="18"/>
                <w:szCs w:val="18"/>
                <w:highlight w:val="none"/>
              </w:rPr>
            </w:pPr>
            <w:r>
              <w:rPr>
                <w:color w:val="auto"/>
                <w:sz w:val="18"/>
                <w:szCs w:val="18"/>
                <w:highlight w:val="none"/>
              </w:rPr>
              <w:t>EDMS/AEDT□</w:t>
            </w:r>
          </w:p>
        </w:tc>
        <w:tc>
          <w:tcPr>
            <w:tcW w:w="541" w:type="pct"/>
            <w:gridSpan w:val="3"/>
            <w:vAlign w:val="center"/>
          </w:tcPr>
          <w:p>
            <w:pPr>
              <w:spacing w:line="240" w:lineRule="exact"/>
              <w:jc w:val="center"/>
              <w:rPr>
                <w:color w:val="auto"/>
                <w:sz w:val="18"/>
                <w:szCs w:val="18"/>
                <w:highlight w:val="none"/>
              </w:rPr>
            </w:pPr>
            <w:r>
              <w:rPr>
                <w:color w:val="auto"/>
                <w:sz w:val="18"/>
                <w:szCs w:val="18"/>
                <w:highlight w:val="none"/>
              </w:rPr>
              <w:t>CALPUFF□</w:t>
            </w:r>
          </w:p>
        </w:tc>
        <w:tc>
          <w:tcPr>
            <w:tcW w:w="444" w:type="pct"/>
            <w:gridSpan w:val="4"/>
            <w:vAlign w:val="center"/>
          </w:tcPr>
          <w:p>
            <w:pPr>
              <w:spacing w:line="240" w:lineRule="exact"/>
              <w:jc w:val="center"/>
              <w:rPr>
                <w:color w:val="auto"/>
                <w:sz w:val="18"/>
                <w:szCs w:val="18"/>
                <w:highlight w:val="none"/>
              </w:rPr>
            </w:pPr>
            <w:r>
              <w:rPr>
                <w:color w:val="auto"/>
                <w:sz w:val="18"/>
                <w:szCs w:val="18"/>
                <w:highlight w:val="none"/>
              </w:rPr>
              <w:t>网格模型□</w:t>
            </w:r>
          </w:p>
        </w:tc>
        <w:tc>
          <w:tcPr>
            <w:tcW w:w="477" w:type="pct"/>
            <w:vAlign w:val="center"/>
          </w:tcPr>
          <w:p>
            <w:pPr>
              <w:spacing w:line="240" w:lineRule="exact"/>
              <w:jc w:val="center"/>
              <w:rPr>
                <w:color w:val="auto"/>
                <w:sz w:val="18"/>
                <w:szCs w:val="18"/>
                <w:highlight w:val="none"/>
              </w:rPr>
            </w:pPr>
            <w:r>
              <w:rPr>
                <w:color w:val="auto"/>
                <w:sz w:val="18"/>
                <w:szCs w:val="18"/>
                <w:highlight w:val="none"/>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4" w:type="pct"/>
            <w:vMerge w:val="continue"/>
            <w:vAlign w:val="center"/>
          </w:tcPr>
          <w:p>
            <w:pPr>
              <w:widowControl/>
              <w:spacing w:line="240" w:lineRule="exact"/>
              <w:jc w:val="left"/>
              <w:rPr>
                <w:color w:val="auto"/>
                <w:sz w:val="18"/>
                <w:szCs w:val="18"/>
                <w:highlight w:val="none"/>
              </w:rPr>
            </w:pPr>
          </w:p>
        </w:tc>
        <w:tc>
          <w:tcPr>
            <w:tcW w:w="817" w:type="pct"/>
            <w:vAlign w:val="center"/>
          </w:tcPr>
          <w:p>
            <w:pPr>
              <w:spacing w:line="240" w:lineRule="exact"/>
              <w:jc w:val="center"/>
              <w:rPr>
                <w:color w:val="auto"/>
                <w:sz w:val="18"/>
                <w:szCs w:val="18"/>
                <w:highlight w:val="none"/>
              </w:rPr>
            </w:pPr>
            <w:r>
              <w:rPr>
                <w:color w:val="auto"/>
                <w:sz w:val="18"/>
                <w:szCs w:val="18"/>
                <w:highlight w:val="none"/>
              </w:rPr>
              <w:t>预测范围</w:t>
            </w:r>
          </w:p>
        </w:tc>
        <w:tc>
          <w:tcPr>
            <w:tcW w:w="1071" w:type="pct"/>
            <w:gridSpan w:val="5"/>
            <w:vAlign w:val="center"/>
          </w:tcPr>
          <w:p>
            <w:pPr>
              <w:spacing w:line="240" w:lineRule="exact"/>
              <w:jc w:val="center"/>
              <w:rPr>
                <w:color w:val="auto"/>
                <w:sz w:val="18"/>
                <w:szCs w:val="18"/>
                <w:highlight w:val="none"/>
              </w:rPr>
            </w:pPr>
            <w:r>
              <w:rPr>
                <w:color w:val="auto"/>
                <w:sz w:val="18"/>
                <w:szCs w:val="18"/>
                <w:highlight w:val="none"/>
              </w:rPr>
              <w:t>边长≥50km □</w:t>
            </w:r>
          </w:p>
        </w:tc>
        <w:tc>
          <w:tcPr>
            <w:tcW w:w="1346" w:type="pct"/>
            <w:gridSpan w:val="7"/>
            <w:vAlign w:val="center"/>
          </w:tcPr>
          <w:p>
            <w:pPr>
              <w:spacing w:line="240" w:lineRule="exact"/>
              <w:jc w:val="center"/>
              <w:rPr>
                <w:color w:val="auto"/>
                <w:sz w:val="18"/>
                <w:szCs w:val="18"/>
                <w:highlight w:val="none"/>
              </w:rPr>
            </w:pPr>
            <w:r>
              <w:rPr>
                <w:color w:val="auto"/>
                <w:sz w:val="18"/>
                <w:szCs w:val="18"/>
                <w:highlight w:val="none"/>
              </w:rPr>
              <w:t>边长5~50km□</w:t>
            </w:r>
          </w:p>
        </w:tc>
        <w:tc>
          <w:tcPr>
            <w:tcW w:w="1339" w:type="pct"/>
            <w:gridSpan w:val="7"/>
            <w:vAlign w:val="center"/>
          </w:tcPr>
          <w:p>
            <w:pPr>
              <w:spacing w:line="240" w:lineRule="exact"/>
              <w:jc w:val="center"/>
              <w:rPr>
                <w:color w:val="auto"/>
                <w:sz w:val="18"/>
                <w:szCs w:val="18"/>
                <w:highlight w:val="none"/>
              </w:rPr>
            </w:pPr>
            <w:r>
              <w:rPr>
                <w:color w:val="auto"/>
                <w:sz w:val="18"/>
                <w:szCs w:val="18"/>
                <w:highlight w:val="none"/>
              </w:rPr>
              <w:t>边长=5km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4" w:type="pct"/>
            <w:vMerge w:val="continue"/>
            <w:vAlign w:val="center"/>
          </w:tcPr>
          <w:p>
            <w:pPr>
              <w:widowControl/>
              <w:spacing w:line="240" w:lineRule="exact"/>
              <w:jc w:val="left"/>
              <w:rPr>
                <w:color w:val="auto"/>
                <w:sz w:val="18"/>
                <w:szCs w:val="18"/>
                <w:highlight w:val="none"/>
              </w:rPr>
            </w:pPr>
          </w:p>
        </w:tc>
        <w:tc>
          <w:tcPr>
            <w:tcW w:w="817" w:type="pct"/>
            <w:vAlign w:val="center"/>
          </w:tcPr>
          <w:p>
            <w:pPr>
              <w:spacing w:line="240" w:lineRule="exact"/>
              <w:jc w:val="center"/>
              <w:rPr>
                <w:color w:val="auto"/>
                <w:sz w:val="18"/>
                <w:szCs w:val="18"/>
                <w:highlight w:val="none"/>
              </w:rPr>
            </w:pPr>
            <w:r>
              <w:rPr>
                <w:color w:val="auto"/>
                <w:sz w:val="18"/>
                <w:szCs w:val="18"/>
                <w:highlight w:val="none"/>
              </w:rPr>
              <w:t>预测因子</w:t>
            </w:r>
          </w:p>
        </w:tc>
        <w:tc>
          <w:tcPr>
            <w:tcW w:w="2418" w:type="pct"/>
            <w:gridSpan w:val="12"/>
            <w:vAlign w:val="center"/>
          </w:tcPr>
          <w:p>
            <w:pPr>
              <w:spacing w:line="240" w:lineRule="exact"/>
              <w:jc w:val="center"/>
              <w:rPr>
                <w:color w:val="auto"/>
                <w:sz w:val="18"/>
                <w:szCs w:val="18"/>
                <w:highlight w:val="none"/>
              </w:rPr>
            </w:pPr>
            <w:r>
              <w:rPr>
                <w:color w:val="auto"/>
                <w:sz w:val="18"/>
                <w:szCs w:val="18"/>
                <w:highlight w:val="none"/>
              </w:rPr>
              <w:t>预测因子（）</w:t>
            </w:r>
          </w:p>
        </w:tc>
        <w:tc>
          <w:tcPr>
            <w:tcW w:w="1339" w:type="pct"/>
            <w:gridSpan w:val="7"/>
            <w:vAlign w:val="center"/>
          </w:tcPr>
          <w:p>
            <w:pPr>
              <w:spacing w:line="240" w:lineRule="exact"/>
              <w:jc w:val="center"/>
              <w:rPr>
                <w:b/>
                <w:color w:val="auto"/>
                <w:sz w:val="18"/>
                <w:szCs w:val="18"/>
                <w:highlight w:val="none"/>
              </w:rPr>
            </w:pPr>
            <w:r>
              <w:rPr>
                <w:color w:val="auto"/>
                <w:sz w:val="18"/>
                <w:szCs w:val="18"/>
                <w:highlight w:val="none"/>
              </w:rPr>
              <w:t>包括二次PM2.5□</w:t>
            </w:r>
          </w:p>
          <w:p>
            <w:pPr>
              <w:spacing w:line="240" w:lineRule="exact"/>
              <w:jc w:val="center"/>
              <w:rPr>
                <w:color w:val="auto"/>
                <w:sz w:val="18"/>
                <w:szCs w:val="18"/>
                <w:highlight w:val="none"/>
              </w:rPr>
            </w:pPr>
            <w:r>
              <w:rPr>
                <w:color w:val="auto"/>
                <w:sz w:val="18"/>
                <w:szCs w:val="18"/>
                <w:highlight w:val="none"/>
              </w:rPr>
              <w:t>不包括二次PM2.5□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4" w:type="pct"/>
            <w:vMerge w:val="continue"/>
            <w:vAlign w:val="center"/>
          </w:tcPr>
          <w:p>
            <w:pPr>
              <w:widowControl/>
              <w:spacing w:line="240" w:lineRule="exact"/>
              <w:jc w:val="left"/>
              <w:rPr>
                <w:color w:val="auto"/>
                <w:sz w:val="18"/>
                <w:szCs w:val="18"/>
                <w:highlight w:val="none"/>
              </w:rPr>
            </w:pPr>
          </w:p>
        </w:tc>
        <w:tc>
          <w:tcPr>
            <w:tcW w:w="817" w:type="pct"/>
            <w:vAlign w:val="center"/>
          </w:tcPr>
          <w:p>
            <w:pPr>
              <w:spacing w:line="240" w:lineRule="exact"/>
              <w:jc w:val="center"/>
              <w:rPr>
                <w:color w:val="auto"/>
                <w:sz w:val="18"/>
                <w:szCs w:val="18"/>
                <w:highlight w:val="none"/>
              </w:rPr>
            </w:pPr>
            <w:r>
              <w:rPr>
                <w:color w:val="auto"/>
                <w:sz w:val="18"/>
                <w:szCs w:val="18"/>
                <w:highlight w:val="none"/>
              </w:rPr>
              <w:t>正常排放短期浓度贡献值</w:t>
            </w:r>
          </w:p>
        </w:tc>
        <w:tc>
          <w:tcPr>
            <w:tcW w:w="2418" w:type="pct"/>
            <w:gridSpan w:val="12"/>
            <w:vAlign w:val="center"/>
          </w:tcPr>
          <w:p>
            <w:pPr>
              <w:spacing w:line="240" w:lineRule="exact"/>
              <w:jc w:val="center"/>
              <w:rPr>
                <w:color w:val="auto"/>
                <w:sz w:val="18"/>
                <w:szCs w:val="18"/>
                <w:highlight w:val="none"/>
              </w:rPr>
            </w:pPr>
            <w:r>
              <w:rPr>
                <w:color w:val="auto"/>
                <w:sz w:val="18"/>
                <w:szCs w:val="18"/>
                <w:highlight w:val="none"/>
              </w:rPr>
              <w:t>C</w:t>
            </w:r>
            <w:r>
              <w:rPr>
                <w:color w:val="auto"/>
                <w:sz w:val="18"/>
                <w:szCs w:val="18"/>
                <w:highlight w:val="none"/>
                <w:vertAlign w:val="subscript"/>
              </w:rPr>
              <w:t>本项目</w:t>
            </w:r>
            <w:r>
              <w:rPr>
                <w:color w:val="auto"/>
                <w:sz w:val="18"/>
                <w:szCs w:val="18"/>
                <w:highlight w:val="none"/>
              </w:rPr>
              <w:t>最大占标率≤100%□</w:t>
            </w:r>
          </w:p>
        </w:tc>
        <w:tc>
          <w:tcPr>
            <w:tcW w:w="1339" w:type="pct"/>
            <w:gridSpan w:val="7"/>
            <w:vAlign w:val="center"/>
          </w:tcPr>
          <w:p>
            <w:pPr>
              <w:spacing w:line="240" w:lineRule="exact"/>
              <w:jc w:val="center"/>
              <w:rPr>
                <w:color w:val="auto"/>
                <w:sz w:val="18"/>
                <w:szCs w:val="18"/>
                <w:highlight w:val="none"/>
              </w:rPr>
            </w:pPr>
            <w:r>
              <w:rPr>
                <w:color w:val="auto"/>
                <w:sz w:val="18"/>
                <w:szCs w:val="18"/>
                <w:highlight w:val="none"/>
              </w:rPr>
              <w:t>C</w:t>
            </w:r>
            <w:r>
              <w:rPr>
                <w:color w:val="auto"/>
                <w:sz w:val="18"/>
                <w:szCs w:val="18"/>
                <w:highlight w:val="none"/>
                <w:vertAlign w:val="subscript"/>
              </w:rPr>
              <w:t>本项目</w:t>
            </w:r>
            <w:r>
              <w:rPr>
                <w:color w:val="auto"/>
                <w:sz w:val="18"/>
                <w:szCs w:val="18"/>
                <w:highlight w:val="none"/>
              </w:rPr>
              <w:t>最大占标率＞100%□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4" w:type="pct"/>
            <w:vMerge w:val="continue"/>
            <w:vAlign w:val="center"/>
          </w:tcPr>
          <w:p>
            <w:pPr>
              <w:widowControl/>
              <w:spacing w:line="240" w:lineRule="exact"/>
              <w:jc w:val="left"/>
              <w:rPr>
                <w:color w:val="auto"/>
                <w:sz w:val="18"/>
                <w:szCs w:val="18"/>
                <w:highlight w:val="none"/>
              </w:rPr>
            </w:pPr>
          </w:p>
        </w:tc>
        <w:tc>
          <w:tcPr>
            <w:tcW w:w="817" w:type="pct"/>
            <w:vMerge w:val="restart"/>
            <w:vAlign w:val="center"/>
          </w:tcPr>
          <w:p>
            <w:pPr>
              <w:spacing w:line="240" w:lineRule="exact"/>
              <w:jc w:val="center"/>
              <w:rPr>
                <w:color w:val="auto"/>
                <w:sz w:val="18"/>
                <w:szCs w:val="18"/>
                <w:highlight w:val="none"/>
              </w:rPr>
            </w:pPr>
            <w:r>
              <w:rPr>
                <w:color w:val="auto"/>
                <w:sz w:val="18"/>
                <w:szCs w:val="18"/>
                <w:highlight w:val="none"/>
              </w:rPr>
              <w:t>正常排放年均浓度贡献值</w:t>
            </w:r>
          </w:p>
        </w:tc>
        <w:tc>
          <w:tcPr>
            <w:tcW w:w="487" w:type="pct"/>
            <w:vAlign w:val="center"/>
          </w:tcPr>
          <w:p>
            <w:pPr>
              <w:spacing w:line="240" w:lineRule="exact"/>
              <w:jc w:val="center"/>
              <w:rPr>
                <w:color w:val="auto"/>
                <w:sz w:val="18"/>
                <w:szCs w:val="18"/>
                <w:highlight w:val="none"/>
              </w:rPr>
            </w:pPr>
            <w:r>
              <w:rPr>
                <w:color w:val="auto"/>
                <w:sz w:val="18"/>
                <w:szCs w:val="18"/>
                <w:highlight w:val="none"/>
              </w:rPr>
              <w:t>一类区</w:t>
            </w:r>
          </w:p>
        </w:tc>
        <w:tc>
          <w:tcPr>
            <w:tcW w:w="1930" w:type="pct"/>
            <w:gridSpan w:val="11"/>
            <w:vAlign w:val="center"/>
          </w:tcPr>
          <w:p>
            <w:pPr>
              <w:spacing w:line="240" w:lineRule="exact"/>
              <w:jc w:val="center"/>
              <w:rPr>
                <w:color w:val="auto"/>
                <w:sz w:val="18"/>
                <w:szCs w:val="18"/>
                <w:highlight w:val="none"/>
              </w:rPr>
            </w:pPr>
            <w:r>
              <w:rPr>
                <w:color w:val="auto"/>
                <w:sz w:val="18"/>
                <w:szCs w:val="18"/>
                <w:highlight w:val="none"/>
              </w:rPr>
              <w:t>C</w:t>
            </w:r>
            <w:r>
              <w:rPr>
                <w:color w:val="auto"/>
                <w:sz w:val="18"/>
                <w:szCs w:val="18"/>
                <w:highlight w:val="none"/>
                <w:vertAlign w:val="subscript"/>
              </w:rPr>
              <w:t>本项目</w:t>
            </w:r>
            <w:r>
              <w:rPr>
                <w:color w:val="auto"/>
                <w:sz w:val="18"/>
                <w:szCs w:val="18"/>
                <w:highlight w:val="none"/>
              </w:rPr>
              <w:t>最大占标率≤10%□</w:t>
            </w:r>
          </w:p>
        </w:tc>
        <w:tc>
          <w:tcPr>
            <w:tcW w:w="1339" w:type="pct"/>
            <w:gridSpan w:val="7"/>
            <w:vAlign w:val="center"/>
          </w:tcPr>
          <w:p>
            <w:pPr>
              <w:spacing w:line="240" w:lineRule="exact"/>
              <w:jc w:val="center"/>
              <w:rPr>
                <w:color w:val="auto"/>
                <w:sz w:val="18"/>
                <w:szCs w:val="18"/>
                <w:highlight w:val="none"/>
              </w:rPr>
            </w:pPr>
            <w:r>
              <w:rPr>
                <w:color w:val="auto"/>
                <w:sz w:val="18"/>
                <w:szCs w:val="18"/>
                <w:highlight w:val="none"/>
              </w:rPr>
              <w:t>C</w:t>
            </w:r>
            <w:r>
              <w:rPr>
                <w:color w:val="auto"/>
                <w:sz w:val="18"/>
                <w:szCs w:val="18"/>
                <w:highlight w:val="none"/>
                <w:vertAlign w:val="subscript"/>
              </w:rPr>
              <w:t>本项目</w:t>
            </w:r>
            <w:r>
              <w:rPr>
                <w:color w:val="auto"/>
                <w:sz w:val="18"/>
                <w:szCs w:val="18"/>
                <w:highlight w:val="none"/>
              </w:rPr>
              <w:t>最大占标率＞10%□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4" w:type="pct"/>
            <w:vMerge w:val="continue"/>
            <w:vAlign w:val="center"/>
          </w:tcPr>
          <w:p>
            <w:pPr>
              <w:widowControl/>
              <w:spacing w:line="240" w:lineRule="exact"/>
              <w:jc w:val="left"/>
              <w:rPr>
                <w:color w:val="auto"/>
                <w:sz w:val="18"/>
                <w:szCs w:val="18"/>
                <w:highlight w:val="none"/>
              </w:rPr>
            </w:pPr>
          </w:p>
        </w:tc>
        <w:tc>
          <w:tcPr>
            <w:tcW w:w="817" w:type="pct"/>
            <w:vMerge w:val="continue"/>
            <w:vAlign w:val="center"/>
          </w:tcPr>
          <w:p>
            <w:pPr>
              <w:widowControl/>
              <w:spacing w:line="240" w:lineRule="exact"/>
              <w:jc w:val="left"/>
              <w:rPr>
                <w:color w:val="auto"/>
                <w:sz w:val="18"/>
                <w:szCs w:val="18"/>
                <w:highlight w:val="none"/>
              </w:rPr>
            </w:pPr>
          </w:p>
        </w:tc>
        <w:tc>
          <w:tcPr>
            <w:tcW w:w="487" w:type="pct"/>
            <w:vAlign w:val="center"/>
          </w:tcPr>
          <w:p>
            <w:pPr>
              <w:spacing w:line="240" w:lineRule="exact"/>
              <w:jc w:val="center"/>
              <w:rPr>
                <w:color w:val="auto"/>
                <w:sz w:val="18"/>
                <w:szCs w:val="18"/>
                <w:highlight w:val="none"/>
              </w:rPr>
            </w:pPr>
            <w:r>
              <w:rPr>
                <w:color w:val="auto"/>
                <w:sz w:val="18"/>
                <w:szCs w:val="18"/>
                <w:highlight w:val="none"/>
              </w:rPr>
              <w:t>二类区</w:t>
            </w:r>
          </w:p>
        </w:tc>
        <w:tc>
          <w:tcPr>
            <w:tcW w:w="1930" w:type="pct"/>
            <w:gridSpan w:val="11"/>
            <w:vAlign w:val="center"/>
          </w:tcPr>
          <w:p>
            <w:pPr>
              <w:spacing w:line="240" w:lineRule="exact"/>
              <w:jc w:val="center"/>
              <w:rPr>
                <w:color w:val="auto"/>
                <w:sz w:val="18"/>
                <w:szCs w:val="18"/>
                <w:highlight w:val="none"/>
              </w:rPr>
            </w:pPr>
            <w:r>
              <w:rPr>
                <w:color w:val="auto"/>
                <w:sz w:val="18"/>
                <w:szCs w:val="18"/>
                <w:highlight w:val="none"/>
              </w:rPr>
              <w:t>C</w:t>
            </w:r>
            <w:r>
              <w:rPr>
                <w:color w:val="auto"/>
                <w:sz w:val="18"/>
                <w:szCs w:val="18"/>
                <w:highlight w:val="none"/>
                <w:vertAlign w:val="subscript"/>
              </w:rPr>
              <w:t>本项目</w:t>
            </w:r>
            <w:r>
              <w:rPr>
                <w:color w:val="auto"/>
                <w:sz w:val="18"/>
                <w:szCs w:val="18"/>
                <w:highlight w:val="none"/>
              </w:rPr>
              <w:t>最大占标率≤30%□</w:t>
            </w:r>
          </w:p>
        </w:tc>
        <w:tc>
          <w:tcPr>
            <w:tcW w:w="1339" w:type="pct"/>
            <w:gridSpan w:val="7"/>
            <w:vAlign w:val="center"/>
          </w:tcPr>
          <w:p>
            <w:pPr>
              <w:spacing w:line="240" w:lineRule="exact"/>
              <w:jc w:val="center"/>
              <w:rPr>
                <w:color w:val="auto"/>
                <w:sz w:val="18"/>
                <w:szCs w:val="18"/>
                <w:highlight w:val="none"/>
              </w:rPr>
            </w:pPr>
            <w:r>
              <w:rPr>
                <w:color w:val="auto"/>
                <w:sz w:val="18"/>
                <w:szCs w:val="18"/>
                <w:highlight w:val="none"/>
              </w:rPr>
              <w:t>C</w:t>
            </w:r>
            <w:r>
              <w:rPr>
                <w:color w:val="auto"/>
                <w:sz w:val="18"/>
                <w:szCs w:val="18"/>
                <w:highlight w:val="none"/>
                <w:vertAlign w:val="subscript"/>
              </w:rPr>
              <w:t>本项目</w:t>
            </w:r>
            <w:r>
              <w:rPr>
                <w:color w:val="auto"/>
                <w:sz w:val="18"/>
                <w:szCs w:val="18"/>
                <w:highlight w:val="none"/>
              </w:rPr>
              <w:t>最大占标率＞30%□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4" w:type="pct"/>
            <w:vMerge w:val="continue"/>
            <w:vAlign w:val="center"/>
          </w:tcPr>
          <w:p>
            <w:pPr>
              <w:widowControl/>
              <w:spacing w:line="240" w:lineRule="exact"/>
              <w:jc w:val="left"/>
              <w:rPr>
                <w:color w:val="auto"/>
                <w:sz w:val="18"/>
                <w:szCs w:val="18"/>
                <w:highlight w:val="none"/>
              </w:rPr>
            </w:pPr>
          </w:p>
        </w:tc>
        <w:tc>
          <w:tcPr>
            <w:tcW w:w="817" w:type="pct"/>
            <w:vAlign w:val="center"/>
          </w:tcPr>
          <w:p>
            <w:pPr>
              <w:spacing w:line="240" w:lineRule="exact"/>
              <w:jc w:val="center"/>
              <w:rPr>
                <w:color w:val="auto"/>
                <w:sz w:val="18"/>
                <w:szCs w:val="18"/>
                <w:highlight w:val="none"/>
              </w:rPr>
            </w:pPr>
            <w:r>
              <w:rPr>
                <w:color w:val="auto"/>
                <w:sz w:val="18"/>
                <w:szCs w:val="18"/>
                <w:highlight w:val="none"/>
              </w:rPr>
              <w:t>非正常排放1h浓度贡献值</w:t>
            </w:r>
          </w:p>
        </w:tc>
        <w:tc>
          <w:tcPr>
            <w:tcW w:w="922" w:type="pct"/>
            <w:gridSpan w:val="4"/>
            <w:vAlign w:val="center"/>
          </w:tcPr>
          <w:p>
            <w:pPr>
              <w:spacing w:line="240" w:lineRule="exact"/>
              <w:jc w:val="center"/>
              <w:rPr>
                <w:color w:val="auto"/>
                <w:sz w:val="18"/>
                <w:szCs w:val="18"/>
                <w:highlight w:val="none"/>
              </w:rPr>
            </w:pPr>
            <w:r>
              <w:rPr>
                <w:color w:val="auto"/>
                <w:sz w:val="18"/>
                <w:szCs w:val="18"/>
                <w:highlight w:val="none"/>
              </w:rPr>
              <w:t>非正常持续时长</w:t>
            </w:r>
          </w:p>
          <w:p>
            <w:pPr>
              <w:spacing w:line="240" w:lineRule="exact"/>
              <w:jc w:val="center"/>
              <w:rPr>
                <w:color w:val="auto"/>
                <w:sz w:val="18"/>
                <w:szCs w:val="18"/>
                <w:highlight w:val="none"/>
              </w:rPr>
            </w:pPr>
            <w:r>
              <w:rPr>
                <w:color w:val="auto"/>
                <w:sz w:val="18"/>
                <w:szCs w:val="18"/>
                <w:highlight w:val="none"/>
              </w:rPr>
              <w:t>（）h</w:t>
            </w:r>
          </w:p>
        </w:tc>
        <w:tc>
          <w:tcPr>
            <w:tcW w:w="1496" w:type="pct"/>
            <w:gridSpan w:val="8"/>
            <w:vAlign w:val="center"/>
          </w:tcPr>
          <w:p>
            <w:pPr>
              <w:spacing w:line="240" w:lineRule="exact"/>
              <w:jc w:val="center"/>
              <w:rPr>
                <w:color w:val="auto"/>
                <w:sz w:val="18"/>
                <w:szCs w:val="18"/>
                <w:highlight w:val="none"/>
              </w:rPr>
            </w:pPr>
            <w:r>
              <w:rPr>
                <w:color w:val="auto"/>
                <w:sz w:val="18"/>
                <w:szCs w:val="18"/>
                <w:highlight w:val="none"/>
              </w:rPr>
              <w:t>c</w:t>
            </w:r>
            <w:r>
              <w:rPr>
                <w:color w:val="auto"/>
                <w:sz w:val="18"/>
                <w:szCs w:val="18"/>
                <w:highlight w:val="none"/>
                <w:vertAlign w:val="subscript"/>
              </w:rPr>
              <w:t>非正常</w:t>
            </w:r>
            <w:r>
              <w:rPr>
                <w:color w:val="auto"/>
                <w:sz w:val="18"/>
                <w:szCs w:val="18"/>
                <w:highlight w:val="none"/>
              </w:rPr>
              <w:t>占标率≤100%□</w:t>
            </w:r>
          </w:p>
        </w:tc>
        <w:tc>
          <w:tcPr>
            <w:tcW w:w="1339" w:type="pct"/>
            <w:gridSpan w:val="7"/>
            <w:vAlign w:val="center"/>
          </w:tcPr>
          <w:p>
            <w:pPr>
              <w:spacing w:line="240" w:lineRule="exact"/>
              <w:jc w:val="center"/>
              <w:rPr>
                <w:color w:val="auto"/>
                <w:sz w:val="18"/>
                <w:szCs w:val="18"/>
                <w:highlight w:val="none"/>
              </w:rPr>
            </w:pPr>
            <w:r>
              <w:rPr>
                <w:color w:val="auto"/>
                <w:sz w:val="18"/>
                <w:szCs w:val="18"/>
                <w:highlight w:val="none"/>
              </w:rPr>
              <w:t>c</w:t>
            </w:r>
            <w:r>
              <w:rPr>
                <w:color w:val="auto"/>
                <w:sz w:val="18"/>
                <w:szCs w:val="18"/>
                <w:highlight w:val="none"/>
                <w:vertAlign w:val="subscript"/>
              </w:rPr>
              <w:t>非正常</w:t>
            </w:r>
            <w:r>
              <w:rPr>
                <w:color w:val="auto"/>
                <w:sz w:val="18"/>
                <w:szCs w:val="18"/>
                <w:highlight w:val="none"/>
              </w:rPr>
              <w:t>占标率＞100%□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4" w:type="pct"/>
            <w:vMerge w:val="continue"/>
            <w:vAlign w:val="center"/>
          </w:tcPr>
          <w:p>
            <w:pPr>
              <w:widowControl/>
              <w:spacing w:line="240" w:lineRule="exact"/>
              <w:jc w:val="left"/>
              <w:rPr>
                <w:color w:val="auto"/>
                <w:sz w:val="18"/>
                <w:szCs w:val="18"/>
                <w:highlight w:val="none"/>
              </w:rPr>
            </w:pPr>
          </w:p>
        </w:tc>
        <w:tc>
          <w:tcPr>
            <w:tcW w:w="817" w:type="pct"/>
            <w:vAlign w:val="center"/>
          </w:tcPr>
          <w:p>
            <w:pPr>
              <w:spacing w:line="240" w:lineRule="exact"/>
              <w:jc w:val="center"/>
              <w:rPr>
                <w:color w:val="auto"/>
                <w:sz w:val="18"/>
                <w:szCs w:val="18"/>
                <w:highlight w:val="none"/>
              </w:rPr>
            </w:pPr>
            <w:r>
              <w:rPr>
                <w:color w:val="auto"/>
                <w:sz w:val="18"/>
                <w:szCs w:val="18"/>
                <w:highlight w:val="none"/>
              </w:rPr>
              <w:t>保证率日平均浓度和年平均浓度叠加值</w:t>
            </w:r>
          </w:p>
        </w:tc>
        <w:tc>
          <w:tcPr>
            <w:tcW w:w="2418" w:type="pct"/>
            <w:gridSpan w:val="12"/>
            <w:vAlign w:val="center"/>
          </w:tcPr>
          <w:p>
            <w:pPr>
              <w:spacing w:line="240" w:lineRule="exact"/>
              <w:jc w:val="center"/>
              <w:rPr>
                <w:color w:val="auto"/>
                <w:sz w:val="18"/>
                <w:szCs w:val="18"/>
                <w:highlight w:val="none"/>
              </w:rPr>
            </w:pPr>
            <w:r>
              <w:rPr>
                <w:color w:val="auto"/>
                <w:sz w:val="18"/>
                <w:szCs w:val="18"/>
                <w:highlight w:val="none"/>
              </w:rPr>
              <w:t>C</w:t>
            </w:r>
            <w:r>
              <w:rPr>
                <w:color w:val="auto"/>
                <w:sz w:val="18"/>
                <w:szCs w:val="18"/>
                <w:highlight w:val="none"/>
                <w:vertAlign w:val="subscript"/>
              </w:rPr>
              <w:t>叠加</w:t>
            </w:r>
            <w:r>
              <w:rPr>
                <w:color w:val="auto"/>
                <w:sz w:val="18"/>
                <w:szCs w:val="18"/>
                <w:highlight w:val="none"/>
              </w:rPr>
              <w:t>达标□</w:t>
            </w:r>
          </w:p>
        </w:tc>
        <w:tc>
          <w:tcPr>
            <w:tcW w:w="1339" w:type="pct"/>
            <w:gridSpan w:val="7"/>
            <w:vAlign w:val="center"/>
          </w:tcPr>
          <w:p>
            <w:pPr>
              <w:spacing w:line="240" w:lineRule="exact"/>
              <w:jc w:val="center"/>
              <w:rPr>
                <w:color w:val="auto"/>
                <w:sz w:val="18"/>
                <w:szCs w:val="18"/>
                <w:highlight w:val="none"/>
              </w:rPr>
            </w:pPr>
            <w:r>
              <w:rPr>
                <w:color w:val="auto"/>
                <w:sz w:val="18"/>
                <w:szCs w:val="18"/>
                <w:highlight w:val="none"/>
              </w:rPr>
              <w:t>C</w:t>
            </w:r>
            <w:r>
              <w:rPr>
                <w:color w:val="auto"/>
                <w:sz w:val="18"/>
                <w:szCs w:val="18"/>
                <w:highlight w:val="none"/>
                <w:vertAlign w:val="subscript"/>
              </w:rPr>
              <w:t>叠加</w:t>
            </w:r>
            <w:r>
              <w:rPr>
                <w:color w:val="auto"/>
                <w:sz w:val="18"/>
                <w:szCs w:val="18"/>
                <w:highlight w:val="none"/>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4" w:type="pct"/>
            <w:vMerge w:val="continue"/>
            <w:vAlign w:val="center"/>
          </w:tcPr>
          <w:p>
            <w:pPr>
              <w:widowControl/>
              <w:spacing w:line="240" w:lineRule="exact"/>
              <w:jc w:val="left"/>
              <w:rPr>
                <w:color w:val="auto"/>
                <w:sz w:val="18"/>
                <w:szCs w:val="18"/>
                <w:highlight w:val="none"/>
              </w:rPr>
            </w:pPr>
          </w:p>
        </w:tc>
        <w:tc>
          <w:tcPr>
            <w:tcW w:w="817" w:type="pct"/>
            <w:vAlign w:val="center"/>
          </w:tcPr>
          <w:p>
            <w:pPr>
              <w:spacing w:line="240" w:lineRule="exact"/>
              <w:jc w:val="center"/>
              <w:rPr>
                <w:color w:val="auto"/>
                <w:sz w:val="18"/>
                <w:szCs w:val="18"/>
                <w:highlight w:val="none"/>
              </w:rPr>
            </w:pPr>
            <w:r>
              <w:rPr>
                <w:color w:val="auto"/>
                <w:sz w:val="18"/>
                <w:szCs w:val="18"/>
                <w:highlight w:val="none"/>
              </w:rPr>
              <w:t>区域环境质量的整体变化情况</w:t>
            </w:r>
          </w:p>
        </w:tc>
        <w:tc>
          <w:tcPr>
            <w:tcW w:w="2418" w:type="pct"/>
            <w:gridSpan w:val="12"/>
            <w:vAlign w:val="center"/>
          </w:tcPr>
          <w:p>
            <w:pPr>
              <w:spacing w:line="240" w:lineRule="exact"/>
              <w:jc w:val="center"/>
              <w:rPr>
                <w:color w:val="auto"/>
                <w:sz w:val="18"/>
                <w:szCs w:val="18"/>
                <w:highlight w:val="none"/>
              </w:rPr>
            </w:pPr>
            <w:r>
              <w:rPr>
                <w:color w:val="auto"/>
                <w:sz w:val="18"/>
                <w:szCs w:val="18"/>
                <w:highlight w:val="none"/>
              </w:rPr>
              <w:t>k≤-20%□</w:t>
            </w:r>
          </w:p>
        </w:tc>
        <w:tc>
          <w:tcPr>
            <w:tcW w:w="1339" w:type="pct"/>
            <w:gridSpan w:val="7"/>
            <w:vAlign w:val="center"/>
          </w:tcPr>
          <w:p>
            <w:pPr>
              <w:spacing w:line="240" w:lineRule="exact"/>
              <w:jc w:val="center"/>
              <w:rPr>
                <w:color w:val="auto"/>
                <w:sz w:val="18"/>
                <w:szCs w:val="18"/>
                <w:highlight w:val="none"/>
              </w:rPr>
            </w:pPr>
            <w:r>
              <w:rPr>
                <w:color w:val="auto"/>
                <w:sz w:val="18"/>
                <w:szCs w:val="18"/>
                <w:highlight w:val="none"/>
              </w:rPr>
              <w:t>k＞-20%□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4" w:type="pct"/>
            <w:vMerge w:val="restart"/>
            <w:vAlign w:val="center"/>
          </w:tcPr>
          <w:p>
            <w:pPr>
              <w:spacing w:line="240" w:lineRule="exact"/>
              <w:jc w:val="center"/>
              <w:rPr>
                <w:color w:val="auto"/>
                <w:sz w:val="18"/>
                <w:szCs w:val="18"/>
                <w:highlight w:val="none"/>
              </w:rPr>
            </w:pPr>
            <w:r>
              <w:rPr>
                <w:color w:val="auto"/>
                <w:sz w:val="18"/>
                <w:szCs w:val="18"/>
                <w:highlight w:val="none"/>
              </w:rPr>
              <w:t>环境监测计划</w:t>
            </w:r>
          </w:p>
        </w:tc>
        <w:tc>
          <w:tcPr>
            <w:tcW w:w="817" w:type="pct"/>
            <w:vAlign w:val="center"/>
          </w:tcPr>
          <w:p>
            <w:pPr>
              <w:spacing w:line="240" w:lineRule="exact"/>
              <w:jc w:val="center"/>
              <w:rPr>
                <w:color w:val="auto"/>
                <w:sz w:val="18"/>
                <w:szCs w:val="18"/>
                <w:highlight w:val="none"/>
              </w:rPr>
            </w:pPr>
            <w:r>
              <w:rPr>
                <w:color w:val="auto"/>
                <w:sz w:val="18"/>
                <w:szCs w:val="18"/>
                <w:highlight w:val="none"/>
              </w:rPr>
              <w:t>污染源监测</w:t>
            </w:r>
          </w:p>
        </w:tc>
        <w:tc>
          <w:tcPr>
            <w:tcW w:w="2224" w:type="pct"/>
            <w:gridSpan w:val="10"/>
            <w:vAlign w:val="center"/>
          </w:tcPr>
          <w:p>
            <w:pPr>
              <w:spacing w:line="240" w:lineRule="exact"/>
              <w:jc w:val="center"/>
              <w:rPr>
                <w:color w:val="auto"/>
                <w:sz w:val="18"/>
                <w:szCs w:val="18"/>
                <w:highlight w:val="none"/>
              </w:rPr>
            </w:pPr>
            <w:r>
              <w:rPr>
                <w:color w:val="auto"/>
                <w:sz w:val="18"/>
                <w:szCs w:val="18"/>
                <w:highlight w:val="none"/>
              </w:rPr>
              <w:t>监测因子：（VOCs（以非甲烷总烃计）、</w:t>
            </w:r>
            <w:r>
              <w:rPr>
                <w:rFonts w:hint="eastAsia"/>
                <w:color w:val="auto"/>
                <w:sz w:val="18"/>
                <w:szCs w:val="18"/>
                <w:highlight w:val="none"/>
                <w:lang w:val="en-US" w:eastAsia="zh-CN"/>
              </w:rPr>
              <w:t>颗粒物</w:t>
            </w:r>
            <w:r>
              <w:rPr>
                <w:color w:val="auto"/>
                <w:sz w:val="18"/>
                <w:szCs w:val="18"/>
                <w:highlight w:val="none"/>
              </w:rPr>
              <w:t>）</w:t>
            </w:r>
          </w:p>
        </w:tc>
        <w:tc>
          <w:tcPr>
            <w:tcW w:w="880" w:type="pct"/>
            <w:gridSpan w:val="7"/>
            <w:vAlign w:val="center"/>
          </w:tcPr>
          <w:p>
            <w:pPr>
              <w:spacing w:line="240" w:lineRule="exact"/>
              <w:jc w:val="center"/>
              <w:rPr>
                <w:color w:val="auto"/>
                <w:sz w:val="18"/>
                <w:szCs w:val="18"/>
                <w:highlight w:val="none"/>
              </w:rPr>
            </w:pPr>
            <w:r>
              <w:rPr>
                <w:color w:val="auto"/>
                <w:sz w:val="18"/>
                <w:szCs w:val="18"/>
                <w:highlight w:val="none"/>
              </w:rPr>
              <w:t>有组织废气监测√</w:t>
            </w:r>
          </w:p>
          <w:p>
            <w:pPr>
              <w:spacing w:line="240" w:lineRule="exact"/>
              <w:jc w:val="center"/>
              <w:rPr>
                <w:color w:val="auto"/>
                <w:sz w:val="18"/>
                <w:szCs w:val="18"/>
                <w:highlight w:val="none"/>
              </w:rPr>
            </w:pPr>
            <w:r>
              <w:rPr>
                <w:color w:val="auto"/>
                <w:sz w:val="18"/>
                <w:szCs w:val="18"/>
                <w:highlight w:val="none"/>
              </w:rPr>
              <w:t>无组织废气监测√</w:t>
            </w:r>
          </w:p>
        </w:tc>
        <w:tc>
          <w:tcPr>
            <w:tcW w:w="653" w:type="pct"/>
            <w:gridSpan w:val="2"/>
            <w:vAlign w:val="center"/>
          </w:tcPr>
          <w:p>
            <w:pPr>
              <w:spacing w:line="240" w:lineRule="exact"/>
              <w:jc w:val="center"/>
              <w:rPr>
                <w:color w:val="auto"/>
                <w:sz w:val="18"/>
                <w:szCs w:val="18"/>
                <w:highlight w:val="none"/>
              </w:rPr>
            </w:pPr>
            <w:r>
              <w:rPr>
                <w:color w:val="auto"/>
                <w:sz w:val="18"/>
                <w:szCs w:val="18"/>
                <w:highlight w:val="none"/>
              </w:rPr>
              <w:t>无监测□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4" w:type="pct"/>
            <w:vMerge w:val="continue"/>
            <w:vAlign w:val="center"/>
          </w:tcPr>
          <w:p>
            <w:pPr>
              <w:widowControl/>
              <w:spacing w:line="240" w:lineRule="exact"/>
              <w:jc w:val="left"/>
              <w:rPr>
                <w:color w:val="auto"/>
                <w:sz w:val="18"/>
                <w:szCs w:val="18"/>
                <w:highlight w:val="none"/>
              </w:rPr>
            </w:pPr>
          </w:p>
        </w:tc>
        <w:tc>
          <w:tcPr>
            <w:tcW w:w="817" w:type="pct"/>
            <w:vAlign w:val="center"/>
          </w:tcPr>
          <w:p>
            <w:pPr>
              <w:spacing w:line="240" w:lineRule="exact"/>
              <w:jc w:val="center"/>
              <w:rPr>
                <w:color w:val="auto"/>
                <w:sz w:val="18"/>
                <w:szCs w:val="18"/>
                <w:highlight w:val="none"/>
              </w:rPr>
            </w:pPr>
            <w:r>
              <w:rPr>
                <w:color w:val="auto"/>
                <w:sz w:val="18"/>
                <w:szCs w:val="18"/>
                <w:highlight w:val="none"/>
              </w:rPr>
              <w:t>环境质量监测</w:t>
            </w:r>
          </w:p>
        </w:tc>
        <w:tc>
          <w:tcPr>
            <w:tcW w:w="2224" w:type="pct"/>
            <w:gridSpan w:val="10"/>
            <w:vAlign w:val="center"/>
          </w:tcPr>
          <w:p>
            <w:pPr>
              <w:spacing w:line="240" w:lineRule="exact"/>
              <w:jc w:val="center"/>
              <w:rPr>
                <w:color w:val="auto"/>
                <w:sz w:val="18"/>
                <w:szCs w:val="18"/>
                <w:highlight w:val="none"/>
              </w:rPr>
            </w:pPr>
            <w:r>
              <w:rPr>
                <w:color w:val="auto"/>
                <w:sz w:val="18"/>
                <w:szCs w:val="18"/>
                <w:highlight w:val="none"/>
              </w:rPr>
              <w:t>监测因子：（）</w:t>
            </w:r>
          </w:p>
        </w:tc>
        <w:tc>
          <w:tcPr>
            <w:tcW w:w="880" w:type="pct"/>
            <w:gridSpan w:val="7"/>
            <w:vAlign w:val="center"/>
          </w:tcPr>
          <w:p>
            <w:pPr>
              <w:spacing w:line="240" w:lineRule="exact"/>
              <w:jc w:val="center"/>
              <w:rPr>
                <w:color w:val="auto"/>
                <w:sz w:val="18"/>
                <w:szCs w:val="18"/>
                <w:highlight w:val="none"/>
              </w:rPr>
            </w:pPr>
            <w:r>
              <w:rPr>
                <w:color w:val="auto"/>
                <w:sz w:val="18"/>
                <w:szCs w:val="18"/>
                <w:highlight w:val="none"/>
              </w:rPr>
              <w:t>监测点位数（）</w:t>
            </w:r>
          </w:p>
        </w:tc>
        <w:tc>
          <w:tcPr>
            <w:tcW w:w="653" w:type="pct"/>
            <w:gridSpan w:val="2"/>
            <w:vAlign w:val="center"/>
          </w:tcPr>
          <w:p>
            <w:pPr>
              <w:spacing w:line="240" w:lineRule="exact"/>
              <w:jc w:val="center"/>
              <w:rPr>
                <w:color w:val="auto"/>
                <w:sz w:val="18"/>
                <w:szCs w:val="18"/>
                <w:highlight w:val="none"/>
              </w:rPr>
            </w:pPr>
            <w:r>
              <w:rPr>
                <w:color w:val="auto"/>
                <w:sz w:val="18"/>
                <w:szCs w:val="18"/>
                <w:highlight w:val="none"/>
              </w:rPr>
              <w:t>无监测√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4" w:type="pct"/>
            <w:vMerge w:val="restart"/>
            <w:vAlign w:val="center"/>
          </w:tcPr>
          <w:p>
            <w:pPr>
              <w:spacing w:line="240" w:lineRule="exact"/>
              <w:jc w:val="center"/>
              <w:rPr>
                <w:color w:val="auto"/>
                <w:sz w:val="18"/>
                <w:szCs w:val="18"/>
                <w:highlight w:val="none"/>
              </w:rPr>
            </w:pPr>
            <w:r>
              <w:rPr>
                <w:color w:val="auto"/>
                <w:sz w:val="18"/>
                <w:szCs w:val="18"/>
                <w:highlight w:val="none"/>
              </w:rPr>
              <w:t>评价结论</w:t>
            </w:r>
          </w:p>
        </w:tc>
        <w:tc>
          <w:tcPr>
            <w:tcW w:w="817" w:type="pct"/>
            <w:vAlign w:val="center"/>
          </w:tcPr>
          <w:p>
            <w:pPr>
              <w:spacing w:line="240" w:lineRule="exact"/>
              <w:jc w:val="center"/>
              <w:rPr>
                <w:color w:val="auto"/>
                <w:sz w:val="18"/>
                <w:szCs w:val="18"/>
                <w:highlight w:val="none"/>
              </w:rPr>
            </w:pPr>
            <w:r>
              <w:rPr>
                <w:color w:val="auto"/>
                <w:sz w:val="18"/>
                <w:szCs w:val="18"/>
                <w:highlight w:val="none"/>
              </w:rPr>
              <w:t>环境影响</w:t>
            </w:r>
          </w:p>
        </w:tc>
        <w:tc>
          <w:tcPr>
            <w:tcW w:w="3757" w:type="pct"/>
            <w:gridSpan w:val="19"/>
            <w:vAlign w:val="center"/>
          </w:tcPr>
          <w:p>
            <w:pPr>
              <w:spacing w:line="240" w:lineRule="exact"/>
              <w:jc w:val="center"/>
              <w:rPr>
                <w:color w:val="auto"/>
                <w:sz w:val="18"/>
                <w:szCs w:val="18"/>
                <w:highlight w:val="none"/>
              </w:rPr>
            </w:pPr>
            <w:r>
              <w:rPr>
                <w:color w:val="auto"/>
                <w:sz w:val="18"/>
                <w:szCs w:val="18"/>
                <w:highlight w:val="none"/>
              </w:rPr>
              <w:t>可以接受√     不可以接受□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4" w:type="pct"/>
            <w:vMerge w:val="continue"/>
            <w:vAlign w:val="center"/>
          </w:tcPr>
          <w:p>
            <w:pPr>
              <w:widowControl/>
              <w:spacing w:line="240" w:lineRule="exact"/>
              <w:jc w:val="left"/>
              <w:rPr>
                <w:color w:val="auto"/>
                <w:sz w:val="18"/>
                <w:szCs w:val="18"/>
                <w:highlight w:val="none"/>
              </w:rPr>
            </w:pPr>
          </w:p>
        </w:tc>
        <w:tc>
          <w:tcPr>
            <w:tcW w:w="817" w:type="pct"/>
            <w:vAlign w:val="center"/>
          </w:tcPr>
          <w:p>
            <w:pPr>
              <w:spacing w:line="240" w:lineRule="exact"/>
              <w:jc w:val="center"/>
              <w:rPr>
                <w:color w:val="auto"/>
                <w:sz w:val="18"/>
                <w:szCs w:val="18"/>
                <w:highlight w:val="none"/>
              </w:rPr>
            </w:pPr>
            <w:r>
              <w:rPr>
                <w:color w:val="auto"/>
                <w:sz w:val="18"/>
                <w:szCs w:val="18"/>
                <w:highlight w:val="none"/>
              </w:rPr>
              <w:t>大气环境防护距离</w:t>
            </w:r>
          </w:p>
        </w:tc>
        <w:tc>
          <w:tcPr>
            <w:tcW w:w="3757" w:type="pct"/>
            <w:gridSpan w:val="19"/>
            <w:vAlign w:val="center"/>
          </w:tcPr>
          <w:p>
            <w:pPr>
              <w:spacing w:line="240" w:lineRule="exact"/>
              <w:jc w:val="center"/>
              <w:rPr>
                <w:color w:val="auto"/>
                <w:sz w:val="18"/>
                <w:szCs w:val="18"/>
                <w:highlight w:val="none"/>
              </w:rPr>
            </w:pPr>
            <w:r>
              <w:rPr>
                <w:color w:val="auto"/>
                <w:sz w:val="18"/>
                <w:szCs w:val="18"/>
                <w:highlight w:val="none"/>
              </w:rPr>
              <w:t>距厂界最远（</w:t>
            </w:r>
            <w:r>
              <w:rPr>
                <w:rFonts w:hint="eastAsia"/>
                <w:color w:val="auto"/>
                <w:sz w:val="18"/>
                <w:szCs w:val="18"/>
                <w:highlight w:val="none"/>
              </w:rPr>
              <w:t>/</w:t>
            </w:r>
            <w:r>
              <w:rPr>
                <w:color w:val="auto"/>
                <w:sz w:val="18"/>
                <w:szCs w:val="18"/>
                <w:highlight w:val="none"/>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24" w:type="pct"/>
            <w:vMerge w:val="continue"/>
            <w:vAlign w:val="center"/>
          </w:tcPr>
          <w:p>
            <w:pPr>
              <w:widowControl/>
              <w:spacing w:line="240" w:lineRule="exact"/>
              <w:jc w:val="left"/>
              <w:rPr>
                <w:color w:val="auto"/>
                <w:sz w:val="18"/>
                <w:szCs w:val="18"/>
                <w:highlight w:val="none"/>
              </w:rPr>
            </w:pPr>
          </w:p>
        </w:tc>
        <w:tc>
          <w:tcPr>
            <w:tcW w:w="817" w:type="pct"/>
            <w:vAlign w:val="center"/>
          </w:tcPr>
          <w:p>
            <w:pPr>
              <w:spacing w:line="240" w:lineRule="exact"/>
              <w:jc w:val="center"/>
              <w:rPr>
                <w:color w:val="auto"/>
                <w:sz w:val="18"/>
                <w:szCs w:val="18"/>
                <w:highlight w:val="none"/>
              </w:rPr>
            </w:pPr>
            <w:r>
              <w:rPr>
                <w:color w:val="auto"/>
                <w:sz w:val="18"/>
                <w:szCs w:val="18"/>
                <w:highlight w:val="none"/>
              </w:rPr>
              <w:t>污染源年排放量</w:t>
            </w:r>
          </w:p>
        </w:tc>
        <w:tc>
          <w:tcPr>
            <w:tcW w:w="922" w:type="pct"/>
            <w:gridSpan w:val="4"/>
            <w:vAlign w:val="center"/>
          </w:tcPr>
          <w:p>
            <w:pPr>
              <w:spacing w:line="240" w:lineRule="exact"/>
              <w:jc w:val="center"/>
              <w:rPr>
                <w:color w:val="auto"/>
                <w:sz w:val="18"/>
                <w:szCs w:val="18"/>
                <w:highlight w:val="none"/>
              </w:rPr>
            </w:pPr>
            <w:r>
              <w:rPr>
                <w:color w:val="auto"/>
                <w:sz w:val="18"/>
                <w:szCs w:val="18"/>
                <w:highlight w:val="none"/>
              </w:rPr>
              <w:t>SO</w:t>
            </w:r>
            <w:r>
              <w:rPr>
                <w:color w:val="auto"/>
                <w:sz w:val="18"/>
                <w:szCs w:val="18"/>
                <w:highlight w:val="none"/>
                <w:vertAlign w:val="subscript"/>
              </w:rPr>
              <w:t>2</w:t>
            </w:r>
            <w:r>
              <w:rPr>
                <w:color w:val="auto"/>
                <w:sz w:val="18"/>
                <w:szCs w:val="18"/>
                <w:highlight w:val="none"/>
              </w:rPr>
              <w:t>：</w:t>
            </w:r>
            <w:r>
              <w:rPr>
                <w:rFonts w:hint="eastAsia"/>
                <w:color w:val="auto"/>
                <w:sz w:val="18"/>
                <w:szCs w:val="18"/>
                <w:highlight w:val="none"/>
              </w:rPr>
              <w:t>()</w:t>
            </w:r>
            <w:r>
              <w:rPr>
                <w:color w:val="auto"/>
                <w:sz w:val="18"/>
                <w:szCs w:val="18"/>
                <w:highlight w:val="none"/>
              </w:rPr>
              <w:t>t/a</w:t>
            </w:r>
          </w:p>
        </w:tc>
        <w:tc>
          <w:tcPr>
            <w:tcW w:w="882" w:type="pct"/>
            <w:gridSpan w:val="3"/>
            <w:vAlign w:val="center"/>
          </w:tcPr>
          <w:p>
            <w:pPr>
              <w:spacing w:line="240" w:lineRule="exact"/>
              <w:jc w:val="center"/>
              <w:rPr>
                <w:color w:val="auto"/>
                <w:sz w:val="18"/>
                <w:szCs w:val="18"/>
                <w:highlight w:val="none"/>
              </w:rPr>
            </w:pPr>
            <w:r>
              <w:rPr>
                <w:color w:val="auto"/>
                <w:sz w:val="18"/>
                <w:szCs w:val="18"/>
                <w:highlight w:val="none"/>
              </w:rPr>
              <w:t>NO</w:t>
            </w:r>
            <w:r>
              <w:rPr>
                <w:color w:val="auto"/>
                <w:sz w:val="18"/>
                <w:szCs w:val="18"/>
                <w:highlight w:val="none"/>
                <w:vertAlign w:val="subscript"/>
              </w:rPr>
              <w:t>x</w:t>
            </w:r>
            <w:r>
              <w:rPr>
                <w:color w:val="auto"/>
                <w:sz w:val="18"/>
                <w:szCs w:val="18"/>
                <w:highlight w:val="none"/>
              </w:rPr>
              <w:t>：</w:t>
            </w:r>
            <w:r>
              <w:rPr>
                <w:rFonts w:hint="eastAsia"/>
                <w:color w:val="auto"/>
                <w:sz w:val="18"/>
                <w:szCs w:val="18"/>
                <w:highlight w:val="none"/>
              </w:rPr>
              <w:t>()</w:t>
            </w:r>
            <w:r>
              <w:rPr>
                <w:color w:val="auto"/>
                <w:sz w:val="18"/>
                <w:szCs w:val="18"/>
                <w:highlight w:val="none"/>
              </w:rPr>
              <w:t>t/a</w:t>
            </w:r>
          </w:p>
        </w:tc>
        <w:tc>
          <w:tcPr>
            <w:tcW w:w="1067" w:type="pct"/>
            <w:gridSpan w:val="8"/>
            <w:vAlign w:val="center"/>
          </w:tcPr>
          <w:p>
            <w:pPr>
              <w:spacing w:line="240" w:lineRule="exact"/>
              <w:jc w:val="center"/>
              <w:rPr>
                <w:color w:val="auto"/>
                <w:sz w:val="18"/>
                <w:szCs w:val="18"/>
                <w:highlight w:val="none"/>
              </w:rPr>
            </w:pPr>
            <w:r>
              <w:rPr>
                <w:color w:val="auto"/>
                <w:sz w:val="18"/>
                <w:szCs w:val="18"/>
                <w:highlight w:val="none"/>
              </w:rPr>
              <w:t>颗粒物：</w:t>
            </w:r>
            <w:r>
              <w:rPr>
                <w:rFonts w:hint="eastAsia"/>
                <w:color w:val="auto"/>
                <w:sz w:val="18"/>
                <w:szCs w:val="18"/>
                <w:highlight w:val="none"/>
              </w:rPr>
              <w:t>(0.557)</w:t>
            </w:r>
            <w:r>
              <w:rPr>
                <w:color w:val="auto"/>
                <w:sz w:val="18"/>
                <w:szCs w:val="18"/>
                <w:highlight w:val="none"/>
              </w:rPr>
              <w:t>t/a</w:t>
            </w:r>
          </w:p>
        </w:tc>
        <w:tc>
          <w:tcPr>
            <w:tcW w:w="885" w:type="pct"/>
            <w:gridSpan w:val="4"/>
            <w:vAlign w:val="center"/>
          </w:tcPr>
          <w:p>
            <w:pPr>
              <w:spacing w:line="240" w:lineRule="exact"/>
              <w:jc w:val="center"/>
              <w:rPr>
                <w:color w:val="auto"/>
                <w:sz w:val="18"/>
                <w:szCs w:val="18"/>
                <w:highlight w:val="none"/>
              </w:rPr>
            </w:pPr>
            <w:r>
              <w:rPr>
                <w:color w:val="auto"/>
                <w:sz w:val="18"/>
                <w:szCs w:val="18"/>
                <w:highlight w:val="none"/>
              </w:rPr>
              <w:t>VOCs：</w:t>
            </w:r>
            <w:r>
              <w:rPr>
                <w:rFonts w:hint="eastAsia"/>
                <w:color w:val="auto"/>
                <w:sz w:val="18"/>
                <w:szCs w:val="18"/>
                <w:highlight w:val="none"/>
              </w:rPr>
              <w:t>(1.283)</w:t>
            </w:r>
            <w:r>
              <w:rPr>
                <w:color w:val="auto"/>
                <w:sz w:val="18"/>
                <w:szCs w:val="18"/>
                <w:highlight w:val="none"/>
              </w:rPr>
              <w:t>t/a</w:t>
            </w:r>
          </w:p>
        </w:tc>
      </w:tr>
    </w:tbl>
    <w:p>
      <w:pPr>
        <w:pStyle w:val="100"/>
        <w:spacing w:before="156"/>
        <w:rPr>
          <w:rFonts w:ascii="Times New Roman" w:hAnsi="Times New Roman"/>
          <w:color w:val="auto"/>
          <w:highlight w:val="none"/>
        </w:rPr>
      </w:pPr>
      <w:bookmarkStart w:id="157" w:name="_Toc18280"/>
      <w:bookmarkStart w:id="158" w:name="_Toc66281287"/>
      <w:r>
        <w:rPr>
          <w:rFonts w:ascii="Times New Roman" w:hAnsi="Times New Roman"/>
          <w:color w:val="auto"/>
          <w:highlight w:val="none"/>
        </w:rPr>
        <w:t>4.2地表水环境影响预测与评价</w:t>
      </w:r>
      <w:bookmarkEnd w:id="157"/>
      <w:bookmarkEnd w:id="158"/>
    </w:p>
    <w:p>
      <w:pPr>
        <w:pStyle w:val="9"/>
        <w:spacing w:before="78" w:beforeLines="25" w:after="0" w:line="360" w:lineRule="auto"/>
        <w:rPr>
          <w:rFonts w:eastAsia="黑体"/>
          <w:b w:val="0"/>
          <w:color w:val="auto"/>
          <w:sz w:val="24"/>
          <w:szCs w:val="24"/>
          <w:highlight w:val="none"/>
          <w:lang w:val="zh-CN"/>
        </w:rPr>
      </w:pPr>
      <w:r>
        <w:rPr>
          <w:rFonts w:eastAsia="黑体"/>
          <w:b w:val="0"/>
          <w:color w:val="auto"/>
          <w:sz w:val="24"/>
          <w:szCs w:val="24"/>
          <w:highlight w:val="none"/>
          <w:lang w:val="zh-CN"/>
        </w:rPr>
        <w:t>4.2.1 项目废水排放情况</w:t>
      </w:r>
    </w:p>
    <w:p>
      <w:pPr>
        <w:pStyle w:val="112"/>
        <w:rPr>
          <w:color w:val="auto"/>
          <w:highlight w:val="none"/>
        </w:rPr>
      </w:pPr>
      <w:r>
        <w:rPr>
          <w:color w:val="auto"/>
          <w:highlight w:val="none"/>
        </w:rPr>
        <w:t>4.2.1.1 废水产生及排放情况</w:t>
      </w:r>
    </w:p>
    <w:p>
      <w:pPr>
        <w:pStyle w:val="99"/>
        <w:ind w:firstLine="480"/>
        <w:rPr>
          <w:color w:val="auto"/>
          <w:highlight w:val="none"/>
        </w:rPr>
      </w:pPr>
      <w:r>
        <w:rPr>
          <w:color w:val="auto"/>
          <w:highlight w:val="none"/>
        </w:rPr>
        <w:t>项目废水为生活污水。根据水平衡计算，生活用水</w:t>
      </w:r>
      <w:r>
        <w:rPr>
          <w:rFonts w:hint="eastAsia"/>
          <w:color w:val="auto"/>
          <w:highlight w:val="none"/>
        </w:rPr>
        <w:t>360</w:t>
      </w:r>
      <w:r>
        <w:rPr>
          <w:color w:val="auto"/>
          <w:highlight w:val="none"/>
        </w:rPr>
        <w:t>m</w:t>
      </w:r>
      <w:r>
        <w:rPr>
          <w:color w:val="auto"/>
          <w:highlight w:val="none"/>
          <w:vertAlign w:val="superscript"/>
        </w:rPr>
        <w:t>3</w:t>
      </w:r>
      <w:r>
        <w:rPr>
          <w:color w:val="auto"/>
          <w:highlight w:val="none"/>
        </w:rPr>
        <w:t>/a，生活污水产污系数为0.8，则生活污水产生量为</w:t>
      </w:r>
      <w:r>
        <w:rPr>
          <w:rFonts w:hint="eastAsia"/>
          <w:color w:val="auto"/>
          <w:highlight w:val="none"/>
        </w:rPr>
        <w:t>288</w:t>
      </w:r>
      <w:r>
        <w:rPr>
          <w:color w:val="auto"/>
          <w:highlight w:val="none"/>
        </w:rPr>
        <w:t>m</w:t>
      </w:r>
      <w:r>
        <w:rPr>
          <w:color w:val="auto"/>
          <w:highlight w:val="none"/>
          <w:vertAlign w:val="superscript"/>
        </w:rPr>
        <w:t>3</w:t>
      </w:r>
      <w:r>
        <w:rPr>
          <w:color w:val="auto"/>
          <w:highlight w:val="none"/>
        </w:rPr>
        <w:t>/a。</w:t>
      </w:r>
    </w:p>
    <w:p>
      <w:pPr>
        <w:pStyle w:val="99"/>
        <w:ind w:firstLine="480"/>
        <w:rPr>
          <w:color w:val="auto"/>
          <w:highlight w:val="none"/>
        </w:rPr>
      </w:pPr>
      <w:r>
        <w:rPr>
          <w:color w:val="auto"/>
          <w:highlight w:val="none"/>
        </w:rPr>
        <w:t>类比同类项目，生活污水主要污染物为COD、BOD</w:t>
      </w:r>
      <w:r>
        <w:rPr>
          <w:color w:val="auto"/>
          <w:highlight w:val="none"/>
          <w:vertAlign w:val="subscript"/>
        </w:rPr>
        <w:t>5</w:t>
      </w:r>
      <w:r>
        <w:rPr>
          <w:color w:val="auto"/>
          <w:highlight w:val="none"/>
        </w:rPr>
        <w:t>、NH</w:t>
      </w:r>
      <w:r>
        <w:rPr>
          <w:color w:val="auto"/>
          <w:highlight w:val="none"/>
          <w:vertAlign w:val="subscript"/>
        </w:rPr>
        <w:t>3</w:t>
      </w:r>
      <w:r>
        <w:rPr>
          <w:color w:val="auto"/>
          <w:highlight w:val="none"/>
        </w:rPr>
        <w:t>-N、SS，其浓度及产生量分</w:t>
      </w:r>
      <w:r>
        <w:rPr>
          <w:rFonts w:hint="eastAsia"/>
          <w:color w:val="auto"/>
          <w:highlight w:val="none"/>
        </w:rPr>
        <w:t>别</w:t>
      </w:r>
      <w:r>
        <w:rPr>
          <w:color w:val="auto"/>
          <w:highlight w:val="none"/>
        </w:rPr>
        <w:t>为350mg/L、0.1t/a；200mg/L、0.0</w:t>
      </w:r>
      <w:r>
        <w:rPr>
          <w:rFonts w:hint="eastAsia"/>
          <w:color w:val="auto"/>
          <w:highlight w:val="none"/>
        </w:rPr>
        <w:t>58</w:t>
      </w:r>
      <w:r>
        <w:rPr>
          <w:color w:val="auto"/>
          <w:highlight w:val="none"/>
        </w:rPr>
        <w:t>t/a；35mg/L、0.01t/a；200mg/L、0.0</w:t>
      </w:r>
      <w:r>
        <w:rPr>
          <w:rFonts w:hint="eastAsia"/>
          <w:color w:val="auto"/>
          <w:highlight w:val="none"/>
        </w:rPr>
        <w:t>58</w:t>
      </w:r>
      <w:r>
        <w:rPr>
          <w:color w:val="auto"/>
          <w:highlight w:val="none"/>
        </w:rPr>
        <w:t>t/a。</w:t>
      </w:r>
    </w:p>
    <w:p>
      <w:pPr>
        <w:pStyle w:val="99"/>
        <w:ind w:firstLine="480"/>
        <w:rPr>
          <w:color w:val="auto"/>
          <w:highlight w:val="none"/>
        </w:rPr>
      </w:pPr>
      <w:r>
        <w:rPr>
          <w:color w:val="auto"/>
          <w:highlight w:val="none"/>
        </w:rPr>
        <w:t>生活污水</w:t>
      </w:r>
      <w:r>
        <w:rPr>
          <w:rFonts w:hint="eastAsia"/>
          <w:color w:val="auto"/>
          <w:highlight w:val="none"/>
        </w:rPr>
        <w:t>经化粪池收集后由环卫部门定期清掏，不外排</w:t>
      </w:r>
      <w:r>
        <w:rPr>
          <w:color w:val="auto"/>
          <w:highlight w:val="none"/>
        </w:rPr>
        <w:t>。</w:t>
      </w:r>
    </w:p>
    <w:p>
      <w:pPr>
        <w:pStyle w:val="112"/>
        <w:rPr>
          <w:color w:val="auto"/>
          <w:highlight w:val="none"/>
        </w:rPr>
      </w:pPr>
      <w:r>
        <w:rPr>
          <w:color w:val="auto"/>
          <w:highlight w:val="none"/>
        </w:rPr>
        <w:t>4.2.1.2 评价等级及评价范围</w:t>
      </w:r>
    </w:p>
    <w:p>
      <w:pPr>
        <w:spacing w:line="360" w:lineRule="auto"/>
        <w:ind w:firstLine="480" w:firstLineChars="200"/>
        <w:jc w:val="left"/>
        <w:rPr>
          <w:rFonts w:eastAsia="黑体"/>
          <w:color w:val="auto"/>
          <w:sz w:val="24"/>
          <w:highlight w:val="none"/>
        </w:rPr>
      </w:pPr>
      <w:r>
        <w:rPr>
          <w:color w:val="auto"/>
          <w:sz w:val="24"/>
          <w:highlight w:val="none"/>
        </w:rPr>
        <w:t>本项目属于水污染型建设项目，水污染型建设项目根据排放方式和废水排放量划分评价等级，等级判定表见表4.2-</w:t>
      </w:r>
      <w:r>
        <w:rPr>
          <w:rFonts w:hint="eastAsia"/>
          <w:color w:val="auto"/>
          <w:sz w:val="24"/>
          <w:highlight w:val="none"/>
        </w:rPr>
        <w:t>1</w:t>
      </w:r>
      <w:r>
        <w:rPr>
          <w:color w:val="auto"/>
          <w:sz w:val="24"/>
          <w:highlight w:val="none"/>
        </w:rPr>
        <w:t>。</w:t>
      </w:r>
    </w:p>
    <w:p>
      <w:pPr>
        <w:spacing w:line="360" w:lineRule="auto"/>
        <w:jc w:val="center"/>
        <w:rPr>
          <w:rFonts w:eastAsia="黑体"/>
          <w:color w:val="auto"/>
          <w:sz w:val="24"/>
          <w:highlight w:val="none"/>
        </w:rPr>
      </w:pPr>
      <w:r>
        <w:rPr>
          <w:rFonts w:eastAsia="黑体"/>
          <w:color w:val="auto"/>
          <w:sz w:val="24"/>
          <w:highlight w:val="none"/>
        </w:rPr>
        <w:t>表4.2-</w:t>
      </w:r>
      <w:r>
        <w:rPr>
          <w:rFonts w:hint="eastAsia" w:eastAsia="黑体"/>
          <w:color w:val="auto"/>
          <w:sz w:val="24"/>
          <w:highlight w:val="none"/>
        </w:rPr>
        <w:t>1</w:t>
      </w:r>
      <w:r>
        <w:rPr>
          <w:rFonts w:eastAsia="黑体"/>
          <w:color w:val="auto"/>
          <w:sz w:val="24"/>
          <w:highlight w:val="none"/>
        </w:rPr>
        <w:t xml:space="preserve">  水污染型建设项目评价等级判定表</w:t>
      </w:r>
    </w:p>
    <w:tbl>
      <w:tblPr>
        <w:tblStyle w:val="5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1950"/>
        <w:gridCol w:w="51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0" w:type="dxa"/>
            <w:vMerge w:val="restart"/>
            <w:tcBorders>
              <w:top w:val="single" w:color="auto" w:sz="12" w:space="0"/>
              <w:left w:val="nil"/>
              <w:bottom w:val="single" w:color="auto" w:sz="4" w:space="0"/>
              <w:right w:val="single" w:color="auto" w:sz="4" w:space="0"/>
            </w:tcBorders>
            <w:vAlign w:val="center"/>
          </w:tcPr>
          <w:p>
            <w:pPr>
              <w:jc w:val="center"/>
              <w:rPr>
                <w:color w:val="auto"/>
                <w:szCs w:val="21"/>
                <w:highlight w:val="none"/>
              </w:rPr>
            </w:pPr>
            <w:r>
              <w:rPr>
                <w:color w:val="auto"/>
                <w:szCs w:val="21"/>
                <w:highlight w:val="none"/>
              </w:rPr>
              <w:t>评价等级</w:t>
            </w:r>
          </w:p>
        </w:tc>
        <w:tc>
          <w:tcPr>
            <w:tcW w:w="7052" w:type="dxa"/>
            <w:gridSpan w:val="2"/>
            <w:tcBorders>
              <w:top w:val="single" w:color="auto" w:sz="12" w:space="0"/>
              <w:left w:val="single" w:color="auto" w:sz="4" w:space="0"/>
              <w:bottom w:val="single" w:color="auto" w:sz="4" w:space="0"/>
              <w:right w:val="nil"/>
            </w:tcBorders>
            <w:vAlign w:val="center"/>
          </w:tcPr>
          <w:p>
            <w:pPr>
              <w:jc w:val="center"/>
              <w:rPr>
                <w:color w:val="auto"/>
                <w:szCs w:val="21"/>
                <w:highlight w:val="none"/>
              </w:rPr>
            </w:pPr>
            <w:r>
              <w:rPr>
                <w:color w:val="auto"/>
                <w:szCs w:val="21"/>
                <w:highlight w:val="none"/>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0" w:type="dxa"/>
            <w:vMerge w:val="continue"/>
            <w:tcBorders>
              <w:top w:val="single" w:color="auto" w:sz="12" w:space="0"/>
              <w:left w:val="nil"/>
              <w:bottom w:val="single" w:color="auto" w:sz="4" w:space="0"/>
              <w:right w:val="single" w:color="auto" w:sz="4" w:space="0"/>
            </w:tcBorders>
            <w:vAlign w:val="center"/>
          </w:tcPr>
          <w:p>
            <w:pPr>
              <w:widowControl/>
              <w:jc w:val="left"/>
              <w:rPr>
                <w:color w:val="auto"/>
                <w:szCs w:val="21"/>
                <w:highlight w:val="none"/>
              </w:rPr>
            </w:pPr>
          </w:p>
        </w:tc>
        <w:tc>
          <w:tcPr>
            <w:tcW w:w="1950"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highlight w:val="none"/>
              </w:rPr>
            </w:pPr>
            <w:r>
              <w:rPr>
                <w:color w:val="auto"/>
                <w:szCs w:val="21"/>
                <w:highlight w:val="none"/>
              </w:rPr>
              <w:t>排放方式</w:t>
            </w:r>
          </w:p>
        </w:tc>
        <w:tc>
          <w:tcPr>
            <w:tcW w:w="5102" w:type="dxa"/>
            <w:tcBorders>
              <w:top w:val="single" w:color="auto" w:sz="4" w:space="0"/>
              <w:left w:val="single" w:color="auto" w:sz="4" w:space="0"/>
              <w:bottom w:val="single" w:color="auto" w:sz="4" w:space="0"/>
              <w:right w:val="nil"/>
            </w:tcBorders>
            <w:vAlign w:val="center"/>
          </w:tcPr>
          <w:p>
            <w:pPr>
              <w:jc w:val="center"/>
              <w:rPr>
                <w:color w:val="auto"/>
                <w:szCs w:val="21"/>
                <w:highlight w:val="none"/>
              </w:rPr>
            </w:pPr>
            <w:r>
              <w:rPr>
                <w:color w:val="auto"/>
                <w:szCs w:val="21"/>
                <w:highlight w:val="none"/>
              </w:rPr>
              <w:t>废水排放量Q/(m</w:t>
            </w:r>
            <w:r>
              <w:rPr>
                <w:color w:val="auto"/>
                <w:szCs w:val="21"/>
                <w:highlight w:val="none"/>
                <w:vertAlign w:val="superscript"/>
              </w:rPr>
              <w:t>3</w:t>
            </w:r>
            <w:r>
              <w:rPr>
                <w:color w:val="auto"/>
                <w:szCs w:val="21"/>
                <w:highlight w:val="none"/>
              </w:rPr>
              <w:t>/d)</w:t>
            </w:r>
          </w:p>
          <w:p>
            <w:pPr>
              <w:jc w:val="center"/>
              <w:rPr>
                <w:color w:val="auto"/>
                <w:szCs w:val="21"/>
                <w:highlight w:val="none"/>
              </w:rPr>
            </w:pPr>
            <w:r>
              <w:rPr>
                <w:color w:val="auto"/>
                <w:szCs w:val="21"/>
                <w:highlight w:val="none"/>
              </w:rPr>
              <w:t>水污染物当量数W/(无纲量)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0" w:type="dxa"/>
            <w:tcBorders>
              <w:top w:val="single" w:color="auto" w:sz="4" w:space="0"/>
              <w:left w:val="nil"/>
              <w:bottom w:val="single" w:color="auto" w:sz="4" w:space="0"/>
              <w:right w:val="single" w:color="auto" w:sz="4" w:space="0"/>
            </w:tcBorders>
            <w:vAlign w:val="center"/>
          </w:tcPr>
          <w:p>
            <w:pPr>
              <w:jc w:val="center"/>
              <w:rPr>
                <w:color w:val="auto"/>
                <w:szCs w:val="21"/>
                <w:highlight w:val="none"/>
              </w:rPr>
            </w:pPr>
            <w:r>
              <w:rPr>
                <w:color w:val="auto"/>
                <w:szCs w:val="21"/>
                <w:highlight w:val="none"/>
              </w:rPr>
              <w:t>一级</w:t>
            </w:r>
          </w:p>
        </w:tc>
        <w:tc>
          <w:tcPr>
            <w:tcW w:w="1950"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highlight w:val="none"/>
              </w:rPr>
            </w:pPr>
            <w:r>
              <w:rPr>
                <w:color w:val="auto"/>
                <w:szCs w:val="21"/>
                <w:highlight w:val="none"/>
              </w:rPr>
              <w:t>直接排放</w:t>
            </w:r>
          </w:p>
        </w:tc>
        <w:tc>
          <w:tcPr>
            <w:tcW w:w="5102" w:type="dxa"/>
            <w:tcBorders>
              <w:top w:val="single" w:color="auto" w:sz="4" w:space="0"/>
              <w:left w:val="single" w:color="auto" w:sz="4" w:space="0"/>
              <w:bottom w:val="single" w:color="auto" w:sz="4" w:space="0"/>
              <w:right w:val="nil"/>
            </w:tcBorders>
            <w:vAlign w:val="center"/>
          </w:tcPr>
          <w:p>
            <w:pPr>
              <w:jc w:val="center"/>
              <w:rPr>
                <w:color w:val="auto"/>
                <w:szCs w:val="21"/>
                <w:highlight w:val="none"/>
              </w:rPr>
            </w:pPr>
            <w:r>
              <w:rPr>
                <w:color w:val="auto"/>
                <w:szCs w:val="21"/>
                <w:highlight w:val="none"/>
              </w:rPr>
              <w:t>Q≥20000或W≥600000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0" w:type="dxa"/>
            <w:tcBorders>
              <w:top w:val="single" w:color="auto" w:sz="4" w:space="0"/>
              <w:left w:val="nil"/>
              <w:bottom w:val="single" w:color="auto" w:sz="4" w:space="0"/>
              <w:right w:val="single" w:color="auto" w:sz="4" w:space="0"/>
            </w:tcBorders>
            <w:vAlign w:val="center"/>
          </w:tcPr>
          <w:p>
            <w:pPr>
              <w:jc w:val="center"/>
              <w:rPr>
                <w:color w:val="auto"/>
                <w:szCs w:val="21"/>
                <w:highlight w:val="none"/>
              </w:rPr>
            </w:pPr>
            <w:r>
              <w:rPr>
                <w:color w:val="auto"/>
                <w:szCs w:val="21"/>
                <w:highlight w:val="none"/>
              </w:rPr>
              <w:t>二级</w:t>
            </w:r>
          </w:p>
        </w:tc>
        <w:tc>
          <w:tcPr>
            <w:tcW w:w="1950"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highlight w:val="none"/>
              </w:rPr>
            </w:pPr>
            <w:r>
              <w:rPr>
                <w:color w:val="auto"/>
                <w:szCs w:val="21"/>
                <w:highlight w:val="none"/>
              </w:rPr>
              <w:t>直接排放</w:t>
            </w:r>
          </w:p>
        </w:tc>
        <w:tc>
          <w:tcPr>
            <w:tcW w:w="5102" w:type="dxa"/>
            <w:tcBorders>
              <w:top w:val="single" w:color="auto" w:sz="4" w:space="0"/>
              <w:left w:val="single" w:color="auto" w:sz="4" w:space="0"/>
              <w:bottom w:val="single" w:color="auto" w:sz="4" w:space="0"/>
              <w:right w:val="nil"/>
            </w:tcBorders>
            <w:vAlign w:val="center"/>
          </w:tcPr>
          <w:p>
            <w:pPr>
              <w:jc w:val="center"/>
              <w:rPr>
                <w:color w:val="auto"/>
                <w:szCs w:val="21"/>
                <w:highlight w:val="none"/>
              </w:rPr>
            </w:pPr>
            <w:r>
              <w:rPr>
                <w:color w:val="auto"/>
                <w:szCs w:val="21"/>
                <w:highlight w:val="none"/>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0" w:type="dxa"/>
            <w:tcBorders>
              <w:top w:val="single" w:color="auto" w:sz="4" w:space="0"/>
              <w:left w:val="nil"/>
              <w:bottom w:val="single" w:color="auto" w:sz="4" w:space="0"/>
              <w:right w:val="single" w:color="auto" w:sz="4" w:space="0"/>
            </w:tcBorders>
            <w:vAlign w:val="center"/>
          </w:tcPr>
          <w:p>
            <w:pPr>
              <w:jc w:val="center"/>
              <w:rPr>
                <w:color w:val="auto"/>
                <w:szCs w:val="21"/>
                <w:highlight w:val="none"/>
              </w:rPr>
            </w:pPr>
            <w:r>
              <w:rPr>
                <w:color w:val="auto"/>
                <w:szCs w:val="21"/>
                <w:highlight w:val="none"/>
              </w:rPr>
              <w:t>三级A</w:t>
            </w:r>
          </w:p>
        </w:tc>
        <w:tc>
          <w:tcPr>
            <w:tcW w:w="1950"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highlight w:val="none"/>
              </w:rPr>
            </w:pPr>
            <w:r>
              <w:rPr>
                <w:color w:val="auto"/>
                <w:szCs w:val="21"/>
                <w:highlight w:val="none"/>
              </w:rPr>
              <w:t>直接排放</w:t>
            </w:r>
          </w:p>
        </w:tc>
        <w:tc>
          <w:tcPr>
            <w:tcW w:w="5102" w:type="dxa"/>
            <w:tcBorders>
              <w:top w:val="single" w:color="auto" w:sz="4" w:space="0"/>
              <w:left w:val="single" w:color="auto" w:sz="4" w:space="0"/>
              <w:bottom w:val="single" w:color="auto" w:sz="4" w:space="0"/>
              <w:right w:val="nil"/>
            </w:tcBorders>
            <w:vAlign w:val="center"/>
          </w:tcPr>
          <w:p>
            <w:pPr>
              <w:jc w:val="center"/>
              <w:rPr>
                <w:color w:val="auto"/>
                <w:szCs w:val="21"/>
                <w:highlight w:val="none"/>
              </w:rPr>
            </w:pPr>
            <w:r>
              <w:rPr>
                <w:color w:val="auto"/>
                <w:szCs w:val="21"/>
                <w:highlight w:val="none"/>
              </w:rPr>
              <w:t>Q＜200或W＜6000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0" w:type="dxa"/>
            <w:tcBorders>
              <w:top w:val="single" w:color="auto" w:sz="4" w:space="0"/>
              <w:left w:val="nil"/>
              <w:bottom w:val="single" w:color="auto" w:sz="12" w:space="0"/>
              <w:right w:val="single" w:color="auto" w:sz="4" w:space="0"/>
            </w:tcBorders>
            <w:vAlign w:val="center"/>
          </w:tcPr>
          <w:p>
            <w:pPr>
              <w:jc w:val="center"/>
              <w:rPr>
                <w:color w:val="auto"/>
                <w:szCs w:val="21"/>
                <w:highlight w:val="none"/>
              </w:rPr>
            </w:pPr>
            <w:r>
              <w:rPr>
                <w:color w:val="auto"/>
                <w:szCs w:val="21"/>
                <w:highlight w:val="none"/>
              </w:rPr>
              <w:t>三级B</w:t>
            </w:r>
          </w:p>
        </w:tc>
        <w:tc>
          <w:tcPr>
            <w:tcW w:w="1950" w:type="dxa"/>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szCs w:val="21"/>
                <w:highlight w:val="none"/>
              </w:rPr>
            </w:pPr>
            <w:r>
              <w:rPr>
                <w:color w:val="auto"/>
                <w:szCs w:val="21"/>
                <w:highlight w:val="none"/>
              </w:rPr>
              <w:t>间接排放</w:t>
            </w:r>
          </w:p>
        </w:tc>
        <w:tc>
          <w:tcPr>
            <w:tcW w:w="5102" w:type="dxa"/>
            <w:tcBorders>
              <w:top w:val="single" w:color="auto" w:sz="4" w:space="0"/>
              <w:left w:val="single" w:color="auto" w:sz="4" w:space="0"/>
              <w:bottom w:val="single" w:color="auto" w:sz="12" w:space="0"/>
              <w:right w:val="nil"/>
            </w:tcBorders>
            <w:vAlign w:val="center"/>
          </w:tcPr>
          <w:p>
            <w:pPr>
              <w:jc w:val="center"/>
              <w:rPr>
                <w:color w:val="auto"/>
                <w:szCs w:val="21"/>
                <w:highlight w:val="none"/>
              </w:rPr>
            </w:pPr>
            <w:r>
              <w:rPr>
                <w:color w:val="auto"/>
                <w:szCs w:val="21"/>
                <w:highlight w:val="none"/>
              </w:rPr>
              <w:t>--</w:t>
            </w:r>
          </w:p>
        </w:tc>
      </w:tr>
    </w:tbl>
    <w:p>
      <w:pPr>
        <w:spacing w:line="360" w:lineRule="auto"/>
        <w:ind w:firstLine="480" w:firstLineChars="200"/>
        <w:rPr>
          <w:color w:val="auto"/>
          <w:sz w:val="24"/>
          <w:highlight w:val="none"/>
        </w:rPr>
      </w:pPr>
      <w:r>
        <w:rPr>
          <w:color w:val="auto"/>
          <w:sz w:val="24"/>
          <w:highlight w:val="none"/>
        </w:rPr>
        <w:t>项目无废水外排，地表水评价均不在上述等级范围内，按三级B进行评价分析。</w:t>
      </w:r>
    </w:p>
    <w:p>
      <w:pPr>
        <w:pStyle w:val="112"/>
        <w:pageBreakBefore w:val="0"/>
        <w:widowControl w:val="0"/>
        <w:kinsoku/>
        <w:wordWrap/>
        <w:overflowPunct/>
        <w:topLinePunct w:val="0"/>
        <w:bidi w:val="0"/>
        <w:adjustRightInd/>
        <w:spacing w:before="0"/>
        <w:ind w:firstLine="0" w:firstLineChars="0"/>
        <w:textAlignment w:val="auto"/>
        <w:rPr>
          <w:color w:val="auto"/>
          <w:highlight w:val="none"/>
        </w:rPr>
      </w:pPr>
      <w:r>
        <w:rPr>
          <w:color w:val="auto"/>
          <w:highlight w:val="none"/>
        </w:rPr>
        <w:t>4.2.1.3拟建项目废水对地表水环境的影响</w:t>
      </w:r>
    </w:p>
    <w:p>
      <w:pPr>
        <w:spacing w:line="360" w:lineRule="auto"/>
        <w:ind w:firstLine="480" w:firstLineChars="200"/>
        <w:rPr>
          <w:color w:val="auto"/>
          <w:sz w:val="24"/>
          <w:highlight w:val="none"/>
        </w:rPr>
      </w:pPr>
      <w:r>
        <w:rPr>
          <w:color w:val="auto"/>
          <w:sz w:val="24"/>
          <w:highlight w:val="none"/>
        </w:rPr>
        <w:t>拟建项目废水为生活污水，经化粪池收集后由环卫部门定期清运，不外排，因此对周围地表水的影响较小。</w:t>
      </w:r>
      <w:bookmarkStart w:id="159" w:name="_Toc497165224"/>
    </w:p>
    <w:bookmarkEnd w:id="159"/>
    <w:p>
      <w:pPr>
        <w:keepNext/>
        <w:keepLines/>
        <w:spacing w:before="93" w:beforeLines="30" w:line="360" w:lineRule="auto"/>
        <w:jc w:val="left"/>
        <w:outlineLvl w:val="2"/>
        <w:rPr>
          <w:rFonts w:eastAsia="黑体"/>
          <w:color w:val="auto"/>
          <w:sz w:val="24"/>
          <w:highlight w:val="none"/>
        </w:rPr>
      </w:pPr>
      <w:bookmarkStart w:id="160" w:name="_Toc2512"/>
      <w:bookmarkStart w:id="161" w:name="_Toc536199178"/>
      <w:bookmarkStart w:id="162" w:name="_Toc497165225"/>
      <w:bookmarkStart w:id="163" w:name="_Toc31951"/>
      <w:bookmarkStart w:id="164" w:name="_Toc535853303"/>
      <w:r>
        <w:rPr>
          <w:rFonts w:eastAsia="黑体"/>
          <w:color w:val="auto"/>
          <w:sz w:val="24"/>
          <w:highlight w:val="none"/>
        </w:rPr>
        <w:t>4.2.</w:t>
      </w:r>
      <w:r>
        <w:rPr>
          <w:rFonts w:hint="eastAsia" w:eastAsia="黑体"/>
          <w:color w:val="auto"/>
          <w:sz w:val="24"/>
          <w:highlight w:val="none"/>
        </w:rPr>
        <w:t>2</w:t>
      </w:r>
      <w:r>
        <w:rPr>
          <w:rFonts w:eastAsia="黑体"/>
          <w:color w:val="auto"/>
          <w:sz w:val="24"/>
          <w:highlight w:val="none"/>
        </w:rPr>
        <w:t>建设项目地表水环境影响评价自查表</w:t>
      </w:r>
      <w:bookmarkEnd w:id="160"/>
    </w:p>
    <w:p>
      <w:pPr>
        <w:spacing w:line="360" w:lineRule="auto"/>
        <w:ind w:firstLine="480" w:firstLineChars="200"/>
        <w:rPr>
          <w:color w:val="auto"/>
          <w:sz w:val="24"/>
          <w:highlight w:val="none"/>
        </w:rPr>
      </w:pPr>
      <w:r>
        <w:rPr>
          <w:color w:val="auto"/>
          <w:sz w:val="24"/>
          <w:highlight w:val="none"/>
        </w:rPr>
        <w:t>本项目地表水环境影响评价自查表见表4.2-</w:t>
      </w:r>
      <w:r>
        <w:rPr>
          <w:rFonts w:hint="eastAsia"/>
          <w:color w:val="auto"/>
          <w:sz w:val="24"/>
          <w:highlight w:val="none"/>
        </w:rPr>
        <w:t>2</w:t>
      </w:r>
      <w:r>
        <w:rPr>
          <w:color w:val="auto"/>
          <w:sz w:val="24"/>
          <w:highlight w:val="none"/>
        </w:rPr>
        <w:t>。</w:t>
      </w:r>
    </w:p>
    <w:p>
      <w:pPr>
        <w:spacing w:line="360" w:lineRule="auto"/>
        <w:jc w:val="center"/>
        <w:rPr>
          <w:color w:val="auto"/>
          <w:sz w:val="24"/>
          <w:highlight w:val="none"/>
        </w:rPr>
      </w:pPr>
      <w:r>
        <w:rPr>
          <w:rFonts w:eastAsia="黑体"/>
          <w:color w:val="auto"/>
          <w:sz w:val="24"/>
          <w:highlight w:val="none"/>
        </w:rPr>
        <w:t>表4.2-</w:t>
      </w:r>
      <w:r>
        <w:rPr>
          <w:rFonts w:hint="eastAsia" w:eastAsia="黑体"/>
          <w:color w:val="auto"/>
          <w:sz w:val="24"/>
          <w:highlight w:val="none"/>
        </w:rPr>
        <w:t>2</w:t>
      </w:r>
      <w:r>
        <w:rPr>
          <w:rFonts w:eastAsia="黑体"/>
          <w:color w:val="auto"/>
          <w:sz w:val="24"/>
          <w:highlight w:val="none"/>
        </w:rPr>
        <w:t xml:space="preserve">  建设项目地表水环境影响自查表</w:t>
      </w:r>
    </w:p>
    <w:tbl>
      <w:tblPr>
        <w:tblStyle w:val="59"/>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391"/>
        <w:gridCol w:w="1190"/>
        <w:gridCol w:w="1897"/>
        <w:gridCol w:w="485"/>
        <w:gridCol w:w="510"/>
        <w:gridCol w:w="198"/>
        <w:gridCol w:w="126"/>
        <w:gridCol w:w="522"/>
        <w:gridCol w:w="504"/>
        <w:gridCol w:w="260"/>
        <w:gridCol w:w="1089"/>
        <w:gridCol w:w="366"/>
        <w:gridCol w:w="241"/>
        <w:gridCol w:w="106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81" w:type="dxa"/>
            <w:gridSpan w:val="2"/>
            <w:vAlign w:val="center"/>
          </w:tcPr>
          <w:p>
            <w:pPr>
              <w:spacing w:line="240" w:lineRule="exact"/>
              <w:jc w:val="center"/>
              <w:rPr>
                <w:color w:val="auto"/>
                <w:sz w:val="18"/>
                <w:szCs w:val="18"/>
                <w:highlight w:val="none"/>
              </w:rPr>
            </w:pPr>
            <w:r>
              <w:rPr>
                <w:color w:val="auto"/>
                <w:sz w:val="18"/>
                <w:szCs w:val="18"/>
                <w:highlight w:val="none"/>
              </w:rPr>
              <w:t>工作内容</w:t>
            </w:r>
          </w:p>
        </w:tc>
        <w:tc>
          <w:tcPr>
            <w:tcW w:w="7261" w:type="dxa"/>
            <w:gridSpan w:val="12"/>
            <w:vAlign w:val="center"/>
          </w:tcPr>
          <w:p>
            <w:pPr>
              <w:spacing w:line="240" w:lineRule="exact"/>
              <w:jc w:val="center"/>
              <w:rPr>
                <w:color w:val="auto"/>
                <w:sz w:val="18"/>
                <w:szCs w:val="18"/>
                <w:highlight w:val="none"/>
              </w:rPr>
            </w:pPr>
            <w:r>
              <w:rPr>
                <w:color w:val="auto"/>
                <w:sz w:val="18"/>
                <w:szCs w:val="18"/>
                <w:highlight w:val="none"/>
              </w:rPr>
              <w:t>自查项目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restart"/>
            <w:vAlign w:val="center"/>
          </w:tcPr>
          <w:p>
            <w:pPr>
              <w:spacing w:line="240" w:lineRule="exact"/>
              <w:jc w:val="center"/>
              <w:rPr>
                <w:color w:val="auto"/>
                <w:sz w:val="18"/>
                <w:szCs w:val="18"/>
                <w:highlight w:val="none"/>
              </w:rPr>
            </w:pPr>
            <w:r>
              <w:rPr>
                <w:color w:val="auto"/>
                <w:sz w:val="18"/>
                <w:szCs w:val="18"/>
                <w:highlight w:val="none"/>
              </w:rPr>
              <w:t>影</w:t>
            </w:r>
          </w:p>
          <w:p>
            <w:pPr>
              <w:spacing w:line="240" w:lineRule="exact"/>
              <w:jc w:val="center"/>
              <w:rPr>
                <w:color w:val="auto"/>
                <w:sz w:val="18"/>
                <w:szCs w:val="18"/>
                <w:highlight w:val="none"/>
              </w:rPr>
            </w:pPr>
            <w:r>
              <w:rPr>
                <w:color w:val="auto"/>
                <w:sz w:val="18"/>
                <w:szCs w:val="18"/>
                <w:highlight w:val="none"/>
              </w:rPr>
              <w:t>响</w:t>
            </w:r>
          </w:p>
          <w:p>
            <w:pPr>
              <w:spacing w:line="240" w:lineRule="exact"/>
              <w:jc w:val="center"/>
              <w:rPr>
                <w:color w:val="auto"/>
                <w:sz w:val="18"/>
                <w:szCs w:val="18"/>
                <w:highlight w:val="none"/>
              </w:rPr>
            </w:pPr>
            <w:r>
              <w:rPr>
                <w:color w:val="auto"/>
                <w:sz w:val="18"/>
                <w:szCs w:val="18"/>
                <w:highlight w:val="none"/>
              </w:rPr>
              <w:t>识</w:t>
            </w:r>
          </w:p>
          <w:p>
            <w:pPr>
              <w:spacing w:line="240" w:lineRule="exact"/>
              <w:jc w:val="center"/>
              <w:rPr>
                <w:color w:val="auto"/>
                <w:sz w:val="18"/>
                <w:szCs w:val="18"/>
                <w:highlight w:val="none"/>
              </w:rPr>
            </w:pPr>
            <w:r>
              <w:rPr>
                <w:color w:val="auto"/>
                <w:sz w:val="18"/>
                <w:szCs w:val="18"/>
                <w:highlight w:val="none"/>
              </w:rPr>
              <w:t>别</w:t>
            </w:r>
          </w:p>
        </w:tc>
        <w:tc>
          <w:tcPr>
            <w:tcW w:w="1190" w:type="dxa"/>
            <w:vAlign w:val="center"/>
          </w:tcPr>
          <w:p>
            <w:pPr>
              <w:spacing w:line="240" w:lineRule="exact"/>
              <w:jc w:val="center"/>
              <w:rPr>
                <w:color w:val="auto"/>
                <w:sz w:val="18"/>
                <w:szCs w:val="18"/>
                <w:highlight w:val="none"/>
              </w:rPr>
            </w:pPr>
            <w:r>
              <w:rPr>
                <w:color w:val="auto"/>
                <w:sz w:val="18"/>
                <w:szCs w:val="18"/>
                <w:highlight w:val="none"/>
              </w:rPr>
              <w:t>影响类型</w:t>
            </w:r>
          </w:p>
        </w:tc>
        <w:tc>
          <w:tcPr>
            <w:tcW w:w="7261" w:type="dxa"/>
            <w:gridSpan w:val="12"/>
            <w:vAlign w:val="center"/>
          </w:tcPr>
          <w:p>
            <w:pPr>
              <w:spacing w:line="240" w:lineRule="exact"/>
              <w:rPr>
                <w:color w:val="auto"/>
                <w:sz w:val="18"/>
                <w:szCs w:val="18"/>
                <w:highlight w:val="none"/>
              </w:rPr>
            </w:pPr>
            <w:r>
              <w:rPr>
                <w:color w:val="auto"/>
                <w:sz w:val="18"/>
                <w:szCs w:val="18"/>
                <w:highlight w:val="none"/>
              </w:rPr>
              <w:t>水污染影响型 √；水文要素影响型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continue"/>
            <w:vAlign w:val="center"/>
          </w:tcPr>
          <w:p>
            <w:pPr>
              <w:widowControl/>
              <w:spacing w:line="240" w:lineRule="exact"/>
              <w:jc w:val="left"/>
              <w:rPr>
                <w:color w:val="auto"/>
                <w:sz w:val="18"/>
                <w:szCs w:val="18"/>
                <w:highlight w:val="none"/>
              </w:rPr>
            </w:pPr>
          </w:p>
        </w:tc>
        <w:tc>
          <w:tcPr>
            <w:tcW w:w="1190" w:type="dxa"/>
            <w:vAlign w:val="center"/>
          </w:tcPr>
          <w:p>
            <w:pPr>
              <w:spacing w:line="240" w:lineRule="exact"/>
              <w:jc w:val="center"/>
              <w:rPr>
                <w:color w:val="auto"/>
                <w:sz w:val="18"/>
                <w:szCs w:val="18"/>
                <w:highlight w:val="none"/>
              </w:rPr>
            </w:pPr>
            <w:r>
              <w:rPr>
                <w:color w:val="auto"/>
                <w:sz w:val="18"/>
                <w:szCs w:val="18"/>
                <w:highlight w:val="none"/>
              </w:rPr>
              <w:t>水环境保护目标</w:t>
            </w:r>
          </w:p>
        </w:tc>
        <w:tc>
          <w:tcPr>
            <w:tcW w:w="7261" w:type="dxa"/>
            <w:gridSpan w:val="12"/>
            <w:vAlign w:val="center"/>
          </w:tcPr>
          <w:p>
            <w:pPr>
              <w:spacing w:line="240" w:lineRule="exact"/>
              <w:rPr>
                <w:color w:val="auto"/>
                <w:sz w:val="18"/>
                <w:szCs w:val="18"/>
                <w:highlight w:val="none"/>
              </w:rPr>
            </w:pPr>
            <w:r>
              <w:rPr>
                <w:color w:val="auto"/>
                <w:sz w:val="18"/>
                <w:szCs w:val="18"/>
                <w:highlight w:val="none"/>
              </w:rPr>
              <w:t>饮用水水源保护区 □；饮用水取水口 □；涉水的自然保护区 □；重要湿地 □；</w:t>
            </w:r>
          </w:p>
          <w:p>
            <w:pPr>
              <w:spacing w:line="240" w:lineRule="exact"/>
              <w:rPr>
                <w:color w:val="auto"/>
                <w:sz w:val="18"/>
                <w:szCs w:val="18"/>
                <w:highlight w:val="none"/>
              </w:rPr>
            </w:pPr>
            <w:r>
              <w:rPr>
                <w:color w:val="auto"/>
                <w:sz w:val="18"/>
                <w:szCs w:val="18"/>
                <w:highlight w:val="none"/>
              </w:rPr>
              <w:t>重点保护与珍稀水生生物的栖息地 □；重要水生生物的自然产卵场及索饵场、越冬场和洄游通道、天然渔场等渔业水体 □；涉水的风景名胜区 □；其他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continue"/>
            <w:vAlign w:val="center"/>
          </w:tcPr>
          <w:p>
            <w:pPr>
              <w:widowControl/>
              <w:spacing w:line="240" w:lineRule="exact"/>
              <w:jc w:val="left"/>
              <w:rPr>
                <w:color w:val="auto"/>
                <w:sz w:val="18"/>
                <w:szCs w:val="18"/>
                <w:highlight w:val="none"/>
              </w:rPr>
            </w:pPr>
          </w:p>
        </w:tc>
        <w:tc>
          <w:tcPr>
            <w:tcW w:w="1190" w:type="dxa"/>
            <w:vMerge w:val="restart"/>
            <w:vAlign w:val="center"/>
          </w:tcPr>
          <w:p>
            <w:pPr>
              <w:spacing w:line="240" w:lineRule="exact"/>
              <w:jc w:val="center"/>
              <w:rPr>
                <w:color w:val="auto"/>
                <w:sz w:val="18"/>
                <w:szCs w:val="18"/>
                <w:highlight w:val="none"/>
              </w:rPr>
            </w:pPr>
            <w:r>
              <w:rPr>
                <w:color w:val="auto"/>
                <w:sz w:val="18"/>
                <w:szCs w:val="18"/>
                <w:highlight w:val="none"/>
              </w:rPr>
              <w:t>影响途径</w:t>
            </w:r>
          </w:p>
        </w:tc>
        <w:tc>
          <w:tcPr>
            <w:tcW w:w="3738" w:type="dxa"/>
            <w:gridSpan w:val="6"/>
            <w:vAlign w:val="center"/>
          </w:tcPr>
          <w:p>
            <w:pPr>
              <w:spacing w:line="240" w:lineRule="exact"/>
              <w:jc w:val="center"/>
              <w:rPr>
                <w:color w:val="auto"/>
                <w:sz w:val="18"/>
                <w:szCs w:val="18"/>
                <w:highlight w:val="none"/>
              </w:rPr>
            </w:pPr>
            <w:r>
              <w:rPr>
                <w:color w:val="auto"/>
                <w:sz w:val="18"/>
                <w:szCs w:val="18"/>
                <w:highlight w:val="none"/>
              </w:rPr>
              <w:t>水污染影响型</w:t>
            </w:r>
          </w:p>
        </w:tc>
        <w:tc>
          <w:tcPr>
            <w:tcW w:w="3523" w:type="dxa"/>
            <w:gridSpan w:val="6"/>
            <w:vAlign w:val="center"/>
          </w:tcPr>
          <w:p>
            <w:pPr>
              <w:spacing w:line="240" w:lineRule="exact"/>
              <w:jc w:val="center"/>
              <w:rPr>
                <w:color w:val="auto"/>
                <w:sz w:val="18"/>
                <w:szCs w:val="18"/>
                <w:highlight w:val="none"/>
              </w:rPr>
            </w:pPr>
            <w:r>
              <w:rPr>
                <w:color w:val="auto"/>
                <w:sz w:val="18"/>
                <w:szCs w:val="18"/>
                <w:highlight w:val="none"/>
              </w:rPr>
              <w:t>水文要素影响型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continue"/>
            <w:vAlign w:val="center"/>
          </w:tcPr>
          <w:p>
            <w:pPr>
              <w:widowControl/>
              <w:spacing w:line="240" w:lineRule="exact"/>
              <w:jc w:val="left"/>
              <w:rPr>
                <w:color w:val="auto"/>
                <w:sz w:val="18"/>
                <w:szCs w:val="18"/>
                <w:highlight w:val="none"/>
              </w:rPr>
            </w:pPr>
          </w:p>
        </w:tc>
        <w:tc>
          <w:tcPr>
            <w:tcW w:w="1190" w:type="dxa"/>
            <w:vMerge w:val="continue"/>
            <w:vAlign w:val="center"/>
          </w:tcPr>
          <w:p>
            <w:pPr>
              <w:widowControl/>
              <w:spacing w:line="240" w:lineRule="exact"/>
              <w:jc w:val="left"/>
              <w:rPr>
                <w:color w:val="auto"/>
                <w:sz w:val="18"/>
                <w:szCs w:val="18"/>
                <w:highlight w:val="none"/>
              </w:rPr>
            </w:pPr>
          </w:p>
        </w:tc>
        <w:tc>
          <w:tcPr>
            <w:tcW w:w="3738" w:type="dxa"/>
            <w:gridSpan w:val="6"/>
            <w:vAlign w:val="center"/>
          </w:tcPr>
          <w:p>
            <w:pPr>
              <w:spacing w:line="240" w:lineRule="exact"/>
              <w:rPr>
                <w:color w:val="auto"/>
                <w:sz w:val="18"/>
                <w:szCs w:val="18"/>
                <w:highlight w:val="none"/>
              </w:rPr>
            </w:pPr>
            <w:r>
              <w:rPr>
                <w:color w:val="auto"/>
                <w:sz w:val="18"/>
                <w:szCs w:val="18"/>
                <w:highlight w:val="none"/>
              </w:rPr>
              <w:t>直接排放 □；间接排放 □；其他 √</w:t>
            </w:r>
          </w:p>
        </w:tc>
        <w:tc>
          <w:tcPr>
            <w:tcW w:w="3523" w:type="dxa"/>
            <w:gridSpan w:val="6"/>
            <w:vAlign w:val="center"/>
          </w:tcPr>
          <w:p>
            <w:pPr>
              <w:spacing w:line="240" w:lineRule="exact"/>
              <w:rPr>
                <w:color w:val="auto"/>
                <w:sz w:val="18"/>
                <w:szCs w:val="18"/>
                <w:highlight w:val="none"/>
              </w:rPr>
            </w:pPr>
            <w:r>
              <w:rPr>
                <w:color w:val="auto"/>
                <w:sz w:val="18"/>
                <w:szCs w:val="18"/>
                <w:highlight w:val="none"/>
              </w:rPr>
              <w:t>水温 □；径流 □；水域面积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continue"/>
            <w:vAlign w:val="center"/>
          </w:tcPr>
          <w:p>
            <w:pPr>
              <w:widowControl/>
              <w:spacing w:line="240" w:lineRule="exact"/>
              <w:jc w:val="left"/>
              <w:rPr>
                <w:color w:val="auto"/>
                <w:sz w:val="18"/>
                <w:szCs w:val="18"/>
                <w:highlight w:val="none"/>
              </w:rPr>
            </w:pPr>
          </w:p>
        </w:tc>
        <w:tc>
          <w:tcPr>
            <w:tcW w:w="1190" w:type="dxa"/>
            <w:vAlign w:val="center"/>
          </w:tcPr>
          <w:p>
            <w:pPr>
              <w:spacing w:line="240" w:lineRule="exact"/>
              <w:jc w:val="center"/>
              <w:rPr>
                <w:color w:val="auto"/>
                <w:sz w:val="18"/>
                <w:szCs w:val="18"/>
                <w:highlight w:val="none"/>
              </w:rPr>
            </w:pPr>
            <w:r>
              <w:rPr>
                <w:color w:val="auto"/>
                <w:sz w:val="18"/>
                <w:szCs w:val="18"/>
                <w:highlight w:val="none"/>
              </w:rPr>
              <w:t>影响因子</w:t>
            </w:r>
          </w:p>
        </w:tc>
        <w:tc>
          <w:tcPr>
            <w:tcW w:w="3738" w:type="dxa"/>
            <w:gridSpan w:val="6"/>
            <w:vAlign w:val="center"/>
          </w:tcPr>
          <w:p>
            <w:pPr>
              <w:spacing w:line="240" w:lineRule="exact"/>
              <w:rPr>
                <w:color w:val="auto"/>
                <w:sz w:val="18"/>
                <w:szCs w:val="18"/>
                <w:highlight w:val="none"/>
              </w:rPr>
            </w:pPr>
            <w:r>
              <w:rPr>
                <w:color w:val="auto"/>
                <w:sz w:val="18"/>
                <w:szCs w:val="18"/>
                <w:highlight w:val="none"/>
              </w:rPr>
              <w:t>持久性污染物 □；有毒有害污染物 □；非持久性污染物√；pH值 □；热污染 □；富营养化 □；其他 □</w:t>
            </w:r>
          </w:p>
        </w:tc>
        <w:tc>
          <w:tcPr>
            <w:tcW w:w="3523" w:type="dxa"/>
            <w:gridSpan w:val="6"/>
            <w:vAlign w:val="center"/>
          </w:tcPr>
          <w:p>
            <w:pPr>
              <w:spacing w:line="240" w:lineRule="exact"/>
              <w:rPr>
                <w:color w:val="auto"/>
                <w:sz w:val="18"/>
                <w:szCs w:val="18"/>
                <w:highlight w:val="none"/>
              </w:rPr>
            </w:pPr>
            <w:r>
              <w:rPr>
                <w:color w:val="auto"/>
                <w:sz w:val="18"/>
                <w:szCs w:val="18"/>
                <w:highlight w:val="none"/>
              </w:rPr>
              <w:t>水温 □；水位（水深） □；流速 □；流量 □；其他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81" w:type="dxa"/>
            <w:gridSpan w:val="2"/>
            <w:vMerge w:val="restart"/>
            <w:vAlign w:val="center"/>
          </w:tcPr>
          <w:p>
            <w:pPr>
              <w:spacing w:line="240" w:lineRule="exact"/>
              <w:jc w:val="center"/>
              <w:rPr>
                <w:color w:val="auto"/>
                <w:sz w:val="18"/>
                <w:szCs w:val="18"/>
                <w:highlight w:val="none"/>
              </w:rPr>
            </w:pPr>
            <w:r>
              <w:rPr>
                <w:color w:val="auto"/>
                <w:sz w:val="18"/>
                <w:szCs w:val="18"/>
                <w:highlight w:val="none"/>
              </w:rPr>
              <w:t>评价等级</w:t>
            </w:r>
          </w:p>
        </w:tc>
        <w:tc>
          <w:tcPr>
            <w:tcW w:w="3738" w:type="dxa"/>
            <w:gridSpan w:val="6"/>
            <w:vAlign w:val="center"/>
          </w:tcPr>
          <w:p>
            <w:pPr>
              <w:spacing w:line="240" w:lineRule="exact"/>
              <w:jc w:val="center"/>
              <w:rPr>
                <w:color w:val="auto"/>
                <w:sz w:val="18"/>
                <w:szCs w:val="18"/>
                <w:highlight w:val="none"/>
              </w:rPr>
            </w:pPr>
            <w:r>
              <w:rPr>
                <w:color w:val="auto"/>
                <w:sz w:val="18"/>
                <w:szCs w:val="18"/>
                <w:highlight w:val="none"/>
              </w:rPr>
              <w:t>水污染影响型</w:t>
            </w:r>
          </w:p>
        </w:tc>
        <w:tc>
          <w:tcPr>
            <w:tcW w:w="3523" w:type="dxa"/>
            <w:gridSpan w:val="6"/>
            <w:vAlign w:val="center"/>
          </w:tcPr>
          <w:p>
            <w:pPr>
              <w:spacing w:line="240" w:lineRule="exact"/>
              <w:jc w:val="center"/>
              <w:rPr>
                <w:color w:val="auto"/>
                <w:sz w:val="18"/>
                <w:szCs w:val="18"/>
                <w:highlight w:val="none"/>
              </w:rPr>
            </w:pPr>
            <w:r>
              <w:rPr>
                <w:color w:val="auto"/>
                <w:sz w:val="18"/>
                <w:szCs w:val="18"/>
                <w:highlight w:val="none"/>
              </w:rPr>
              <w:t>水文要素影响型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81" w:type="dxa"/>
            <w:gridSpan w:val="2"/>
            <w:vMerge w:val="continue"/>
            <w:vAlign w:val="center"/>
          </w:tcPr>
          <w:p>
            <w:pPr>
              <w:widowControl/>
              <w:spacing w:line="240" w:lineRule="exact"/>
              <w:jc w:val="left"/>
              <w:rPr>
                <w:color w:val="auto"/>
                <w:sz w:val="18"/>
                <w:szCs w:val="18"/>
                <w:highlight w:val="none"/>
              </w:rPr>
            </w:pPr>
          </w:p>
        </w:tc>
        <w:tc>
          <w:tcPr>
            <w:tcW w:w="3738" w:type="dxa"/>
            <w:gridSpan w:val="6"/>
            <w:vAlign w:val="center"/>
          </w:tcPr>
          <w:p>
            <w:pPr>
              <w:spacing w:line="240" w:lineRule="exact"/>
              <w:rPr>
                <w:color w:val="auto"/>
                <w:sz w:val="18"/>
                <w:szCs w:val="18"/>
                <w:highlight w:val="none"/>
              </w:rPr>
            </w:pPr>
            <w:r>
              <w:rPr>
                <w:color w:val="auto"/>
                <w:sz w:val="18"/>
                <w:szCs w:val="18"/>
                <w:highlight w:val="none"/>
              </w:rPr>
              <w:t>一级 □；二级 □；三级A □；三级B√</w:t>
            </w:r>
          </w:p>
        </w:tc>
        <w:tc>
          <w:tcPr>
            <w:tcW w:w="3523" w:type="dxa"/>
            <w:gridSpan w:val="6"/>
            <w:vAlign w:val="center"/>
          </w:tcPr>
          <w:p>
            <w:pPr>
              <w:spacing w:line="240" w:lineRule="exact"/>
              <w:rPr>
                <w:color w:val="auto"/>
                <w:sz w:val="18"/>
                <w:szCs w:val="18"/>
                <w:highlight w:val="none"/>
              </w:rPr>
            </w:pPr>
            <w:r>
              <w:rPr>
                <w:color w:val="auto"/>
                <w:sz w:val="18"/>
                <w:szCs w:val="18"/>
                <w:highlight w:val="none"/>
              </w:rPr>
              <w:t>一级 □；二级 □；三级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restart"/>
            <w:vAlign w:val="center"/>
          </w:tcPr>
          <w:p>
            <w:pPr>
              <w:spacing w:line="240" w:lineRule="exact"/>
              <w:jc w:val="center"/>
              <w:rPr>
                <w:color w:val="auto"/>
                <w:sz w:val="18"/>
                <w:szCs w:val="18"/>
                <w:highlight w:val="none"/>
              </w:rPr>
            </w:pPr>
            <w:r>
              <w:rPr>
                <w:color w:val="auto"/>
                <w:sz w:val="18"/>
                <w:szCs w:val="18"/>
                <w:highlight w:val="none"/>
              </w:rPr>
              <w:t>现</w:t>
            </w:r>
          </w:p>
          <w:p>
            <w:pPr>
              <w:spacing w:line="240" w:lineRule="exact"/>
              <w:jc w:val="center"/>
              <w:rPr>
                <w:color w:val="auto"/>
                <w:sz w:val="18"/>
                <w:szCs w:val="18"/>
                <w:highlight w:val="none"/>
              </w:rPr>
            </w:pPr>
            <w:r>
              <w:rPr>
                <w:color w:val="auto"/>
                <w:sz w:val="18"/>
                <w:szCs w:val="18"/>
                <w:highlight w:val="none"/>
              </w:rPr>
              <w:t>状</w:t>
            </w:r>
          </w:p>
          <w:p>
            <w:pPr>
              <w:spacing w:line="240" w:lineRule="exact"/>
              <w:jc w:val="center"/>
              <w:rPr>
                <w:color w:val="auto"/>
                <w:sz w:val="18"/>
                <w:szCs w:val="18"/>
                <w:highlight w:val="none"/>
              </w:rPr>
            </w:pPr>
            <w:r>
              <w:rPr>
                <w:color w:val="auto"/>
                <w:sz w:val="18"/>
                <w:szCs w:val="18"/>
                <w:highlight w:val="none"/>
              </w:rPr>
              <w:t>调</w:t>
            </w:r>
          </w:p>
          <w:p>
            <w:pPr>
              <w:spacing w:line="240" w:lineRule="exact"/>
              <w:jc w:val="center"/>
              <w:rPr>
                <w:color w:val="auto"/>
                <w:sz w:val="18"/>
                <w:szCs w:val="18"/>
                <w:highlight w:val="none"/>
              </w:rPr>
            </w:pPr>
            <w:r>
              <w:rPr>
                <w:color w:val="auto"/>
                <w:sz w:val="18"/>
                <w:szCs w:val="18"/>
                <w:highlight w:val="none"/>
              </w:rPr>
              <w:t>查</w:t>
            </w:r>
          </w:p>
        </w:tc>
        <w:tc>
          <w:tcPr>
            <w:tcW w:w="1190" w:type="dxa"/>
            <w:vMerge w:val="restart"/>
            <w:vAlign w:val="center"/>
          </w:tcPr>
          <w:p>
            <w:pPr>
              <w:spacing w:line="240" w:lineRule="exact"/>
              <w:jc w:val="center"/>
              <w:rPr>
                <w:color w:val="auto"/>
                <w:sz w:val="18"/>
                <w:szCs w:val="18"/>
                <w:highlight w:val="none"/>
              </w:rPr>
            </w:pPr>
            <w:r>
              <w:rPr>
                <w:color w:val="auto"/>
                <w:sz w:val="18"/>
                <w:szCs w:val="18"/>
                <w:highlight w:val="none"/>
              </w:rPr>
              <w:t>区域污染源</w:t>
            </w:r>
          </w:p>
        </w:tc>
        <w:tc>
          <w:tcPr>
            <w:tcW w:w="3738" w:type="dxa"/>
            <w:gridSpan w:val="6"/>
            <w:vAlign w:val="center"/>
          </w:tcPr>
          <w:p>
            <w:pPr>
              <w:spacing w:line="240" w:lineRule="exact"/>
              <w:jc w:val="center"/>
              <w:rPr>
                <w:color w:val="auto"/>
                <w:sz w:val="18"/>
                <w:szCs w:val="18"/>
                <w:highlight w:val="none"/>
              </w:rPr>
            </w:pPr>
            <w:r>
              <w:rPr>
                <w:color w:val="auto"/>
                <w:sz w:val="18"/>
                <w:szCs w:val="18"/>
                <w:highlight w:val="none"/>
              </w:rPr>
              <w:t>调查项目</w:t>
            </w:r>
          </w:p>
        </w:tc>
        <w:tc>
          <w:tcPr>
            <w:tcW w:w="3523" w:type="dxa"/>
            <w:gridSpan w:val="6"/>
            <w:vAlign w:val="center"/>
          </w:tcPr>
          <w:p>
            <w:pPr>
              <w:spacing w:line="240" w:lineRule="exact"/>
              <w:jc w:val="center"/>
              <w:rPr>
                <w:color w:val="auto"/>
                <w:sz w:val="18"/>
                <w:szCs w:val="18"/>
                <w:highlight w:val="none"/>
              </w:rPr>
            </w:pPr>
            <w:r>
              <w:rPr>
                <w:color w:val="auto"/>
                <w:sz w:val="18"/>
                <w:szCs w:val="18"/>
                <w:highlight w:val="none"/>
              </w:rPr>
              <w:t>数据来源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continue"/>
            <w:vAlign w:val="center"/>
          </w:tcPr>
          <w:p>
            <w:pPr>
              <w:widowControl/>
              <w:spacing w:line="240" w:lineRule="exact"/>
              <w:jc w:val="left"/>
              <w:rPr>
                <w:color w:val="auto"/>
                <w:sz w:val="18"/>
                <w:szCs w:val="18"/>
                <w:highlight w:val="none"/>
              </w:rPr>
            </w:pPr>
          </w:p>
        </w:tc>
        <w:tc>
          <w:tcPr>
            <w:tcW w:w="1190" w:type="dxa"/>
            <w:vMerge w:val="continue"/>
            <w:vAlign w:val="center"/>
          </w:tcPr>
          <w:p>
            <w:pPr>
              <w:widowControl/>
              <w:spacing w:line="240" w:lineRule="exact"/>
              <w:jc w:val="left"/>
              <w:rPr>
                <w:color w:val="auto"/>
                <w:sz w:val="18"/>
                <w:szCs w:val="18"/>
                <w:highlight w:val="none"/>
              </w:rPr>
            </w:pPr>
          </w:p>
        </w:tc>
        <w:tc>
          <w:tcPr>
            <w:tcW w:w="2382" w:type="dxa"/>
            <w:gridSpan w:val="2"/>
            <w:vAlign w:val="center"/>
          </w:tcPr>
          <w:p>
            <w:pPr>
              <w:spacing w:line="240" w:lineRule="exact"/>
              <w:rPr>
                <w:color w:val="auto"/>
                <w:sz w:val="18"/>
                <w:szCs w:val="18"/>
                <w:highlight w:val="none"/>
              </w:rPr>
            </w:pPr>
            <w:r>
              <w:rPr>
                <w:color w:val="auto"/>
                <w:sz w:val="18"/>
                <w:szCs w:val="18"/>
                <w:highlight w:val="none"/>
              </w:rPr>
              <w:t>已建 □；在建 □；拟建 □；其他 □</w:t>
            </w:r>
          </w:p>
        </w:tc>
        <w:tc>
          <w:tcPr>
            <w:tcW w:w="1356" w:type="dxa"/>
            <w:gridSpan w:val="4"/>
            <w:vAlign w:val="center"/>
          </w:tcPr>
          <w:p>
            <w:pPr>
              <w:spacing w:line="240" w:lineRule="exact"/>
              <w:rPr>
                <w:color w:val="auto"/>
                <w:sz w:val="18"/>
                <w:szCs w:val="18"/>
                <w:highlight w:val="none"/>
              </w:rPr>
            </w:pPr>
            <w:r>
              <w:rPr>
                <w:color w:val="auto"/>
                <w:sz w:val="18"/>
                <w:szCs w:val="18"/>
                <w:highlight w:val="none"/>
              </w:rPr>
              <w:t>拟替代的污染源 □</w:t>
            </w:r>
          </w:p>
        </w:tc>
        <w:tc>
          <w:tcPr>
            <w:tcW w:w="3523" w:type="dxa"/>
            <w:gridSpan w:val="6"/>
            <w:vAlign w:val="center"/>
          </w:tcPr>
          <w:p>
            <w:pPr>
              <w:spacing w:line="240" w:lineRule="exact"/>
              <w:rPr>
                <w:color w:val="auto"/>
                <w:sz w:val="18"/>
                <w:szCs w:val="18"/>
                <w:highlight w:val="none"/>
              </w:rPr>
            </w:pPr>
            <w:r>
              <w:rPr>
                <w:color w:val="auto"/>
                <w:sz w:val="18"/>
                <w:szCs w:val="18"/>
                <w:highlight w:val="none"/>
              </w:rPr>
              <w:t>排污许可证 □；环评 □；环保验收 □；既有实测 □；现场监测 □；入河排放口数据 □；其他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continue"/>
            <w:vAlign w:val="center"/>
          </w:tcPr>
          <w:p>
            <w:pPr>
              <w:widowControl/>
              <w:spacing w:line="240" w:lineRule="exact"/>
              <w:jc w:val="left"/>
              <w:rPr>
                <w:color w:val="auto"/>
                <w:sz w:val="18"/>
                <w:szCs w:val="18"/>
                <w:highlight w:val="none"/>
              </w:rPr>
            </w:pPr>
          </w:p>
        </w:tc>
        <w:tc>
          <w:tcPr>
            <w:tcW w:w="1190" w:type="dxa"/>
            <w:vMerge w:val="restart"/>
            <w:vAlign w:val="center"/>
          </w:tcPr>
          <w:p>
            <w:pPr>
              <w:spacing w:line="240" w:lineRule="exact"/>
              <w:jc w:val="center"/>
              <w:rPr>
                <w:color w:val="auto"/>
                <w:sz w:val="18"/>
                <w:szCs w:val="18"/>
                <w:highlight w:val="none"/>
              </w:rPr>
            </w:pPr>
            <w:r>
              <w:rPr>
                <w:color w:val="auto"/>
                <w:sz w:val="18"/>
                <w:szCs w:val="18"/>
                <w:highlight w:val="none"/>
              </w:rPr>
              <w:t>受影响水体水环境质量</w:t>
            </w:r>
          </w:p>
        </w:tc>
        <w:tc>
          <w:tcPr>
            <w:tcW w:w="3738" w:type="dxa"/>
            <w:gridSpan w:val="6"/>
            <w:vAlign w:val="center"/>
          </w:tcPr>
          <w:p>
            <w:pPr>
              <w:spacing w:line="240" w:lineRule="exact"/>
              <w:jc w:val="center"/>
              <w:rPr>
                <w:color w:val="auto"/>
                <w:sz w:val="18"/>
                <w:szCs w:val="18"/>
                <w:highlight w:val="none"/>
              </w:rPr>
            </w:pPr>
            <w:r>
              <w:rPr>
                <w:color w:val="auto"/>
                <w:sz w:val="18"/>
                <w:szCs w:val="18"/>
                <w:highlight w:val="none"/>
              </w:rPr>
              <w:t>调查时期</w:t>
            </w:r>
          </w:p>
        </w:tc>
        <w:tc>
          <w:tcPr>
            <w:tcW w:w="3523" w:type="dxa"/>
            <w:gridSpan w:val="6"/>
            <w:vAlign w:val="center"/>
          </w:tcPr>
          <w:p>
            <w:pPr>
              <w:spacing w:line="240" w:lineRule="exact"/>
              <w:jc w:val="center"/>
              <w:rPr>
                <w:color w:val="auto"/>
                <w:sz w:val="18"/>
                <w:szCs w:val="18"/>
                <w:highlight w:val="none"/>
              </w:rPr>
            </w:pPr>
            <w:r>
              <w:rPr>
                <w:color w:val="auto"/>
                <w:sz w:val="18"/>
                <w:szCs w:val="18"/>
                <w:highlight w:val="none"/>
              </w:rPr>
              <w:t>数据来源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continue"/>
            <w:vAlign w:val="center"/>
          </w:tcPr>
          <w:p>
            <w:pPr>
              <w:widowControl/>
              <w:spacing w:line="240" w:lineRule="exact"/>
              <w:jc w:val="left"/>
              <w:rPr>
                <w:color w:val="auto"/>
                <w:sz w:val="18"/>
                <w:szCs w:val="18"/>
                <w:highlight w:val="none"/>
              </w:rPr>
            </w:pPr>
          </w:p>
        </w:tc>
        <w:tc>
          <w:tcPr>
            <w:tcW w:w="1190" w:type="dxa"/>
            <w:vMerge w:val="continue"/>
            <w:vAlign w:val="center"/>
          </w:tcPr>
          <w:p>
            <w:pPr>
              <w:widowControl/>
              <w:spacing w:line="240" w:lineRule="exact"/>
              <w:jc w:val="left"/>
              <w:rPr>
                <w:color w:val="auto"/>
                <w:sz w:val="18"/>
                <w:szCs w:val="18"/>
                <w:highlight w:val="none"/>
              </w:rPr>
            </w:pPr>
          </w:p>
        </w:tc>
        <w:tc>
          <w:tcPr>
            <w:tcW w:w="3738" w:type="dxa"/>
            <w:gridSpan w:val="6"/>
            <w:vAlign w:val="center"/>
          </w:tcPr>
          <w:p>
            <w:pPr>
              <w:spacing w:line="240" w:lineRule="exact"/>
              <w:rPr>
                <w:color w:val="auto"/>
                <w:sz w:val="18"/>
                <w:szCs w:val="18"/>
                <w:highlight w:val="none"/>
              </w:rPr>
            </w:pPr>
            <w:r>
              <w:rPr>
                <w:color w:val="auto"/>
                <w:sz w:val="18"/>
                <w:szCs w:val="18"/>
                <w:highlight w:val="none"/>
              </w:rPr>
              <w:t>丰水期 □；平水期 □；枯水期 □；冰封期 □</w:t>
            </w:r>
          </w:p>
          <w:p>
            <w:pPr>
              <w:spacing w:line="240" w:lineRule="exact"/>
              <w:rPr>
                <w:color w:val="auto"/>
                <w:sz w:val="18"/>
                <w:szCs w:val="18"/>
                <w:highlight w:val="none"/>
              </w:rPr>
            </w:pPr>
            <w:r>
              <w:rPr>
                <w:color w:val="auto"/>
                <w:sz w:val="18"/>
                <w:szCs w:val="18"/>
                <w:highlight w:val="none"/>
              </w:rPr>
              <w:t>春季 √；夏季 √；秋季 √；冬季 √</w:t>
            </w:r>
          </w:p>
        </w:tc>
        <w:tc>
          <w:tcPr>
            <w:tcW w:w="3523" w:type="dxa"/>
            <w:gridSpan w:val="6"/>
            <w:vAlign w:val="center"/>
          </w:tcPr>
          <w:p>
            <w:pPr>
              <w:spacing w:line="240" w:lineRule="exact"/>
              <w:rPr>
                <w:color w:val="auto"/>
                <w:sz w:val="18"/>
                <w:szCs w:val="18"/>
                <w:highlight w:val="none"/>
              </w:rPr>
            </w:pPr>
            <w:r>
              <w:rPr>
                <w:color w:val="auto"/>
                <w:sz w:val="18"/>
                <w:szCs w:val="18"/>
                <w:highlight w:val="none"/>
              </w:rPr>
              <w:t xml:space="preserve">生态环境保护主管部门 √；补充检测 √；其他□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continue"/>
            <w:vAlign w:val="center"/>
          </w:tcPr>
          <w:p>
            <w:pPr>
              <w:widowControl/>
              <w:spacing w:line="240" w:lineRule="exact"/>
              <w:jc w:val="left"/>
              <w:rPr>
                <w:color w:val="auto"/>
                <w:sz w:val="18"/>
                <w:szCs w:val="18"/>
                <w:highlight w:val="none"/>
              </w:rPr>
            </w:pPr>
          </w:p>
        </w:tc>
        <w:tc>
          <w:tcPr>
            <w:tcW w:w="1190" w:type="dxa"/>
            <w:vAlign w:val="center"/>
          </w:tcPr>
          <w:p>
            <w:pPr>
              <w:spacing w:line="240" w:lineRule="exact"/>
              <w:jc w:val="center"/>
              <w:rPr>
                <w:color w:val="auto"/>
                <w:sz w:val="18"/>
                <w:szCs w:val="18"/>
                <w:highlight w:val="none"/>
              </w:rPr>
            </w:pPr>
            <w:r>
              <w:rPr>
                <w:color w:val="auto"/>
                <w:sz w:val="18"/>
                <w:szCs w:val="18"/>
                <w:highlight w:val="none"/>
              </w:rPr>
              <w:t>区域水资源开发利用状况</w:t>
            </w:r>
          </w:p>
        </w:tc>
        <w:tc>
          <w:tcPr>
            <w:tcW w:w="7261" w:type="dxa"/>
            <w:gridSpan w:val="12"/>
            <w:vAlign w:val="center"/>
          </w:tcPr>
          <w:p>
            <w:pPr>
              <w:spacing w:line="240" w:lineRule="exact"/>
              <w:rPr>
                <w:color w:val="auto"/>
                <w:sz w:val="18"/>
                <w:szCs w:val="18"/>
                <w:highlight w:val="none"/>
              </w:rPr>
            </w:pPr>
            <w:r>
              <w:rPr>
                <w:color w:val="auto"/>
                <w:sz w:val="18"/>
                <w:szCs w:val="18"/>
                <w:highlight w:val="none"/>
              </w:rPr>
              <w:t xml:space="preserve">未开发 □；开发量40%以下 √；开发量40%以上 </w:t>
            </w:r>
            <w:r>
              <w:rPr>
                <w:color w:val="auto"/>
                <w:sz w:val="18"/>
                <w:szCs w:val="18"/>
                <w:highlight w:val="none"/>
              </w:rPr>
              <w:sym w:font="Wingdings 2" w:char="00A3"/>
            </w:r>
            <w:r>
              <w:rPr>
                <w:color w:val="auto"/>
                <w:sz w:val="18"/>
                <w:szCs w:val="18"/>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continue"/>
            <w:vAlign w:val="center"/>
          </w:tcPr>
          <w:p>
            <w:pPr>
              <w:widowControl/>
              <w:spacing w:line="240" w:lineRule="exact"/>
              <w:jc w:val="left"/>
              <w:rPr>
                <w:color w:val="auto"/>
                <w:sz w:val="18"/>
                <w:szCs w:val="18"/>
                <w:highlight w:val="none"/>
              </w:rPr>
            </w:pPr>
          </w:p>
        </w:tc>
        <w:tc>
          <w:tcPr>
            <w:tcW w:w="1190" w:type="dxa"/>
            <w:vMerge w:val="restart"/>
            <w:vAlign w:val="center"/>
          </w:tcPr>
          <w:p>
            <w:pPr>
              <w:spacing w:line="240" w:lineRule="exact"/>
              <w:jc w:val="center"/>
              <w:rPr>
                <w:color w:val="auto"/>
                <w:sz w:val="18"/>
                <w:szCs w:val="18"/>
                <w:highlight w:val="none"/>
              </w:rPr>
            </w:pPr>
            <w:r>
              <w:rPr>
                <w:color w:val="auto"/>
                <w:sz w:val="18"/>
                <w:szCs w:val="18"/>
                <w:highlight w:val="none"/>
              </w:rPr>
              <w:t>水文情势调查</w:t>
            </w:r>
          </w:p>
        </w:tc>
        <w:tc>
          <w:tcPr>
            <w:tcW w:w="3216" w:type="dxa"/>
            <w:gridSpan w:val="5"/>
            <w:vAlign w:val="center"/>
          </w:tcPr>
          <w:p>
            <w:pPr>
              <w:spacing w:line="240" w:lineRule="exact"/>
              <w:jc w:val="center"/>
              <w:rPr>
                <w:color w:val="auto"/>
                <w:sz w:val="18"/>
                <w:szCs w:val="18"/>
                <w:highlight w:val="none"/>
              </w:rPr>
            </w:pPr>
            <w:r>
              <w:rPr>
                <w:color w:val="auto"/>
                <w:sz w:val="18"/>
                <w:szCs w:val="18"/>
                <w:highlight w:val="none"/>
              </w:rPr>
              <w:t>调查时期</w:t>
            </w:r>
          </w:p>
        </w:tc>
        <w:tc>
          <w:tcPr>
            <w:tcW w:w="4045" w:type="dxa"/>
            <w:gridSpan w:val="7"/>
            <w:vAlign w:val="center"/>
          </w:tcPr>
          <w:p>
            <w:pPr>
              <w:spacing w:line="240" w:lineRule="exact"/>
              <w:jc w:val="center"/>
              <w:rPr>
                <w:color w:val="auto"/>
                <w:sz w:val="18"/>
                <w:szCs w:val="18"/>
                <w:highlight w:val="none"/>
              </w:rPr>
            </w:pPr>
            <w:r>
              <w:rPr>
                <w:color w:val="auto"/>
                <w:sz w:val="18"/>
                <w:szCs w:val="18"/>
                <w:highlight w:val="none"/>
              </w:rPr>
              <w:t>数据来源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continue"/>
            <w:vAlign w:val="center"/>
          </w:tcPr>
          <w:p>
            <w:pPr>
              <w:widowControl/>
              <w:spacing w:line="240" w:lineRule="exact"/>
              <w:jc w:val="left"/>
              <w:rPr>
                <w:color w:val="auto"/>
                <w:sz w:val="18"/>
                <w:szCs w:val="18"/>
                <w:highlight w:val="none"/>
              </w:rPr>
            </w:pPr>
          </w:p>
        </w:tc>
        <w:tc>
          <w:tcPr>
            <w:tcW w:w="1190" w:type="dxa"/>
            <w:vMerge w:val="continue"/>
            <w:vAlign w:val="center"/>
          </w:tcPr>
          <w:p>
            <w:pPr>
              <w:widowControl/>
              <w:spacing w:line="240" w:lineRule="exact"/>
              <w:jc w:val="left"/>
              <w:rPr>
                <w:color w:val="auto"/>
                <w:sz w:val="18"/>
                <w:szCs w:val="18"/>
                <w:highlight w:val="none"/>
              </w:rPr>
            </w:pPr>
          </w:p>
        </w:tc>
        <w:tc>
          <w:tcPr>
            <w:tcW w:w="3216" w:type="dxa"/>
            <w:gridSpan w:val="5"/>
            <w:vAlign w:val="center"/>
          </w:tcPr>
          <w:p>
            <w:pPr>
              <w:spacing w:line="240" w:lineRule="exact"/>
              <w:rPr>
                <w:color w:val="auto"/>
                <w:sz w:val="18"/>
                <w:szCs w:val="18"/>
                <w:highlight w:val="none"/>
              </w:rPr>
            </w:pPr>
            <w:r>
              <w:rPr>
                <w:color w:val="auto"/>
                <w:sz w:val="18"/>
                <w:szCs w:val="18"/>
                <w:highlight w:val="none"/>
              </w:rPr>
              <w:t xml:space="preserve">丰水期 □；平水期 □；枯水期 □；冰封期 </w:t>
            </w:r>
            <w:r>
              <w:rPr>
                <w:color w:val="auto"/>
                <w:sz w:val="18"/>
                <w:szCs w:val="18"/>
                <w:highlight w:val="none"/>
              </w:rPr>
              <w:sym w:font="Wingdings 2" w:char="00A3"/>
            </w:r>
          </w:p>
          <w:p>
            <w:pPr>
              <w:spacing w:line="240" w:lineRule="exact"/>
              <w:rPr>
                <w:color w:val="auto"/>
                <w:sz w:val="18"/>
                <w:szCs w:val="18"/>
                <w:highlight w:val="none"/>
              </w:rPr>
            </w:pPr>
            <w:r>
              <w:rPr>
                <w:color w:val="auto"/>
                <w:sz w:val="18"/>
                <w:szCs w:val="18"/>
                <w:highlight w:val="none"/>
              </w:rPr>
              <w:t>春季 □；夏季</w:t>
            </w:r>
            <w:r>
              <w:rPr>
                <w:color w:val="auto"/>
                <w:sz w:val="18"/>
                <w:szCs w:val="18"/>
                <w:highlight w:val="none"/>
              </w:rPr>
              <w:sym w:font="Wingdings 2" w:char="00A3"/>
            </w:r>
            <w:r>
              <w:rPr>
                <w:color w:val="auto"/>
                <w:sz w:val="18"/>
                <w:szCs w:val="18"/>
                <w:highlight w:val="none"/>
              </w:rPr>
              <w:t xml:space="preserve">；秋季 </w:t>
            </w:r>
            <w:r>
              <w:rPr>
                <w:color w:val="auto"/>
                <w:sz w:val="18"/>
                <w:szCs w:val="18"/>
                <w:highlight w:val="none"/>
              </w:rPr>
              <w:sym w:font="Wingdings 2" w:char="0052"/>
            </w:r>
            <w:r>
              <w:rPr>
                <w:color w:val="auto"/>
                <w:sz w:val="18"/>
                <w:szCs w:val="18"/>
                <w:highlight w:val="none"/>
              </w:rPr>
              <w:t>；冬季 □</w:t>
            </w:r>
          </w:p>
        </w:tc>
        <w:tc>
          <w:tcPr>
            <w:tcW w:w="4045" w:type="dxa"/>
            <w:gridSpan w:val="7"/>
            <w:vAlign w:val="center"/>
          </w:tcPr>
          <w:p>
            <w:pPr>
              <w:spacing w:line="240" w:lineRule="exact"/>
              <w:rPr>
                <w:color w:val="auto"/>
                <w:sz w:val="18"/>
                <w:szCs w:val="18"/>
                <w:highlight w:val="none"/>
              </w:rPr>
            </w:pPr>
            <w:r>
              <w:rPr>
                <w:color w:val="auto"/>
                <w:sz w:val="18"/>
                <w:szCs w:val="18"/>
                <w:highlight w:val="none"/>
              </w:rPr>
              <w:t xml:space="preserve">水行政主管部门 □；补充检测 □；其他 </w:t>
            </w:r>
            <w:r>
              <w:rPr>
                <w:color w:val="auto"/>
                <w:sz w:val="18"/>
                <w:szCs w:val="18"/>
                <w:highlight w:val="none"/>
              </w:rPr>
              <w:sym w:font="Wingdings 2" w:char="00A3"/>
            </w:r>
            <w:r>
              <w:rPr>
                <w:color w:val="auto"/>
                <w:sz w:val="18"/>
                <w:szCs w:val="18"/>
                <w:highlight w:val="none"/>
              </w:rPr>
              <w:t>(引用)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continue"/>
            <w:vAlign w:val="center"/>
          </w:tcPr>
          <w:p>
            <w:pPr>
              <w:widowControl/>
              <w:spacing w:line="240" w:lineRule="exact"/>
              <w:jc w:val="left"/>
              <w:rPr>
                <w:color w:val="auto"/>
                <w:sz w:val="18"/>
                <w:szCs w:val="18"/>
                <w:highlight w:val="none"/>
              </w:rPr>
            </w:pPr>
          </w:p>
        </w:tc>
        <w:tc>
          <w:tcPr>
            <w:tcW w:w="1190" w:type="dxa"/>
            <w:vMerge w:val="restart"/>
            <w:vAlign w:val="center"/>
          </w:tcPr>
          <w:p>
            <w:pPr>
              <w:spacing w:line="240" w:lineRule="exact"/>
              <w:jc w:val="center"/>
              <w:rPr>
                <w:color w:val="auto"/>
                <w:sz w:val="18"/>
                <w:szCs w:val="18"/>
                <w:highlight w:val="none"/>
              </w:rPr>
            </w:pPr>
            <w:r>
              <w:rPr>
                <w:color w:val="auto"/>
                <w:sz w:val="18"/>
                <w:szCs w:val="18"/>
                <w:highlight w:val="none"/>
              </w:rPr>
              <w:t>补充检测</w:t>
            </w:r>
          </w:p>
        </w:tc>
        <w:tc>
          <w:tcPr>
            <w:tcW w:w="3216" w:type="dxa"/>
            <w:gridSpan w:val="5"/>
            <w:vAlign w:val="center"/>
          </w:tcPr>
          <w:p>
            <w:pPr>
              <w:spacing w:line="240" w:lineRule="exact"/>
              <w:jc w:val="center"/>
              <w:rPr>
                <w:color w:val="auto"/>
                <w:sz w:val="18"/>
                <w:szCs w:val="18"/>
                <w:highlight w:val="none"/>
              </w:rPr>
            </w:pPr>
            <w:r>
              <w:rPr>
                <w:color w:val="auto"/>
                <w:sz w:val="18"/>
                <w:szCs w:val="18"/>
                <w:highlight w:val="none"/>
              </w:rPr>
              <w:t>监测时期</w:t>
            </w:r>
          </w:p>
        </w:tc>
        <w:tc>
          <w:tcPr>
            <w:tcW w:w="2741" w:type="dxa"/>
            <w:gridSpan w:val="5"/>
            <w:vAlign w:val="center"/>
          </w:tcPr>
          <w:p>
            <w:pPr>
              <w:spacing w:line="240" w:lineRule="exact"/>
              <w:jc w:val="center"/>
              <w:rPr>
                <w:color w:val="auto"/>
                <w:sz w:val="18"/>
                <w:szCs w:val="18"/>
                <w:highlight w:val="none"/>
              </w:rPr>
            </w:pPr>
            <w:r>
              <w:rPr>
                <w:color w:val="auto"/>
                <w:sz w:val="18"/>
                <w:szCs w:val="18"/>
                <w:highlight w:val="none"/>
              </w:rPr>
              <w:t>监测因子</w:t>
            </w:r>
          </w:p>
        </w:tc>
        <w:tc>
          <w:tcPr>
            <w:tcW w:w="1304" w:type="dxa"/>
            <w:gridSpan w:val="2"/>
            <w:vAlign w:val="center"/>
          </w:tcPr>
          <w:p>
            <w:pPr>
              <w:spacing w:line="240" w:lineRule="exact"/>
              <w:jc w:val="center"/>
              <w:rPr>
                <w:color w:val="auto"/>
                <w:sz w:val="18"/>
                <w:szCs w:val="18"/>
                <w:highlight w:val="none"/>
              </w:rPr>
            </w:pPr>
            <w:r>
              <w:rPr>
                <w:color w:val="auto"/>
                <w:sz w:val="18"/>
                <w:szCs w:val="18"/>
                <w:highlight w:val="none"/>
              </w:rPr>
              <w:t>监测断面或点位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continue"/>
            <w:vAlign w:val="center"/>
          </w:tcPr>
          <w:p>
            <w:pPr>
              <w:widowControl/>
              <w:spacing w:line="240" w:lineRule="exact"/>
              <w:jc w:val="left"/>
              <w:rPr>
                <w:color w:val="auto"/>
                <w:sz w:val="18"/>
                <w:szCs w:val="18"/>
                <w:highlight w:val="none"/>
              </w:rPr>
            </w:pPr>
          </w:p>
        </w:tc>
        <w:tc>
          <w:tcPr>
            <w:tcW w:w="1190" w:type="dxa"/>
            <w:vMerge w:val="continue"/>
            <w:vAlign w:val="center"/>
          </w:tcPr>
          <w:p>
            <w:pPr>
              <w:widowControl/>
              <w:spacing w:line="240" w:lineRule="exact"/>
              <w:jc w:val="left"/>
              <w:rPr>
                <w:color w:val="auto"/>
                <w:sz w:val="18"/>
                <w:szCs w:val="18"/>
                <w:highlight w:val="none"/>
              </w:rPr>
            </w:pPr>
          </w:p>
        </w:tc>
        <w:tc>
          <w:tcPr>
            <w:tcW w:w="2382" w:type="dxa"/>
            <w:gridSpan w:val="2"/>
            <w:vAlign w:val="center"/>
          </w:tcPr>
          <w:p>
            <w:pPr>
              <w:spacing w:line="240" w:lineRule="exact"/>
              <w:rPr>
                <w:color w:val="auto"/>
                <w:sz w:val="18"/>
                <w:szCs w:val="18"/>
                <w:highlight w:val="none"/>
              </w:rPr>
            </w:pPr>
            <w:r>
              <w:rPr>
                <w:color w:val="auto"/>
                <w:sz w:val="18"/>
                <w:szCs w:val="18"/>
                <w:highlight w:val="none"/>
              </w:rPr>
              <w:t>丰水期 □；平水期 □；枯水期 □；冰封期 □</w:t>
            </w:r>
          </w:p>
          <w:p>
            <w:pPr>
              <w:spacing w:line="240" w:lineRule="exact"/>
              <w:rPr>
                <w:color w:val="auto"/>
                <w:sz w:val="18"/>
                <w:szCs w:val="18"/>
                <w:highlight w:val="none"/>
              </w:rPr>
            </w:pPr>
            <w:r>
              <w:rPr>
                <w:color w:val="auto"/>
                <w:sz w:val="18"/>
                <w:szCs w:val="18"/>
                <w:highlight w:val="none"/>
              </w:rPr>
              <w:t>春季 □；夏季 □；秋季 □；冬季 □</w:t>
            </w:r>
          </w:p>
        </w:tc>
        <w:tc>
          <w:tcPr>
            <w:tcW w:w="3575" w:type="dxa"/>
            <w:gridSpan w:val="8"/>
            <w:vAlign w:val="center"/>
          </w:tcPr>
          <w:p>
            <w:pPr>
              <w:spacing w:line="240" w:lineRule="exact"/>
              <w:rPr>
                <w:color w:val="auto"/>
                <w:sz w:val="18"/>
                <w:szCs w:val="18"/>
                <w:highlight w:val="none"/>
              </w:rPr>
            </w:pPr>
          </w:p>
        </w:tc>
        <w:tc>
          <w:tcPr>
            <w:tcW w:w="1304" w:type="dxa"/>
            <w:gridSpan w:val="2"/>
            <w:vAlign w:val="center"/>
          </w:tcPr>
          <w:p>
            <w:pPr>
              <w:spacing w:line="240" w:lineRule="exact"/>
              <w:rPr>
                <w:color w:val="auto"/>
                <w:sz w:val="18"/>
                <w:szCs w:val="18"/>
                <w:highlight w:val="none"/>
              </w:rPr>
            </w:pPr>
            <w:r>
              <w:rPr>
                <w:color w:val="auto"/>
                <w:sz w:val="18"/>
                <w:szCs w:val="18"/>
                <w:highlight w:val="none"/>
              </w:rPr>
              <w:t>监测断面或点位个数（1）个</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restart"/>
            <w:vAlign w:val="center"/>
          </w:tcPr>
          <w:p>
            <w:pPr>
              <w:spacing w:line="240" w:lineRule="exact"/>
              <w:jc w:val="center"/>
              <w:rPr>
                <w:color w:val="auto"/>
                <w:sz w:val="18"/>
                <w:szCs w:val="18"/>
                <w:highlight w:val="none"/>
              </w:rPr>
            </w:pPr>
            <w:r>
              <w:rPr>
                <w:color w:val="auto"/>
                <w:sz w:val="18"/>
                <w:szCs w:val="18"/>
                <w:highlight w:val="none"/>
              </w:rPr>
              <w:t>现</w:t>
            </w:r>
          </w:p>
          <w:p>
            <w:pPr>
              <w:spacing w:line="240" w:lineRule="exact"/>
              <w:jc w:val="center"/>
              <w:rPr>
                <w:color w:val="auto"/>
                <w:sz w:val="18"/>
                <w:szCs w:val="18"/>
                <w:highlight w:val="none"/>
              </w:rPr>
            </w:pPr>
            <w:r>
              <w:rPr>
                <w:color w:val="auto"/>
                <w:sz w:val="18"/>
                <w:szCs w:val="18"/>
                <w:highlight w:val="none"/>
              </w:rPr>
              <w:t>状</w:t>
            </w:r>
          </w:p>
          <w:p>
            <w:pPr>
              <w:spacing w:line="240" w:lineRule="exact"/>
              <w:jc w:val="center"/>
              <w:rPr>
                <w:color w:val="auto"/>
                <w:sz w:val="18"/>
                <w:szCs w:val="18"/>
                <w:highlight w:val="none"/>
              </w:rPr>
            </w:pPr>
            <w:r>
              <w:rPr>
                <w:color w:val="auto"/>
                <w:sz w:val="18"/>
                <w:szCs w:val="18"/>
                <w:highlight w:val="none"/>
              </w:rPr>
              <w:t>评</w:t>
            </w:r>
          </w:p>
          <w:p>
            <w:pPr>
              <w:spacing w:line="240" w:lineRule="exact"/>
              <w:jc w:val="center"/>
              <w:rPr>
                <w:color w:val="auto"/>
                <w:sz w:val="18"/>
                <w:szCs w:val="18"/>
                <w:highlight w:val="none"/>
              </w:rPr>
            </w:pPr>
            <w:r>
              <w:rPr>
                <w:color w:val="auto"/>
                <w:sz w:val="18"/>
                <w:szCs w:val="18"/>
                <w:highlight w:val="none"/>
              </w:rPr>
              <w:t>价</w:t>
            </w:r>
          </w:p>
        </w:tc>
        <w:tc>
          <w:tcPr>
            <w:tcW w:w="1190" w:type="dxa"/>
            <w:vAlign w:val="center"/>
          </w:tcPr>
          <w:p>
            <w:pPr>
              <w:spacing w:line="240" w:lineRule="exact"/>
              <w:jc w:val="center"/>
              <w:rPr>
                <w:color w:val="auto"/>
                <w:sz w:val="18"/>
                <w:szCs w:val="18"/>
                <w:highlight w:val="none"/>
              </w:rPr>
            </w:pPr>
            <w:r>
              <w:rPr>
                <w:color w:val="auto"/>
                <w:sz w:val="18"/>
                <w:szCs w:val="18"/>
                <w:highlight w:val="none"/>
              </w:rPr>
              <w:t>评价范围</w:t>
            </w:r>
          </w:p>
        </w:tc>
        <w:tc>
          <w:tcPr>
            <w:tcW w:w="7261" w:type="dxa"/>
            <w:gridSpan w:val="12"/>
            <w:vAlign w:val="center"/>
          </w:tcPr>
          <w:p>
            <w:pPr>
              <w:spacing w:line="240" w:lineRule="exact"/>
              <w:rPr>
                <w:color w:val="auto"/>
                <w:sz w:val="18"/>
                <w:szCs w:val="18"/>
                <w:highlight w:val="none"/>
              </w:rPr>
            </w:pPr>
            <w:r>
              <w:rPr>
                <w:color w:val="auto"/>
                <w:sz w:val="18"/>
                <w:szCs w:val="18"/>
                <w:highlight w:val="none"/>
              </w:rPr>
              <w:t>河流：长度（   ）km；湖库、河口及近岸海域：面积（   ）km</w:t>
            </w:r>
            <w:r>
              <w:rPr>
                <w:color w:val="auto"/>
                <w:sz w:val="18"/>
                <w:szCs w:val="18"/>
                <w:highlight w:val="none"/>
                <w:vertAlign w:val="superscript"/>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continue"/>
            <w:vAlign w:val="center"/>
          </w:tcPr>
          <w:p>
            <w:pPr>
              <w:widowControl/>
              <w:spacing w:line="240" w:lineRule="exact"/>
              <w:jc w:val="left"/>
              <w:rPr>
                <w:color w:val="auto"/>
                <w:sz w:val="18"/>
                <w:szCs w:val="18"/>
                <w:highlight w:val="none"/>
              </w:rPr>
            </w:pPr>
          </w:p>
        </w:tc>
        <w:tc>
          <w:tcPr>
            <w:tcW w:w="1190" w:type="dxa"/>
            <w:vAlign w:val="center"/>
          </w:tcPr>
          <w:p>
            <w:pPr>
              <w:spacing w:line="240" w:lineRule="exact"/>
              <w:jc w:val="center"/>
              <w:rPr>
                <w:color w:val="auto"/>
                <w:sz w:val="18"/>
                <w:szCs w:val="18"/>
                <w:highlight w:val="none"/>
              </w:rPr>
            </w:pPr>
            <w:r>
              <w:rPr>
                <w:color w:val="auto"/>
                <w:sz w:val="18"/>
                <w:szCs w:val="18"/>
                <w:highlight w:val="none"/>
              </w:rPr>
              <w:t>评价因子</w:t>
            </w:r>
          </w:p>
        </w:tc>
        <w:tc>
          <w:tcPr>
            <w:tcW w:w="7261" w:type="dxa"/>
            <w:gridSpan w:val="12"/>
            <w:vAlign w:val="center"/>
          </w:tcPr>
          <w:p>
            <w:pPr>
              <w:spacing w:line="240" w:lineRule="exact"/>
              <w:rPr>
                <w:color w:val="auto"/>
                <w:sz w:val="18"/>
                <w:szCs w:val="18"/>
                <w:highlight w:val="none"/>
              </w:rPr>
            </w:pPr>
            <w:r>
              <w:rPr>
                <w:rFonts w:hint="eastAsia"/>
                <w:color w:val="auto"/>
                <w:sz w:val="18"/>
                <w:szCs w:val="18"/>
                <w:highlight w:val="none"/>
              </w:rPr>
              <w:t>pH、COD、BOD5、高指数、氨氮、总氮、总磷、铜、锌、砷、铅、镉、硒、汞、六价铬、硫化物、石油类、挥发酚、氟化物、氰化物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continue"/>
            <w:vAlign w:val="center"/>
          </w:tcPr>
          <w:p>
            <w:pPr>
              <w:widowControl/>
              <w:spacing w:line="240" w:lineRule="exact"/>
              <w:jc w:val="left"/>
              <w:rPr>
                <w:color w:val="auto"/>
                <w:sz w:val="18"/>
                <w:szCs w:val="18"/>
                <w:highlight w:val="none"/>
              </w:rPr>
            </w:pPr>
          </w:p>
        </w:tc>
        <w:tc>
          <w:tcPr>
            <w:tcW w:w="1190" w:type="dxa"/>
            <w:vAlign w:val="center"/>
          </w:tcPr>
          <w:p>
            <w:pPr>
              <w:spacing w:line="240" w:lineRule="exact"/>
              <w:jc w:val="center"/>
              <w:rPr>
                <w:color w:val="auto"/>
                <w:sz w:val="18"/>
                <w:szCs w:val="18"/>
                <w:highlight w:val="none"/>
              </w:rPr>
            </w:pPr>
            <w:r>
              <w:rPr>
                <w:color w:val="auto"/>
                <w:sz w:val="18"/>
                <w:szCs w:val="18"/>
                <w:highlight w:val="none"/>
              </w:rPr>
              <w:t>评价标准</w:t>
            </w:r>
          </w:p>
        </w:tc>
        <w:tc>
          <w:tcPr>
            <w:tcW w:w="7261" w:type="dxa"/>
            <w:gridSpan w:val="12"/>
            <w:vAlign w:val="center"/>
          </w:tcPr>
          <w:p>
            <w:pPr>
              <w:spacing w:line="240" w:lineRule="exact"/>
              <w:rPr>
                <w:color w:val="auto"/>
                <w:sz w:val="18"/>
                <w:szCs w:val="18"/>
                <w:highlight w:val="none"/>
              </w:rPr>
            </w:pPr>
            <w:r>
              <w:rPr>
                <w:color w:val="auto"/>
                <w:sz w:val="18"/>
                <w:szCs w:val="18"/>
                <w:highlight w:val="none"/>
              </w:rPr>
              <w:t>河流、湖库、河口：Ⅰ类 □；Ⅱ类 □；Ⅲ类 √；Ⅳ类 □；Ⅴ类 □</w:t>
            </w:r>
          </w:p>
          <w:p>
            <w:pPr>
              <w:spacing w:line="240" w:lineRule="exact"/>
              <w:rPr>
                <w:color w:val="auto"/>
                <w:sz w:val="18"/>
                <w:szCs w:val="18"/>
                <w:highlight w:val="none"/>
              </w:rPr>
            </w:pPr>
            <w:r>
              <w:rPr>
                <w:color w:val="auto"/>
                <w:sz w:val="18"/>
                <w:szCs w:val="18"/>
                <w:highlight w:val="none"/>
              </w:rPr>
              <w:t>近岸海域：第一类 □；第二类 □；第三类 □；第四类 □</w:t>
            </w:r>
          </w:p>
          <w:p>
            <w:pPr>
              <w:spacing w:line="240" w:lineRule="exact"/>
              <w:rPr>
                <w:color w:val="auto"/>
                <w:sz w:val="18"/>
                <w:szCs w:val="18"/>
                <w:highlight w:val="none"/>
              </w:rPr>
            </w:pPr>
            <w:r>
              <w:rPr>
                <w:color w:val="auto"/>
                <w:sz w:val="18"/>
                <w:szCs w:val="18"/>
                <w:highlight w:val="none"/>
              </w:rPr>
              <w:t>规划年评价标准（河流Ⅲ类）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continue"/>
            <w:vAlign w:val="center"/>
          </w:tcPr>
          <w:p>
            <w:pPr>
              <w:widowControl/>
              <w:spacing w:line="240" w:lineRule="exact"/>
              <w:jc w:val="left"/>
              <w:rPr>
                <w:color w:val="auto"/>
                <w:sz w:val="18"/>
                <w:szCs w:val="18"/>
                <w:highlight w:val="none"/>
              </w:rPr>
            </w:pPr>
          </w:p>
        </w:tc>
        <w:tc>
          <w:tcPr>
            <w:tcW w:w="1190" w:type="dxa"/>
            <w:vAlign w:val="center"/>
          </w:tcPr>
          <w:p>
            <w:pPr>
              <w:spacing w:line="240" w:lineRule="exact"/>
              <w:jc w:val="center"/>
              <w:rPr>
                <w:color w:val="auto"/>
                <w:sz w:val="18"/>
                <w:szCs w:val="18"/>
                <w:highlight w:val="none"/>
              </w:rPr>
            </w:pPr>
            <w:r>
              <w:rPr>
                <w:color w:val="auto"/>
                <w:sz w:val="18"/>
                <w:szCs w:val="18"/>
                <w:highlight w:val="none"/>
              </w:rPr>
              <w:t>评价时期</w:t>
            </w:r>
          </w:p>
        </w:tc>
        <w:tc>
          <w:tcPr>
            <w:tcW w:w="7261" w:type="dxa"/>
            <w:gridSpan w:val="12"/>
            <w:vAlign w:val="center"/>
          </w:tcPr>
          <w:p>
            <w:pPr>
              <w:spacing w:line="240" w:lineRule="exact"/>
              <w:rPr>
                <w:color w:val="auto"/>
                <w:sz w:val="18"/>
                <w:szCs w:val="18"/>
                <w:highlight w:val="none"/>
              </w:rPr>
            </w:pPr>
            <w:r>
              <w:rPr>
                <w:color w:val="auto"/>
                <w:sz w:val="18"/>
                <w:szCs w:val="18"/>
                <w:highlight w:val="none"/>
              </w:rPr>
              <w:t xml:space="preserve">丰水期□ ；平水期 □；枯水期 </w:t>
            </w:r>
            <w:r>
              <w:rPr>
                <w:color w:val="auto"/>
                <w:sz w:val="18"/>
                <w:szCs w:val="18"/>
                <w:highlight w:val="none"/>
              </w:rPr>
              <w:sym w:font="Wingdings 2" w:char="0052"/>
            </w:r>
            <w:r>
              <w:rPr>
                <w:color w:val="auto"/>
                <w:sz w:val="18"/>
                <w:szCs w:val="18"/>
                <w:highlight w:val="none"/>
              </w:rPr>
              <w:t>；冰封期 □</w:t>
            </w:r>
          </w:p>
          <w:p>
            <w:pPr>
              <w:spacing w:line="240" w:lineRule="exact"/>
              <w:rPr>
                <w:color w:val="auto"/>
                <w:sz w:val="18"/>
                <w:szCs w:val="18"/>
                <w:highlight w:val="none"/>
              </w:rPr>
            </w:pPr>
            <w:r>
              <w:rPr>
                <w:color w:val="auto"/>
                <w:sz w:val="18"/>
                <w:szCs w:val="18"/>
                <w:highlight w:val="none"/>
              </w:rPr>
              <w:t>春季 □；夏季 √；秋季 □；冬季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continue"/>
            <w:vAlign w:val="center"/>
          </w:tcPr>
          <w:p>
            <w:pPr>
              <w:widowControl/>
              <w:spacing w:line="240" w:lineRule="exact"/>
              <w:jc w:val="left"/>
              <w:rPr>
                <w:color w:val="auto"/>
                <w:sz w:val="18"/>
                <w:szCs w:val="18"/>
                <w:highlight w:val="none"/>
              </w:rPr>
            </w:pPr>
          </w:p>
        </w:tc>
        <w:tc>
          <w:tcPr>
            <w:tcW w:w="1190" w:type="dxa"/>
            <w:vAlign w:val="center"/>
          </w:tcPr>
          <w:p>
            <w:pPr>
              <w:spacing w:line="240" w:lineRule="exact"/>
              <w:jc w:val="center"/>
              <w:rPr>
                <w:color w:val="auto"/>
                <w:sz w:val="18"/>
                <w:szCs w:val="18"/>
                <w:highlight w:val="none"/>
              </w:rPr>
            </w:pPr>
            <w:r>
              <w:rPr>
                <w:color w:val="auto"/>
                <w:sz w:val="18"/>
                <w:szCs w:val="18"/>
                <w:highlight w:val="none"/>
              </w:rPr>
              <w:t>评价结论</w:t>
            </w:r>
          </w:p>
        </w:tc>
        <w:tc>
          <w:tcPr>
            <w:tcW w:w="6198" w:type="dxa"/>
            <w:gridSpan w:val="11"/>
            <w:vAlign w:val="center"/>
          </w:tcPr>
          <w:p>
            <w:pPr>
              <w:spacing w:line="240" w:lineRule="exact"/>
              <w:rPr>
                <w:color w:val="auto"/>
                <w:sz w:val="18"/>
                <w:szCs w:val="18"/>
                <w:highlight w:val="none"/>
              </w:rPr>
            </w:pPr>
            <w:r>
              <w:rPr>
                <w:color w:val="auto"/>
                <w:sz w:val="18"/>
                <w:szCs w:val="18"/>
                <w:highlight w:val="none"/>
              </w:rPr>
              <w:t xml:space="preserve">水环境功能区或水功能区、近岸海域环境功能区水质达标状况 √：达标 </w:t>
            </w:r>
            <w:r>
              <w:rPr>
                <w:color w:val="auto"/>
                <w:sz w:val="18"/>
                <w:szCs w:val="18"/>
                <w:highlight w:val="none"/>
              </w:rPr>
              <w:sym w:font="Wingdings 2" w:char="0052"/>
            </w:r>
            <w:r>
              <w:rPr>
                <w:color w:val="auto"/>
                <w:sz w:val="18"/>
                <w:szCs w:val="18"/>
                <w:highlight w:val="none"/>
              </w:rPr>
              <w:t>；不达标 □</w:t>
            </w:r>
          </w:p>
          <w:p>
            <w:pPr>
              <w:spacing w:line="240" w:lineRule="exact"/>
              <w:rPr>
                <w:color w:val="auto"/>
                <w:sz w:val="18"/>
                <w:szCs w:val="18"/>
                <w:highlight w:val="none"/>
              </w:rPr>
            </w:pPr>
            <w:r>
              <w:rPr>
                <w:color w:val="auto"/>
                <w:sz w:val="18"/>
                <w:szCs w:val="18"/>
                <w:highlight w:val="none"/>
              </w:rPr>
              <w:t xml:space="preserve">水环境控制单元或断面水质达标状况 ：达标 </w:t>
            </w:r>
            <w:r>
              <w:rPr>
                <w:color w:val="auto"/>
                <w:sz w:val="18"/>
                <w:szCs w:val="18"/>
                <w:highlight w:val="none"/>
              </w:rPr>
              <w:sym w:font="Wingdings 2" w:char="0052"/>
            </w:r>
            <w:r>
              <w:rPr>
                <w:color w:val="auto"/>
                <w:sz w:val="18"/>
                <w:szCs w:val="18"/>
                <w:highlight w:val="none"/>
              </w:rPr>
              <w:t>；不达标 □</w:t>
            </w:r>
          </w:p>
          <w:p>
            <w:pPr>
              <w:spacing w:line="240" w:lineRule="exact"/>
              <w:rPr>
                <w:color w:val="auto"/>
                <w:sz w:val="18"/>
                <w:szCs w:val="18"/>
                <w:highlight w:val="none"/>
              </w:rPr>
            </w:pPr>
            <w:r>
              <w:rPr>
                <w:color w:val="auto"/>
                <w:sz w:val="18"/>
                <w:szCs w:val="18"/>
                <w:highlight w:val="none"/>
              </w:rPr>
              <w:t>水环境保护目标质量状况：达标□；不达标 □</w:t>
            </w:r>
          </w:p>
          <w:p>
            <w:pPr>
              <w:spacing w:line="240" w:lineRule="exact"/>
              <w:rPr>
                <w:color w:val="auto"/>
                <w:sz w:val="18"/>
                <w:szCs w:val="18"/>
                <w:highlight w:val="none"/>
              </w:rPr>
            </w:pPr>
            <w:r>
              <w:rPr>
                <w:color w:val="auto"/>
                <w:sz w:val="18"/>
                <w:szCs w:val="18"/>
                <w:highlight w:val="none"/>
              </w:rPr>
              <w:t>对照断面、控制断面等代表性断面的水质状况 ：达标</w:t>
            </w:r>
            <w:r>
              <w:rPr>
                <w:color w:val="auto"/>
                <w:sz w:val="18"/>
                <w:szCs w:val="18"/>
                <w:highlight w:val="none"/>
              </w:rPr>
              <w:sym w:font="Wingdings 2" w:char="0052"/>
            </w:r>
            <w:r>
              <w:rPr>
                <w:color w:val="auto"/>
                <w:sz w:val="18"/>
                <w:szCs w:val="18"/>
                <w:highlight w:val="none"/>
              </w:rPr>
              <w:t>；不达标 □</w:t>
            </w:r>
          </w:p>
          <w:p>
            <w:pPr>
              <w:spacing w:line="240" w:lineRule="exact"/>
              <w:rPr>
                <w:color w:val="auto"/>
                <w:sz w:val="18"/>
                <w:szCs w:val="18"/>
                <w:highlight w:val="none"/>
              </w:rPr>
            </w:pPr>
            <w:r>
              <w:rPr>
                <w:color w:val="auto"/>
                <w:sz w:val="18"/>
                <w:szCs w:val="18"/>
                <w:highlight w:val="none"/>
              </w:rPr>
              <w:t>底泥污染评价 □</w:t>
            </w:r>
          </w:p>
          <w:p>
            <w:pPr>
              <w:spacing w:line="240" w:lineRule="exact"/>
              <w:rPr>
                <w:color w:val="auto"/>
                <w:sz w:val="18"/>
                <w:szCs w:val="18"/>
                <w:highlight w:val="none"/>
              </w:rPr>
            </w:pPr>
            <w:r>
              <w:rPr>
                <w:color w:val="auto"/>
                <w:sz w:val="18"/>
                <w:szCs w:val="18"/>
                <w:highlight w:val="none"/>
              </w:rPr>
              <w:t>水资源与开发利用程度及其水文情势评价 □</w:t>
            </w:r>
          </w:p>
          <w:p>
            <w:pPr>
              <w:spacing w:line="240" w:lineRule="exact"/>
              <w:rPr>
                <w:color w:val="auto"/>
                <w:sz w:val="18"/>
                <w:szCs w:val="18"/>
                <w:highlight w:val="none"/>
              </w:rPr>
            </w:pPr>
            <w:r>
              <w:rPr>
                <w:color w:val="auto"/>
                <w:sz w:val="18"/>
                <w:szCs w:val="18"/>
                <w:highlight w:val="none"/>
              </w:rPr>
              <w:t>水环境质量回顾评价 □</w:t>
            </w:r>
          </w:p>
          <w:p>
            <w:pPr>
              <w:spacing w:line="240" w:lineRule="exact"/>
              <w:rPr>
                <w:color w:val="auto"/>
                <w:sz w:val="18"/>
                <w:szCs w:val="18"/>
                <w:highlight w:val="none"/>
              </w:rPr>
            </w:pPr>
            <w:r>
              <w:rPr>
                <w:color w:val="auto"/>
                <w:sz w:val="18"/>
                <w:szCs w:val="18"/>
                <w:highlight w:val="none"/>
              </w:rPr>
              <w:t>流域（区域）水资源（包括水能资源）与开发利用总体状况、生态流量管理要求与现状满足程度、建设项目占用水域空间的水流状况与河湖演变状况 □</w:t>
            </w:r>
          </w:p>
        </w:tc>
        <w:tc>
          <w:tcPr>
            <w:tcW w:w="1063" w:type="dxa"/>
            <w:vAlign w:val="center"/>
          </w:tcPr>
          <w:p>
            <w:pPr>
              <w:spacing w:line="240" w:lineRule="exact"/>
              <w:rPr>
                <w:color w:val="auto"/>
                <w:sz w:val="18"/>
                <w:szCs w:val="18"/>
                <w:highlight w:val="none"/>
              </w:rPr>
            </w:pPr>
            <w:r>
              <w:rPr>
                <w:color w:val="auto"/>
                <w:sz w:val="18"/>
                <w:szCs w:val="18"/>
                <w:highlight w:val="none"/>
              </w:rPr>
              <w:t xml:space="preserve">达标区   </w:t>
            </w:r>
            <w:r>
              <w:rPr>
                <w:color w:val="auto"/>
                <w:sz w:val="18"/>
                <w:szCs w:val="18"/>
                <w:highlight w:val="none"/>
              </w:rPr>
              <w:sym w:font="Wingdings 2" w:char="0052"/>
            </w:r>
          </w:p>
          <w:p>
            <w:pPr>
              <w:spacing w:line="240" w:lineRule="exact"/>
              <w:rPr>
                <w:color w:val="auto"/>
                <w:sz w:val="18"/>
                <w:szCs w:val="18"/>
                <w:highlight w:val="none"/>
              </w:rPr>
            </w:pPr>
            <w:r>
              <w:rPr>
                <w:color w:val="auto"/>
                <w:sz w:val="18"/>
                <w:szCs w:val="18"/>
                <w:highlight w:val="none"/>
              </w:rPr>
              <w:t>不达标区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restart"/>
            <w:vAlign w:val="center"/>
          </w:tcPr>
          <w:p>
            <w:pPr>
              <w:spacing w:line="240" w:lineRule="exact"/>
              <w:jc w:val="center"/>
              <w:rPr>
                <w:color w:val="auto"/>
                <w:sz w:val="18"/>
                <w:szCs w:val="18"/>
                <w:highlight w:val="none"/>
              </w:rPr>
            </w:pPr>
            <w:r>
              <w:rPr>
                <w:color w:val="auto"/>
                <w:sz w:val="18"/>
                <w:szCs w:val="18"/>
                <w:highlight w:val="none"/>
              </w:rPr>
              <w:t>影</w:t>
            </w:r>
          </w:p>
          <w:p>
            <w:pPr>
              <w:spacing w:line="240" w:lineRule="exact"/>
              <w:jc w:val="center"/>
              <w:rPr>
                <w:color w:val="auto"/>
                <w:sz w:val="18"/>
                <w:szCs w:val="18"/>
                <w:highlight w:val="none"/>
              </w:rPr>
            </w:pPr>
            <w:r>
              <w:rPr>
                <w:color w:val="auto"/>
                <w:sz w:val="18"/>
                <w:szCs w:val="18"/>
                <w:highlight w:val="none"/>
              </w:rPr>
              <w:t>响</w:t>
            </w:r>
          </w:p>
          <w:p>
            <w:pPr>
              <w:spacing w:line="240" w:lineRule="exact"/>
              <w:jc w:val="center"/>
              <w:rPr>
                <w:color w:val="auto"/>
                <w:sz w:val="18"/>
                <w:szCs w:val="18"/>
                <w:highlight w:val="none"/>
              </w:rPr>
            </w:pPr>
            <w:r>
              <w:rPr>
                <w:color w:val="auto"/>
                <w:sz w:val="18"/>
                <w:szCs w:val="18"/>
                <w:highlight w:val="none"/>
              </w:rPr>
              <w:t>预</w:t>
            </w:r>
          </w:p>
          <w:p>
            <w:pPr>
              <w:spacing w:line="240" w:lineRule="exact"/>
              <w:jc w:val="center"/>
              <w:rPr>
                <w:color w:val="auto"/>
                <w:sz w:val="18"/>
                <w:szCs w:val="18"/>
                <w:highlight w:val="none"/>
              </w:rPr>
            </w:pPr>
            <w:r>
              <w:rPr>
                <w:color w:val="auto"/>
                <w:sz w:val="18"/>
                <w:szCs w:val="18"/>
                <w:highlight w:val="none"/>
              </w:rPr>
              <w:t>测</w:t>
            </w:r>
          </w:p>
        </w:tc>
        <w:tc>
          <w:tcPr>
            <w:tcW w:w="1190" w:type="dxa"/>
            <w:vAlign w:val="center"/>
          </w:tcPr>
          <w:p>
            <w:pPr>
              <w:spacing w:line="240" w:lineRule="exact"/>
              <w:jc w:val="center"/>
              <w:rPr>
                <w:color w:val="auto"/>
                <w:sz w:val="18"/>
                <w:szCs w:val="18"/>
                <w:highlight w:val="none"/>
              </w:rPr>
            </w:pPr>
            <w:r>
              <w:rPr>
                <w:color w:val="auto"/>
                <w:sz w:val="18"/>
                <w:szCs w:val="18"/>
                <w:highlight w:val="none"/>
              </w:rPr>
              <w:t>预测范围</w:t>
            </w:r>
          </w:p>
        </w:tc>
        <w:tc>
          <w:tcPr>
            <w:tcW w:w="7261" w:type="dxa"/>
            <w:gridSpan w:val="12"/>
            <w:vAlign w:val="center"/>
          </w:tcPr>
          <w:p>
            <w:pPr>
              <w:spacing w:line="240" w:lineRule="exact"/>
              <w:rPr>
                <w:color w:val="auto"/>
                <w:sz w:val="18"/>
                <w:szCs w:val="18"/>
                <w:highlight w:val="none"/>
              </w:rPr>
            </w:pPr>
            <w:r>
              <w:rPr>
                <w:color w:val="auto"/>
                <w:sz w:val="18"/>
                <w:szCs w:val="18"/>
                <w:highlight w:val="none"/>
              </w:rPr>
              <w:t>河流：长度（   ）km；湖库、河口及近岸海域：面积（   ）km</w:t>
            </w:r>
            <w:r>
              <w:rPr>
                <w:color w:val="auto"/>
                <w:sz w:val="18"/>
                <w:szCs w:val="18"/>
                <w:highlight w:val="none"/>
                <w:vertAlign w:val="superscript"/>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continue"/>
            <w:vAlign w:val="center"/>
          </w:tcPr>
          <w:p>
            <w:pPr>
              <w:widowControl/>
              <w:spacing w:line="240" w:lineRule="exact"/>
              <w:jc w:val="left"/>
              <w:rPr>
                <w:color w:val="auto"/>
                <w:sz w:val="18"/>
                <w:szCs w:val="18"/>
                <w:highlight w:val="none"/>
              </w:rPr>
            </w:pPr>
          </w:p>
        </w:tc>
        <w:tc>
          <w:tcPr>
            <w:tcW w:w="1190" w:type="dxa"/>
            <w:vAlign w:val="center"/>
          </w:tcPr>
          <w:p>
            <w:pPr>
              <w:spacing w:line="240" w:lineRule="exact"/>
              <w:jc w:val="center"/>
              <w:rPr>
                <w:color w:val="auto"/>
                <w:sz w:val="18"/>
                <w:szCs w:val="18"/>
                <w:highlight w:val="none"/>
              </w:rPr>
            </w:pPr>
            <w:r>
              <w:rPr>
                <w:color w:val="auto"/>
                <w:sz w:val="18"/>
                <w:szCs w:val="18"/>
                <w:highlight w:val="none"/>
              </w:rPr>
              <w:t>预测因子</w:t>
            </w:r>
          </w:p>
        </w:tc>
        <w:tc>
          <w:tcPr>
            <w:tcW w:w="7261" w:type="dxa"/>
            <w:gridSpan w:val="12"/>
            <w:vAlign w:val="center"/>
          </w:tcPr>
          <w:p>
            <w:pPr>
              <w:spacing w:line="240" w:lineRule="exact"/>
              <w:rPr>
                <w:color w:val="auto"/>
                <w:sz w:val="18"/>
                <w:szCs w:val="18"/>
                <w:highlight w:val="none"/>
              </w:rPr>
            </w:pPr>
            <w:r>
              <w:rPr>
                <w:color w:val="auto"/>
                <w:sz w:val="18"/>
                <w:szCs w:val="18"/>
                <w:highlight w:val="none"/>
              </w:rPr>
              <w:t>（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continue"/>
            <w:vAlign w:val="center"/>
          </w:tcPr>
          <w:p>
            <w:pPr>
              <w:widowControl/>
              <w:spacing w:line="240" w:lineRule="exact"/>
              <w:jc w:val="left"/>
              <w:rPr>
                <w:color w:val="auto"/>
                <w:sz w:val="18"/>
                <w:szCs w:val="18"/>
                <w:highlight w:val="none"/>
              </w:rPr>
            </w:pPr>
          </w:p>
        </w:tc>
        <w:tc>
          <w:tcPr>
            <w:tcW w:w="1190" w:type="dxa"/>
            <w:vAlign w:val="center"/>
          </w:tcPr>
          <w:p>
            <w:pPr>
              <w:spacing w:line="240" w:lineRule="exact"/>
              <w:jc w:val="center"/>
              <w:rPr>
                <w:color w:val="auto"/>
                <w:sz w:val="18"/>
                <w:szCs w:val="18"/>
                <w:highlight w:val="none"/>
              </w:rPr>
            </w:pPr>
            <w:r>
              <w:rPr>
                <w:color w:val="auto"/>
                <w:sz w:val="18"/>
                <w:szCs w:val="18"/>
                <w:highlight w:val="none"/>
              </w:rPr>
              <w:t>预测时期</w:t>
            </w:r>
          </w:p>
        </w:tc>
        <w:tc>
          <w:tcPr>
            <w:tcW w:w="7261" w:type="dxa"/>
            <w:gridSpan w:val="12"/>
            <w:vAlign w:val="center"/>
          </w:tcPr>
          <w:p>
            <w:pPr>
              <w:spacing w:line="240" w:lineRule="exact"/>
              <w:rPr>
                <w:color w:val="auto"/>
                <w:sz w:val="18"/>
                <w:szCs w:val="18"/>
                <w:highlight w:val="none"/>
              </w:rPr>
            </w:pPr>
            <w:r>
              <w:rPr>
                <w:color w:val="auto"/>
                <w:sz w:val="18"/>
                <w:szCs w:val="18"/>
                <w:highlight w:val="none"/>
              </w:rPr>
              <w:t>丰水期 □；平水期 □；枯水期 □；冰封期 □</w:t>
            </w:r>
          </w:p>
          <w:p>
            <w:pPr>
              <w:spacing w:line="240" w:lineRule="exact"/>
              <w:rPr>
                <w:color w:val="auto"/>
                <w:sz w:val="18"/>
                <w:szCs w:val="18"/>
                <w:highlight w:val="none"/>
              </w:rPr>
            </w:pPr>
            <w:r>
              <w:rPr>
                <w:color w:val="auto"/>
                <w:sz w:val="18"/>
                <w:szCs w:val="18"/>
                <w:highlight w:val="none"/>
              </w:rPr>
              <w:t>春季 □；夏季 □；秋季 □；冬季 □</w:t>
            </w:r>
          </w:p>
          <w:p>
            <w:pPr>
              <w:spacing w:line="240" w:lineRule="exact"/>
              <w:rPr>
                <w:color w:val="auto"/>
                <w:sz w:val="18"/>
                <w:szCs w:val="18"/>
                <w:highlight w:val="none"/>
              </w:rPr>
            </w:pPr>
            <w:r>
              <w:rPr>
                <w:color w:val="auto"/>
                <w:sz w:val="18"/>
                <w:szCs w:val="18"/>
                <w:highlight w:val="none"/>
              </w:rPr>
              <w:t>设计水文条件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continue"/>
            <w:vAlign w:val="center"/>
          </w:tcPr>
          <w:p>
            <w:pPr>
              <w:widowControl/>
              <w:spacing w:line="240" w:lineRule="exact"/>
              <w:jc w:val="left"/>
              <w:rPr>
                <w:color w:val="auto"/>
                <w:sz w:val="18"/>
                <w:szCs w:val="18"/>
                <w:highlight w:val="none"/>
              </w:rPr>
            </w:pPr>
          </w:p>
        </w:tc>
        <w:tc>
          <w:tcPr>
            <w:tcW w:w="1190" w:type="dxa"/>
            <w:vAlign w:val="center"/>
          </w:tcPr>
          <w:p>
            <w:pPr>
              <w:spacing w:line="240" w:lineRule="exact"/>
              <w:jc w:val="center"/>
              <w:rPr>
                <w:color w:val="auto"/>
                <w:sz w:val="18"/>
                <w:szCs w:val="18"/>
                <w:highlight w:val="none"/>
              </w:rPr>
            </w:pPr>
            <w:r>
              <w:rPr>
                <w:color w:val="auto"/>
                <w:sz w:val="18"/>
                <w:szCs w:val="18"/>
                <w:highlight w:val="none"/>
              </w:rPr>
              <w:t>预测情景</w:t>
            </w:r>
          </w:p>
        </w:tc>
        <w:tc>
          <w:tcPr>
            <w:tcW w:w="7261" w:type="dxa"/>
            <w:gridSpan w:val="12"/>
            <w:vAlign w:val="center"/>
          </w:tcPr>
          <w:p>
            <w:pPr>
              <w:spacing w:line="240" w:lineRule="exact"/>
              <w:rPr>
                <w:color w:val="auto"/>
                <w:sz w:val="18"/>
                <w:szCs w:val="18"/>
                <w:highlight w:val="none"/>
              </w:rPr>
            </w:pPr>
            <w:r>
              <w:rPr>
                <w:color w:val="auto"/>
                <w:sz w:val="18"/>
                <w:szCs w:val="18"/>
                <w:highlight w:val="none"/>
              </w:rPr>
              <w:t>建设期 □；生产运行期 □；服务期满后 □</w:t>
            </w:r>
          </w:p>
          <w:p>
            <w:pPr>
              <w:spacing w:line="240" w:lineRule="exact"/>
              <w:rPr>
                <w:color w:val="auto"/>
                <w:sz w:val="18"/>
                <w:szCs w:val="18"/>
                <w:highlight w:val="none"/>
              </w:rPr>
            </w:pPr>
            <w:r>
              <w:rPr>
                <w:color w:val="auto"/>
                <w:sz w:val="18"/>
                <w:szCs w:val="18"/>
                <w:highlight w:val="none"/>
              </w:rPr>
              <w:t>正常工况 □；非正常工况 □</w:t>
            </w:r>
          </w:p>
          <w:p>
            <w:pPr>
              <w:spacing w:line="240" w:lineRule="exact"/>
              <w:rPr>
                <w:color w:val="auto"/>
                <w:sz w:val="18"/>
                <w:szCs w:val="18"/>
                <w:highlight w:val="none"/>
              </w:rPr>
            </w:pPr>
            <w:r>
              <w:rPr>
                <w:color w:val="auto"/>
                <w:sz w:val="18"/>
                <w:szCs w:val="18"/>
                <w:highlight w:val="none"/>
              </w:rPr>
              <w:t>污染控制和减缓措施方案 □</w:t>
            </w:r>
          </w:p>
          <w:p>
            <w:pPr>
              <w:spacing w:line="240" w:lineRule="exact"/>
              <w:rPr>
                <w:color w:val="auto"/>
                <w:sz w:val="18"/>
                <w:szCs w:val="18"/>
                <w:highlight w:val="none"/>
              </w:rPr>
            </w:pPr>
            <w:r>
              <w:rPr>
                <w:color w:val="auto"/>
                <w:sz w:val="18"/>
                <w:szCs w:val="18"/>
                <w:highlight w:val="none"/>
              </w:rPr>
              <w:t>区（流）域环境质量改善目标要求情景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continue"/>
            <w:vAlign w:val="center"/>
          </w:tcPr>
          <w:p>
            <w:pPr>
              <w:widowControl/>
              <w:spacing w:line="240" w:lineRule="exact"/>
              <w:jc w:val="left"/>
              <w:rPr>
                <w:color w:val="auto"/>
                <w:sz w:val="18"/>
                <w:szCs w:val="18"/>
                <w:highlight w:val="none"/>
              </w:rPr>
            </w:pPr>
          </w:p>
        </w:tc>
        <w:tc>
          <w:tcPr>
            <w:tcW w:w="1190" w:type="dxa"/>
            <w:vAlign w:val="center"/>
          </w:tcPr>
          <w:p>
            <w:pPr>
              <w:spacing w:line="240" w:lineRule="exact"/>
              <w:jc w:val="center"/>
              <w:rPr>
                <w:color w:val="auto"/>
                <w:sz w:val="18"/>
                <w:szCs w:val="18"/>
                <w:highlight w:val="none"/>
              </w:rPr>
            </w:pPr>
            <w:r>
              <w:rPr>
                <w:color w:val="auto"/>
                <w:sz w:val="18"/>
                <w:szCs w:val="18"/>
                <w:highlight w:val="none"/>
              </w:rPr>
              <w:t>预测方法</w:t>
            </w:r>
          </w:p>
        </w:tc>
        <w:tc>
          <w:tcPr>
            <w:tcW w:w="7261" w:type="dxa"/>
            <w:gridSpan w:val="12"/>
            <w:vAlign w:val="center"/>
          </w:tcPr>
          <w:p>
            <w:pPr>
              <w:spacing w:line="240" w:lineRule="exact"/>
              <w:rPr>
                <w:color w:val="auto"/>
                <w:sz w:val="18"/>
                <w:szCs w:val="18"/>
                <w:highlight w:val="none"/>
              </w:rPr>
            </w:pPr>
            <w:r>
              <w:rPr>
                <w:color w:val="auto"/>
                <w:sz w:val="18"/>
                <w:szCs w:val="18"/>
                <w:highlight w:val="none"/>
              </w:rPr>
              <w:t>数值解 □：解析解 □；其他 □</w:t>
            </w:r>
          </w:p>
          <w:p>
            <w:pPr>
              <w:spacing w:line="240" w:lineRule="exact"/>
              <w:rPr>
                <w:color w:val="auto"/>
                <w:sz w:val="18"/>
                <w:szCs w:val="18"/>
                <w:highlight w:val="none"/>
              </w:rPr>
            </w:pPr>
            <w:r>
              <w:rPr>
                <w:color w:val="auto"/>
                <w:sz w:val="18"/>
                <w:szCs w:val="18"/>
                <w:highlight w:val="none"/>
              </w:rPr>
              <w:t>导则推荐模式 □：其他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restart"/>
            <w:vAlign w:val="center"/>
          </w:tcPr>
          <w:p>
            <w:pPr>
              <w:spacing w:line="240" w:lineRule="exact"/>
              <w:jc w:val="center"/>
              <w:rPr>
                <w:color w:val="auto"/>
                <w:sz w:val="18"/>
                <w:szCs w:val="18"/>
                <w:highlight w:val="none"/>
              </w:rPr>
            </w:pPr>
            <w:r>
              <w:rPr>
                <w:color w:val="auto"/>
                <w:sz w:val="18"/>
                <w:szCs w:val="18"/>
                <w:highlight w:val="none"/>
              </w:rPr>
              <w:t>影</w:t>
            </w:r>
          </w:p>
          <w:p>
            <w:pPr>
              <w:spacing w:line="240" w:lineRule="exact"/>
              <w:jc w:val="center"/>
              <w:rPr>
                <w:color w:val="auto"/>
                <w:sz w:val="18"/>
                <w:szCs w:val="18"/>
                <w:highlight w:val="none"/>
              </w:rPr>
            </w:pPr>
            <w:r>
              <w:rPr>
                <w:color w:val="auto"/>
                <w:sz w:val="18"/>
                <w:szCs w:val="18"/>
                <w:highlight w:val="none"/>
              </w:rPr>
              <w:t>响</w:t>
            </w:r>
          </w:p>
          <w:p>
            <w:pPr>
              <w:spacing w:line="240" w:lineRule="exact"/>
              <w:jc w:val="center"/>
              <w:rPr>
                <w:color w:val="auto"/>
                <w:sz w:val="18"/>
                <w:szCs w:val="18"/>
                <w:highlight w:val="none"/>
              </w:rPr>
            </w:pPr>
            <w:r>
              <w:rPr>
                <w:color w:val="auto"/>
                <w:sz w:val="18"/>
                <w:szCs w:val="18"/>
                <w:highlight w:val="none"/>
              </w:rPr>
              <w:t>评</w:t>
            </w:r>
          </w:p>
          <w:p>
            <w:pPr>
              <w:spacing w:line="240" w:lineRule="exact"/>
              <w:jc w:val="center"/>
              <w:rPr>
                <w:color w:val="auto"/>
                <w:sz w:val="18"/>
                <w:szCs w:val="18"/>
                <w:highlight w:val="none"/>
              </w:rPr>
            </w:pPr>
            <w:r>
              <w:rPr>
                <w:color w:val="auto"/>
                <w:sz w:val="18"/>
                <w:szCs w:val="18"/>
                <w:highlight w:val="none"/>
              </w:rPr>
              <w:t>价</w:t>
            </w:r>
          </w:p>
        </w:tc>
        <w:tc>
          <w:tcPr>
            <w:tcW w:w="1190" w:type="dxa"/>
            <w:vAlign w:val="center"/>
          </w:tcPr>
          <w:p>
            <w:pPr>
              <w:spacing w:line="240" w:lineRule="exact"/>
              <w:jc w:val="center"/>
              <w:rPr>
                <w:color w:val="auto"/>
                <w:sz w:val="18"/>
                <w:szCs w:val="18"/>
                <w:highlight w:val="none"/>
              </w:rPr>
            </w:pPr>
            <w:r>
              <w:rPr>
                <w:color w:val="auto"/>
                <w:sz w:val="18"/>
                <w:szCs w:val="18"/>
                <w:highlight w:val="none"/>
              </w:rPr>
              <w:t>水污染控制和水环境影响减缓措施有效性评价</w:t>
            </w:r>
          </w:p>
        </w:tc>
        <w:tc>
          <w:tcPr>
            <w:tcW w:w="7261" w:type="dxa"/>
            <w:gridSpan w:val="12"/>
            <w:vAlign w:val="center"/>
          </w:tcPr>
          <w:p>
            <w:pPr>
              <w:spacing w:line="240" w:lineRule="exact"/>
              <w:rPr>
                <w:color w:val="auto"/>
                <w:sz w:val="18"/>
                <w:szCs w:val="18"/>
                <w:highlight w:val="none"/>
              </w:rPr>
            </w:pPr>
            <w:r>
              <w:rPr>
                <w:color w:val="auto"/>
                <w:sz w:val="18"/>
                <w:szCs w:val="18"/>
                <w:highlight w:val="none"/>
              </w:rPr>
              <w:t>区（流）域环境质量改善目标 √；替代削减源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continue"/>
            <w:vAlign w:val="center"/>
          </w:tcPr>
          <w:p>
            <w:pPr>
              <w:widowControl/>
              <w:spacing w:line="240" w:lineRule="exact"/>
              <w:jc w:val="left"/>
              <w:rPr>
                <w:color w:val="auto"/>
                <w:sz w:val="18"/>
                <w:szCs w:val="18"/>
                <w:highlight w:val="none"/>
              </w:rPr>
            </w:pPr>
          </w:p>
        </w:tc>
        <w:tc>
          <w:tcPr>
            <w:tcW w:w="1190" w:type="dxa"/>
            <w:vAlign w:val="center"/>
          </w:tcPr>
          <w:p>
            <w:pPr>
              <w:spacing w:line="240" w:lineRule="exact"/>
              <w:jc w:val="center"/>
              <w:rPr>
                <w:color w:val="auto"/>
                <w:sz w:val="18"/>
                <w:szCs w:val="18"/>
                <w:highlight w:val="none"/>
              </w:rPr>
            </w:pPr>
            <w:r>
              <w:rPr>
                <w:color w:val="auto"/>
                <w:sz w:val="18"/>
                <w:szCs w:val="18"/>
                <w:highlight w:val="none"/>
              </w:rPr>
              <w:t>水环境影响评价</w:t>
            </w:r>
          </w:p>
        </w:tc>
        <w:tc>
          <w:tcPr>
            <w:tcW w:w="7261" w:type="dxa"/>
            <w:gridSpan w:val="12"/>
            <w:vAlign w:val="center"/>
          </w:tcPr>
          <w:p>
            <w:pPr>
              <w:spacing w:line="240" w:lineRule="exact"/>
              <w:rPr>
                <w:color w:val="auto"/>
                <w:sz w:val="18"/>
                <w:szCs w:val="18"/>
                <w:highlight w:val="none"/>
              </w:rPr>
            </w:pPr>
            <w:r>
              <w:rPr>
                <w:color w:val="auto"/>
                <w:sz w:val="18"/>
                <w:szCs w:val="18"/>
                <w:highlight w:val="none"/>
              </w:rPr>
              <w:t>排放口混合区外满足水环境管理要求 □</w:t>
            </w:r>
          </w:p>
          <w:p>
            <w:pPr>
              <w:spacing w:line="240" w:lineRule="exact"/>
              <w:rPr>
                <w:color w:val="auto"/>
                <w:sz w:val="18"/>
                <w:szCs w:val="18"/>
                <w:highlight w:val="none"/>
              </w:rPr>
            </w:pPr>
            <w:r>
              <w:rPr>
                <w:color w:val="auto"/>
                <w:sz w:val="18"/>
                <w:szCs w:val="18"/>
                <w:highlight w:val="none"/>
              </w:rPr>
              <w:t>水环境功能区或水功能区、近岸海域环境功能区水质达标 □</w:t>
            </w:r>
          </w:p>
          <w:p>
            <w:pPr>
              <w:spacing w:line="240" w:lineRule="exact"/>
              <w:rPr>
                <w:color w:val="auto"/>
                <w:sz w:val="18"/>
                <w:szCs w:val="18"/>
                <w:highlight w:val="none"/>
              </w:rPr>
            </w:pPr>
            <w:r>
              <w:rPr>
                <w:color w:val="auto"/>
                <w:sz w:val="18"/>
                <w:szCs w:val="18"/>
                <w:highlight w:val="none"/>
              </w:rPr>
              <w:t>满足水环境保护目标水域水环境质量要求 □</w:t>
            </w:r>
          </w:p>
          <w:p>
            <w:pPr>
              <w:spacing w:line="240" w:lineRule="exact"/>
              <w:rPr>
                <w:color w:val="auto"/>
                <w:sz w:val="18"/>
                <w:szCs w:val="18"/>
                <w:highlight w:val="none"/>
              </w:rPr>
            </w:pPr>
            <w:r>
              <w:rPr>
                <w:color w:val="auto"/>
                <w:sz w:val="18"/>
                <w:szCs w:val="18"/>
                <w:highlight w:val="none"/>
              </w:rPr>
              <w:t>水环境控制单元或断面水质达标 □</w:t>
            </w:r>
          </w:p>
          <w:p>
            <w:pPr>
              <w:spacing w:line="240" w:lineRule="exact"/>
              <w:rPr>
                <w:color w:val="auto"/>
                <w:sz w:val="18"/>
                <w:szCs w:val="18"/>
                <w:highlight w:val="none"/>
              </w:rPr>
            </w:pPr>
            <w:r>
              <w:rPr>
                <w:color w:val="auto"/>
                <w:sz w:val="18"/>
                <w:szCs w:val="18"/>
                <w:highlight w:val="none"/>
              </w:rPr>
              <w:t>满足重点水污染物排放总量控制指标要求，重点行业建设项目，主要污染物排放满足等量或减量替代要求 □</w:t>
            </w:r>
          </w:p>
          <w:p>
            <w:pPr>
              <w:spacing w:line="240" w:lineRule="exact"/>
              <w:rPr>
                <w:color w:val="auto"/>
                <w:sz w:val="18"/>
                <w:szCs w:val="18"/>
                <w:highlight w:val="none"/>
              </w:rPr>
            </w:pPr>
            <w:r>
              <w:rPr>
                <w:color w:val="auto"/>
                <w:sz w:val="18"/>
                <w:szCs w:val="18"/>
                <w:highlight w:val="none"/>
              </w:rPr>
              <w:t>满足区（流）域水环境质量改善目标要求 □</w:t>
            </w:r>
          </w:p>
          <w:p>
            <w:pPr>
              <w:spacing w:line="240" w:lineRule="exact"/>
              <w:rPr>
                <w:color w:val="auto"/>
                <w:sz w:val="18"/>
                <w:szCs w:val="18"/>
                <w:highlight w:val="none"/>
              </w:rPr>
            </w:pPr>
            <w:r>
              <w:rPr>
                <w:color w:val="auto"/>
                <w:sz w:val="18"/>
                <w:szCs w:val="18"/>
                <w:highlight w:val="none"/>
              </w:rPr>
              <w:t>水文要素影响型建设项目同时应包括水文情势变化评价、主要水文特征值影响评价、生态流量符合性评价 □</w:t>
            </w:r>
          </w:p>
          <w:p>
            <w:pPr>
              <w:spacing w:line="240" w:lineRule="exact"/>
              <w:rPr>
                <w:color w:val="auto"/>
                <w:sz w:val="18"/>
                <w:szCs w:val="18"/>
                <w:highlight w:val="none"/>
              </w:rPr>
            </w:pPr>
            <w:r>
              <w:rPr>
                <w:color w:val="auto"/>
                <w:sz w:val="18"/>
                <w:szCs w:val="18"/>
                <w:highlight w:val="none"/>
              </w:rPr>
              <w:t>对于新设或调整入河（湖库、近岸海域）排放口的建设项目，应包括排放口设置的环境合理性评价 □</w:t>
            </w:r>
          </w:p>
          <w:p>
            <w:pPr>
              <w:spacing w:line="240" w:lineRule="exact"/>
              <w:rPr>
                <w:color w:val="auto"/>
                <w:sz w:val="18"/>
                <w:szCs w:val="18"/>
                <w:highlight w:val="none"/>
              </w:rPr>
            </w:pPr>
            <w:r>
              <w:rPr>
                <w:color w:val="auto"/>
                <w:sz w:val="18"/>
                <w:szCs w:val="18"/>
                <w:highlight w:val="none"/>
              </w:rPr>
              <w:t xml:space="preserve">满足生态保护红线、水环境质量底线、资源利用上线和环境准入清单管理要求□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continue"/>
            <w:vAlign w:val="center"/>
          </w:tcPr>
          <w:p>
            <w:pPr>
              <w:widowControl/>
              <w:spacing w:line="240" w:lineRule="exact"/>
              <w:jc w:val="left"/>
              <w:rPr>
                <w:color w:val="auto"/>
                <w:sz w:val="18"/>
                <w:szCs w:val="18"/>
                <w:highlight w:val="none"/>
              </w:rPr>
            </w:pPr>
          </w:p>
        </w:tc>
        <w:tc>
          <w:tcPr>
            <w:tcW w:w="1190" w:type="dxa"/>
            <w:vMerge w:val="restart"/>
            <w:vAlign w:val="center"/>
          </w:tcPr>
          <w:p>
            <w:pPr>
              <w:spacing w:line="240" w:lineRule="exact"/>
              <w:jc w:val="center"/>
              <w:rPr>
                <w:color w:val="auto"/>
                <w:sz w:val="18"/>
                <w:szCs w:val="18"/>
                <w:highlight w:val="none"/>
              </w:rPr>
            </w:pPr>
            <w:r>
              <w:rPr>
                <w:color w:val="auto"/>
                <w:sz w:val="18"/>
                <w:szCs w:val="18"/>
                <w:highlight w:val="none"/>
              </w:rPr>
              <w:t>污染源排放量核算</w:t>
            </w:r>
          </w:p>
        </w:tc>
        <w:tc>
          <w:tcPr>
            <w:tcW w:w="1897" w:type="dxa"/>
            <w:vAlign w:val="center"/>
          </w:tcPr>
          <w:p>
            <w:pPr>
              <w:spacing w:line="240" w:lineRule="exact"/>
              <w:jc w:val="center"/>
              <w:rPr>
                <w:color w:val="auto"/>
                <w:sz w:val="18"/>
                <w:szCs w:val="18"/>
                <w:highlight w:val="none"/>
              </w:rPr>
            </w:pPr>
            <w:r>
              <w:rPr>
                <w:color w:val="auto"/>
                <w:sz w:val="18"/>
                <w:szCs w:val="18"/>
                <w:highlight w:val="none"/>
              </w:rPr>
              <w:t>污染物名称</w:t>
            </w:r>
          </w:p>
        </w:tc>
        <w:tc>
          <w:tcPr>
            <w:tcW w:w="2345" w:type="dxa"/>
            <w:gridSpan w:val="6"/>
            <w:vAlign w:val="center"/>
          </w:tcPr>
          <w:p>
            <w:pPr>
              <w:spacing w:line="240" w:lineRule="exact"/>
              <w:jc w:val="center"/>
              <w:rPr>
                <w:color w:val="auto"/>
                <w:sz w:val="18"/>
                <w:szCs w:val="18"/>
                <w:highlight w:val="none"/>
              </w:rPr>
            </w:pPr>
            <w:r>
              <w:rPr>
                <w:color w:val="auto"/>
                <w:sz w:val="18"/>
                <w:szCs w:val="18"/>
                <w:highlight w:val="none"/>
              </w:rPr>
              <w:t>排放量/（t/a）</w:t>
            </w:r>
          </w:p>
        </w:tc>
        <w:tc>
          <w:tcPr>
            <w:tcW w:w="3019" w:type="dxa"/>
            <w:gridSpan w:val="5"/>
            <w:vAlign w:val="center"/>
          </w:tcPr>
          <w:p>
            <w:pPr>
              <w:spacing w:line="240" w:lineRule="exact"/>
              <w:jc w:val="center"/>
              <w:rPr>
                <w:color w:val="auto"/>
                <w:sz w:val="18"/>
                <w:szCs w:val="18"/>
                <w:highlight w:val="none"/>
              </w:rPr>
            </w:pPr>
            <w:r>
              <w:rPr>
                <w:color w:val="auto"/>
                <w:sz w:val="18"/>
                <w:szCs w:val="18"/>
                <w:highlight w:val="none"/>
              </w:rPr>
              <w:t>排放浓度/（mg/L）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continue"/>
            <w:vAlign w:val="center"/>
          </w:tcPr>
          <w:p>
            <w:pPr>
              <w:widowControl/>
              <w:spacing w:line="240" w:lineRule="exact"/>
              <w:jc w:val="left"/>
              <w:rPr>
                <w:color w:val="auto"/>
                <w:sz w:val="18"/>
                <w:szCs w:val="18"/>
                <w:highlight w:val="none"/>
              </w:rPr>
            </w:pPr>
          </w:p>
        </w:tc>
        <w:tc>
          <w:tcPr>
            <w:tcW w:w="1190" w:type="dxa"/>
            <w:vMerge w:val="continue"/>
            <w:vAlign w:val="center"/>
          </w:tcPr>
          <w:p>
            <w:pPr>
              <w:widowControl/>
              <w:spacing w:line="240" w:lineRule="exact"/>
              <w:jc w:val="left"/>
              <w:rPr>
                <w:color w:val="auto"/>
                <w:sz w:val="18"/>
                <w:szCs w:val="18"/>
                <w:highlight w:val="none"/>
              </w:rPr>
            </w:pPr>
          </w:p>
        </w:tc>
        <w:tc>
          <w:tcPr>
            <w:tcW w:w="1897" w:type="dxa"/>
            <w:vAlign w:val="center"/>
          </w:tcPr>
          <w:p>
            <w:pPr>
              <w:spacing w:line="240" w:lineRule="exact"/>
              <w:rPr>
                <w:color w:val="auto"/>
                <w:sz w:val="18"/>
                <w:szCs w:val="18"/>
                <w:highlight w:val="none"/>
              </w:rPr>
            </w:pPr>
          </w:p>
        </w:tc>
        <w:tc>
          <w:tcPr>
            <w:tcW w:w="2345" w:type="dxa"/>
            <w:gridSpan w:val="6"/>
            <w:vAlign w:val="center"/>
          </w:tcPr>
          <w:p>
            <w:pPr>
              <w:spacing w:line="240" w:lineRule="exact"/>
              <w:rPr>
                <w:color w:val="auto"/>
                <w:sz w:val="18"/>
                <w:szCs w:val="18"/>
                <w:highlight w:val="none"/>
              </w:rPr>
            </w:pPr>
          </w:p>
        </w:tc>
        <w:tc>
          <w:tcPr>
            <w:tcW w:w="3019" w:type="dxa"/>
            <w:gridSpan w:val="5"/>
            <w:vAlign w:val="center"/>
          </w:tcPr>
          <w:p>
            <w:pPr>
              <w:spacing w:line="240" w:lineRule="exact"/>
              <w:rPr>
                <w:color w:val="auto"/>
                <w:sz w:val="18"/>
                <w:szCs w:val="18"/>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continue"/>
            <w:vAlign w:val="center"/>
          </w:tcPr>
          <w:p>
            <w:pPr>
              <w:widowControl/>
              <w:spacing w:line="240" w:lineRule="exact"/>
              <w:jc w:val="left"/>
              <w:rPr>
                <w:color w:val="auto"/>
                <w:sz w:val="18"/>
                <w:szCs w:val="18"/>
                <w:highlight w:val="none"/>
              </w:rPr>
            </w:pPr>
          </w:p>
        </w:tc>
        <w:tc>
          <w:tcPr>
            <w:tcW w:w="1190" w:type="dxa"/>
            <w:vMerge w:val="restart"/>
            <w:vAlign w:val="center"/>
          </w:tcPr>
          <w:p>
            <w:pPr>
              <w:spacing w:line="240" w:lineRule="exact"/>
              <w:jc w:val="center"/>
              <w:rPr>
                <w:color w:val="auto"/>
                <w:sz w:val="18"/>
                <w:szCs w:val="18"/>
                <w:highlight w:val="none"/>
              </w:rPr>
            </w:pPr>
            <w:r>
              <w:rPr>
                <w:color w:val="auto"/>
                <w:sz w:val="18"/>
                <w:szCs w:val="18"/>
                <w:highlight w:val="none"/>
              </w:rPr>
              <w:t>替代源排放情况</w:t>
            </w:r>
          </w:p>
        </w:tc>
        <w:tc>
          <w:tcPr>
            <w:tcW w:w="1897" w:type="dxa"/>
            <w:vAlign w:val="center"/>
          </w:tcPr>
          <w:p>
            <w:pPr>
              <w:spacing w:line="240" w:lineRule="exact"/>
              <w:rPr>
                <w:color w:val="auto"/>
                <w:sz w:val="18"/>
                <w:szCs w:val="18"/>
                <w:highlight w:val="none"/>
              </w:rPr>
            </w:pPr>
            <w:r>
              <w:rPr>
                <w:color w:val="auto"/>
                <w:sz w:val="18"/>
                <w:szCs w:val="18"/>
                <w:highlight w:val="none"/>
              </w:rPr>
              <w:t>污染源名称</w:t>
            </w:r>
          </w:p>
        </w:tc>
        <w:tc>
          <w:tcPr>
            <w:tcW w:w="1193" w:type="dxa"/>
            <w:gridSpan w:val="3"/>
            <w:vAlign w:val="center"/>
          </w:tcPr>
          <w:p>
            <w:pPr>
              <w:spacing w:line="240" w:lineRule="exact"/>
              <w:rPr>
                <w:color w:val="auto"/>
                <w:sz w:val="18"/>
                <w:szCs w:val="18"/>
                <w:highlight w:val="none"/>
              </w:rPr>
            </w:pPr>
            <w:r>
              <w:rPr>
                <w:color w:val="auto"/>
                <w:sz w:val="18"/>
                <w:szCs w:val="18"/>
                <w:highlight w:val="none"/>
              </w:rPr>
              <w:t>排污许可证编号</w:t>
            </w:r>
          </w:p>
        </w:tc>
        <w:tc>
          <w:tcPr>
            <w:tcW w:w="1152" w:type="dxa"/>
            <w:gridSpan w:val="3"/>
            <w:vAlign w:val="center"/>
          </w:tcPr>
          <w:p>
            <w:pPr>
              <w:spacing w:line="240" w:lineRule="exact"/>
              <w:rPr>
                <w:color w:val="auto"/>
                <w:sz w:val="18"/>
                <w:szCs w:val="18"/>
                <w:highlight w:val="none"/>
              </w:rPr>
            </w:pPr>
            <w:r>
              <w:rPr>
                <w:color w:val="auto"/>
                <w:sz w:val="18"/>
                <w:szCs w:val="18"/>
                <w:highlight w:val="none"/>
              </w:rPr>
              <w:t>污染物名称</w:t>
            </w:r>
          </w:p>
        </w:tc>
        <w:tc>
          <w:tcPr>
            <w:tcW w:w="1349" w:type="dxa"/>
            <w:gridSpan w:val="2"/>
            <w:vAlign w:val="center"/>
          </w:tcPr>
          <w:p>
            <w:pPr>
              <w:spacing w:line="240" w:lineRule="exact"/>
              <w:jc w:val="center"/>
              <w:rPr>
                <w:color w:val="auto"/>
                <w:sz w:val="18"/>
                <w:szCs w:val="18"/>
                <w:highlight w:val="none"/>
              </w:rPr>
            </w:pPr>
            <w:r>
              <w:rPr>
                <w:color w:val="auto"/>
                <w:sz w:val="18"/>
                <w:szCs w:val="18"/>
                <w:highlight w:val="none"/>
              </w:rPr>
              <w:t>排放量/（t/a）</w:t>
            </w:r>
          </w:p>
        </w:tc>
        <w:tc>
          <w:tcPr>
            <w:tcW w:w="1670" w:type="dxa"/>
            <w:gridSpan w:val="3"/>
            <w:vAlign w:val="center"/>
          </w:tcPr>
          <w:p>
            <w:pPr>
              <w:spacing w:line="240" w:lineRule="exact"/>
              <w:jc w:val="center"/>
              <w:rPr>
                <w:color w:val="auto"/>
                <w:sz w:val="18"/>
                <w:szCs w:val="18"/>
                <w:highlight w:val="none"/>
              </w:rPr>
            </w:pPr>
            <w:r>
              <w:rPr>
                <w:color w:val="auto"/>
                <w:sz w:val="18"/>
                <w:szCs w:val="18"/>
                <w:highlight w:val="none"/>
              </w:rPr>
              <w:t>排放浓度/（mg/L）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continue"/>
            <w:vAlign w:val="center"/>
          </w:tcPr>
          <w:p>
            <w:pPr>
              <w:widowControl/>
              <w:spacing w:line="240" w:lineRule="exact"/>
              <w:jc w:val="left"/>
              <w:rPr>
                <w:color w:val="auto"/>
                <w:sz w:val="18"/>
                <w:szCs w:val="18"/>
                <w:highlight w:val="none"/>
              </w:rPr>
            </w:pPr>
          </w:p>
        </w:tc>
        <w:tc>
          <w:tcPr>
            <w:tcW w:w="1190" w:type="dxa"/>
            <w:vMerge w:val="continue"/>
            <w:vAlign w:val="center"/>
          </w:tcPr>
          <w:p>
            <w:pPr>
              <w:widowControl/>
              <w:spacing w:line="240" w:lineRule="exact"/>
              <w:jc w:val="left"/>
              <w:rPr>
                <w:color w:val="auto"/>
                <w:sz w:val="18"/>
                <w:szCs w:val="18"/>
                <w:highlight w:val="none"/>
              </w:rPr>
            </w:pPr>
          </w:p>
        </w:tc>
        <w:tc>
          <w:tcPr>
            <w:tcW w:w="1897" w:type="dxa"/>
          </w:tcPr>
          <w:p>
            <w:pPr>
              <w:spacing w:line="240" w:lineRule="exact"/>
              <w:rPr>
                <w:color w:val="auto"/>
                <w:sz w:val="18"/>
                <w:szCs w:val="18"/>
                <w:highlight w:val="none"/>
              </w:rPr>
            </w:pPr>
            <w:r>
              <w:rPr>
                <w:color w:val="auto"/>
                <w:sz w:val="18"/>
                <w:szCs w:val="18"/>
                <w:highlight w:val="none"/>
              </w:rPr>
              <w:t>（   ）</w:t>
            </w:r>
          </w:p>
        </w:tc>
        <w:tc>
          <w:tcPr>
            <w:tcW w:w="1193" w:type="dxa"/>
            <w:gridSpan w:val="3"/>
          </w:tcPr>
          <w:p>
            <w:pPr>
              <w:spacing w:line="240" w:lineRule="exact"/>
              <w:rPr>
                <w:color w:val="auto"/>
                <w:sz w:val="18"/>
                <w:szCs w:val="18"/>
                <w:highlight w:val="none"/>
              </w:rPr>
            </w:pPr>
            <w:r>
              <w:rPr>
                <w:color w:val="auto"/>
                <w:sz w:val="18"/>
                <w:szCs w:val="18"/>
                <w:highlight w:val="none"/>
              </w:rPr>
              <w:t>（   ）</w:t>
            </w:r>
          </w:p>
        </w:tc>
        <w:tc>
          <w:tcPr>
            <w:tcW w:w="1152" w:type="dxa"/>
            <w:gridSpan w:val="3"/>
          </w:tcPr>
          <w:p>
            <w:pPr>
              <w:spacing w:line="240" w:lineRule="exact"/>
              <w:rPr>
                <w:color w:val="auto"/>
                <w:sz w:val="18"/>
                <w:szCs w:val="18"/>
                <w:highlight w:val="none"/>
              </w:rPr>
            </w:pPr>
            <w:r>
              <w:rPr>
                <w:color w:val="auto"/>
                <w:sz w:val="18"/>
                <w:szCs w:val="18"/>
                <w:highlight w:val="none"/>
              </w:rPr>
              <w:t>（   ）</w:t>
            </w:r>
          </w:p>
        </w:tc>
        <w:tc>
          <w:tcPr>
            <w:tcW w:w="1349" w:type="dxa"/>
            <w:gridSpan w:val="2"/>
          </w:tcPr>
          <w:p>
            <w:pPr>
              <w:spacing w:line="240" w:lineRule="exact"/>
              <w:rPr>
                <w:color w:val="auto"/>
                <w:sz w:val="18"/>
                <w:szCs w:val="18"/>
                <w:highlight w:val="none"/>
              </w:rPr>
            </w:pPr>
            <w:r>
              <w:rPr>
                <w:color w:val="auto"/>
                <w:sz w:val="18"/>
                <w:szCs w:val="18"/>
                <w:highlight w:val="none"/>
              </w:rPr>
              <w:t>（   ）</w:t>
            </w:r>
          </w:p>
        </w:tc>
        <w:tc>
          <w:tcPr>
            <w:tcW w:w="1670" w:type="dxa"/>
            <w:gridSpan w:val="3"/>
          </w:tcPr>
          <w:p>
            <w:pPr>
              <w:spacing w:line="240" w:lineRule="exact"/>
              <w:rPr>
                <w:color w:val="auto"/>
                <w:sz w:val="18"/>
                <w:szCs w:val="18"/>
                <w:highlight w:val="none"/>
              </w:rPr>
            </w:pPr>
            <w:r>
              <w:rPr>
                <w:color w:val="auto"/>
                <w:sz w:val="18"/>
                <w:szCs w:val="18"/>
                <w:highlight w:val="none"/>
              </w:rPr>
              <w:t>（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continue"/>
            <w:vAlign w:val="center"/>
          </w:tcPr>
          <w:p>
            <w:pPr>
              <w:widowControl/>
              <w:spacing w:line="240" w:lineRule="exact"/>
              <w:jc w:val="left"/>
              <w:rPr>
                <w:color w:val="auto"/>
                <w:sz w:val="18"/>
                <w:szCs w:val="18"/>
                <w:highlight w:val="none"/>
              </w:rPr>
            </w:pPr>
          </w:p>
        </w:tc>
        <w:tc>
          <w:tcPr>
            <w:tcW w:w="1190" w:type="dxa"/>
            <w:vAlign w:val="center"/>
          </w:tcPr>
          <w:p>
            <w:pPr>
              <w:spacing w:line="240" w:lineRule="exact"/>
              <w:jc w:val="center"/>
              <w:rPr>
                <w:color w:val="auto"/>
                <w:sz w:val="18"/>
                <w:szCs w:val="18"/>
                <w:highlight w:val="none"/>
              </w:rPr>
            </w:pPr>
            <w:r>
              <w:rPr>
                <w:color w:val="auto"/>
                <w:sz w:val="18"/>
                <w:szCs w:val="18"/>
                <w:highlight w:val="none"/>
              </w:rPr>
              <w:t>生态流量确定</w:t>
            </w:r>
          </w:p>
        </w:tc>
        <w:tc>
          <w:tcPr>
            <w:tcW w:w="7261" w:type="dxa"/>
            <w:gridSpan w:val="12"/>
            <w:vAlign w:val="center"/>
          </w:tcPr>
          <w:p>
            <w:pPr>
              <w:spacing w:line="240" w:lineRule="exact"/>
              <w:rPr>
                <w:color w:val="auto"/>
                <w:sz w:val="18"/>
                <w:szCs w:val="18"/>
                <w:highlight w:val="none"/>
              </w:rPr>
            </w:pPr>
            <w:r>
              <w:rPr>
                <w:color w:val="auto"/>
                <w:sz w:val="18"/>
                <w:szCs w:val="18"/>
                <w:highlight w:val="none"/>
              </w:rPr>
              <w:t>生态流量：一般水期（   ）m</w:t>
            </w:r>
            <w:r>
              <w:rPr>
                <w:color w:val="auto"/>
                <w:sz w:val="18"/>
                <w:szCs w:val="18"/>
                <w:highlight w:val="none"/>
                <w:vertAlign w:val="superscript"/>
              </w:rPr>
              <w:t>3</w:t>
            </w:r>
            <w:r>
              <w:rPr>
                <w:color w:val="auto"/>
                <w:sz w:val="18"/>
                <w:szCs w:val="18"/>
                <w:highlight w:val="none"/>
              </w:rPr>
              <w:t>/s；鱼类繁殖期（   ）m</w:t>
            </w:r>
            <w:r>
              <w:rPr>
                <w:color w:val="auto"/>
                <w:sz w:val="18"/>
                <w:szCs w:val="18"/>
                <w:highlight w:val="none"/>
                <w:vertAlign w:val="superscript"/>
              </w:rPr>
              <w:t>3</w:t>
            </w:r>
            <w:r>
              <w:rPr>
                <w:color w:val="auto"/>
                <w:sz w:val="18"/>
                <w:szCs w:val="18"/>
                <w:highlight w:val="none"/>
              </w:rPr>
              <w:t>/s；其他（   ）m</w:t>
            </w:r>
            <w:r>
              <w:rPr>
                <w:color w:val="auto"/>
                <w:sz w:val="18"/>
                <w:szCs w:val="18"/>
                <w:highlight w:val="none"/>
                <w:vertAlign w:val="superscript"/>
              </w:rPr>
              <w:t>3</w:t>
            </w:r>
            <w:r>
              <w:rPr>
                <w:color w:val="auto"/>
                <w:sz w:val="18"/>
                <w:szCs w:val="18"/>
                <w:highlight w:val="none"/>
              </w:rPr>
              <w:t>/s</w:t>
            </w:r>
          </w:p>
          <w:p>
            <w:pPr>
              <w:spacing w:line="240" w:lineRule="exact"/>
              <w:rPr>
                <w:color w:val="auto"/>
                <w:sz w:val="18"/>
                <w:szCs w:val="18"/>
                <w:highlight w:val="none"/>
              </w:rPr>
            </w:pPr>
            <w:r>
              <w:rPr>
                <w:color w:val="auto"/>
                <w:sz w:val="18"/>
                <w:szCs w:val="18"/>
                <w:highlight w:val="none"/>
              </w:rPr>
              <w:t>生态水位：一般水期（   ）m；鱼类繁殖期（   ）m；其他（   ）m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restart"/>
            <w:vAlign w:val="center"/>
          </w:tcPr>
          <w:p>
            <w:pPr>
              <w:spacing w:line="240" w:lineRule="exact"/>
              <w:jc w:val="center"/>
              <w:rPr>
                <w:color w:val="auto"/>
                <w:sz w:val="18"/>
                <w:szCs w:val="18"/>
                <w:highlight w:val="none"/>
              </w:rPr>
            </w:pPr>
            <w:r>
              <w:rPr>
                <w:color w:val="auto"/>
                <w:sz w:val="18"/>
                <w:szCs w:val="18"/>
                <w:highlight w:val="none"/>
              </w:rPr>
              <w:t>防</w:t>
            </w:r>
          </w:p>
          <w:p>
            <w:pPr>
              <w:spacing w:line="240" w:lineRule="exact"/>
              <w:jc w:val="center"/>
              <w:rPr>
                <w:color w:val="auto"/>
                <w:sz w:val="18"/>
                <w:szCs w:val="18"/>
                <w:highlight w:val="none"/>
              </w:rPr>
            </w:pPr>
            <w:r>
              <w:rPr>
                <w:color w:val="auto"/>
                <w:sz w:val="18"/>
                <w:szCs w:val="18"/>
                <w:highlight w:val="none"/>
              </w:rPr>
              <w:t>治</w:t>
            </w:r>
          </w:p>
          <w:p>
            <w:pPr>
              <w:spacing w:line="240" w:lineRule="exact"/>
              <w:jc w:val="center"/>
              <w:rPr>
                <w:color w:val="auto"/>
                <w:sz w:val="18"/>
                <w:szCs w:val="18"/>
                <w:highlight w:val="none"/>
              </w:rPr>
            </w:pPr>
            <w:r>
              <w:rPr>
                <w:color w:val="auto"/>
                <w:sz w:val="18"/>
                <w:szCs w:val="18"/>
                <w:highlight w:val="none"/>
              </w:rPr>
              <w:t>措</w:t>
            </w:r>
          </w:p>
          <w:p>
            <w:pPr>
              <w:spacing w:line="240" w:lineRule="exact"/>
              <w:jc w:val="center"/>
              <w:rPr>
                <w:color w:val="auto"/>
                <w:sz w:val="18"/>
                <w:szCs w:val="18"/>
                <w:highlight w:val="none"/>
              </w:rPr>
            </w:pPr>
            <w:r>
              <w:rPr>
                <w:color w:val="auto"/>
                <w:sz w:val="18"/>
                <w:szCs w:val="18"/>
                <w:highlight w:val="none"/>
              </w:rPr>
              <w:t>施</w:t>
            </w:r>
          </w:p>
        </w:tc>
        <w:tc>
          <w:tcPr>
            <w:tcW w:w="1190" w:type="dxa"/>
            <w:vAlign w:val="center"/>
          </w:tcPr>
          <w:p>
            <w:pPr>
              <w:spacing w:line="240" w:lineRule="exact"/>
              <w:jc w:val="center"/>
              <w:rPr>
                <w:color w:val="auto"/>
                <w:sz w:val="18"/>
                <w:szCs w:val="18"/>
                <w:highlight w:val="none"/>
              </w:rPr>
            </w:pPr>
            <w:r>
              <w:rPr>
                <w:color w:val="auto"/>
                <w:sz w:val="18"/>
                <w:szCs w:val="18"/>
                <w:highlight w:val="none"/>
              </w:rPr>
              <w:t>环保措施</w:t>
            </w:r>
          </w:p>
        </w:tc>
        <w:tc>
          <w:tcPr>
            <w:tcW w:w="7261" w:type="dxa"/>
            <w:gridSpan w:val="12"/>
            <w:vAlign w:val="center"/>
          </w:tcPr>
          <w:p>
            <w:pPr>
              <w:spacing w:line="240" w:lineRule="exact"/>
              <w:rPr>
                <w:color w:val="auto"/>
                <w:sz w:val="18"/>
                <w:szCs w:val="18"/>
                <w:highlight w:val="none"/>
              </w:rPr>
            </w:pPr>
            <w:r>
              <w:rPr>
                <w:color w:val="auto"/>
                <w:sz w:val="18"/>
                <w:szCs w:val="18"/>
                <w:highlight w:val="none"/>
              </w:rPr>
              <w:t>污水处理设施 √；水文减缓设施 □；生态流量保障设施 □；区域削减 □；依托其它工程措施 □；其他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continue"/>
            <w:vAlign w:val="center"/>
          </w:tcPr>
          <w:p>
            <w:pPr>
              <w:widowControl/>
              <w:spacing w:line="240" w:lineRule="exact"/>
              <w:jc w:val="left"/>
              <w:rPr>
                <w:color w:val="auto"/>
                <w:sz w:val="18"/>
                <w:szCs w:val="18"/>
                <w:highlight w:val="none"/>
              </w:rPr>
            </w:pPr>
          </w:p>
        </w:tc>
        <w:tc>
          <w:tcPr>
            <w:tcW w:w="1190" w:type="dxa"/>
            <w:vMerge w:val="restart"/>
            <w:vAlign w:val="center"/>
          </w:tcPr>
          <w:p>
            <w:pPr>
              <w:spacing w:line="240" w:lineRule="exact"/>
              <w:jc w:val="center"/>
              <w:rPr>
                <w:color w:val="auto"/>
                <w:sz w:val="18"/>
                <w:szCs w:val="18"/>
                <w:highlight w:val="none"/>
              </w:rPr>
            </w:pPr>
            <w:r>
              <w:rPr>
                <w:color w:val="auto"/>
                <w:sz w:val="18"/>
                <w:szCs w:val="18"/>
                <w:highlight w:val="none"/>
              </w:rPr>
              <w:t>监测计划</w:t>
            </w:r>
          </w:p>
        </w:tc>
        <w:tc>
          <w:tcPr>
            <w:tcW w:w="2892" w:type="dxa"/>
            <w:gridSpan w:val="3"/>
            <w:vAlign w:val="center"/>
          </w:tcPr>
          <w:p>
            <w:pPr>
              <w:spacing w:line="240" w:lineRule="exact"/>
              <w:rPr>
                <w:color w:val="auto"/>
                <w:sz w:val="18"/>
                <w:szCs w:val="18"/>
                <w:highlight w:val="none"/>
              </w:rPr>
            </w:pPr>
          </w:p>
        </w:tc>
        <w:tc>
          <w:tcPr>
            <w:tcW w:w="1610" w:type="dxa"/>
            <w:gridSpan w:val="5"/>
            <w:vAlign w:val="center"/>
          </w:tcPr>
          <w:p>
            <w:pPr>
              <w:spacing w:line="240" w:lineRule="exact"/>
              <w:jc w:val="center"/>
              <w:rPr>
                <w:color w:val="auto"/>
                <w:sz w:val="18"/>
                <w:szCs w:val="18"/>
                <w:highlight w:val="none"/>
              </w:rPr>
            </w:pPr>
            <w:r>
              <w:rPr>
                <w:color w:val="auto"/>
                <w:sz w:val="18"/>
                <w:szCs w:val="18"/>
                <w:highlight w:val="none"/>
              </w:rPr>
              <w:t>环境质量</w:t>
            </w:r>
          </w:p>
        </w:tc>
        <w:tc>
          <w:tcPr>
            <w:tcW w:w="2759" w:type="dxa"/>
            <w:gridSpan w:val="4"/>
            <w:vAlign w:val="center"/>
          </w:tcPr>
          <w:p>
            <w:pPr>
              <w:spacing w:line="240" w:lineRule="exact"/>
              <w:jc w:val="center"/>
              <w:rPr>
                <w:color w:val="auto"/>
                <w:sz w:val="18"/>
                <w:szCs w:val="18"/>
                <w:highlight w:val="none"/>
              </w:rPr>
            </w:pPr>
            <w:r>
              <w:rPr>
                <w:color w:val="auto"/>
                <w:sz w:val="18"/>
                <w:szCs w:val="18"/>
                <w:highlight w:val="none"/>
              </w:rPr>
              <w:t>污染源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continue"/>
            <w:vAlign w:val="center"/>
          </w:tcPr>
          <w:p>
            <w:pPr>
              <w:widowControl/>
              <w:spacing w:line="240" w:lineRule="exact"/>
              <w:jc w:val="left"/>
              <w:rPr>
                <w:color w:val="auto"/>
                <w:sz w:val="18"/>
                <w:szCs w:val="18"/>
                <w:highlight w:val="none"/>
              </w:rPr>
            </w:pPr>
          </w:p>
        </w:tc>
        <w:tc>
          <w:tcPr>
            <w:tcW w:w="1190" w:type="dxa"/>
            <w:vMerge w:val="continue"/>
            <w:vAlign w:val="center"/>
          </w:tcPr>
          <w:p>
            <w:pPr>
              <w:widowControl/>
              <w:spacing w:line="240" w:lineRule="exact"/>
              <w:jc w:val="left"/>
              <w:rPr>
                <w:color w:val="auto"/>
                <w:sz w:val="18"/>
                <w:szCs w:val="18"/>
                <w:highlight w:val="none"/>
              </w:rPr>
            </w:pPr>
          </w:p>
        </w:tc>
        <w:tc>
          <w:tcPr>
            <w:tcW w:w="2892" w:type="dxa"/>
            <w:gridSpan w:val="3"/>
            <w:vAlign w:val="center"/>
          </w:tcPr>
          <w:p>
            <w:pPr>
              <w:spacing w:line="240" w:lineRule="exact"/>
              <w:jc w:val="center"/>
              <w:rPr>
                <w:color w:val="auto"/>
                <w:sz w:val="18"/>
                <w:szCs w:val="18"/>
                <w:highlight w:val="none"/>
              </w:rPr>
            </w:pPr>
            <w:r>
              <w:rPr>
                <w:color w:val="auto"/>
                <w:sz w:val="18"/>
                <w:szCs w:val="18"/>
                <w:highlight w:val="none"/>
              </w:rPr>
              <w:t>监测方式</w:t>
            </w:r>
          </w:p>
        </w:tc>
        <w:tc>
          <w:tcPr>
            <w:tcW w:w="1610" w:type="dxa"/>
            <w:gridSpan w:val="5"/>
            <w:vAlign w:val="center"/>
          </w:tcPr>
          <w:p>
            <w:pPr>
              <w:spacing w:line="240" w:lineRule="exact"/>
              <w:jc w:val="center"/>
              <w:rPr>
                <w:color w:val="auto"/>
                <w:sz w:val="18"/>
                <w:szCs w:val="18"/>
                <w:highlight w:val="none"/>
              </w:rPr>
            </w:pPr>
            <w:r>
              <w:rPr>
                <w:color w:val="auto"/>
                <w:sz w:val="18"/>
                <w:szCs w:val="18"/>
                <w:highlight w:val="none"/>
              </w:rPr>
              <w:t>手动 □；自动 □；无监测 √</w:t>
            </w:r>
          </w:p>
        </w:tc>
        <w:tc>
          <w:tcPr>
            <w:tcW w:w="2759" w:type="dxa"/>
            <w:gridSpan w:val="4"/>
            <w:vAlign w:val="center"/>
          </w:tcPr>
          <w:p>
            <w:pPr>
              <w:spacing w:line="240" w:lineRule="exact"/>
              <w:jc w:val="center"/>
              <w:rPr>
                <w:color w:val="auto"/>
                <w:sz w:val="18"/>
                <w:szCs w:val="18"/>
                <w:highlight w:val="none"/>
              </w:rPr>
            </w:pPr>
            <w:r>
              <w:rPr>
                <w:color w:val="auto"/>
                <w:sz w:val="18"/>
                <w:szCs w:val="18"/>
                <w:highlight w:val="none"/>
              </w:rPr>
              <w:t>手动□；自动 □；无监测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continue"/>
            <w:vAlign w:val="center"/>
          </w:tcPr>
          <w:p>
            <w:pPr>
              <w:widowControl/>
              <w:spacing w:line="240" w:lineRule="exact"/>
              <w:jc w:val="left"/>
              <w:rPr>
                <w:color w:val="auto"/>
                <w:sz w:val="18"/>
                <w:szCs w:val="18"/>
                <w:highlight w:val="none"/>
              </w:rPr>
            </w:pPr>
          </w:p>
        </w:tc>
        <w:tc>
          <w:tcPr>
            <w:tcW w:w="1190" w:type="dxa"/>
            <w:vMerge w:val="continue"/>
            <w:vAlign w:val="center"/>
          </w:tcPr>
          <w:p>
            <w:pPr>
              <w:widowControl/>
              <w:spacing w:line="240" w:lineRule="exact"/>
              <w:jc w:val="left"/>
              <w:rPr>
                <w:color w:val="auto"/>
                <w:sz w:val="18"/>
                <w:szCs w:val="18"/>
                <w:highlight w:val="none"/>
              </w:rPr>
            </w:pPr>
          </w:p>
        </w:tc>
        <w:tc>
          <w:tcPr>
            <w:tcW w:w="2892" w:type="dxa"/>
            <w:gridSpan w:val="3"/>
            <w:vAlign w:val="center"/>
          </w:tcPr>
          <w:p>
            <w:pPr>
              <w:spacing w:line="240" w:lineRule="exact"/>
              <w:jc w:val="center"/>
              <w:rPr>
                <w:color w:val="auto"/>
                <w:sz w:val="18"/>
                <w:szCs w:val="18"/>
                <w:highlight w:val="none"/>
              </w:rPr>
            </w:pPr>
            <w:r>
              <w:rPr>
                <w:color w:val="auto"/>
                <w:sz w:val="18"/>
                <w:szCs w:val="18"/>
                <w:highlight w:val="none"/>
              </w:rPr>
              <w:t>监测点位</w:t>
            </w:r>
          </w:p>
        </w:tc>
        <w:tc>
          <w:tcPr>
            <w:tcW w:w="1610" w:type="dxa"/>
            <w:gridSpan w:val="5"/>
            <w:vAlign w:val="center"/>
          </w:tcPr>
          <w:p>
            <w:pPr>
              <w:spacing w:line="240" w:lineRule="exact"/>
              <w:jc w:val="center"/>
              <w:rPr>
                <w:color w:val="auto"/>
                <w:sz w:val="18"/>
                <w:szCs w:val="18"/>
                <w:highlight w:val="none"/>
              </w:rPr>
            </w:pPr>
            <w:r>
              <w:rPr>
                <w:color w:val="auto"/>
                <w:sz w:val="18"/>
                <w:szCs w:val="18"/>
                <w:highlight w:val="none"/>
              </w:rPr>
              <w:t>（   ）</w:t>
            </w:r>
          </w:p>
        </w:tc>
        <w:tc>
          <w:tcPr>
            <w:tcW w:w="2759" w:type="dxa"/>
            <w:gridSpan w:val="4"/>
            <w:vAlign w:val="center"/>
          </w:tcPr>
          <w:p>
            <w:pPr>
              <w:spacing w:line="240" w:lineRule="exact"/>
              <w:jc w:val="center"/>
              <w:rPr>
                <w:color w:val="auto"/>
                <w:sz w:val="18"/>
                <w:szCs w:val="18"/>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continue"/>
            <w:vAlign w:val="center"/>
          </w:tcPr>
          <w:p>
            <w:pPr>
              <w:widowControl/>
              <w:spacing w:line="240" w:lineRule="exact"/>
              <w:jc w:val="left"/>
              <w:rPr>
                <w:color w:val="auto"/>
                <w:sz w:val="18"/>
                <w:szCs w:val="18"/>
                <w:highlight w:val="none"/>
              </w:rPr>
            </w:pPr>
          </w:p>
        </w:tc>
        <w:tc>
          <w:tcPr>
            <w:tcW w:w="1190" w:type="dxa"/>
            <w:vMerge w:val="continue"/>
            <w:vAlign w:val="center"/>
          </w:tcPr>
          <w:p>
            <w:pPr>
              <w:widowControl/>
              <w:spacing w:line="240" w:lineRule="exact"/>
              <w:jc w:val="left"/>
              <w:rPr>
                <w:color w:val="auto"/>
                <w:sz w:val="18"/>
                <w:szCs w:val="18"/>
                <w:highlight w:val="none"/>
              </w:rPr>
            </w:pPr>
          </w:p>
        </w:tc>
        <w:tc>
          <w:tcPr>
            <w:tcW w:w="2892" w:type="dxa"/>
            <w:gridSpan w:val="3"/>
            <w:vAlign w:val="center"/>
          </w:tcPr>
          <w:p>
            <w:pPr>
              <w:spacing w:line="240" w:lineRule="exact"/>
              <w:jc w:val="center"/>
              <w:rPr>
                <w:color w:val="auto"/>
                <w:sz w:val="18"/>
                <w:szCs w:val="18"/>
                <w:highlight w:val="none"/>
              </w:rPr>
            </w:pPr>
            <w:r>
              <w:rPr>
                <w:color w:val="auto"/>
                <w:sz w:val="18"/>
                <w:szCs w:val="18"/>
                <w:highlight w:val="none"/>
              </w:rPr>
              <w:t>监测因子</w:t>
            </w:r>
          </w:p>
        </w:tc>
        <w:tc>
          <w:tcPr>
            <w:tcW w:w="1610" w:type="dxa"/>
            <w:gridSpan w:val="5"/>
            <w:vAlign w:val="center"/>
          </w:tcPr>
          <w:p>
            <w:pPr>
              <w:spacing w:line="240" w:lineRule="exact"/>
              <w:jc w:val="center"/>
              <w:rPr>
                <w:color w:val="auto"/>
                <w:sz w:val="18"/>
                <w:szCs w:val="18"/>
                <w:highlight w:val="none"/>
              </w:rPr>
            </w:pPr>
            <w:r>
              <w:rPr>
                <w:color w:val="auto"/>
                <w:sz w:val="18"/>
                <w:szCs w:val="18"/>
                <w:highlight w:val="none"/>
              </w:rPr>
              <w:t>（   ）</w:t>
            </w:r>
          </w:p>
        </w:tc>
        <w:tc>
          <w:tcPr>
            <w:tcW w:w="2759" w:type="dxa"/>
            <w:gridSpan w:val="4"/>
            <w:vAlign w:val="center"/>
          </w:tcPr>
          <w:p>
            <w:pPr>
              <w:spacing w:line="240" w:lineRule="exact"/>
              <w:jc w:val="center"/>
              <w:rPr>
                <w:color w:val="auto"/>
                <w:sz w:val="18"/>
                <w:szCs w:val="18"/>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391" w:type="dxa"/>
            <w:vMerge w:val="continue"/>
            <w:vAlign w:val="center"/>
          </w:tcPr>
          <w:p>
            <w:pPr>
              <w:widowControl/>
              <w:spacing w:line="240" w:lineRule="exact"/>
              <w:jc w:val="left"/>
              <w:rPr>
                <w:color w:val="auto"/>
                <w:sz w:val="18"/>
                <w:szCs w:val="18"/>
                <w:highlight w:val="none"/>
              </w:rPr>
            </w:pPr>
          </w:p>
        </w:tc>
        <w:tc>
          <w:tcPr>
            <w:tcW w:w="1190" w:type="dxa"/>
            <w:vAlign w:val="center"/>
          </w:tcPr>
          <w:p>
            <w:pPr>
              <w:spacing w:line="240" w:lineRule="exact"/>
              <w:jc w:val="center"/>
              <w:rPr>
                <w:color w:val="auto"/>
                <w:sz w:val="18"/>
                <w:szCs w:val="18"/>
                <w:highlight w:val="none"/>
              </w:rPr>
            </w:pPr>
            <w:r>
              <w:rPr>
                <w:color w:val="auto"/>
                <w:sz w:val="18"/>
                <w:szCs w:val="18"/>
                <w:highlight w:val="none"/>
              </w:rPr>
              <w:t>污染物排放清单</w:t>
            </w:r>
          </w:p>
        </w:tc>
        <w:tc>
          <w:tcPr>
            <w:tcW w:w="7261" w:type="dxa"/>
            <w:gridSpan w:val="12"/>
            <w:vAlign w:val="center"/>
          </w:tcPr>
          <w:p>
            <w:pPr>
              <w:spacing w:line="240" w:lineRule="exact"/>
              <w:rPr>
                <w:color w:val="auto"/>
                <w:sz w:val="18"/>
                <w:szCs w:val="18"/>
                <w:highlight w:val="none"/>
              </w:rPr>
            </w:pPr>
            <w:r>
              <w:rPr>
                <w:color w:val="auto"/>
                <w:sz w:val="18"/>
                <w:szCs w:val="18"/>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81" w:type="dxa"/>
            <w:gridSpan w:val="2"/>
            <w:vAlign w:val="center"/>
          </w:tcPr>
          <w:p>
            <w:pPr>
              <w:spacing w:line="240" w:lineRule="exact"/>
              <w:jc w:val="center"/>
              <w:rPr>
                <w:color w:val="auto"/>
                <w:sz w:val="18"/>
                <w:szCs w:val="18"/>
                <w:highlight w:val="none"/>
              </w:rPr>
            </w:pPr>
            <w:r>
              <w:rPr>
                <w:color w:val="auto"/>
                <w:sz w:val="18"/>
                <w:szCs w:val="18"/>
                <w:highlight w:val="none"/>
              </w:rPr>
              <w:t>评价结论</w:t>
            </w:r>
          </w:p>
        </w:tc>
        <w:tc>
          <w:tcPr>
            <w:tcW w:w="7261" w:type="dxa"/>
            <w:gridSpan w:val="12"/>
            <w:vAlign w:val="center"/>
          </w:tcPr>
          <w:p>
            <w:pPr>
              <w:spacing w:line="240" w:lineRule="exact"/>
              <w:rPr>
                <w:color w:val="auto"/>
                <w:sz w:val="18"/>
                <w:szCs w:val="18"/>
                <w:highlight w:val="none"/>
              </w:rPr>
            </w:pPr>
            <w:r>
              <w:rPr>
                <w:color w:val="auto"/>
                <w:sz w:val="18"/>
                <w:szCs w:val="18"/>
                <w:highlight w:val="none"/>
              </w:rPr>
              <w:t>可以接受 √；不可以接受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842" w:type="dxa"/>
            <w:gridSpan w:val="14"/>
            <w:vAlign w:val="center"/>
          </w:tcPr>
          <w:p>
            <w:pPr>
              <w:spacing w:line="240" w:lineRule="exact"/>
              <w:rPr>
                <w:color w:val="auto"/>
                <w:sz w:val="18"/>
                <w:szCs w:val="18"/>
                <w:highlight w:val="none"/>
              </w:rPr>
            </w:pPr>
            <w:r>
              <w:rPr>
                <w:color w:val="auto"/>
                <w:sz w:val="18"/>
                <w:szCs w:val="18"/>
                <w:highlight w:val="none"/>
              </w:rPr>
              <w:t>注：“□”为勾选项，可√；“（   ）”为内容填写项；“备注”为其他补充内容。</w:t>
            </w:r>
          </w:p>
        </w:tc>
      </w:tr>
      <w:bookmarkEnd w:id="161"/>
      <w:bookmarkEnd w:id="162"/>
      <w:bookmarkEnd w:id="163"/>
      <w:bookmarkEnd w:id="164"/>
    </w:tbl>
    <w:p>
      <w:pPr>
        <w:pStyle w:val="100"/>
        <w:spacing w:before="156"/>
        <w:rPr>
          <w:rFonts w:ascii="Times New Roman" w:hAnsi="Times New Roman"/>
          <w:color w:val="auto"/>
          <w:highlight w:val="none"/>
        </w:rPr>
      </w:pPr>
      <w:bookmarkStart w:id="165" w:name="_Toc66281288"/>
      <w:bookmarkStart w:id="166" w:name="_Toc13595"/>
      <w:r>
        <w:rPr>
          <w:rFonts w:ascii="Times New Roman" w:hAnsi="Times New Roman"/>
          <w:color w:val="auto"/>
          <w:highlight w:val="none"/>
        </w:rPr>
        <w:t>4.3地下水环境影响预测与评价</w:t>
      </w:r>
      <w:bookmarkEnd w:id="165"/>
      <w:bookmarkEnd w:id="166"/>
    </w:p>
    <w:p>
      <w:pPr>
        <w:pStyle w:val="101"/>
        <w:spacing w:before="78"/>
        <w:rPr>
          <w:rFonts w:ascii="Times New Roman" w:hAnsi="Times New Roman"/>
          <w:color w:val="auto"/>
          <w:highlight w:val="none"/>
        </w:rPr>
      </w:pPr>
      <w:r>
        <w:rPr>
          <w:rFonts w:ascii="Times New Roman" w:hAnsi="Times New Roman"/>
          <w:color w:val="auto"/>
          <w:highlight w:val="none"/>
        </w:rPr>
        <w:t>4.3.1地下水环境影响等级判定</w:t>
      </w:r>
    </w:p>
    <w:p>
      <w:pPr>
        <w:pStyle w:val="112"/>
        <w:rPr>
          <w:color w:val="auto"/>
          <w:highlight w:val="none"/>
        </w:rPr>
      </w:pPr>
      <w:r>
        <w:rPr>
          <w:color w:val="auto"/>
          <w:highlight w:val="none"/>
        </w:rPr>
        <w:t>4.3.1.1评价等级</w:t>
      </w:r>
    </w:p>
    <w:p>
      <w:pPr>
        <w:pStyle w:val="99"/>
        <w:ind w:firstLine="480"/>
        <w:rPr>
          <w:color w:val="auto"/>
          <w:highlight w:val="none"/>
        </w:rPr>
      </w:pPr>
      <w:r>
        <w:rPr>
          <w:color w:val="auto"/>
          <w:highlight w:val="none"/>
        </w:rPr>
        <w:t>根据《环境影响评价技术导则 地下水环境》</w:t>
      </w:r>
      <w:r>
        <w:rPr>
          <w:rFonts w:hint="eastAsia"/>
          <w:color w:val="auto"/>
          <w:highlight w:val="none"/>
        </w:rPr>
        <w:t>(</w:t>
      </w:r>
      <w:r>
        <w:rPr>
          <w:color w:val="auto"/>
          <w:highlight w:val="none"/>
        </w:rPr>
        <w:t>HJ610-2016</w:t>
      </w:r>
      <w:r>
        <w:rPr>
          <w:rFonts w:hint="eastAsia"/>
          <w:color w:val="auto"/>
          <w:highlight w:val="none"/>
        </w:rPr>
        <w:t>)</w:t>
      </w:r>
      <w:r>
        <w:rPr>
          <w:color w:val="auto"/>
          <w:highlight w:val="none"/>
        </w:rPr>
        <w:t>，建设项目地下水环境影响评价工作等级，依据建设项目行业分类和地下水环境敏感程度分级进行判定，可划分为一、二、三级。</w:t>
      </w:r>
    </w:p>
    <w:p>
      <w:pPr>
        <w:pStyle w:val="99"/>
        <w:ind w:firstLine="482"/>
        <w:rPr>
          <w:b/>
          <w:bCs/>
          <w:color w:val="auto"/>
          <w:highlight w:val="none"/>
        </w:rPr>
      </w:pPr>
      <w:bookmarkStart w:id="167" w:name="_Toc438043774"/>
      <w:bookmarkStart w:id="168" w:name="_Toc438043106"/>
      <w:bookmarkStart w:id="169" w:name="_Toc440465800"/>
      <w:r>
        <w:rPr>
          <w:b/>
          <w:bCs/>
          <w:color w:val="auto"/>
          <w:highlight w:val="none"/>
        </w:rPr>
        <w:t>1、评价项目类别</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工程分析，拟建项目为塑料制品制造项目。根据导则(HJ610-2016)附录A划分，本项目属行业大类“N轻工”类，行业小类属于“116、塑料制品制造的报告书”，按行业类别划分，确定本项目地下水环境影响评价项目类别属于</w:t>
      </w: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2 \* ROMAN \* MERGEFORMAT </w:instrText>
      </w:r>
      <w:r>
        <w:rPr>
          <w:rFonts w:hint="default" w:ascii="Times New Roman" w:hAnsi="Times New Roman" w:cs="Times New Roman"/>
          <w:color w:val="auto"/>
          <w:sz w:val="24"/>
          <w:highlight w:val="none"/>
        </w:rPr>
        <w:fldChar w:fldCharType="separate"/>
      </w:r>
      <w:r>
        <w:rPr>
          <w:rFonts w:hint="default" w:ascii="Times New Roman" w:hAnsi="Times New Roman" w:cs="Times New Roman"/>
          <w:color w:val="auto"/>
          <w:highlight w:val="none"/>
        </w:rPr>
        <w:t>II</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类</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如依据“155、废旧资源（含生物质）加工、再生利用行业”，本项目属于</w:t>
      </w:r>
      <w:r>
        <w:rPr>
          <w:rFonts w:hint="default" w:ascii="Times New Roman" w:hAnsi="Times New Roman" w:cs="Times New Roman"/>
          <w:color w:val="auto"/>
          <w:sz w:val="24"/>
          <w:highlight w:val="none"/>
          <w:lang w:val="en-US" w:eastAsia="zh-CN"/>
        </w:rPr>
        <w:fldChar w:fldCharType="begin"/>
      </w:r>
      <w:r>
        <w:rPr>
          <w:rFonts w:hint="default" w:ascii="Times New Roman" w:hAnsi="Times New Roman" w:cs="Times New Roman"/>
          <w:color w:val="auto"/>
          <w:sz w:val="24"/>
          <w:highlight w:val="none"/>
          <w:lang w:val="en-US" w:eastAsia="zh-CN"/>
        </w:rPr>
        <w:instrText xml:space="preserve"> = 3 \* ROMAN \* MERGEFORMAT </w:instrText>
      </w:r>
      <w:r>
        <w:rPr>
          <w:rFonts w:hint="default" w:ascii="Times New Roman" w:hAnsi="Times New Roman" w:cs="Times New Roman"/>
          <w:color w:val="auto"/>
          <w:sz w:val="24"/>
          <w:highlight w:val="none"/>
          <w:lang w:val="en-US" w:eastAsia="zh-CN"/>
        </w:rPr>
        <w:fldChar w:fldCharType="separate"/>
      </w:r>
      <w:r>
        <w:rPr>
          <w:rFonts w:hint="default" w:ascii="Times New Roman" w:hAnsi="Times New Roman" w:cs="Times New Roman"/>
          <w:color w:val="auto"/>
          <w:highlight w:val="none"/>
        </w:rPr>
        <w:t>III</w:t>
      </w:r>
      <w:r>
        <w:rPr>
          <w:rFonts w:hint="default" w:ascii="Times New Roman" w:hAnsi="Times New Roman" w:cs="Times New Roman"/>
          <w:color w:val="auto"/>
          <w:sz w:val="24"/>
          <w:highlight w:val="none"/>
          <w:lang w:val="en-US" w:eastAsia="zh-CN"/>
        </w:rPr>
        <w:fldChar w:fldCharType="end"/>
      </w:r>
      <w:r>
        <w:rPr>
          <w:rFonts w:hint="default" w:ascii="Times New Roman" w:hAnsi="Times New Roman" w:cs="Times New Roman"/>
          <w:color w:val="auto"/>
          <w:sz w:val="24"/>
          <w:highlight w:val="none"/>
          <w:lang w:val="en-US" w:eastAsia="zh-CN"/>
        </w:rPr>
        <w:t>类</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w:t>
      </w:r>
      <w:bookmarkEnd w:id="167"/>
      <w:bookmarkEnd w:id="168"/>
      <w:bookmarkEnd w:id="169"/>
    </w:p>
    <w:p>
      <w:pPr>
        <w:pStyle w:val="99"/>
        <w:ind w:firstLine="482"/>
        <w:rPr>
          <w:b/>
          <w:bCs/>
          <w:color w:val="auto"/>
          <w:highlight w:val="none"/>
        </w:rPr>
      </w:pPr>
      <w:r>
        <w:rPr>
          <w:b/>
          <w:bCs/>
          <w:color w:val="auto"/>
          <w:highlight w:val="none"/>
        </w:rPr>
        <w:t>2、地下水环境敏感程度</w:t>
      </w:r>
    </w:p>
    <w:p>
      <w:pPr>
        <w:spacing w:line="360" w:lineRule="auto"/>
        <w:ind w:firstLine="480" w:firstLineChars="200"/>
        <w:rPr>
          <w:color w:val="auto"/>
          <w:sz w:val="24"/>
          <w:highlight w:val="none"/>
        </w:rPr>
      </w:pPr>
      <w:r>
        <w:rPr>
          <w:color w:val="auto"/>
          <w:sz w:val="24"/>
          <w:highlight w:val="none"/>
        </w:rPr>
        <w:t>建设项目的地下水环境敏感程度可分为敏感、较敏感、不敏感三级，分级原则见表4.3-1。</w:t>
      </w:r>
    </w:p>
    <w:p>
      <w:pPr>
        <w:spacing w:line="360" w:lineRule="auto"/>
        <w:jc w:val="center"/>
        <w:rPr>
          <w:rFonts w:eastAsia="黑体"/>
          <w:color w:val="auto"/>
          <w:sz w:val="24"/>
          <w:highlight w:val="none"/>
        </w:rPr>
      </w:pPr>
      <w:r>
        <w:rPr>
          <w:rFonts w:eastAsia="黑体"/>
          <w:color w:val="auto"/>
          <w:sz w:val="24"/>
          <w:highlight w:val="none"/>
        </w:rPr>
        <w:t>表4.3-1  地下水环境敏感程度分级表</w:t>
      </w:r>
    </w:p>
    <w:tbl>
      <w:tblPr>
        <w:tblStyle w:val="59"/>
        <w:tblW w:w="898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78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5" w:type="dxa"/>
            <w:tcBorders>
              <w:top w:val="single" w:color="auto" w:sz="12" w:space="0"/>
              <w:left w:val="nil"/>
              <w:bottom w:val="single" w:color="auto" w:sz="4" w:space="0"/>
              <w:right w:val="single" w:color="auto" w:sz="4" w:space="0"/>
            </w:tcBorders>
            <w:vAlign w:val="center"/>
          </w:tcPr>
          <w:p>
            <w:pPr>
              <w:jc w:val="center"/>
              <w:rPr>
                <w:color w:val="auto"/>
                <w:szCs w:val="21"/>
                <w:highlight w:val="none"/>
              </w:rPr>
            </w:pPr>
            <w:r>
              <w:rPr>
                <w:color w:val="auto"/>
                <w:szCs w:val="21"/>
                <w:highlight w:val="none"/>
              </w:rPr>
              <w:t>分级</w:t>
            </w:r>
          </w:p>
        </w:tc>
        <w:tc>
          <w:tcPr>
            <w:tcW w:w="7881" w:type="dxa"/>
            <w:tcBorders>
              <w:top w:val="single" w:color="auto" w:sz="12" w:space="0"/>
              <w:left w:val="single" w:color="auto" w:sz="4" w:space="0"/>
              <w:bottom w:val="single" w:color="auto" w:sz="4" w:space="0"/>
              <w:right w:val="nil"/>
            </w:tcBorders>
            <w:vAlign w:val="center"/>
          </w:tcPr>
          <w:p>
            <w:pPr>
              <w:jc w:val="center"/>
              <w:rPr>
                <w:color w:val="auto"/>
                <w:szCs w:val="21"/>
                <w:highlight w:val="none"/>
              </w:rPr>
            </w:pPr>
            <w:r>
              <w:rPr>
                <w:color w:val="auto"/>
                <w:szCs w:val="21"/>
                <w:highlight w:val="none"/>
              </w:rPr>
              <w:t>项目场地的地下水环境敏感特征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5" w:type="dxa"/>
            <w:tcBorders>
              <w:top w:val="single" w:color="auto" w:sz="4" w:space="0"/>
              <w:left w:val="nil"/>
              <w:bottom w:val="single" w:color="auto" w:sz="4" w:space="0"/>
              <w:right w:val="single" w:color="auto" w:sz="4" w:space="0"/>
            </w:tcBorders>
            <w:vAlign w:val="center"/>
          </w:tcPr>
          <w:p>
            <w:pPr>
              <w:jc w:val="center"/>
              <w:rPr>
                <w:color w:val="auto"/>
                <w:szCs w:val="21"/>
                <w:highlight w:val="none"/>
              </w:rPr>
            </w:pPr>
            <w:r>
              <w:rPr>
                <w:color w:val="auto"/>
                <w:szCs w:val="21"/>
                <w:highlight w:val="none"/>
              </w:rPr>
              <w:t>敏感</w:t>
            </w:r>
          </w:p>
        </w:tc>
        <w:tc>
          <w:tcPr>
            <w:tcW w:w="7881" w:type="dxa"/>
            <w:tcBorders>
              <w:top w:val="single" w:color="auto" w:sz="4" w:space="0"/>
              <w:left w:val="single" w:color="auto" w:sz="4" w:space="0"/>
              <w:bottom w:val="single" w:color="auto" w:sz="4" w:space="0"/>
              <w:right w:val="nil"/>
            </w:tcBorders>
            <w:vAlign w:val="center"/>
          </w:tcPr>
          <w:p>
            <w:pPr>
              <w:spacing w:line="260" w:lineRule="exact"/>
              <w:jc w:val="left"/>
              <w:rPr>
                <w:color w:val="auto"/>
                <w:szCs w:val="21"/>
                <w:highlight w:val="none"/>
              </w:rPr>
            </w:pPr>
            <w:r>
              <w:rPr>
                <w:color w:val="auto"/>
                <w:szCs w:val="21"/>
                <w:highlight w:val="none"/>
              </w:rPr>
              <w:t>集中式饮用水水源（包括已建成的在用、备用、应急水源，在建和规划的水源）准保护区；除集中式饮用水水源以外的国家或地方政府设定的与地下水环境相关的其他保护区，如热水、矿泉水、温泉等特殊地下水资源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5" w:type="dxa"/>
            <w:tcBorders>
              <w:top w:val="single" w:color="auto" w:sz="4" w:space="0"/>
              <w:left w:val="nil"/>
              <w:bottom w:val="single" w:color="auto" w:sz="4" w:space="0"/>
              <w:right w:val="single" w:color="auto" w:sz="4" w:space="0"/>
            </w:tcBorders>
            <w:vAlign w:val="center"/>
          </w:tcPr>
          <w:p>
            <w:pPr>
              <w:jc w:val="center"/>
              <w:rPr>
                <w:color w:val="auto"/>
                <w:szCs w:val="21"/>
                <w:highlight w:val="none"/>
              </w:rPr>
            </w:pPr>
            <w:r>
              <w:rPr>
                <w:color w:val="auto"/>
                <w:szCs w:val="21"/>
                <w:highlight w:val="none"/>
              </w:rPr>
              <w:t>较敏感</w:t>
            </w:r>
          </w:p>
        </w:tc>
        <w:tc>
          <w:tcPr>
            <w:tcW w:w="7881" w:type="dxa"/>
            <w:tcBorders>
              <w:top w:val="single" w:color="auto" w:sz="4" w:space="0"/>
              <w:left w:val="single" w:color="auto" w:sz="4" w:space="0"/>
              <w:bottom w:val="single" w:color="auto" w:sz="4" w:space="0"/>
              <w:right w:val="nil"/>
            </w:tcBorders>
            <w:vAlign w:val="center"/>
          </w:tcPr>
          <w:p>
            <w:pPr>
              <w:spacing w:line="260" w:lineRule="exact"/>
              <w:rPr>
                <w:color w:val="auto"/>
                <w:szCs w:val="21"/>
                <w:highlight w:val="none"/>
              </w:rPr>
            </w:pPr>
            <w:r>
              <w:rPr>
                <w:color w:val="auto"/>
                <w:szCs w:val="21"/>
                <w:highlight w:val="none"/>
              </w:rPr>
              <w:t>集中式饮用水水源（包括已建成的在用、备用、应急水源，在建和规划的水源）准保护区以外的补给径流区；为划定准保护区的集中式饮用水水源，其保护区以外的补给径流区；分散式饮用水水源地；特殊地下水资源（如矿泉水、温泉等）保护区以外的分布区等其它未列入上述敏感分级的环境敏感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5" w:type="dxa"/>
            <w:tcBorders>
              <w:top w:val="single" w:color="auto" w:sz="4" w:space="0"/>
              <w:left w:val="nil"/>
              <w:bottom w:val="single" w:color="auto" w:sz="4" w:space="0"/>
              <w:right w:val="single" w:color="auto" w:sz="4" w:space="0"/>
            </w:tcBorders>
            <w:vAlign w:val="center"/>
          </w:tcPr>
          <w:p>
            <w:pPr>
              <w:jc w:val="center"/>
              <w:rPr>
                <w:color w:val="auto"/>
                <w:szCs w:val="21"/>
                <w:highlight w:val="none"/>
              </w:rPr>
            </w:pPr>
            <w:r>
              <w:rPr>
                <w:color w:val="auto"/>
                <w:szCs w:val="21"/>
                <w:highlight w:val="none"/>
              </w:rPr>
              <w:t>不敏感</w:t>
            </w:r>
          </w:p>
        </w:tc>
        <w:tc>
          <w:tcPr>
            <w:tcW w:w="7881" w:type="dxa"/>
            <w:tcBorders>
              <w:top w:val="single" w:color="auto" w:sz="4" w:space="0"/>
              <w:left w:val="single" w:color="auto" w:sz="4" w:space="0"/>
              <w:bottom w:val="single" w:color="auto" w:sz="4" w:space="0"/>
              <w:right w:val="nil"/>
            </w:tcBorders>
            <w:vAlign w:val="center"/>
          </w:tcPr>
          <w:p>
            <w:pPr>
              <w:spacing w:line="260" w:lineRule="exact"/>
              <w:jc w:val="center"/>
              <w:rPr>
                <w:color w:val="auto"/>
                <w:szCs w:val="21"/>
                <w:highlight w:val="none"/>
              </w:rPr>
            </w:pPr>
            <w:r>
              <w:rPr>
                <w:color w:val="auto"/>
                <w:szCs w:val="21"/>
                <w:highlight w:val="none"/>
              </w:rPr>
              <w:t>上述地区之外的其它地区。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86" w:type="dxa"/>
            <w:gridSpan w:val="2"/>
            <w:tcBorders>
              <w:top w:val="single" w:color="auto" w:sz="4" w:space="0"/>
              <w:left w:val="nil"/>
              <w:bottom w:val="single" w:color="auto" w:sz="12" w:space="0"/>
              <w:right w:val="nil"/>
            </w:tcBorders>
            <w:vAlign w:val="center"/>
          </w:tcPr>
          <w:p>
            <w:pPr>
              <w:spacing w:line="260" w:lineRule="exact"/>
              <w:jc w:val="center"/>
              <w:rPr>
                <w:color w:val="auto"/>
                <w:szCs w:val="21"/>
                <w:highlight w:val="none"/>
              </w:rPr>
            </w:pPr>
            <w:r>
              <w:rPr>
                <w:color w:val="auto"/>
                <w:szCs w:val="21"/>
                <w:highlight w:val="none"/>
              </w:rPr>
              <w:t>注：“环境敏感区”是指《建设项目环境影响评价分类管理名录》中所界定的涉及地下水的环境敏感区。</w:t>
            </w:r>
          </w:p>
        </w:tc>
      </w:tr>
    </w:tbl>
    <w:p>
      <w:pPr>
        <w:pStyle w:val="99"/>
        <w:ind w:firstLine="480"/>
        <w:rPr>
          <w:color w:val="auto"/>
          <w:highlight w:val="none"/>
        </w:rPr>
      </w:pPr>
      <w:r>
        <w:rPr>
          <w:color w:val="auto"/>
          <w:highlight w:val="none"/>
        </w:rPr>
        <w:t>根据调查及收集项目区周边水文地质资料分析，拟建项目所在地不在划定的集中式饮用水水源保护区及准保护区等环境敏感区，也不在集中式饮用水水源准保护区以外的补给径流区或</w:t>
      </w:r>
      <w:r>
        <w:rPr>
          <w:color w:val="auto"/>
          <w:szCs w:val="21"/>
          <w:highlight w:val="none"/>
        </w:rPr>
        <w:t>分散式饮用水水源地等较敏感区</w:t>
      </w:r>
      <w:r>
        <w:rPr>
          <w:color w:val="auto"/>
          <w:highlight w:val="none"/>
        </w:rPr>
        <w:t>；</w:t>
      </w:r>
      <w:r>
        <w:rPr>
          <w:rFonts w:hint="eastAsia"/>
          <w:color w:val="auto"/>
          <w:highlight w:val="none"/>
        </w:rPr>
        <w:t>本项目周边村庄饮水均为自来水管网供应，附近无</w:t>
      </w:r>
      <w:r>
        <w:rPr>
          <w:color w:val="auto"/>
          <w:szCs w:val="21"/>
          <w:highlight w:val="none"/>
        </w:rPr>
        <w:t>分散式饮用水水源地</w:t>
      </w:r>
      <w:r>
        <w:rPr>
          <w:rFonts w:hint="eastAsia"/>
          <w:color w:val="auto"/>
          <w:szCs w:val="21"/>
          <w:highlight w:val="none"/>
        </w:rPr>
        <w:t>。</w:t>
      </w:r>
      <w:r>
        <w:rPr>
          <w:color w:val="auto"/>
          <w:highlight w:val="none"/>
        </w:rPr>
        <w:t>因此，建设项目的地下水环境敏感程度为不敏感。</w:t>
      </w:r>
    </w:p>
    <w:p>
      <w:pPr>
        <w:pStyle w:val="99"/>
        <w:ind w:firstLine="482"/>
        <w:rPr>
          <w:b/>
          <w:bCs/>
          <w:color w:val="auto"/>
          <w:highlight w:val="none"/>
        </w:rPr>
      </w:pPr>
      <w:r>
        <w:rPr>
          <w:b/>
          <w:bCs/>
          <w:color w:val="auto"/>
          <w:highlight w:val="none"/>
        </w:rPr>
        <w:t>3、评级等级确定</w:t>
      </w:r>
    </w:p>
    <w:p>
      <w:pPr>
        <w:spacing w:line="360" w:lineRule="auto"/>
        <w:ind w:firstLine="464" w:firstLineChars="200"/>
        <w:rPr>
          <w:color w:val="auto"/>
          <w:spacing w:val="-4"/>
          <w:sz w:val="24"/>
          <w:highlight w:val="none"/>
        </w:rPr>
      </w:pPr>
      <w:r>
        <w:rPr>
          <w:color w:val="auto"/>
          <w:spacing w:val="-4"/>
          <w:sz w:val="24"/>
          <w:highlight w:val="none"/>
        </w:rPr>
        <w:t>拟建项目评价等级判定见表4.3-2。</w:t>
      </w:r>
    </w:p>
    <w:p>
      <w:pPr>
        <w:pStyle w:val="103"/>
        <w:rPr>
          <w:rFonts w:ascii="Times New Roman" w:hAnsi="Times New Roman"/>
          <w:color w:val="auto"/>
          <w:highlight w:val="none"/>
        </w:rPr>
      </w:pPr>
      <w:r>
        <w:rPr>
          <w:rFonts w:ascii="Times New Roman" w:hAnsi="Times New Roman"/>
          <w:color w:val="auto"/>
          <w:highlight w:val="none"/>
        </w:rPr>
        <w:t>表4.3-2  评价工作等级划分表</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9"/>
        <w:gridCol w:w="2211"/>
        <w:gridCol w:w="2211"/>
        <w:gridCol w:w="2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9" w:type="dxa"/>
            <w:tcBorders>
              <w:top w:val="single" w:color="auto" w:sz="12" w:space="0"/>
              <w:left w:val="nil"/>
              <w:bottom w:val="single" w:color="auto" w:sz="4" w:space="0"/>
              <w:right w:val="single" w:color="auto" w:sz="4" w:space="0"/>
            </w:tcBorders>
          </w:tcPr>
          <w:p>
            <w:pPr>
              <w:ind w:firstLine="945" w:firstLineChars="450"/>
              <w:rPr>
                <w:color w:val="auto"/>
                <w:szCs w:val="21"/>
                <w:highlight w:val="none"/>
              </w:rPr>
            </w:pPr>
            <w:r>
              <w:rPr>
                <w:color w:val="auto"/>
                <w:szCs w:val="21"/>
                <w:highlight w:val="none"/>
              </w:rPr>
              <w:t>项目类别</w:t>
            </w:r>
          </w:p>
          <w:p>
            <w:pPr>
              <w:rPr>
                <w:color w:val="auto"/>
                <w:szCs w:val="21"/>
                <w:highlight w:val="none"/>
              </w:rPr>
            </w:pPr>
            <w:r>
              <w:rPr>
                <w:color w:val="auto"/>
                <w:szCs w:val="21"/>
                <w:highlight w:val="none"/>
              </w:rPr>
              <w:t>敏感程度</w:t>
            </w:r>
          </w:p>
        </w:tc>
        <w:tc>
          <w:tcPr>
            <w:tcW w:w="2211" w:type="dxa"/>
            <w:tcBorders>
              <w:top w:val="single" w:color="auto" w:sz="12" w:space="0"/>
              <w:left w:val="single" w:color="auto" w:sz="4" w:space="0"/>
              <w:bottom w:val="single" w:color="auto" w:sz="4" w:space="0"/>
              <w:right w:val="single" w:color="auto" w:sz="4" w:space="0"/>
            </w:tcBorders>
            <w:vAlign w:val="center"/>
          </w:tcPr>
          <w:p>
            <w:pPr>
              <w:jc w:val="center"/>
              <w:rPr>
                <w:color w:val="auto"/>
                <w:szCs w:val="21"/>
                <w:highlight w:val="none"/>
              </w:rPr>
            </w:pPr>
            <w:r>
              <w:rPr>
                <w:color w:val="auto"/>
                <w:szCs w:val="21"/>
                <w:highlight w:val="none"/>
              </w:rPr>
              <w:t>Ⅰ类项目</w:t>
            </w:r>
          </w:p>
        </w:tc>
        <w:tc>
          <w:tcPr>
            <w:tcW w:w="2211" w:type="dxa"/>
            <w:tcBorders>
              <w:top w:val="single" w:color="auto" w:sz="12" w:space="0"/>
              <w:left w:val="single" w:color="auto" w:sz="4" w:space="0"/>
              <w:bottom w:val="single" w:color="auto" w:sz="4" w:space="0"/>
              <w:right w:val="single" w:color="auto" w:sz="4" w:space="0"/>
            </w:tcBorders>
            <w:vAlign w:val="center"/>
          </w:tcPr>
          <w:p>
            <w:pPr>
              <w:jc w:val="center"/>
              <w:rPr>
                <w:color w:val="auto"/>
                <w:szCs w:val="21"/>
                <w:highlight w:val="none"/>
              </w:rPr>
            </w:pPr>
            <w:r>
              <w:rPr>
                <w:color w:val="auto"/>
                <w:szCs w:val="21"/>
                <w:highlight w:val="none"/>
              </w:rPr>
              <w:t>Ⅱ类项目</w:t>
            </w:r>
          </w:p>
        </w:tc>
        <w:tc>
          <w:tcPr>
            <w:tcW w:w="2211" w:type="dxa"/>
            <w:tcBorders>
              <w:top w:val="single" w:color="auto" w:sz="12" w:space="0"/>
              <w:left w:val="single" w:color="auto" w:sz="4" w:space="0"/>
              <w:bottom w:val="single" w:color="auto" w:sz="4" w:space="0"/>
              <w:right w:val="nil"/>
            </w:tcBorders>
            <w:vAlign w:val="center"/>
          </w:tcPr>
          <w:p>
            <w:pPr>
              <w:jc w:val="center"/>
              <w:rPr>
                <w:color w:val="auto"/>
                <w:szCs w:val="21"/>
                <w:highlight w:val="none"/>
              </w:rPr>
            </w:pPr>
            <w:r>
              <w:rPr>
                <w:color w:val="auto"/>
                <w:szCs w:val="21"/>
                <w:highlight w:val="none"/>
              </w:rPr>
              <w:t>Ⅲ类项目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9" w:type="dxa"/>
            <w:tcBorders>
              <w:top w:val="single" w:color="auto" w:sz="4" w:space="0"/>
              <w:left w:val="nil"/>
              <w:bottom w:val="single" w:color="auto" w:sz="4" w:space="0"/>
              <w:right w:val="single" w:color="auto" w:sz="4" w:space="0"/>
            </w:tcBorders>
            <w:vAlign w:val="center"/>
          </w:tcPr>
          <w:p>
            <w:pPr>
              <w:jc w:val="center"/>
              <w:rPr>
                <w:color w:val="auto"/>
                <w:szCs w:val="21"/>
                <w:highlight w:val="none"/>
              </w:rPr>
            </w:pPr>
            <w:r>
              <w:rPr>
                <w:color w:val="auto"/>
                <w:szCs w:val="21"/>
                <w:highlight w:val="none"/>
              </w:rPr>
              <w:t>敏感</w:t>
            </w:r>
          </w:p>
        </w:tc>
        <w:tc>
          <w:tcPr>
            <w:tcW w:w="2211"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highlight w:val="none"/>
              </w:rPr>
            </w:pPr>
            <w:r>
              <w:rPr>
                <w:color w:val="auto"/>
                <w:szCs w:val="21"/>
                <w:highlight w:val="none"/>
              </w:rPr>
              <w:t>一</w:t>
            </w:r>
          </w:p>
        </w:tc>
        <w:tc>
          <w:tcPr>
            <w:tcW w:w="2211"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highlight w:val="none"/>
              </w:rPr>
            </w:pPr>
            <w:r>
              <w:rPr>
                <w:color w:val="auto"/>
                <w:szCs w:val="21"/>
                <w:highlight w:val="none"/>
              </w:rPr>
              <w:t>一</w:t>
            </w:r>
          </w:p>
        </w:tc>
        <w:tc>
          <w:tcPr>
            <w:tcW w:w="2211" w:type="dxa"/>
            <w:tcBorders>
              <w:top w:val="single" w:color="auto" w:sz="4" w:space="0"/>
              <w:left w:val="single" w:color="auto" w:sz="4" w:space="0"/>
              <w:bottom w:val="single" w:color="auto" w:sz="4" w:space="0"/>
              <w:right w:val="nil"/>
            </w:tcBorders>
            <w:vAlign w:val="center"/>
          </w:tcPr>
          <w:p>
            <w:pPr>
              <w:jc w:val="center"/>
              <w:rPr>
                <w:color w:val="auto"/>
                <w:szCs w:val="21"/>
                <w:highlight w:val="none"/>
              </w:rPr>
            </w:pPr>
            <w:r>
              <w:rPr>
                <w:color w:val="auto"/>
                <w:szCs w:val="21"/>
                <w:highlight w:val="none"/>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9" w:type="dxa"/>
            <w:tcBorders>
              <w:top w:val="single" w:color="auto" w:sz="4" w:space="0"/>
              <w:left w:val="nil"/>
              <w:bottom w:val="single" w:color="auto" w:sz="4" w:space="0"/>
              <w:right w:val="single" w:color="auto" w:sz="4" w:space="0"/>
            </w:tcBorders>
            <w:shd w:val="clear" w:color="auto" w:fill="auto"/>
            <w:vAlign w:val="center"/>
          </w:tcPr>
          <w:p>
            <w:pPr>
              <w:jc w:val="center"/>
              <w:rPr>
                <w:color w:val="auto"/>
                <w:szCs w:val="21"/>
                <w:highlight w:val="none"/>
              </w:rPr>
            </w:pPr>
            <w:r>
              <w:rPr>
                <w:color w:val="auto"/>
                <w:szCs w:val="21"/>
                <w:highlight w:val="none"/>
              </w:rPr>
              <w:t>较敏感</w:t>
            </w:r>
          </w:p>
        </w:tc>
        <w:tc>
          <w:tcPr>
            <w:tcW w:w="2211"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color w:val="auto"/>
                <w:szCs w:val="21"/>
                <w:highlight w:val="none"/>
              </w:rPr>
            </w:pPr>
            <w:r>
              <w:rPr>
                <w:color w:val="auto"/>
                <w:szCs w:val="21"/>
                <w:highlight w:val="none"/>
              </w:rPr>
              <w:t>一</w:t>
            </w:r>
          </w:p>
        </w:tc>
        <w:tc>
          <w:tcPr>
            <w:tcW w:w="2211" w:type="dxa"/>
            <w:tcBorders>
              <w:top w:val="single" w:color="auto" w:sz="4" w:space="0"/>
              <w:left w:val="single" w:color="auto" w:sz="4" w:space="0"/>
              <w:bottom w:val="single" w:color="auto" w:sz="4" w:space="0"/>
              <w:right w:val="single" w:color="auto" w:sz="4" w:space="0"/>
            </w:tcBorders>
            <w:vAlign w:val="center"/>
          </w:tcPr>
          <w:p>
            <w:pPr>
              <w:jc w:val="center"/>
              <w:rPr>
                <w:b/>
                <w:color w:val="auto"/>
                <w:szCs w:val="21"/>
                <w:highlight w:val="none"/>
              </w:rPr>
            </w:pPr>
            <w:r>
              <w:rPr>
                <w:b/>
                <w:color w:val="auto"/>
                <w:szCs w:val="21"/>
                <w:highlight w:val="none"/>
              </w:rPr>
              <w:t>二</w:t>
            </w:r>
          </w:p>
        </w:tc>
        <w:tc>
          <w:tcPr>
            <w:tcW w:w="2211" w:type="dxa"/>
            <w:tcBorders>
              <w:top w:val="single" w:color="auto" w:sz="4" w:space="0"/>
              <w:left w:val="single" w:color="auto" w:sz="4" w:space="0"/>
              <w:bottom w:val="single" w:color="auto" w:sz="4" w:space="0"/>
              <w:right w:val="nil"/>
            </w:tcBorders>
            <w:vAlign w:val="center"/>
          </w:tcPr>
          <w:p>
            <w:pPr>
              <w:jc w:val="center"/>
              <w:rPr>
                <w:color w:val="auto"/>
                <w:szCs w:val="21"/>
                <w:highlight w:val="none"/>
              </w:rPr>
            </w:pPr>
            <w:r>
              <w:rPr>
                <w:color w:val="auto"/>
                <w:szCs w:val="21"/>
                <w:highlight w:val="none"/>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9" w:type="dxa"/>
            <w:tcBorders>
              <w:top w:val="single" w:color="auto" w:sz="4" w:space="0"/>
              <w:left w:val="nil"/>
              <w:bottom w:val="single" w:color="auto" w:sz="12" w:space="0"/>
              <w:right w:val="single" w:color="auto" w:sz="4" w:space="0"/>
            </w:tcBorders>
            <w:vAlign w:val="center"/>
          </w:tcPr>
          <w:p>
            <w:pPr>
              <w:jc w:val="center"/>
              <w:rPr>
                <w:color w:val="auto"/>
                <w:szCs w:val="21"/>
                <w:highlight w:val="none"/>
              </w:rPr>
            </w:pPr>
            <w:r>
              <w:rPr>
                <w:color w:val="auto"/>
                <w:szCs w:val="21"/>
                <w:highlight w:val="none"/>
              </w:rPr>
              <w:t>不敏感</w:t>
            </w:r>
          </w:p>
        </w:tc>
        <w:tc>
          <w:tcPr>
            <w:tcW w:w="2211" w:type="dxa"/>
            <w:tcBorders>
              <w:top w:val="single" w:color="auto" w:sz="4" w:space="0"/>
              <w:left w:val="single" w:color="auto" w:sz="4" w:space="0"/>
              <w:bottom w:val="single" w:color="auto" w:sz="12" w:space="0"/>
              <w:right w:val="single" w:color="auto" w:sz="4" w:space="0"/>
            </w:tcBorders>
            <w:shd w:val="clear" w:color="auto" w:fill="auto"/>
            <w:vAlign w:val="center"/>
          </w:tcPr>
          <w:p>
            <w:pPr>
              <w:jc w:val="center"/>
              <w:rPr>
                <w:b/>
                <w:color w:val="auto"/>
                <w:szCs w:val="21"/>
                <w:highlight w:val="none"/>
              </w:rPr>
            </w:pPr>
            <w:r>
              <w:rPr>
                <w:b/>
                <w:color w:val="auto"/>
                <w:szCs w:val="21"/>
                <w:highlight w:val="none"/>
              </w:rPr>
              <w:t>二</w:t>
            </w:r>
          </w:p>
        </w:tc>
        <w:tc>
          <w:tcPr>
            <w:tcW w:w="2211" w:type="dxa"/>
            <w:tcBorders>
              <w:top w:val="single" w:color="auto" w:sz="4" w:space="0"/>
              <w:left w:val="single" w:color="auto" w:sz="4" w:space="0"/>
              <w:bottom w:val="single" w:color="auto" w:sz="12" w:space="0"/>
              <w:right w:val="single" w:color="auto" w:sz="4" w:space="0"/>
            </w:tcBorders>
            <w:shd w:val="clear" w:color="auto" w:fill="F1F1F1" w:themeFill="background1" w:themeFillShade="F2"/>
            <w:vAlign w:val="center"/>
          </w:tcPr>
          <w:p>
            <w:pPr>
              <w:jc w:val="center"/>
              <w:rPr>
                <w:color w:val="auto"/>
                <w:szCs w:val="21"/>
                <w:highlight w:val="none"/>
              </w:rPr>
            </w:pPr>
            <w:r>
              <w:rPr>
                <w:b/>
                <w:bCs/>
                <w:color w:val="auto"/>
                <w:szCs w:val="21"/>
                <w:highlight w:val="none"/>
              </w:rPr>
              <w:t>三</w:t>
            </w:r>
          </w:p>
        </w:tc>
        <w:tc>
          <w:tcPr>
            <w:tcW w:w="2211" w:type="dxa"/>
            <w:tcBorders>
              <w:top w:val="single" w:color="auto" w:sz="4" w:space="0"/>
              <w:left w:val="single" w:color="auto" w:sz="4" w:space="0"/>
              <w:bottom w:val="single" w:color="auto" w:sz="12" w:space="0"/>
              <w:right w:val="nil"/>
            </w:tcBorders>
            <w:vAlign w:val="center"/>
          </w:tcPr>
          <w:p>
            <w:pPr>
              <w:jc w:val="center"/>
              <w:rPr>
                <w:color w:val="auto"/>
                <w:szCs w:val="21"/>
                <w:highlight w:val="none"/>
              </w:rPr>
            </w:pPr>
            <w:r>
              <w:rPr>
                <w:color w:val="auto"/>
                <w:szCs w:val="21"/>
                <w:highlight w:val="none"/>
              </w:rPr>
              <w:t>三</w:t>
            </w:r>
          </w:p>
        </w:tc>
      </w:tr>
    </w:tbl>
    <w:p>
      <w:pPr>
        <w:pStyle w:val="112"/>
        <w:rPr>
          <w:color w:val="auto"/>
          <w:highlight w:val="none"/>
        </w:rPr>
      </w:pPr>
      <w:r>
        <w:rPr>
          <w:color w:val="auto"/>
          <w:highlight w:val="none"/>
        </w:rPr>
        <w:t>4.3.1.</w:t>
      </w:r>
      <w:r>
        <w:rPr>
          <w:rFonts w:hint="eastAsia"/>
          <w:color w:val="auto"/>
          <w:highlight w:val="none"/>
        </w:rPr>
        <w:t>2</w:t>
      </w:r>
      <w:r>
        <w:rPr>
          <w:color w:val="auto"/>
          <w:highlight w:val="none"/>
        </w:rPr>
        <w:t>评价</w:t>
      </w:r>
      <w:r>
        <w:rPr>
          <w:rFonts w:hint="eastAsia"/>
          <w:color w:val="auto"/>
          <w:highlight w:val="none"/>
        </w:rPr>
        <w:t>范围</w:t>
      </w:r>
    </w:p>
    <w:p>
      <w:pPr>
        <w:pStyle w:val="99"/>
        <w:ind w:firstLine="464"/>
        <w:rPr>
          <w:color w:val="auto"/>
          <w:spacing w:val="-4"/>
          <w:highlight w:val="none"/>
        </w:rPr>
      </w:pPr>
      <w:r>
        <w:rPr>
          <w:rFonts w:hint="eastAsia"/>
          <w:color w:val="auto"/>
          <w:spacing w:val="-4"/>
          <w:highlight w:val="none"/>
        </w:rPr>
        <w:t>根据上述判定确定本项目地下水评价工作等级为三级，评价范围为6km</w:t>
      </w:r>
      <w:r>
        <w:rPr>
          <w:rFonts w:hint="eastAsia"/>
          <w:color w:val="auto"/>
          <w:spacing w:val="-4"/>
          <w:highlight w:val="none"/>
          <w:vertAlign w:val="superscript"/>
        </w:rPr>
        <w:t>2</w:t>
      </w:r>
      <w:r>
        <w:rPr>
          <w:rFonts w:hint="eastAsia"/>
          <w:color w:val="auto"/>
          <w:spacing w:val="-4"/>
          <w:highlight w:val="none"/>
        </w:rPr>
        <w:t>。</w:t>
      </w:r>
    </w:p>
    <w:p>
      <w:pPr>
        <w:keepNext/>
        <w:keepLines/>
        <w:spacing w:before="93" w:beforeLines="30" w:line="360" w:lineRule="auto"/>
        <w:jc w:val="left"/>
        <w:outlineLvl w:val="2"/>
        <w:rPr>
          <w:rFonts w:eastAsia="黑体"/>
          <w:color w:val="auto"/>
          <w:sz w:val="24"/>
          <w:highlight w:val="none"/>
        </w:rPr>
      </w:pPr>
      <w:bookmarkStart w:id="170" w:name="_Toc24429"/>
      <w:bookmarkStart w:id="171" w:name="_Toc24936"/>
      <w:bookmarkStart w:id="172" w:name="_Toc497165229"/>
      <w:bookmarkStart w:id="173" w:name="_Toc536199181"/>
      <w:bookmarkStart w:id="174" w:name="_Toc535853306"/>
      <w:r>
        <w:rPr>
          <w:rFonts w:eastAsia="黑体"/>
          <w:color w:val="auto"/>
          <w:sz w:val="24"/>
          <w:highlight w:val="none"/>
        </w:rPr>
        <w:t>4.3.2 地下水环境影响评价</w:t>
      </w:r>
      <w:bookmarkEnd w:id="170"/>
      <w:bookmarkEnd w:id="171"/>
      <w:bookmarkEnd w:id="172"/>
      <w:bookmarkEnd w:id="173"/>
      <w:bookmarkEnd w:id="174"/>
    </w:p>
    <w:p>
      <w:pPr>
        <w:pStyle w:val="112"/>
        <w:rPr>
          <w:color w:val="auto"/>
          <w:highlight w:val="none"/>
        </w:rPr>
      </w:pPr>
      <w:r>
        <w:rPr>
          <w:color w:val="auto"/>
          <w:highlight w:val="none"/>
        </w:rPr>
        <w:t>4.3.2.1 地下水的污染途径</w:t>
      </w:r>
    </w:p>
    <w:p>
      <w:pPr>
        <w:spacing w:line="360" w:lineRule="auto"/>
        <w:ind w:firstLine="480" w:firstLineChars="200"/>
        <w:rPr>
          <w:color w:val="auto"/>
          <w:sz w:val="24"/>
          <w:highlight w:val="none"/>
        </w:rPr>
      </w:pPr>
      <w:r>
        <w:rPr>
          <w:color w:val="auto"/>
          <w:sz w:val="24"/>
          <w:highlight w:val="none"/>
        </w:rPr>
        <w:t>通过现场实地调查，并结合工艺各环节分析，本项目可能对地下水产生影响的因素包括：</w:t>
      </w:r>
    </w:p>
    <w:p>
      <w:pPr>
        <w:spacing w:line="360" w:lineRule="auto"/>
        <w:ind w:firstLine="480" w:firstLineChars="200"/>
        <w:rPr>
          <w:color w:val="auto"/>
          <w:sz w:val="24"/>
          <w:highlight w:val="none"/>
        </w:rPr>
      </w:pPr>
      <w:r>
        <w:rPr>
          <w:color w:val="auto"/>
          <w:sz w:val="24"/>
          <w:highlight w:val="none"/>
        </w:rPr>
        <w:t>①生活污水通过管沟跑冒滴漏下渗对周围地下水造成污染；</w:t>
      </w:r>
    </w:p>
    <w:p>
      <w:pPr>
        <w:spacing w:line="360" w:lineRule="auto"/>
        <w:ind w:firstLine="480" w:firstLineChars="200"/>
        <w:rPr>
          <w:color w:val="auto"/>
          <w:highlight w:val="none"/>
        </w:rPr>
      </w:pPr>
      <w:r>
        <w:rPr>
          <w:color w:val="auto"/>
          <w:sz w:val="24"/>
          <w:highlight w:val="none"/>
        </w:rPr>
        <w:t>②生产过程中会产生一定量的危险废物，危险废物在暂存期间如果处理不当会因渗滤液外流而对地下水环境产生影响；</w:t>
      </w:r>
    </w:p>
    <w:p>
      <w:pPr>
        <w:spacing w:line="360" w:lineRule="auto"/>
        <w:ind w:firstLine="480" w:firstLineChars="200"/>
        <w:rPr>
          <w:color w:val="auto"/>
          <w:sz w:val="24"/>
          <w:highlight w:val="none"/>
        </w:rPr>
      </w:pPr>
      <w:r>
        <w:rPr>
          <w:color w:val="auto"/>
          <w:sz w:val="24"/>
          <w:highlight w:val="none"/>
        </w:rPr>
        <w:t>③事故状态下事故废水泄露，导致污染物下渗对地下水造成污染；</w:t>
      </w:r>
    </w:p>
    <w:p>
      <w:pPr>
        <w:spacing w:line="360" w:lineRule="auto"/>
        <w:ind w:firstLine="480" w:firstLineChars="200"/>
        <w:rPr>
          <w:color w:val="auto"/>
          <w:sz w:val="24"/>
          <w:highlight w:val="none"/>
        </w:rPr>
      </w:pPr>
      <w:r>
        <w:rPr>
          <w:color w:val="auto"/>
          <w:sz w:val="24"/>
          <w:highlight w:val="none"/>
        </w:rPr>
        <w:t>通过以上分析，本项目可能造成地下水污染的途径主要包括通过管线泄漏下渗、通过池体池壁下渗、通过储存区地坪下渗、通过车间地坪下渗等4个类型。</w:t>
      </w:r>
    </w:p>
    <w:p>
      <w:pPr>
        <w:pStyle w:val="112"/>
        <w:rPr>
          <w:color w:val="auto"/>
          <w:highlight w:val="none"/>
        </w:rPr>
      </w:pPr>
      <w:r>
        <w:rPr>
          <w:color w:val="auto"/>
          <w:highlight w:val="none"/>
        </w:rPr>
        <w:t>4.3.2.2 地下水环境影响分析</w:t>
      </w:r>
    </w:p>
    <w:p>
      <w:pPr>
        <w:spacing w:line="360" w:lineRule="auto"/>
        <w:ind w:firstLine="480"/>
        <w:rPr>
          <w:color w:val="auto"/>
          <w:sz w:val="24"/>
          <w:highlight w:val="none"/>
        </w:rPr>
      </w:pPr>
      <w:r>
        <w:rPr>
          <w:color w:val="auto"/>
          <w:sz w:val="24"/>
          <w:highlight w:val="none"/>
        </w:rPr>
        <w:t>本项目的建设对地下水环境的影响如下：</w:t>
      </w:r>
    </w:p>
    <w:p>
      <w:pPr>
        <w:spacing w:line="360" w:lineRule="auto"/>
        <w:ind w:firstLine="480"/>
        <w:rPr>
          <w:color w:val="auto"/>
          <w:sz w:val="24"/>
          <w:highlight w:val="none"/>
        </w:rPr>
      </w:pPr>
      <w:r>
        <w:rPr>
          <w:color w:val="auto"/>
          <w:sz w:val="24"/>
          <w:highlight w:val="none"/>
        </w:rPr>
        <w:t>污染物对地下水的影响主要是由于降雨或泄露等通过垂直渗透进入包气带，进入包气带的污染物在物理、化学和生物作用下经吸附、转化、迁移和分解后输入地下水。因此，包气带是联接地面污染物与地下含水层的主要通道和过渡带，既是污染物媒介体，又是污染物的净化场所和防护层。</w:t>
      </w:r>
    </w:p>
    <w:p>
      <w:pPr>
        <w:spacing w:line="360" w:lineRule="auto"/>
        <w:ind w:firstLine="480"/>
        <w:rPr>
          <w:color w:val="auto"/>
          <w:sz w:val="24"/>
          <w:highlight w:val="none"/>
        </w:rPr>
      </w:pPr>
      <w:r>
        <w:rPr>
          <w:color w:val="auto"/>
          <w:sz w:val="24"/>
          <w:highlight w:val="none"/>
        </w:rPr>
        <w:t>项目场地包气带防污性能为较强，说明浅层地下水不容易受到污染。若废水发生渗漏，污染物不会很快穿过包气带进入浅层地下水，对浅层地下水的污染很小。</w:t>
      </w:r>
    </w:p>
    <w:p>
      <w:pPr>
        <w:pStyle w:val="112"/>
        <w:rPr>
          <w:color w:val="auto"/>
          <w:highlight w:val="none"/>
        </w:rPr>
      </w:pPr>
      <w:r>
        <w:rPr>
          <w:color w:val="auto"/>
          <w:highlight w:val="none"/>
        </w:rPr>
        <w:t>4.3.2.3 拟采取的防渗措施</w:t>
      </w:r>
    </w:p>
    <w:p>
      <w:pPr>
        <w:spacing w:line="360" w:lineRule="auto"/>
        <w:ind w:firstLine="482" w:firstLineChars="200"/>
        <w:rPr>
          <w:b/>
          <w:color w:val="auto"/>
          <w:sz w:val="24"/>
          <w:highlight w:val="none"/>
        </w:rPr>
      </w:pPr>
      <w:r>
        <w:rPr>
          <w:b/>
          <w:color w:val="auto"/>
          <w:sz w:val="24"/>
          <w:highlight w:val="none"/>
        </w:rPr>
        <w:t>1、防腐防渗遵循的原则</w:t>
      </w:r>
    </w:p>
    <w:p>
      <w:pPr>
        <w:spacing w:line="360" w:lineRule="auto"/>
        <w:ind w:firstLine="480" w:firstLineChars="200"/>
        <w:rPr>
          <w:color w:val="auto"/>
          <w:sz w:val="24"/>
          <w:highlight w:val="none"/>
        </w:rPr>
      </w:pPr>
      <w:r>
        <w:rPr>
          <w:color w:val="auto"/>
          <w:sz w:val="24"/>
          <w:highlight w:val="none"/>
        </w:rPr>
        <w:t>根据地下水环境的特点，地下防腐防渗遵循下列原则：</w:t>
      </w:r>
    </w:p>
    <w:p>
      <w:pPr>
        <w:spacing w:line="360" w:lineRule="auto"/>
        <w:ind w:firstLine="480" w:firstLineChars="200"/>
        <w:rPr>
          <w:color w:val="auto"/>
          <w:sz w:val="24"/>
          <w:highlight w:val="none"/>
        </w:rPr>
      </w:pPr>
      <w:r>
        <w:rPr>
          <w:color w:val="auto"/>
          <w:sz w:val="24"/>
          <w:highlight w:val="none"/>
        </w:rPr>
        <w:t>（1）严格遵照国家有关规定，采用成熟的技术从严设防。</w:t>
      </w:r>
    </w:p>
    <w:p>
      <w:pPr>
        <w:spacing w:line="360" w:lineRule="auto"/>
        <w:ind w:firstLine="480" w:firstLineChars="200"/>
        <w:rPr>
          <w:color w:val="auto"/>
          <w:sz w:val="24"/>
          <w:highlight w:val="none"/>
        </w:rPr>
      </w:pPr>
      <w:r>
        <w:rPr>
          <w:color w:val="auto"/>
          <w:sz w:val="24"/>
          <w:highlight w:val="none"/>
        </w:rPr>
        <w:t>（2）根据实际情况，把整个生产区域分为污染区和一般区域，按照对地下水污染的轻重分别设防。</w:t>
      </w:r>
    </w:p>
    <w:p>
      <w:pPr>
        <w:spacing w:line="360" w:lineRule="auto"/>
        <w:ind w:firstLine="482" w:firstLineChars="200"/>
        <w:rPr>
          <w:b/>
          <w:color w:val="auto"/>
          <w:sz w:val="24"/>
          <w:highlight w:val="none"/>
        </w:rPr>
      </w:pPr>
      <w:r>
        <w:rPr>
          <w:b/>
          <w:color w:val="auto"/>
          <w:sz w:val="24"/>
          <w:highlight w:val="none"/>
        </w:rPr>
        <w:t>2、防渗分区</w:t>
      </w:r>
    </w:p>
    <w:p>
      <w:pPr>
        <w:spacing w:line="360" w:lineRule="auto"/>
        <w:ind w:firstLine="480" w:firstLineChars="200"/>
        <w:rPr>
          <w:color w:val="auto"/>
          <w:sz w:val="24"/>
          <w:highlight w:val="none"/>
        </w:rPr>
      </w:pPr>
      <w:r>
        <w:rPr>
          <w:color w:val="auto"/>
          <w:sz w:val="24"/>
          <w:highlight w:val="none"/>
        </w:rPr>
        <w:t>工程依据原料、辅助原料、产品的生产、输送、储存等环节分为污染区和一般区域。</w:t>
      </w:r>
    </w:p>
    <w:p>
      <w:pPr>
        <w:spacing w:line="360" w:lineRule="auto"/>
        <w:ind w:firstLine="480" w:firstLineChars="200"/>
        <w:rPr>
          <w:color w:val="auto"/>
          <w:sz w:val="24"/>
          <w:highlight w:val="none"/>
        </w:rPr>
      </w:pPr>
      <w:r>
        <w:rPr>
          <w:color w:val="auto"/>
          <w:sz w:val="24"/>
          <w:highlight w:val="none"/>
        </w:rPr>
        <w:t>污染区是指在生产过程中有可能发生化学品或含有污染物的介质泄漏到地面或地下的区域。包括：污水输送管道、危废暂存间。一般区域包括生产区、办公区、仓库等。</w:t>
      </w:r>
    </w:p>
    <w:p>
      <w:pPr>
        <w:spacing w:line="360" w:lineRule="auto"/>
        <w:ind w:firstLine="482" w:firstLineChars="200"/>
        <w:rPr>
          <w:b/>
          <w:color w:val="auto"/>
          <w:sz w:val="24"/>
          <w:highlight w:val="none"/>
        </w:rPr>
      </w:pPr>
      <w:r>
        <w:rPr>
          <w:b/>
          <w:color w:val="auto"/>
          <w:sz w:val="24"/>
          <w:highlight w:val="none"/>
        </w:rPr>
        <w:t>3、拟采取的地下水防渗措施</w:t>
      </w:r>
    </w:p>
    <w:p>
      <w:pPr>
        <w:pStyle w:val="99"/>
        <w:ind w:firstLine="480"/>
        <w:rPr>
          <w:color w:val="auto"/>
          <w:highlight w:val="none"/>
        </w:rPr>
      </w:pPr>
      <w:r>
        <w:rPr>
          <w:color w:val="auto"/>
          <w:highlight w:val="none"/>
        </w:rPr>
        <w:t>a.</w:t>
      </w:r>
      <w:r>
        <w:rPr>
          <w:rFonts w:hint="eastAsia"/>
          <w:color w:val="auto"/>
          <w:highlight w:val="none"/>
        </w:rPr>
        <w:t>生产车间</w:t>
      </w:r>
      <w:r>
        <w:rPr>
          <w:rFonts w:hint="eastAsia"/>
          <w:color w:val="auto"/>
          <w:highlight w:val="none"/>
          <w:lang w:val="en-US" w:eastAsia="zh-CN"/>
        </w:rPr>
        <w:t>及原辅材料贮存区为一般防渗区。</w:t>
      </w:r>
    </w:p>
    <w:p>
      <w:pPr>
        <w:pStyle w:val="99"/>
        <w:ind w:firstLine="480"/>
        <w:rPr>
          <w:color w:val="auto"/>
          <w:highlight w:val="none"/>
        </w:rPr>
      </w:pPr>
      <w:r>
        <w:rPr>
          <w:color w:val="auto"/>
          <w:highlight w:val="none"/>
        </w:rPr>
        <w:t>b.危险废物</w:t>
      </w:r>
      <w:r>
        <w:rPr>
          <w:rFonts w:hint="eastAsia"/>
          <w:color w:val="auto"/>
          <w:highlight w:val="none"/>
          <w:lang w:val="en-US" w:eastAsia="zh-CN"/>
        </w:rPr>
        <w:t>暂存间及事故水池为重点防渗区，</w:t>
      </w:r>
      <w:r>
        <w:rPr>
          <w:color w:val="auto"/>
          <w:highlight w:val="none"/>
        </w:rPr>
        <w:t>在混凝土基础防渗表面上喷涂防腐、防渗环氧树脂，加强基础防渗。</w:t>
      </w:r>
    </w:p>
    <w:p>
      <w:pPr>
        <w:spacing w:line="360" w:lineRule="auto"/>
        <w:ind w:firstLine="480" w:firstLineChars="200"/>
        <w:rPr>
          <w:color w:val="auto"/>
          <w:sz w:val="24"/>
          <w:highlight w:val="none"/>
        </w:rPr>
      </w:pPr>
      <w:r>
        <w:rPr>
          <w:color w:val="auto"/>
          <w:sz w:val="24"/>
          <w:highlight w:val="none"/>
        </w:rPr>
        <w:t>c.生活污水排水管</w:t>
      </w:r>
      <w:r>
        <w:rPr>
          <w:rFonts w:hint="eastAsia"/>
          <w:color w:val="auto"/>
          <w:sz w:val="24"/>
          <w:highlight w:val="none"/>
          <w:lang w:eastAsia="zh-CN"/>
        </w:rPr>
        <w:t>、</w:t>
      </w:r>
      <w:r>
        <w:rPr>
          <w:rFonts w:hint="eastAsia"/>
          <w:color w:val="auto"/>
          <w:sz w:val="24"/>
          <w:highlight w:val="none"/>
          <w:lang w:val="en-US" w:eastAsia="zh-CN"/>
        </w:rPr>
        <w:t>循环水池管道</w:t>
      </w:r>
      <w:r>
        <w:rPr>
          <w:color w:val="auto"/>
          <w:sz w:val="24"/>
          <w:highlight w:val="none"/>
        </w:rPr>
        <w:t>采用防渗漏的套管连接，管道与管道的连接采用柔性的橡胶圈接口。</w:t>
      </w:r>
    </w:p>
    <w:p>
      <w:pPr>
        <w:spacing w:line="360" w:lineRule="auto"/>
        <w:ind w:firstLine="480" w:firstLineChars="200"/>
        <w:rPr>
          <w:color w:val="auto"/>
          <w:sz w:val="24"/>
          <w:highlight w:val="none"/>
        </w:rPr>
      </w:pPr>
      <w:r>
        <w:rPr>
          <w:color w:val="auto"/>
          <w:sz w:val="24"/>
          <w:highlight w:val="none"/>
        </w:rPr>
        <w:t>本项目通过严格落实各项环保治理措施，对危废暂存间、</w:t>
      </w:r>
      <w:r>
        <w:rPr>
          <w:rFonts w:hint="eastAsia"/>
          <w:color w:val="auto"/>
          <w:sz w:val="24"/>
          <w:highlight w:val="none"/>
        </w:rPr>
        <w:t>生产车间</w:t>
      </w:r>
      <w:r>
        <w:rPr>
          <w:color w:val="auto"/>
          <w:sz w:val="24"/>
          <w:highlight w:val="none"/>
        </w:rPr>
        <w:t>、化粪池</w:t>
      </w:r>
      <w:r>
        <w:rPr>
          <w:rFonts w:hint="eastAsia"/>
          <w:color w:val="auto"/>
          <w:sz w:val="24"/>
          <w:highlight w:val="none"/>
          <w:lang w:eastAsia="zh-CN"/>
        </w:rPr>
        <w:t>、</w:t>
      </w:r>
      <w:r>
        <w:rPr>
          <w:rFonts w:hint="eastAsia"/>
          <w:color w:val="auto"/>
          <w:sz w:val="24"/>
          <w:highlight w:val="none"/>
          <w:lang w:val="en-US" w:eastAsia="zh-CN"/>
        </w:rPr>
        <w:t>循环水池、事故水池</w:t>
      </w:r>
      <w:r>
        <w:rPr>
          <w:color w:val="auto"/>
          <w:sz w:val="24"/>
          <w:highlight w:val="none"/>
        </w:rPr>
        <w:t>等进行严格的防渗漏处理后，可减轻各种污水下渗对地下水可能造成的污染，公司只要严格执行各项规章制度，加强生产管理，防止废水的跑、冒、滴、漏，废水处理后全部回用，不外排，项目投产后基本不会对评价区内地下水造成负面影响。因此，项目的建设对地下水产生的影响较小，能够被厂址周围的地下水环境所接纳，从地下水影响角度考虑，该项目是可行的。本项目防渗分区图见图</w:t>
      </w:r>
      <w:r>
        <w:rPr>
          <w:color w:val="auto"/>
          <w:sz w:val="24"/>
          <w:szCs w:val="18"/>
          <w:highlight w:val="none"/>
        </w:rPr>
        <w:t>4.3-1</w:t>
      </w:r>
      <w:r>
        <w:rPr>
          <w:color w:val="auto"/>
          <w:sz w:val="24"/>
          <w:highlight w:val="none"/>
        </w:rPr>
        <w:t>。</w:t>
      </w:r>
    </w:p>
    <w:p>
      <w:pPr>
        <w:pStyle w:val="112"/>
        <w:rPr>
          <w:color w:val="auto"/>
          <w:highlight w:val="none"/>
        </w:rPr>
      </w:pPr>
      <w:r>
        <w:rPr>
          <w:color w:val="auto"/>
          <w:highlight w:val="none"/>
        </w:rPr>
        <w:t>4.3.2.4 地下水跟踪监测井设置</w:t>
      </w:r>
    </w:p>
    <w:p>
      <w:pPr>
        <w:spacing w:line="360" w:lineRule="auto"/>
        <w:ind w:firstLine="480" w:firstLineChars="200"/>
        <w:rPr>
          <w:color w:val="auto"/>
          <w:sz w:val="24"/>
          <w:highlight w:val="none"/>
        </w:rPr>
      </w:pPr>
      <w:r>
        <w:rPr>
          <w:color w:val="auto"/>
          <w:sz w:val="24"/>
          <w:highlight w:val="none"/>
        </w:rPr>
        <w:t>根据《环境影响评价技术导则 地下水环境》（HJ610-2016）确定，本项目的地下水评价级别为三级，应至少在建设项目场地下游布置1个监测井，本项目在厂内自备井处设置跟踪监测井1个，监测方案见表4.3-3，跟踪监测井位置见图4.3-</w:t>
      </w:r>
      <w:r>
        <w:rPr>
          <w:rFonts w:hint="eastAsia"/>
          <w:color w:val="auto"/>
          <w:sz w:val="24"/>
          <w:highlight w:val="none"/>
          <w:lang w:val="en-US" w:eastAsia="zh-CN"/>
        </w:rPr>
        <w:t>1</w:t>
      </w:r>
      <w:r>
        <w:rPr>
          <w:color w:val="auto"/>
          <w:sz w:val="24"/>
          <w:highlight w:val="none"/>
        </w:rPr>
        <w:t>。</w:t>
      </w:r>
    </w:p>
    <w:p>
      <w:pPr>
        <w:pStyle w:val="307"/>
        <w:spacing w:line="240" w:lineRule="auto"/>
        <w:rPr>
          <w:color w:val="auto"/>
          <w:sz w:val="24"/>
          <w:highlight w:val="none"/>
        </w:rPr>
      </w:pPr>
      <w:r>
        <w:rPr>
          <w:color w:val="auto"/>
          <w:sz w:val="24"/>
          <w:highlight w:val="none"/>
        </w:rPr>
        <w:t>表4.3-3   本项目地下水监测井跟踪监测计划</w:t>
      </w:r>
    </w:p>
    <w:tbl>
      <w:tblPr>
        <w:tblStyle w:val="59"/>
        <w:tblW w:w="0" w:type="auto"/>
        <w:tblInd w:w="-11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19"/>
        <w:gridCol w:w="2001"/>
        <w:gridCol w:w="4470"/>
        <w:gridCol w:w="130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519" w:type="dxa"/>
            <w:vAlign w:val="center"/>
          </w:tcPr>
          <w:p>
            <w:pPr>
              <w:pStyle w:val="1321"/>
              <w:rPr>
                <w:b/>
                <w:color w:val="auto"/>
                <w:highlight w:val="none"/>
              </w:rPr>
            </w:pPr>
            <w:r>
              <w:rPr>
                <w:b/>
                <w:color w:val="auto"/>
                <w:highlight w:val="none"/>
              </w:rPr>
              <w:t>环境要素</w:t>
            </w:r>
          </w:p>
        </w:tc>
        <w:tc>
          <w:tcPr>
            <w:tcW w:w="2001" w:type="dxa"/>
            <w:vAlign w:val="center"/>
          </w:tcPr>
          <w:p>
            <w:pPr>
              <w:pStyle w:val="1321"/>
              <w:rPr>
                <w:b/>
                <w:color w:val="auto"/>
                <w:highlight w:val="none"/>
              </w:rPr>
            </w:pPr>
            <w:r>
              <w:rPr>
                <w:b/>
                <w:color w:val="auto"/>
                <w:highlight w:val="none"/>
              </w:rPr>
              <w:t>监测点位</w:t>
            </w:r>
          </w:p>
        </w:tc>
        <w:tc>
          <w:tcPr>
            <w:tcW w:w="4470" w:type="dxa"/>
            <w:vAlign w:val="center"/>
          </w:tcPr>
          <w:p>
            <w:pPr>
              <w:pStyle w:val="1321"/>
              <w:rPr>
                <w:b/>
                <w:color w:val="auto"/>
                <w:highlight w:val="none"/>
              </w:rPr>
            </w:pPr>
            <w:r>
              <w:rPr>
                <w:b/>
                <w:color w:val="auto"/>
                <w:highlight w:val="none"/>
              </w:rPr>
              <w:t>监测项目</w:t>
            </w:r>
          </w:p>
        </w:tc>
        <w:tc>
          <w:tcPr>
            <w:tcW w:w="1301" w:type="dxa"/>
            <w:vAlign w:val="center"/>
          </w:tcPr>
          <w:p>
            <w:pPr>
              <w:pStyle w:val="1321"/>
              <w:rPr>
                <w:b/>
                <w:color w:val="auto"/>
                <w:highlight w:val="none"/>
              </w:rPr>
            </w:pPr>
            <w:r>
              <w:rPr>
                <w:b/>
                <w:color w:val="auto"/>
                <w:highlight w:val="none"/>
              </w:rPr>
              <w:t>监测频次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519" w:type="dxa"/>
            <w:vAlign w:val="center"/>
          </w:tcPr>
          <w:p>
            <w:pPr>
              <w:pStyle w:val="1321"/>
              <w:rPr>
                <w:color w:val="auto"/>
                <w:highlight w:val="none"/>
              </w:rPr>
            </w:pPr>
            <w:r>
              <w:rPr>
                <w:color w:val="auto"/>
                <w:highlight w:val="none"/>
              </w:rPr>
              <w:t>地下水</w:t>
            </w:r>
          </w:p>
        </w:tc>
        <w:tc>
          <w:tcPr>
            <w:tcW w:w="2001" w:type="dxa"/>
            <w:vAlign w:val="center"/>
          </w:tcPr>
          <w:p>
            <w:pPr>
              <w:pStyle w:val="1321"/>
              <w:rPr>
                <w:color w:val="auto"/>
                <w:highlight w:val="none"/>
              </w:rPr>
            </w:pPr>
            <w:r>
              <w:rPr>
                <w:rFonts w:hint="eastAsia"/>
                <w:color w:val="auto"/>
                <w:highlight w:val="none"/>
                <w:lang w:val="en-US" w:eastAsia="zh-CN"/>
              </w:rPr>
              <w:t>厂区西南角设置</w:t>
            </w:r>
          </w:p>
        </w:tc>
        <w:tc>
          <w:tcPr>
            <w:tcW w:w="4470" w:type="dxa"/>
            <w:vAlign w:val="center"/>
          </w:tcPr>
          <w:p>
            <w:pPr>
              <w:pStyle w:val="1321"/>
              <w:spacing w:line="240" w:lineRule="exact"/>
              <w:rPr>
                <w:color w:val="auto"/>
                <w:highlight w:val="none"/>
              </w:rPr>
            </w:pPr>
            <w:r>
              <w:rPr>
                <w:color w:val="auto"/>
                <w:highlight w:val="none"/>
              </w:rPr>
              <w:t>pH、总硬度、硫化物、硝酸盐氮、亚硝酸盐氮、硫酸盐、挥发酚、氨氮、氰化物、氟化物、砷、氯化物、六价铬、汞、苯系物、总大肠菌群</w:t>
            </w:r>
          </w:p>
        </w:tc>
        <w:tc>
          <w:tcPr>
            <w:tcW w:w="1301" w:type="dxa"/>
            <w:vAlign w:val="center"/>
          </w:tcPr>
          <w:p>
            <w:pPr>
              <w:pStyle w:val="1321"/>
              <w:rPr>
                <w:color w:val="auto"/>
                <w:highlight w:val="none"/>
              </w:rPr>
            </w:pPr>
            <w:r>
              <w:rPr>
                <w:color w:val="auto"/>
                <w:highlight w:val="none"/>
              </w:rPr>
              <w:t>一年/次</w:t>
            </w:r>
          </w:p>
        </w:tc>
      </w:tr>
    </w:tbl>
    <w:p>
      <w:pPr>
        <w:rPr>
          <w:rFonts w:eastAsia="黑体"/>
          <w:color w:val="auto"/>
          <w:sz w:val="24"/>
          <w:highlight w:val="none"/>
        </w:rPr>
      </w:pPr>
      <w:bookmarkStart w:id="175" w:name="_Toc536199182"/>
      <w:bookmarkStart w:id="176" w:name="_Toc535853307"/>
      <w:bookmarkStart w:id="177" w:name="_Toc24922"/>
      <w:bookmarkStart w:id="178" w:name="_Toc497165232"/>
      <w:r>
        <w:rPr>
          <w:rFonts w:eastAsia="黑体"/>
          <w:color w:val="auto"/>
          <w:sz w:val="24"/>
          <w:highlight w:val="none"/>
        </w:rPr>
        <w:t>4.3.3 小结</w:t>
      </w:r>
      <w:bookmarkEnd w:id="175"/>
      <w:bookmarkEnd w:id="176"/>
      <w:bookmarkEnd w:id="177"/>
      <w:bookmarkEnd w:id="178"/>
    </w:p>
    <w:p>
      <w:pPr>
        <w:spacing w:line="360" w:lineRule="auto"/>
        <w:ind w:firstLine="480" w:firstLineChars="200"/>
        <w:rPr>
          <w:color w:val="auto"/>
          <w:sz w:val="24"/>
          <w:highlight w:val="none"/>
        </w:rPr>
      </w:pPr>
      <w:r>
        <w:rPr>
          <w:color w:val="auto"/>
          <w:sz w:val="24"/>
          <w:highlight w:val="none"/>
        </w:rPr>
        <w:t>地下水环境影响评价结果表明，本项目通过采取严格的防渗措施后，可能产生渗漏的环节均得到有效控制，厂区内的跑、冒、滴、漏现象可以得到避免，可最大程度的减少拟建项目对浅层地下水的影响。</w:t>
      </w:r>
    </w:p>
    <w:p>
      <w:pPr>
        <w:pStyle w:val="100"/>
        <w:spacing w:before="156"/>
        <w:rPr>
          <w:rFonts w:ascii="Times New Roman" w:hAnsi="Times New Roman"/>
          <w:color w:val="auto"/>
          <w:highlight w:val="none"/>
        </w:rPr>
      </w:pPr>
      <w:bookmarkStart w:id="179" w:name="_Toc32331"/>
      <w:bookmarkStart w:id="180" w:name="_Toc66281289"/>
      <w:r>
        <w:rPr>
          <w:rFonts w:ascii="Times New Roman" w:hAnsi="Times New Roman"/>
          <w:color w:val="auto"/>
          <w:highlight w:val="none"/>
        </w:rPr>
        <w:t>4.4声环境影响预测与评价</w:t>
      </w:r>
      <w:bookmarkEnd w:id="179"/>
      <w:bookmarkEnd w:id="180"/>
    </w:p>
    <w:p>
      <w:pPr>
        <w:pStyle w:val="101"/>
        <w:spacing w:before="78"/>
        <w:rPr>
          <w:rFonts w:ascii="Times New Roman" w:hAnsi="Times New Roman"/>
          <w:color w:val="auto"/>
          <w:highlight w:val="none"/>
        </w:rPr>
      </w:pPr>
      <w:r>
        <w:rPr>
          <w:rFonts w:ascii="Times New Roman" w:hAnsi="Times New Roman"/>
          <w:color w:val="auto"/>
          <w:highlight w:val="none"/>
        </w:rPr>
        <w:t>4.4.1噪声源分析</w:t>
      </w:r>
    </w:p>
    <w:p>
      <w:pPr>
        <w:pStyle w:val="99"/>
        <w:ind w:firstLine="480"/>
        <w:rPr>
          <w:color w:val="auto"/>
          <w:highlight w:val="none"/>
        </w:rPr>
      </w:pPr>
      <w:r>
        <w:rPr>
          <w:color w:val="auto"/>
          <w:highlight w:val="none"/>
        </w:rPr>
        <w:t>拟建项目建成后，主要噪声源为</w:t>
      </w:r>
      <w:r>
        <w:rPr>
          <w:rFonts w:hint="eastAsia"/>
          <w:color w:val="auto"/>
          <w:highlight w:val="none"/>
        </w:rPr>
        <w:t>挤出机、牵引机、切割机、成型机、注塑机、造粒机、切粒机、风机</w:t>
      </w:r>
      <w:r>
        <w:rPr>
          <w:rFonts w:hint="eastAsia"/>
          <w:snapToGrid w:val="0"/>
          <w:color w:val="auto"/>
          <w:kern w:val="0"/>
          <w:highlight w:val="none"/>
        </w:rPr>
        <w:t>及各种泵类</w:t>
      </w:r>
      <w:r>
        <w:rPr>
          <w:color w:val="auto"/>
          <w:highlight w:val="none"/>
        </w:rPr>
        <w:t>等，噪声类型主要是机械设备噪声和空气动力噪声，以中、低频为主，噪声级一般在</w:t>
      </w:r>
      <w:r>
        <w:rPr>
          <w:rFonts w:hint="eastAsia"/>
          <w:color w:val="auto"/>
          <w:highlight w:val="none"/>
        </w:rPr>
        <w:t>65</w:t>
      </w:r>
      <w:r>
        <w:rPr>
          <w:color w:val="auto"/>
          <w:highlight w:val="none"/>
        </w:rPr>
        <w:t>~85dB(A)之间。拟建工程主要噪声源见表4.4-1。</w:t>
      </w:r>
    </w:p>
    <w:p>
      <w:pPr>
        <w:widowControl/>
        <w:spacing w:line="360" w:lineRule="auto"/>
        <w:jc w:val="center"/>
        <w:rPr>
          <w:rFonts w:eastAsia="黑体"/>
          <w:color w:val="auto"/>
          <w:sz w:val="24"/>
          <w:highlight w:val="none"/>
        </w:rPr>
      </w:pPr>
    </w:p>
    <w:p>
      <w:pPr>
        <w:widowControl/>
        <w:spacing w:line="360" w:lineRule="auto"/>
        <w:jc w:val="center"/>
        <w:rPr>
          <w:rFonts w:eastAsia="黑体"/>
          <w:color w:val="auto"/>
          <w:sz w:val="24"/>
          <w:highlight w:val="none"/>
        </w:rPr>
      </w:pPr>
      <w:r>
        <w:rPr>
          <w:rFonts w:eastAsia="黑体"/>
          <w:color w:val="auto"/>
          <w:sz w:val="24"/>
          <w:highlight w:val="none"/>
        </w:rPr>
        <w:t xml:space="preserve">表4.4-1  </w:t>
      </w:r>
      <w:r>
        <w:rPr>
          <w:rFonts w:hint="eastAsia" w:eastAsia="黑体"/>
          <w:color w:val="auto"/>
          <w:sz w:val="24"/>
          <w:highlight w:val="none"/>
        </w:rPr>
        <w:t>拟建项目</w:t>
      </w:r>
      <w:r>
        <w:rPr>
          <w:rFonts w:eastAsia="黑体"/>
          <w:color w:val="auto"/>
          <w:sz w:val="24"/>
          <w:highlight w:val="none"/>
        </w:rPr>
        <w:t>主要噪声源一览表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108" w:type="dxa"/>
          <w:bottom w:w="28" w:type="dxa"/>
          <w:right w:w="108" w:type="dxa"/>
        </w:tblCellMar>
      </w:tblPr>
      <w:tblGrid>
        <w:gridCol w:w="1349"/>
        <w:gridCol w:w="778"/>
        <w:gridCol w:w="1521"/>
        <w:gridCol w:w="991"/>
        <w:gridCol w:w="944"/>
        <w:gridCol w:w="2034"/>
        <w:gridCol w:w="13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749" w:type="pct"/>
            <w:shd w:val="clear" w:color="auto" w:fill="auto"/>
            <w:vAlign w:val="center"/>
          </w:tcPr>
          <w:p>
            <w:pPr>
              <w:widowControl/>
              <w:spacing w:line="240" w:lineRule="exact"/>
              <w:jc w:val="center"/>
              <w:rPr>
                <w:color w:val="auto"/>
                <w:highlight w:val="none"/>
              </w:rPr>
            </w:pPr>
            <w:r>
              <w:rPr>
                <w:color w:val="auto"/>
                <w:highlight w:val="none"/>
              </w:rPr>
              <w:t>车间</w:t>
            </w:r>
          </w:p>
        </w:tc>
        <w:tc>
          <w:tcPr>
            <w:tcW w:w="432" w:type="pct"/>
            <w:shd w:val="clear" w:color="auto" w:fill="auto"/>
            <w:vAlign w:val="center"/>
          </w:tcPr>
          <w:p>
            <w:pPr>
              <w:spacing w:line="240" w:lineRule="exact"/>
              <w:jc w:val="center"/>
              <w:rPr>
                <w:color w:val="auto"/>
                <w:highlight w:val="none"/>
              </w:rPr>
            </w:pPr>
            <w:r>
              <w:rPr>
                <w:color w:val="auto"/>
                <w:highlight w:val="none"/>
              </w:rPr>
              <w:t>序号</w:t>
            </w:r>
          </w:p>
        </w:tc>
        <w:tc>
          <w:tcPr>
            <w:tcW w:w="844" w:type="pct"/>
            <w:shd w:val="clear" w:color="auto" w:fill="auto"/>
            <w:vAlign w:val="center"/>
          </w:tcPr>
          <w:p>
            <w:pPr>
              <w:widowControl/>
              <w:spacing w:line="240" w:lineRule="exact"/>
              <w:jc w:val="center"/>
              <w:rPr>
                <w:color w:val="auto"/>
                <w:highlight w:val="none"/>
              </w:rPr>
            </w:pPr>
            <w:r>
              <w:rPr>
                <w:color w:val="auto"/>
                <w:highlight w:val="none"/>
              </w:rPr>
              <w:t>设备名称</w:t>
            </w:r>
          </w:p>
        </w:tc>
        <w:tc>
          <w:tcPr>
            <w:tcW w:w="550" w:type="pct"/>
            <w:shd w:val="clear" w:color="auto" w:fill="auto"/>
            <w:vAlign w:val="center"/>
          </w:tcPr>
          <w:p>
            <w:pPr>
              <w:spacing w:line="240" w:lineRule="exact"/>
              <w:jc w:val="center"/>
              <w:rPr>
                <w:color w:val="auto"/>
                <w:highlight w:val="none"/>
              </w:rPr>
            </w:pPr>
            <w:r>
              <w:rPr>
                <w:color w:val="auto"/>
                <w:highlight w:val="none"/>
              </w:rPr>
              <w:t>数量</w:t>
            </w:r>
          </w:p>
          <w:p>
            <w:pPr>
              <w:spacing w:line="240" w:lineRule="exact"/>
              <w:jc w:val="center"/>
              <w:rPr>
                <w:color w:val="auto"/>
                <w:highlight w:val="none"/>
              </w:rPr>
            </w:pPr>
            <w:r>
              <w:rPr>
                <w:color w:val="auto"/>
                <w:highlight w:val="none"/>
              </w:rPr>
              <w:t>(台/套)</w:t>
            </w:r>
          </w:p>
        </w:tc>
        <w:tc>
          <w:tcPr>
            <w:tcW w:w="524" w:type="pct"/>
            <w:vAlign w:val="center"/>
          </w:tcPr>
          <w:p>
            <w:pPr>
              <w:widowControl/>
              <w:spacing w:line="240" w:lineRule="exact"/>
              <w:jc w:val="center"/>
              <w:rPr>
                <w:color w:val="auto"/>
                <w:highlight w:val="none"/>
              </w:rPr>
            </w:pPr>
            <w:r>
              <w:rPr>
                <w:color w:val="auto"/>
                <w:szCs w:val="21"/>
                <w:highlight w:val="none"/>
              </w:rPr>
              <w:t>源强dB(A)</w:t>
            </w:r>
          </w:p>
        </w:tc>
        <w:tc>
          <w:tcPr>
            <w:tcW w:w="1129" w:type="pct"/>
            <w:vAlign w:val="center"/>
          </w:tcPr>
          <w:p>
            <w:pPr>
              <w:widowControl/>
              <w:spacing w:line="240" w:lineRule="exact"/>
              <w:jc w:val="center"/>
              <w:rPr>
                <w:color w:val="auto"/>
                <w:highlight w:val="none"/>
              </w:rPr>
            </w:pPr>
            <w:r>
              <w:rPr>
                <w:color w:val="auto"/>
                <w:szCs w:val="21"/>
                <w:highlight w:val="none"/>
              </w:rPr>
              <w:t>降噪措施</w:t>
            </w:r>
          </w:p>
        </w:tc>
        <w:tc>
          <w:tcPr>
            <w:tcW w:w="769" w:type="pct"/>
            <w:shd w:val="clear" w:color="auto" w:fill="auto"/>
            <w:vAlign w:val="center"/>
          </w:tcPr>
          <w:p>
            <w:pPr>
              <w:widowControl/>
              <w:spacing w:line="240" w:lineRule="exact"/>
              <w:jc w:val="center"/>
              <w:rPr>
                <w:color w:val="auto"/>
                <w:highlight w:val="none"/>
              </w:rPr>
            </w:pPr>
            <w:r>
              <w:rPr>
                <w:color w:val="auto"/>
                <w:szCs w:val="21"/>
                <w:highlight w:val="none"/>
              </w:rPr>
              <w:t>降噪后声压dB(A)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749" w:type="pct"/>
            <w:vMerge w:val="restart"/>
            <w:shd w:val="clear" w:color="auto" w:fill="auto"/>
            <w:vAlign w:val="center"/>
          </w:tcPr>
          <w:p>
            <w:pPr>
              <w:widowControl/>
              <w:spacing w:line="240" w:lineRule="exact"/>
              <w:jc w:val="center"/>
              <w:rPr>
                <w:color w:val="auto"/>
                <w:highlight w:val="none"/>
              </w:rPr>
            </w:pPr>
            <w:r>
              <w:rPr>
                <w:rFonts w:hint="eastAsia"/>
                <w:color w:val="auto"/>
                <w:highlight w:val="none"/>
              </w:rPr>
              <w:t>给水管及注塑车间（1#车间）</w:t>
            </w:r>
          </w:p>
        </w:tc>
        <w:tc>
          <w:tcPr>
            <w:tcW w:w="432" w:type="pct"/>
            <w:shd w:val="clear" w:color="auto" w:fill="auto"/>
            <w:vAlign w:val="center"/>
          </w:tcPr>
          <w:p>
            <w:pPr>
              <w:spacing w:line="240" w:lineRule="exact"/>
              <w:jc w:val="center"/>
              <w:rPr>
                <w:color w:val="auto"/>
                <w:highlight w:val="none"/>
              </w:rPr>
            </w:pPr>
            <w:r>
              <w:rPr>
                <w:color w:val="auto"/>
                <w:highlight w:val="none"/>
              </w:rPr>
              <w:t>1</w:t>
            </w:r>
          </w:p>
        </w:tc>
        <w:tc>
          <w:tcPr>
            <w:tcW w:w="844" w:type="pct"/>
            <w:shd w:val="clear" w:color="auto" w:fill="auto"/>
            <w:vAlign w:val="center"/>
          </w:tcPr>
          <w:p>
            <w:pPr>
              <w:widowControl/>
              <w:spacing w:line="240" w:lineRule="exact"/>
              <w:jc w:val="center"/>
              <w:rPr>
                <w:color w:val="auto"/>
                <w:highlight w:val="none"/>
              </w:rPr>
            </w:pPr>
            <w:r>
              <w:rPr>
                <w:rFonts w:hint="eastAsia"/>
                <w:color w:val="auto"/>
                <w:szCs w:val="24"/>
                <w:highlight w:val="none"/>
              </w:rPr>
              <w:t>挤出机</w:t>
            </w:r>
          </w:p>
        </w:tc>
        <w:tc>
          <w:tcPr>
            <w:tcW w:w="550" w:type="pct"/>
            <w:shd w:val="clear" w:color="auto" w:fill="auto"/>
            <w:vAlign w:val="center"/>
          </w:tcPr>
          <w:p>
            <w:pPr>
              <w:spacing w:line="240" w:lineRule="exact"/>
              <w:jc w:val="center"/>
              <w:rPr>
                <w:color w:val="auto"/>
                <w:highlight w:val="none"/>
              </w:rPr>
            </w:pPr>
            <w:r>
              <w:rPr>
                <w:rFonts w:hint="eastAsia"/>
                <w:color w:val="auto"/>
                <w:szCs w:val="24"/>
                <w:highlight w:val="none"/>
              </w:rPr>
              <w:t>12</w:t>
            </w:r>
          </w:p>
        </w:tc>
        <w:tc>
          <w:tcPr>
            <w:tcW w:w="524" w:type="pct"/>
            <w:vAlign w:val="center"/>
          </w:tcPr>
          <w:p>
            <w:pPr>
              <w:widowControl/>
              <w:spacing w:line="240" w:lineRule="exact"/>
              <w:jc w:val="center"/>
              <w:rPr>
                <w:color w:val="auto"/>
                <w:highlight w:val="none"/>
              </w:rPr>
            </w:pPr>
            <w:r>
              <w:rPr>
                <w:rFonts w:hint="eastAsia"/>
                <w:color w:val="auto"/>
                <w:highlight w:val="none"/>
              </w:rPr>
              <w:t>75</w:t>
            </w:r>
          </w:p>
        </w:tc>
        <w:tc>
          <w:tcPr>
            <w:tcW w:w="1129" w:type="pct"/>
            <w:vMerge w:val="restart"/>
            <w:vAlign w:val="center"/>
          </w:tcPr>
          <w:p>
            <w:pPr>
              <w:widowControl/>
              <w:spacing w:line="240" w:lineRule="exact"/>
              <w:jc w:val="center"/>
              <w:rPr>
                <w:color w:val="auto"/>
                <w:highlight w:val="none"/>
              </w:rPr>
            </w:pPr>
            <w:r>
              <w:rPr>
                <w:rFonts w:hint="eastAsia"/>
                <w:color w:val="auto"/>
                <w:highlight w:val="none"/>
              </w:rPr>
              <w:t>厂房隔声，基础减震</w:t>
            </w:r>
          </w:p>
        </w:tc>
        <w:tc>
          <w:tcPr>
            <w:tcW w:w="769" w:type="pct"/>
            <w:shd w:val="clear" w:color="auto" w:fill="auto"/>
            <w:vAlign w:val="center"/>
          </w:tcPr>
          <w:p>
            <w:pPr>
              <w:widowControl/>
              <w:spacing w:line="240" w:lineRule="exact"/>
              <w:jc w:val="center"/>
              <w:rPr>
                <w:color w:val="auto"/>
                <w:highlight w:val="none"/>
              </w:rPr>
            </w:pPr>
            <w:r>
              <w:rPr>
                <w:rFonts w:hint="eastAsia"/>
                <w:color w:val="auto"/>
                <w:highlight w:val="none"/>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749" w:type="pct"/>
            <w:vMerge w:val="continue"/>
            <w:shd w:val="clear" w:color="auto" w:fill="auto"/>
            <w:vAlign w:val="center"/>
          </w:tcPr>
          <w:p>
            <w:pPr>
              <w:widowControl/>
              <w:spacing w:line="240" w:lineRule="exact"/>
              <w:jc w:val="center"/>
              <w:rPr>
                <w:color w:val="auto"/>
                <w:highlight w:val="none"/>
              </w:rPr>
            </w:pPr>
          </w:p>
        </w:tc>
        <w:tc>
          <w:tcPr>
            <w:tcW w:w="432" w:type="pct"/>
            <w:shd w:val="clear" w:color="auto" w:fill="auto"/>
            <w:vAlign w:val="center"/>
          </w:tcPr>
          <w:p>
            <w:pPr>
              <w:spacing w:line="240" w:lineRule="exact"/>
              <w:jc w:val="center"/>
              <w:rPr>
                <w:color w:val="auto"/>
                <w:highlight w:val="none"/>
              </w:rPr>
            </w:pPr>
            <w:r>
              <w:rPr>
                <w:rFonts w:hint="eastAsia"/>
                <w:color w:val="auto"/>
                <w:highlight w:val="none"/>
              </w:rPr>
              <w:t>2</w:t>
            </w:r>
          </w:p>
        </w:tc>
        <w:tc>
          <w:tcPr>
            <w:tcW w:w="844" w:type="pct"/>
            <w:shd w:val="clear" w:color="auto" w:fill="auto"/>
            <w:vAlign w:val="center"/>
          </w:tcPr>
          <w:p>
            <w:pPr>
              <w:widowControl/>
              <w:spacing w:line="240" w:lineRule="exact"/>
              <w:jc w:val="center"/>
              <w:rPr>
                <w:color w:val="auto"/>
                <w:szCs w:val="24"/>
                <w:highlight w:val="none"/>
              </w:rPr>
            </w:pPr>
            <w:r>
              <w:rPr>
                <w:rFonts w:hint="eastAsia"/>
                <w:color w:val="auto"/>
                <w:szCs w:val="24"/>
                <w:highlight w:val="none"/>
              </w:rPr>
              <w:t>牵引机</w:t>
            </w:r>
          </w:p>
        </w:tc>
        <w:tc>
          <w:tcPr>
            <w:tcW w:w="550" w:type="pct"/>
            <w:shd w:val="clear" w:color="auto" w:fill="auto"/>
            <w:vAlign w:val="center"/>
          </w:tcPr>
          <w:p>
            <w:pPr>
              <w:spacing w:line="240" w:lineRule="exact"/>
              <w:jc w:val="center"/>
              <w:rPr>
                <w:color w:val="auto"/>
                <w:szCs w:val="24"/>
                <w:highlight w:val="none"/>
              </w:rPr>
            </w:pPr>
            <w:r>
              <w:rPr>
                <w:rFonts w:hint="eastAsia"/>
                <w:color w:val="auto"/>
                <w:szCs w:val="24"/>
                <w:highlight w:val="none"/>
              </w:rPr>
              <w:t>6</w:t>
            </w:r>
          </w:p>
        </w:tc>
        <w:tc>
          <w:tcPr>
            <w:tcW w:w="524" w:type="pct"/>
            <w:vAlign w:val="center"/>
          </w:tcPr>
          <w:p>
            <w:pPr>
              <w:widowControl/>
              <w:spacing w:line="240" w:lineRule="exact"/>
              <w:jc w:val="center"/>
              <w:rPr>
                <w:color w:val="auto"/>
                <w:highlight w:val="none"/>
              </w:rPr>
            </w:pPr>
            <w:r>
              <w:rPr>
                <w:rFonts w:hint="eastAsia"/>
                <w:color w:val="auto"/>
                <w:highlight w:val="none"/>
              </w:rPr>
              <w:t>65</w:t>
            </w:r>
          </w:p>
        </w:tc>
        <w:tc>
          <w:tcPr>
            <w:tcW w:w="1129" w:type="pct"/>
            <w:vMerge w:val="continue"/>
            <w:vAlign w:val="center"/>
          </w:tcPr>
          <w:p>
            <w:pPr>
              <w:widowControl/>
              <w:spacing w:line="240" w:lineRule="exact"/>
              <w:jc w:val="center"/>
              <w:rPr>
                <w:color w:val="auto"/>
                <w:highlight w:val="none"/>
              </w:rPr>
            </w:pPr>
          </w:p>
        </w:tc>
        <w:tc>
          <w:tcPr>
            <w:tcW w:w="769" w:type="pct"/>
            <w:shd w:val="clear" w:color="auto" w:fill="auto"/>
            <w:vAlign w:val="center"/>
          </w:tcPr>
          <w:p>
            <w:pPr>
              <w:widowControl/>
              <w:spacing w:line="240" w:lineRule="exact"/>
              <w:jc w:val="center"/>
              <w:rPr>
                <w:color w:val="auto"/>
                <w:highlight w:val="none"/>
              </w:rPr>
            </w:pPr>
            <w:r>
              <w:rPr>
                <w:rFonts w:hint="eastAsia"/>
                <w:color w:val="auto"/>
                <w:highlight w:val="none"/>
                <w:lang w:val="en-US" w:eastAsia="zh-CN"/>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749" w:type="pct"/>
            <w:vMerge w:val="continue"/>
            <w:shd w:val="clear" w:color="auto" w:fill="auto"/>
            <w:vAlign w:val="center"/>
          </w:tcPr>
          <w:p>
            <w:pPr>
              <w:widowControl/>
              <w:spacing w:line="240" w:lineRule="exact"/>
              <w:jc w:val="center"/>
              <w:rPr>
                <w:color w:val="auto"/>
                <w:highlight w:val="none"/>
              </w:rPr>
            </w:pPr>
          </w:p>
        </w:tc>
        <w:tc>
          <w:tcPr>
            <w:tcW w:w="432" w:type="pct"/>
            <w:shd w:val="clear" w:color="auto" w:fill="auto"/>
            <w:vAlign w:val="center"/>
          </w:tcPr>
          <w:p>
            <w:pPr>
              <w:spacing w:line="240" w:lineRule="exact"/>
              <w:jc w:val="center"/>
              <w:rPr>
                <w:color w:val="auto"/>
                <w:highlight w:val="none"/>
              </w:rPr>
            </w:pPr>
            <w:r>
              <w:rPr>
                <w:rFonts w:hint="eastAsia"/>
                <w:color w:val="auto"/>
                <w:highlight w:val="none"/>
              </w:rPr>
              <w:t>3</w:t>
            </w:r>
          </w:p>
        </w:tc>
        <w:tc>
          <w:tcPr>
            <w:tcW w:w="844" w:type="pct"/>
            <w:shd w:val="clear" w:color="auto" w:fill="auto"/>
            <w:vAlign w:val="center"/>
          </w:tcPr>
          <w:p>
            <w:pPr>
              <w:widowControl/>
              <w:spacing w:line="240" w:lineRule="exact"/>
              <w:jc w:val="center"/>
              <w:rPr>
                <w:color w:val="auto"/>
                <w:szCs w:val="24"/>
                <w:highlight w:val="none"/>
              </w:rPr>
            </w:pPr>
            <w:r>
              <w:rPr>
                <w:rFonts w:hint="eastAsia"/>
                <w:color w:val="auto"/>
                <w:szCs w:val="24"/>
                <w:highlight w:val="none"/>
              </w:rPr>
              <w:t>切割机</w:t>
            </w:r>
          </w:p>
        </w:tc>
        <w:tc>
          <w:tcPr>
            <w:tcW w:w="550" w:type="pct"/>
            <w:shd w:val="clear" w:color="auto" w:fill="auto"/>
            <w:vAlign w:val="center"/>
          </w:tcPr>
          <w:p>
            <w:pPr>
              <w:spacing w:line="240" w:lineRule="exact"/>
              <w:jc w:val="center"/>
              <w:rPr>
                <w:color w:val="auto"/>
                <w:szCs w:val="24"/>
                <w:highlight w:val="none"/>
              </w:rPr>
            </w:pPr>
            <w:r>
              <w:rPr>
                <w:rFonts w:hint="eastAsia"/>
                <w:color w:val="auto"/>
                <w:szCs w:val="24"/>
                <w:highlight w:val="none"/>
              </w:rPr>
              <w:t>6</w:t>
            </w:r>
          </w:p>
        </w:tc>
        <w:tc>
          <w:tcPr>
            <w:tcW w:w="524" w:type="pct"/>
            <w:vAlign w:val="center"/>
          </w:tcPr>
          <w:p>
            <w:pPr>
              <w:widowControl/>
              <w:spacing w:line="240" w:lineRule="exact"/>
              <w:jc w:val="center"/>
              <w:rPr>
                <w:color w:val="auto"/>
                <w:highlight w:val="none"/>
              </w:rPr>
            </w:pPr>
            <w:r>
              <w:rPr>
                <w:rFonts w:hint="eastAsia"/>
                <w:color w:val="auto"/>
                <w:highlight w:val="none"/>
              </w:rPr>
              <w:t>75</w:t>
            </w:r>
          </w:p>
        </w:tc>
        <w:tc>
          <w:tcPr>
            <w:tcW w:w="1129" w:type="pct"/>
            <w:vMerge w:val="continue"/>
            <w:vAlign w:val="center"/>
          </w:tcPr>
          <w:p>
            <w:pPr>
              <w:widowControl/>
              <w:spacing w:line="240" w:lineRule="exact"/>
              <w:jc w:val="center"/>
              <w:rPr>
                <w:color w:val="auto"/>
                <w:highlight w:val="none"/>
              </w:rPr>
            </w:pPr>
          </w:p>
        </w:tc>
        <w:tc>
          <w:tcPr>
            <w:tcW w:w="769" w:type="pct"/>
            <w:shd w:val="clear" w:color="auto" w:fill="auto"/>
            <w:vAlign w:val="center"/>
          </w:tcPr>
          <w:p>
            <w:pPr>
              <w:widowControl/>
              <w:spacing w:line="240" w:lineRule="exact"/>
              <w:jc w:val="center"/>
              <w:rPr>
                <w:color w:val="auto"/>
                <w:highlight w:val="none"/>
              </w:rPr>
            </w:pPr>
            <w:r>
              <w:rPr>
                <w:rFonts w:hint="eastAsia"/>
                <w:color w:val="auto"/>
                <w:highlight w:val="none"/>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jc w:val="center"/>
        </w:trPr>
        <w:tc>
          <w:tcPr>
            <w:tcW w:w="749" w:type="pct"/>
            <w:vMerge w:val="continue"/>
            <w:shd w:val="clear" w:color="auto" w:fill="auto"/>
            <w:vAlign w:val="center"/>
          </w:tcPr>
          <w:p>
            <w:pPr>
              <w:widowControl/>
              <w:spacing w:line="240" w:lineRule="exact"/>
              <w:jc w:val="center"/>
              <w:rPr>
                <w:color w:val="auto"/>
                <w:highlight w:val="none"/>
              </w:rPr>
            </w:pPr>
          </w:p>
        </w:tc>
        <w:tc>
          <w:tcPr>
            <w:tcW w:w="432" w:type="pct"/>
            <w:shd w:val="clear" w:color="auto" w:fill="auto"/>
            <w:vAlign w:val="center"/>
          </w:tcPr>
          <w:p>
            <w:pPr>
              <w:spacing w:line="240" w:lineRule="exact"/>
              <w:jc w:val="center"/>
              <w:rPr>
                <w:color w:val="auto"/>
                <w:highlight w:val="none"/>
              </w:rPr>
            </w:pPr>
            <w:r>
              <w:rPr>
                <w:rFonts w:hint="eastAsia"/>
                <w:color w:val="auto"/>
                <w:highlight w:val="none"/>
              </w:rPr>
              <w:t>4</w:t>
            </w:r>
          </w:p>
        </w:tc>
        <w:tc>
          <w:tcPr>
            <w:tcW w:w="844" w:type="pct"/>
            <w:shd w:val="clear" w:color="auto" w:fill="auto"/>
            <w:vAlign w:val="center"/>
          </w:tcPr>
          <w:p>
            <w:pPr>
              <w:widowControl/>
              <w:spacing w:line="240" w:lineRule="exact"/>
              <w:jc w:val="center"/>
              <w:rPr>
                <w:color w:val="auto"/>
                <w:szCs w:val="24"/>
                <w:highlight w:val="none"/>
              </w:rPr>
            </w:pPr>
            <w:r>
              <w:rPr>
                <w:rFonts w:hint="eastAsia"/>
                <w:color w:val="auto"/>
                <w:szCs w:val="24"/>
                <w:highlight w:val="none"/>
              </w:rPr>
              <w:t>注塑机</w:t>
            </w:r>
          </w:p>
        </w:tc>
        <w:tc>
          <w:tcPr>
            <w:tcW w:w="550" w:type="pct"/>
            <w:shd w:val="clear" w:color="auto" w:fill="auto"/>
            <w:vAlign w:val="center"/>
          </w:tcPr>
          <w:p>
            <w:pPr>
              <w:spacing w:line="240" w:lineRule="exact"/>
              <w:jc w:val="center"/>
              <w:rPr>
                <w:color w:val="auto"/>
                <w:szCs w:val="24"/>
                <w:highlight w:val="none"/>
              </w:rPr>
            </w:pPr>
            <w:r>
              <w:rPr>
                <w:rFonts w:hint="eastAsia"/>
                <w:color w:val="auto"/>
                <w:szCs w:val="24"/>
                <w:highlight w:val="none"/>
              </w:rPr>
              <w:t>7</w:t>
            </w:r>
          </w:p>
        </w:tc>
        <w:tc>
          <w:tcPr>
            <w:tcW w:w="524" w:type="pct"/>
            <w:vAlign w:val="center"/>
          </w:tcPr>
          <w:p>
            <w:pPr>
              <w:widowControl/>
              <w:spacing w:line="240" w:lineRule="exact"/>
              <w:jc w:val="center"/>
              <w:rPr>
                <w:color w:val="auto"/>
                <w:highlight w:val="none"/>
              </w:rPr>
            </w:pPr>
            <w:r>
              <w:rPr>
                <w:rFonts w:hint="eastAsia"/>
                <w:color w:val="auto"/>
                <w:highlight w:val="none"/>
              </w:rPr>
              <w:t>75</w:t>
            </w:r>
          </w:p>
        </w:tc>
        <w:tc>
          <w:tcPr>
            <w:tcW w:w="1129" w:type="pct"/>
            <w:vMerge w:val="continue"/>
            <w:vAlign w:val="center"/>
          </w:tcPr>
          <w:p>
            <w:pPr>
              <w:widowControl/>
              <w:spacing w:line="240" w:lineRule="exact"/>
              <w:jc w:val="center"/>
              <w:rPr>
                <w:color w:val="auto"/>
                <w:highlight w:val="none"/>
              </w:rPr>
            </w:pPr>
          </w:p>
        </w:tc>
        <w:tc>
          <w:tcPr>
            <w:tcW w:w="769" w:type="pct"/>
            <w:shd w:val="clear" w:color="auto" w:fill="auto"/>
            <w:vAlign w:val="center"/>
          </w:tcPr>
          <w:p>
            <w:pPr>
              <w:widowControl/>
              <w:spacing w:line="240" w:lineRule="exact"/>
              <w:jc w:val="center"/>
              <w:rPr>
                <w:color w:val="auto"/>
                <w:highlight w:val="none"/>
              </w:rPr>
            </w:pPr>
            <w:r>
              <w:rPr>
                <w:rFonts w:hint="eastAsia"/>
                <w:color w:val="auto"/>
                <w:highlight w:val="none"/>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749" w:type="pct"/>
            <w:vMerge w:val="restart"/>
            <w:shd w:val="clear" w:color="auto" w:fill="auto"/>
            <w:vAlign w:val="center"/>
          </w:tcPr>
          <w:p>
            <w:pPr>
              <w:widowControl/>
              <w:spacing w:line="240" w:lineRule="exact"/>
              <w:jc w:val="center"/>
              <w:rPr>
                <w:color w:val="auto"/>
                <w:szCs w:val="24"/>
                <w:highlight w:val="none"/>
              </w:rPr>
            </w:pPr>
            <w:r>
              <w:rPr>
                <w:rFonts w:hint="eastAsia"/>
                <w:color w:val="auto"/>
                <w:szCs w:val="24"/>
                <w:highlight w:val="none"/>
              </w:rPr>
              <w:t>造粒、双壁波纹管、中空壁缠绕管车间（2#车间）</w:t>
            </w:r>
          </w:p>
        </w:tc>
        <w:tc>
          <w:tcPr>
            <w:tcW w:w="432" w:type="pct"/>
            <w:shd w:val="clear" w:color="auto" w:fill="auto"/>
            <w:vAlign w:val="center"/>
          </w:tcPr>
          <w:p>
            <w:pPr>
              <w:spacing w:line="240" w:lineRule="exact"/>
              <w:jc w:val="center"/>
              <w:rPr>
                <w:color w:val="auto"/>
                <w:szCs w:val="24"/>
                <w:highlight w:val="none"/>
              </w:rPr>
            </w:pPr>
            <w:r>
              <w:rPr>
                <w:rFonts w:hint="eastAsia"/>
                <w:color w:val="auto"/>
                <w:szCs w:val="24"/>
                <w:highlight w:val="none"/>
              </w:rPr>
              <w:t>5</w:t>
            </w:r>
          </w:p>
        </w:tc>
        <w:tc>
          <w:tcPr>
            <w:tcW w:w="844" w:type="pct"/>
            <w:shd w:val="clear" w:color="auto" w:fill="auto"/>
            <w:vAlign w:val="center"/>
          </w:tcPr>
          <w:p>
            <w:pPr>
              <w:spacing w:line="240" w:lineRule="exact"/>
              <w:jc w:val="center"/>
              <w:rPr>
                <w:color w:val="auto"/>
                <w:szCs w:val="24"/>
                <w:highlight w:val="none"/>
              </w:rPr>
            </w:pPr>
            <w:r>
              <w:rPr>
                <w:rFonts w:hint="eastAsia"/>
                <w:color w:val="auto"/>
                <w:szCs w:val="24"/>
                <w:highlight w:val="none"/>
              </w:rPr>
              <w:t>挤出机</w:t>
            </w:r>
          </w:p>
        </w:tc>
        <w:tc>
          <w:tcPr>
            <w:tcW w:w="550" w:type="pct"/>
            <w:shd w:val="clear" w:color="auto" w:fill="auto"/>
            <w:vAlign w:val="center"/>
          </w:tcPr>
          <w:p>
            <w:pPr>
              <w:widowControl/>
              <w:spacing w:line="240" w:lineRule="exact"/>
              <w:jc w:val="center"/>
              <w:rPr>
                <w:color w:val="auto"/>
                <w:highlight w:val="none"/>
              </w:rPr>
            </w:pPr>
            <w:r>
              <w:rPr>
                <w:rFonts w:hint="eastAsia"/>
                <w:color w:val="auto"/>
                <w:szCs w:val="24"/>
                <w:highlight w:val="none"/>
              </w:rPr>
              <w:t>20</w:t>
            </w:r>
          </w:p>
        </w:tc>
        <w:tc>
          <w:tcPr>
            <w:tcW w:w="524" w:type="pct"/>
            <w:vAlign w:val="center"/>
          </w:tcPr>
          <w:p>
            <w:pPr>
              <w:widowControl/>
              <w:spacing w:line="240" w:lineRule="exact"/>
              <w:jc w:val="center"/>
              <w:rPr>
                <w:color w:val="auto"/>
                <w:highlight w:val="none"/>
              </w:rPr>
            </w:pPr>
            <w:r>
              <w:rPr>
                <w:rFonts w:hint="eastAsia"/>
                <w:color w:val="auto"/>
                <w:highlight w:val="none"/>
              </w:rPr>
              <w:t>75</w:t>
            </w:r>
          </w:p>
        </w:tc>
        <w:tc>
          <w:tcPr>
            <w:tcW w:w="1129" w:type="pct"/>
            <w:vMerge w:val="restart"/>
            <w:vAlign w:val="center"/>
          </w:tcPr>
          <w:p>
            <w:pPr>
              <w:widowControl/>
              <w:spacing w:line="240" w:lineRule="exact"/>
              <w:jc w:val="center"/>
              <w:rPr>
                <w:color w:val="auto"/>
                <w:highlight w:val="none"/>
              </w:rPr>
            </w:pPr>
            <w:r>
              <w:rPr>
                <w:rFonts w:hint="eastAsia"/>
                <w:color w:val="auto"/>
                <w:highlight w:val="none"/>
              </w:rPr>
              <w:t>厂房隔声，基础减震</w:t>
            </w:r>
          </w:p>
        </w:tc>
        <w:tc>
          <w:tcPr>
            <w:tcW w:w="769" w:type="pct"/>
            <w:shd w:val="clear" w:color="auto" w:fill="auto"/>
            <w:vAlign w:val="center"/>
          </w:tcPr>
          <w:p>
            <w:pPr>
              <w:widowControl/>
              <w:spacing w:line="240" w:lineRule="exact"/>
              <w:jc w:val="center"/>
              <w:rPr>
                <w:color w:val="auto"/>
                <w:highlight w:val="none"/>
              </w:rPr>
            </w:pPr>
            <w:r>
              <w:rPr>
                <w:rFonts w:hint="eastAsia"/>
                <w:color w:val="auto"/>
                <w:highlight w:val="none"/>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749" w:type="pct"/>
            <w:vMerge w:val="continue"/>
            <w:shd w:val="clear" w:color="auto" w:fill="auto"/>
            <w:vAlign w:val="center"/>
          </w:tcPr>
          <w:p>
            <w:pPr>
              <w:widowControl/>
              <w:spacing w:line="240" w:lineRule="exact"/>
              <w:jc w:val="center"/>
              <w:rPr>
                <w:color w:val="auto"/>
                <w:szCs w:val="24"/>
                <w:highlight w:val="none"/>
              </w:rPr>
            </w:pPr>
          </w:p>
        </w:tc>
        <w:tc>
          <w:tcPr>
            <w:tcW w:w="432" w:type="pct"/>
            <w:shd w:val="clear" w:color="auto" w:fill="auto"/>
            <w:vAlign w:val="center"/>
          </w:tcPr>
          <w:p>
            <w:pPr>
              <w:spacing w:line="240" w:lineRule="exact"/>
              <w:jc w:val="center"/>
              <w:rPr>
                <w:color w:val="auto"/>
                <w:szCs w:val="24"/>
                <w:highlight w:val="none"/>
              </w:rPr>
            </w:pPr>
            <w:r>
              <w:rPr>
                <w:rFonts w:hint="eastAsia"/>
                <w:color w:val="auto"/>
                <w:szCs w:val="24"/>
                <w:highlight w:val="none"/>
              </w:rPr>
              <w:t>6</w:t>
            </w:r>
          </w:p>
        </w:tc>
        <w:tc>
          <w:tcPr>
            <w:tcW w:w="844" w:type="pct"/>
            <w:shd w:val="clear" w:color="auto" w:fill="auto"/>
            <w:vAlign w:val="center"/>
          </w:tcPr>
          <w:p>
            <w:pPr>
              <w:spacing w:line="240" w:lineRule="exact"/>
              <w:jc w:val="center"/>
              <w:rPr>
                <w:color w:val="auto"/>
                <w:szCs w:val="24"/>
                <w:highlight w:val="none"/>
              </w:rPr>
            </w:pPr>
            <w:r>
              <w:rPr>
                <w:rFonts w:hint="eastAsia"/>
                <w:color w:val="auto"/>
                <w:szCs w:val="24"/>
                <w:highlight w:val="none"/>
              </w:rPr>
              <w:t>成型机</w:t>
            </w:r>
          </w:p>
        </w:tc>
        <w:tc>
          <w:tcPr>
            <w:tcW w:w="550" w:type="pct"/>
            <w:shd w:val="clear" w:color="auto" w:fill="auto"/>
            <w:vAlign w:val="center"/>
          </w:tcPr>
          <w:p>
            <w:pPr>
              <w:widowControl/>
              <w:spacing w:line="240" w:lineRule="exact"/>
              <w:jc w:val="center"/>
              <w:rPr>
                <w:color w:val="auto"/>
                <w:highlight w:val="none"/>
              </w:rPr>
            </w:pPr>
            <w:r>
              <w:rPr>
                <w:rFonts w:hint="eastAsia"/>
                <w:color w:val="auto"/>
                <w:szCs w:val="24"/>
                <w:highlight w:val="none"/>
              </w:rPr>
              <w:t>8</w:t>
            </w:r>
          </w:p>
        </w:tc>
        <w:tc>
          <w:tcPr>
            <w:tcW w:w="524" w:type="pct"/>
            <w:vAlign w:val="center"/>
          </w:tcPr>
          <w:p>
            <w:pPr>
              <w:widowControl/>
              <w:spacing w:line="240" w:lineRule="exact"/>
              <w:jc w:val="center"/>
              <w:rPr>
                <w:color w:val="auto"/>
                <w:highlight w:val="none"/>
              </w:rPr>
            </w:pPr>
            <w:r>
              <w:rPr>
                <w:rFonts w:hint="eastAsia"/>
                <w:color w:val="auto"/>
                <w:highlight w:val="none"/>
              </w:rPr>
              <w:t>75</w:t>
            </w:r>
          </w:p>
        </w:tc>
        <w:tc>
          <w:tcPr>
            <w:tcW w:w="1129" w:type="pct"/>
            <w:vMerge w:val="continue"/>
            <w:vAlign w:val="center"/>
          </w:tcPr>
          <w:p>
            <w:pPr>
              <w:widowControl/>
              <w:spacing w:line="240" w:lineRule="exact"/>
              <w:jc w:val="center"/>
              <w:rPr>
                <w:color w:val="auto"/>
                <w:highlight w:val="none"/>
              </w:rPr>
            </w:pPr>
          </w:p>
        </w:tc>
        <w:tc>
          <w:tcPr>
            <w:tcW w:w="769" w:type="pct"/>
            <w:shd w:val="clear" w:color="auto" w:fill="auto"/>
            <w:vAlign w:val="center"/>
          </w:tcPr>
          <w:p>
            <w:pPr>
              <w:widowControl/>
              <w:spacing w:line="240" w:lineRule="exact"/>
              <w:jc w:val="center"/>
              <w:rPr>
                <w:color w:val="auto"/>
                <w:highlight w:val="none"/>
              </w:rPr>
            </w:pPr>
            <w:r>
              <w:rPr>
                <w:rFonts w:hint="eastAsia"/>
                <w:color w:val="auto"/>
                <w:highlight w:val="none"/>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749" w:type="pct"/>
            <w:vMerge w:val="continue"/>
            <w:shd w:val="clear" w:color="auto" w:fill="auto"/>
            <w:vAlign w:val="center"/>
          </w:tcPr>
          <w:p>
            <w:pPr>
              <w:widowControl/>
              <w:spacing w:line="240" w:lineRule="exact"/>
              <w:jc w:val="center"/>
              <w:rPr>
                <w:color w:val="auto"/>
                <w:szCs w:val="24"/>
                <w:highlight w:val="none"/>
              </w:rPr>
            </w:pPr>
          </w:p>
        </w:tc>
        <w:tc>
          <w:tcPr>
            <w:tcW w:w="432" w:type="pct"/>
            <w:shd w:val="clear" w:color="auto" w:fill="auto"/>
            <w:vAlign w:val="center"/>
          </w:tcPr>
          <w:p>
            <w:pPr>
              <w:spacing w:line="240" w:lineRule="exact"/>
              <w:jc w:val="center"/>
              <w:rPr>
                <w:color w:val="auto"/>
                <w:szCs w:val="24"/>
                <w:highlight w:val="none"/>
              </w:rPr>
            </w:pPr>
            <w:r>
              <w:rPr>
                <w:rFonts w:hint="eastAsia"/>
                <w:color w:val="auto"/>
                <w:szCs w:val="24"/>
                <w:highlight w:val="none"/>
              </w:rPr>
              <w:t>7</w:t>
            </w:r>
          </w:p>
        </w:tc>
        <w:tc>
          <w:tcPr>
            <w:tcW w:w="844" w:type="pct"/>
            <w:shd w:val="clear" w:color="auto" w:fill="auto"/>
            <w:vAlign w:val="center"/>
          </w:tcPr>
          <w:p>
            <w:pPr>
              <w:spacing w:line="240" w:lineRule="exact"/>
              <w:jc w:val="center"/>
              <w:rPr>
                <w:color w:val="auto"/>
                <w:szCs w:val="24"/>
                <w:highlight w:val="none"/>
              </w:rPr>
            </w:pPr>
            <w:r>
              <w:rPr>
                <w:rFonts w:hint="eastAsia"/>
                <w:color w:val="auto"/>
                <w:szCs w:val="24"/>
                <w:highlight w:val="none"/>
              </w:rPr>
              <w:t>切割机</w:t>
            </w:r>
          </w:p>
        </w:tc>
        <w:tc>
          <w:tcPr>
            <w:tcW w:w="550" w:type="pct"/>
            <w:shd w:val="clear" w:color="auto" w:fill="auto"/>
            <w:vAlign w:val="center"/>
          </w:tcPr>
          <w:p>
            <w:pPr>
              <w:widowControl/>
              <w:spacing w:line="240" w:lineRule="exact"/>
              <w:jc w:val="center"/>
              <w:rPr>
                <w:color w:val="auto"/>
                <w:highlight w:val="none"/>
              </w:rPr>
            </w:pPr>
            <w:r>
              <w:rPr>
                <w:rFonts w:hint="eastAsia"/>
                <w:color w:val="auto"/>
                <w:szCs w:val="24"/>
                <w:highlight w:val="none"/>
              </w:rPr>
              <w:t>4</w:t>
            </w:r>
          </w:p>
        </w:tc>
        <w:tc>
          <w:tcPr>
            <w:tcW w:w="524" w:type="pct"/>
            <w:vAlign w:val="center"/>
          </w:tcPr>
          <w:p>
            <w:pPr>
              <w:widowControl/>
              <w:spacing w:line="240" w:lineRule="exact"/>
              <w:jc w:val="center"/>
              <w:rPr>
                <w:color w:val="auto"/>
                <w:highlight w:val="none"/>
              </w:rPr>
            </w:pPr>
            <w:r>
              <w:rPr>
                <w:rFonts w:hint="eastAsia"/>
                <w:color w:val="auto"/>
                <w:highlight w:val="none"/>
              </w:rPr>
              <w:t>75</w:t>
            </w:r>
          </w:p>
        </w:tc>
        <w:tc>
          <w:tcPr>
            <w:tcW w:w="1129" w:type="pct"/>
            <w:vMerge w:val="continue"/>
            <w:vAlign w:val="center"/>
          </w:tcPr>
          <w:p>
            <w:pPr>
              <w:widowControl/>
              <w:spacing w:line="240" w:lineRule="exact"/>
              <w:jc w:val="center"/>
              <w:rPr>
                <w:color w:val="auto"/>
                <w:highlight w:val="none"/>
              </w:rPr>
            </w:pPr>
          </w:p>
        </w:tc>
        <w:tc>
          <w:tcPr>
            <w:tcW w:w="769" w:type="pct"/>
            <w:shd w:val="clear" w:color="auto" w:fill="auto"/>
            <w:vAlign w:val="center"/>
          </w:tcPr>
          <w:p>
            <w:pPr>
              <w:widowControl/>
              <w:spacing w:line="240" w:lineRule="exact"/>
              <w:jc w:val="center"/>
              <w:rPr>
                <w:color w:val="auto"/>
                <w:highlight w:val="none"/>
              </w:rPr>
            </w:pPr>
            <w:r>
              <w:rPr>
                <w:rFonts w:hint="eastAsia"/>
                <w:color w:val="auto"/>
                <w:highlight w:val="none"/>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749" w:type="pct"/>
            <w:vMerge w:val="continue"/>
            <w:shd w:val="clear" w:color="auto" w:fill="auto"/>
            <w:vAlign w:val="center"/>
          </w:tcPr>
          <w:p>
            <w:pPr>
              <w:widowControl/>
              <w:spacing w:line="240" w:lineRule="exact"/>
              <w:jc w:val="center"/>
              <w:rPr>
                <w:color w:val="auto"/>
                <w:szCs w:val="24"/>
                <w:highlight w:val="none"/>
              </w:rPr>
            </w:pPr>
          </w:p>
        </w:tc>
        <w:tc>
          <w:tcPr>
            <w:tcW w:w="432" w:type="pct"/>
            <w:shd w:val="clear" w:color="auto" w:fill="auto"/>
            <w:vAlign w:val="center"/>
          </w:tcPr>
          <w:p>
            <w:pPr>
              <w:spacing w:line="240" w:lineRule="exact"/>
              <w:jc w:val="center"/>
              <w:rPr>
                <w:color w:val="auto"/>
                <w:szCs w:val="24"/>
                <w:highlight w:val="none"/>
              </w:rPr>
            </w:pPr>
            <w:r>
              <w:rPr>
                <w:rFonts w:hint="eastAsia"/>
                <w:color w:val="auto"/>
                <w:szCs w:val="24"/>
                <w:highlight w:val="none"/>
              </w:rPr>
              <w:t>8</w:t>
            </w:r>
          </w:p>
        </w:tc>
        <w:tc>
          <w:tcPr>
            <w:tcW w:w="844" w:type="pct"/>
            <w:shd w:val="clear" w:color="auto" w:fill="auto"/>
            <w:vAlign w:val="center"/>
          </w:tcPr>
          <w:p>
            <w:pPr>
              <w:spacing w:line="240" w:lineRule="exact"/>
              <w:jc w:val="center"/>
              <w:rPr>
                <w:color w:val="auto"/>
                <w:szCs w:val="24"/>
                <w:highlight w:val="none"/>
              </w:rPr>
            </w:pPr>
            <w:r>
              <w:rPr>
                <w:rFonts w:hint="eastAsia"/>
                <w:color w:val="auto"/>
                <w:szCs w:val="24"/>
                <w:highlight w:val="none"/>
              </w:rPr>
              <w:t>造粒机</w:t>
            </w:r>
          </w:p>
        </w:tc>
        <w:tc>
          <w:tcPr>
            <w:tcW w:w="550" w:type="pct"/>
            <w:shd w:val="clear" w:color="auto" w:fill="auto"/>
            <w:vAlign w:val="center"/>
          </w:tcPr>
          <w:p>
            <w:pPr>
              <w:widowControl/>
              <w:spacing w:line="240" w:lineRule="exact"/>
              <w:jc w:val="center"/>
              <w:rPr>
                <w:color w:val="auto"/>
                <w:highlight w:val="none"/>
              </w:rPr>
            </w:pPr>
            <w:r>
              <w:rPr>
                <w:rFonts w:hint="eastAsia"/>
                <w:color w:val="auto"/>
                <w:highlight w:val="none"/>
              </w:rPr>
              <w:t>10</w:t>
            </w:r>
          </w:p>
        </w:tc>
        <w:tc>
          <w:tcPr>
            <w:tcW w:w="524" w:type="pct"/>
            <w:vAlign w:val="center"/>
          </w:tcPr>
          <w:p>
            <w:pPr>
              <w:widowControl/>
              <w:spacing w:line="240" w:lineRule="exact"/>
              <w:jc w:val="center"/>
              <w:rPr>
                <w:color w:val="auto"/>
                <w:highlight w:val="none"/>
              </w:rPr>
            </w:pPr>
            <w:r>
              <w:rPr>
                <w:rFonts w:hint="eastAsia"/>
                <w:color w:val="auto"/>
                <w:highlight w:val="none"/>
              </w:rPr>
              <w:t>75</w:t>
            </w:r>
          </w:p>
        </w:tc>
        <w:tc>
          <w:tcPr>
            <w:tcW w:w="1129" w:type="pct"/>
            <w:vMerge w:val="continue"/>
            <w:vAlign w:val="center"/>
          </w:tcPr>
          <w:p>
            <w:pPr>
              <w:widowControl/>
              <w:spacing w:line="240" w:lineRule="exact"/>
              <w:jc w:val="center"/>
              <w:rPr>
                <w:color w:val="auto"/>
                <w:highlight w:val="none"/>
              </w:rPr>
            </w:pPr>
          </w:p>
        </w:tc>
        <w:tc>
          <w:tcPr>
            <w:tcW w:w="769" w:type="pct"/>
            <w:shd w:val="clear" w:color="auto" w:fill="auto"/>
            <w:vAlign w:val="center"/>
          </w:tcPr>
          <w:p>
            <w:pPr>
              <w:widowControl/>
              <w:spacing w:line="240" w:lineRule="exact"/>
              <w:jc w:val="center"/>
              <w:rPr>
                <w:color w:val="auto"/>
                <w:highlight w:val="none"/>
              </w:rPr>
            </w:pPr>
            <w:r>
              <w:rPr>
                <w:rFonts w:hint="eastAsia"/>
                <w:color w:val="auto"/>
                <w:highlight w:val="none"/>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jc w:val="center"/>
        </w:trPr>
        <w:tc>
          <w:tcPr>
            <w:tcW w:w="749" w:type="pct"/>
            <w:vMerge w:val="continue"/>
            <w:shd w:val="clear" w:color="auto" w:fill="auto"/>
            <w:vAlign w:val="center"/>
          </w:tcPr>
          <w:p>
            <w:pPr>
              <w:widowControl/>
              <w:spacing w:line="240" w:lineRule="exact"/>
              <w:jc w:val="center"/>
              <w:rPr>
                <w:color w:val="auto"/>
                <w:szCs w:val="24"/>
                <w:highlight w:val="none"/>
              </w:rPr>
            </w:pPr>
          </w:p>
        </w:tc>
        <w:tc>
          <w:tcPr>
            <w:tcW w:w="432" w:type="pct"/>
            <w:shd w:val="clear" w:color="auto" w:fill="auto"/>
            <w:vAlign w:val="center"/>
          </w:tcPr>
          <w:p>
            <w:pPr>
              <w:spacing w:line="240" w:lineRule="exact"/>
              <w:jc w:val="center"/>
              <w:rPr>
                <w:color w:val="auto"/>
                <w:szCs w:val="24"/>
                <w:highlight w:val="none"/>
              </w:rPr>
            </w:pPr>
            <w:r>
              <w:rPr>
                <w:rFonts w:hint="eastAsia"/>
                <w:color w:val="auto"/>
                <w:szCs w:val="24"/>
                <w:highlight w:val="none"/>
              </w:rPr>
              <w:t>9</w:t>
            </w:r>
          </w:p>
        </w:tc>
        <w:tc>
          <w:tcPr>
            <w:tcW w:w="844" w:type="pct"/>
            <w:shd w:val="clear" w:color="auto" w:fill="auto"/>
            <w:vAlign w:val="center"/>
          </w:tcPr>
          <w:p>
            <w:pPr>
              <w:spacing w:line="240" w:lineRule="exact"/>
              <w:jc w:val="center"/>
              <w:rPr>
                <w:color w:val="auto"/>
                <w:szCs w:val="24"/>
                <w:highlight w:val="none"/>
              </w:rPr>
            </w:pPr>
            <w:r>
              <w:rPr>
                <w:rFonts w:hint="eastAsia"/>
                <w:color w:val="auto"/>
                <w:szCs w:val="24"/>
                <w:highlight w:val="none"/>
              </w:rPr>
              <w:t>切粒机</w:t>
            </w:r>
          </w:p>
        </w:tc>
        <w:tc>
          <w:tcPr>
            <w:tcW w:w="550" w:type="pct"/>
            <w:shd w:val="clear" w:color="auto" w:fill="auto"/>
            <w:vAlign w:val="center"/>
          </w:tcPr>
          <w:p>
            <w:pPr>
              <w:widowControl/>
              <w:spacing w:line="240" w:lineRule="exact"/>
              <w:jc w:val="center"/>
              <w:rPr>
                <w:color w:val="auto"/>
                <w:highlight w:val="none"/>
              </w:rPr>
            </w:pPr>
            <w:r>
              <w:rPr>
                <w:rFonts w:hint="eastAsia"/>
                <w:color w:val="auto"/>
                <w:szCs w:val="24"/>
                <w:highlight w:val="none"/>
              </w:rPr>
              <w:t>10</w:t>
            </w:r>
          </w:p>
        </w:tc>
        <w:tc>
          <w:tcPr>
            <w:tcW w:w="524" w:type="pct"/>
            <w:vAlign w:val="center"/>
          </w:tcPr>
          <w:p>
            <w:pPr>
              <w:widowControl/>
              <w:spacing w:line="240" w:lineRule="exact"/>
              <w:jc w:val="center"/>
              <w:rPr>
                <w:color w:val="auto"/>
                <w:highlight w:val="none"/>
              </w:rPr>
            </w:pPr>
            <w:r>
              <w:rPr>
                <w:rFonts w:hint="eastAsia"/>
                <w:color w:val="auto"/>
                <w:highlight w:val="none"/>
              </w:rPr>
              <w:t>80</w:t>
            </w:r>
          </w:p>
        </w:tc>
        <w:tc>
          <w:tcPr>
            <w:tcW w:w="1129" w:type="pct"/>
            <w:vMerge w:val="continue"/>
            <w:vAlign w:val="center"/>
          </w:tcPr>
          <w:p>
            <w:pPr>
              <w:widowControl/>
              <w:spacing w:line="240" w:lineRule="exact"/>
              <w:jc w:val="center"/>
              <w:rPr>
                <w:color w:val="auto"/>
                <w:highlight w:val="none"/>
              </w:rPr>
            </w:pPr>
          </w:p>
        </w:tc>
        <w:tc>
          <w:tcPr>
            <w:tcW w:w="769" w:type="pct"/>
            <w:shd w:val="clear" w:color="auto" w:fill="auto"/>
            <w:vAlign w:val="center"/>
          </w:tcPr>
          <w:p>
            <w:pPr>
              <w:widowControl/>
              <w:spacing w:line="240" w:lineRule="exact"/>
              <w:jc w:val="center"/>
              <w:rPr>
                <w:color w:val="auto"/>
                <w:highlight w:val="none"/>
              </w:rPr>
            </w:pPr>
            <w:r>
              <w:rPr>
                <w:rFonts w:hint="eastAsia"/>
                <w:color w:val="auto"/>
                <w:highlight w:val="none"/>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749" w:type="pct"/>
            <w:vMerge w:val="continue"/>
            <w:shd w:val="clear" w:color="auto" w:fill="auto"/>
            <w:vAlign w:val="center"/>
          </w:tcPr>
          <w:p>
            <w:pPr>
              <w:widowControl/>
              <w:spacing w:line="240" w:lineRule="exact"/>
              <w:jc w:val="center"/>
              <w:rPr>
                <w:color w:val="auto"/>
                <w:szCs w:val="24"/>
                <w:highlight w:val="none"/>
              </w:rPr>
            </w:pPr>
          </w:p>
        </w:tc>
        <w:tc>
          <w:tcPr>
            <w:tcW w:w="432" w:type="pct"/>
            <w:shd w:val="clear" w:color="auto" w:fill="auto"/>
            <w:vAlign w:val="center"/>
          </w:tcPr>
          <w:p>
            <w:pPr>
              <w:spacing w:line="240" w:lineRule="exact"/>
              <w:jc w:val="center"/>
              <w:rPr>
                <w:color w:val="auto"/>
                <w:szCs w:val="24"/>
                <w:highlight w:val="none"/>
              </w:rPr>
            </w:pPr>
            <w:r>
              <w:rPr>
                <w:rFonts w:hint="eastAsia"/>
                <w:color w:val="auto"/>
                <w:szCs w:val="24"/>
                <w:highlight w:val="none"/>
              </w:rPr>
              <w:t>10</w:t>
            </w:r>
          </w:p>
        </w:tc>
        <w:tc>
          <w:tcPr>
            <w:tcW w:w="844" w:type="pct"/>
            <w:shd w:val="clear" w:color="auto" w:fill="auto"/>
            <w:vAlign w:val="center"/>
          </w:tcPr>
          <w:p>
            <w:pPr>
              <w:spacing w:line="240" w:lineRule="exact"/>
              <w:jc w:val="center"/>
              <w:rPr>
                <w:color w:val="auto"/>
                <w:szCs w:val="24"/>
                <w:highlight w:val="none"/>
              </w:rPr>
            </w:pPr>
            <w:r>
              <w:rPr>
                <w:rFonts w:hint="eastAsia"/>
                <w:color w:val="auto"/>
                <w:szCs w:val="24"/>
                <w:highlight w:val="none"/>
              </w:rPr>
              <w:t>破碎机</w:t>
            </w:r>
          </w:p>
        </w:tc>
        <w:tc>
          <w:tcPr>
            <w:tcW w:w="550" w:type="pct"/>
            <w:shd w:val="clear" w:color="auto" w:fill="auto"/>
            <w:vAlign w:val="center"/>
          </w:tcPr>
          <w:p>
            <w:pPr>
              <w:widowControl/>
              <w:spacing w:line="240" w:lineRule="exact"/>
              <w:jc w:val="center"/>
              <w:rPr>
                <w:color w:val="auto"/>
                <w:highlight w:val="none"/>
              </w:rPr>
            </w:pPr>
            <w:r>
              <w:rPr>
                <w:rFonts w:hint="eastAsia"/>
                <w:color w:val="auto"/>
                <w:szCs w:val="24"/>
                <w:highlight w:val="none"/>
              </w:rPr>
              <w:t>1</w:t>
            </w:r>
          </w:p>
        </w:tc>
        <w:tc>
          <w:tcPr>
            <w:tcW w:w="524" w:type="pct"/>
            <w:vAlign w:val="center"/>
          </w:tcPr>
          <w:p>
            <w:pPr>
              <w:widowControl/>
              <w:spacing w:line="240" w:lineRule="exact"/>
              <w:jc w:val="center"/>
              <w:rPr>
                <w:color w:val="auto"/>
                <w:highlight w:val="none"/>
              </w:rPr>
            </w:pPr>
            <w:r>
              <w:rPr>
                <w:rFonts w:hint="eastAsia"/>
                <w:color w:val="auto"/>
                <w:highlight w:val="none"/>
              </w:rPr>
              <w:t>80</w:t>
            </w:r>
          </w:p>
        </w:tc>
        <w:tc>
          <w:tcPr>
            <w:tcW w:w="1129" w:type="pct"/>
            <w:vMerge w:val="continue"/>
            <w:vAlign w:val="center"/>
          </w:tcPr>
          <w:p>
            <w:pPr>
              <w:widowControl/>
              <w:spacing w:line="240" w:lineRule="exact"/>
              <w:jc w:val="center"/>
              <w:rPr>
                <w:color w:val="auto"/>
                <w:highlight w:val="none"/>
              </w:rPr>
            </w:pPr>
          </w:p>
        </w:tc>
        <w:tc>
          <w:tcPr>
            <w:tcW w:w="769" w:type="pct"/>
            <w:shd w:val="clear" w:color="auto" w:fill="auto"/>
            <w:vAlign w:val="center"/>
          </w:tcPr>
          <w:p>
            <w:pPr>
              <w:widowControl/>
              <w:spacing w:line="240" w:lineRule="exact"/>
              <w:jc w:val="center"/>
              <w:rPr>
                <w:color w:val="auto"/>
                <w:highlight w:val="none"/>
              </w:rPr>
            </w:pPr>
            <w:r>
              <w:rPr>
                <w:rFonts w:hint="eastAsia"/>
                <w:color w:val="auto"/>
                <w:highlight w:val="none"/>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jc w:val="center"/>
        </w:trPr>
        <w:tc>
          <w:tcPr>
            <w:tcW w:w="749" w:type="pct"/>
            <w:vMerge w:val="restart"/>
            <w:shd w:val="clear" w:color="auto" w:fill="auto"/>
            <w:vAlign w:val="center"/>
          </w:tcPr>
          <w:p>
            <w:pPr>
              <w:widowControl/>
              <w:spacing w:line="240" w:lineRule="exact"/>
              <w:jc w:val="center"/>
              <w:rPr>
                <w:color w:val="auto"/>
                <w:szCs w:val="24"/>
                <w:highlight w:val="none"/>
              </w:rPr>
            </w:pPr>
            <w:r>
              <w:rPr>
                <w:color w:val="auto"/>
                <w:szCs w:val="24"/>
                <w:highlight w:val="none"/>
              </w:rPr>
              <w:t>辅助设备</w:t>
            </w:r>
          </w:p>
        </w:tc>
        <w:tc>
          <w:tcPr>
            <w:tcW w:w="432" w:type="pct"/>
            <w:shd w:val="clear" w:color="auto" w:fill="auto"/>
            <w:vAlign w:val="center"/>
          </w:tcPr>
          <w:p>
            <w:pPr>
              <w:spacing w:line="240" w:lineRule="exact"/>
              <w:jc w:val="center"/>
              <w:rPr>
                <w:color w:val="auto"/>
                <w:szCs w:val="24"/>
                <w:highlight w:val="none"/>
              </w:rPr>
            </w:pPr>
            <w:r>
              <w:rPr>
                <w:rFonts w:hint="eastAsia"/>
                <w:color w:val="auto"/>
                <w:szCs w:val="24"/>
                <w:highlight w:val="none"/>
              </w:rPr>
              <w:t>11</w:t>
            </w:r>
          </w:p>
        </w:tc>
        <w:tc>
          <w:tcPr>
            <w:tcW w:w="844" w:type="pct"/>
            <w:shd w:val="clear" w:color="auto" w:fill="auto"/>
            <w:vAlign w:val="center"/>
          </w:tcPr>
          <w:p>
            <w:pPr>
              <w:spacing w:line="240" w:lineRule="exact"/>
              <w:jc w:val="center"/>
              <w:rPr>
                <w:color w:val="auto"/>
                <w:szCs w:val="24"/>
                <w:highlight w:val="none"/>
              </w:rPr>
            </w:pPr>
            <w:r>
              <w:rPr>
                <w:rFonts w:hint="eastAsia"/>
                <w:color w:val="auto"/>
                <w:szCs w:val="24"/>
                <w:highlight w:val="none"/>
              </w:rPr>
              <w:t>风机</w:t>
            </w:r>
          </w:p>
        </w:tc>
        <w:tc>
          <w:tcPr>
            <w:tcW w:w="550" w:type="pct"/>
            <w:shd w:val="clear" w:color="auto" w:fill="auto"/>
            <w:vAlign w:val="center"/>
          </w:tcPr>
          <w:p>
            <w:pPr>
              <w:widowControl/>
              <w:spacing w:line="240" w:lineRule="exact"/>
              <w:jc w:val="center"/>
              <w:rPr>
                <w:rFonts w:hint="eastAsia" w:eastAsia="宋体"/>
                <w:color w:val="auto"/>
                <w:highlight w:val="none"/>
                <w:lang w:eastAsia="zh-CN"/>
              </w:rPr>
            </w:pPr>
            <w:r>
              <w:rPr>
                <w:rFonts w:hint="eastAsia"/>
                <w:color w:val="auto"/>
                <w:highlight w:val="none"/>
                <w:lang w:val="en-US" w:eastAsia="zh-CN"/>
              </w:rPr>
              <w:t>1</w:t>
            </w:r>
          </w:p>
        </w:tc>
        <w:tc>
          <w:tcPr>
            <w:tcW w:w="524" w:type="pct"/>
            <w:vAlign w:val="center"/>
          </w:tcPr>
          <w:p>
            <w:pPr>
              <w:widowControl/>
              <w:spacing w:line="240" w:lineRule="exact"/>
              <w:jc w:val="center"/>
              <w:rPr>
                <w:color w:val="auto"/>
                <w:highlight w:val="none"/>
              </w:rPr>
            </w:pPr>
            <w:r>
              <w:rPr>
                <w:rFonts w:hint="eastAsia"/>
                <w:color w:val="auto"/>
                <w:highlight w:val="none"/>
              </w:rPr>
              <w:t>85</w:t>
            </w:r>
          </w:p>
        </w:tc>
        <w:tc>
          <w:tcPr>
            <w:tcW w:w="1129" w:type="pct"/>
            <w:vAlign w:val="center"/>
          </w:tcPr>
          <w:p>
            <w:pPr>
              <w:widowControl/>
              <w:spacing w:line="240" w:lineRule="exact"/>
              <w:jc w:val="center"/>
              <w:rPr>
                <w:color w:val="auto"/>
                <w:highlight w:val="none"/>
              </w:rPr>
            </w:pPr>
            <w:r>
              <w:rPr>
                <w:rFonts w:hint="eastAsia"/>
                <w:color w:val="auto"/>
                <w:highlight w:val="none"/>
              </w:rPr>
              <w:t>基础减震</w:t>
            </w:r>
          </w:p>
        </w:tc>
        <w:tc>
          <w:tcPr>
            <w:tcW w:w="769" w:type="pct"/>
            <w:shd w:val="clear" w:color="auto" w:fill="auto"/>
            <w:vAlign w:val="center"/>
          </w:tcPr>
          <w:p>
            <w:pPr>
              <w:widowControl/>
              <w:spacing w:line="240" w:lineRule="exact"/>
              <w:jc w:val="center"/>
              <w:rPr>
                <w:color w:val="auto"/>
                <w:highlight w:val="none"/>
              </w:rPr>
            </w:pPr>
            <w:r>
              <w:rPr>
                <w:rFonts w:hint="eastAsia"/>
                <w:color w:val="auto"/>
                <w:highlight w:val="none"/>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jc w:val="center"/>
        </w:trPr>
        <w:tc>
          <w:tcPr>
            <w:tcW w:w="749" w:type="pct"/>
            <w:vMerge w:val="continue"/>
            <w:shd w:val="clear" w:color="auto" w:fill="auto"/>
            <w:vAlign w:val="center"/>
          </w:tcPr>
          <w:p>
            <w:pPr>
              <w:widowControl/>
              <w:spacing w:line="240" w:lineRule="exact"/>
              <w:jc w:val="center"/>
              <w:rPr>
                <w:color w:val="auto"/>
                <w:szCs w:val="24"/>
                <w:highlight w:val="none"/>
              </w:rPr>
            </w:pPr>
          </w:p>
        </w:tc>
        <w:tc>
          <w:tcPr>
            <w:tcW w:w="432" w:type="pct"/>
            <w:shd w:val="clear" w:color="auto" w:fill="auto"/>
            <w:vAlign w:val="center"/>
          </w:tcPr>
          <w:p>
            <w:pPr>
              <w:spacing w:line="240" w:lineRule="exact"/>
              <w:jc w:val="center"/>
              <w:rPr>
                <w:color w:val="auto"/>
                <w:szCs w:val="24"/>
                <w:highlight w:val="none"/>
              </w:rPr>
            </w:pPr>
            <w:r>
              <w:rPr>
                <w:rFonts w:hint="eastAsia"/>
                <w:color w:val="auto"/>
                <w:szCs w:val="24"/>
                <w:highlight w:val="none"/>
              </w:rPr>
              <w:t>12</w:t>
            </w:r>
          </w:p>
        </w:tc>
        <w:tc>
          <w:tcPr>
            <w:tcW w:w="844" w:type="pct"/>
            <w:shd w:val="clear" w:color="auto" w:fill="auto"/>
            <w:vAlign w:val="center"/>
          </w:tcPr>
          <w:p>
            <w:pPr>
              <w:spacing w:line="240" w:lineRule="exact"/>
              <w:jc w:val="center"/>
              <w:rPr>
                <w:color w:val="auto"/>
                <w:szCs w:val="24"/>
                <w:highlight w:val="none"/>
              </w:rPr>
            </w:pPr>
            <w:r>
              <w:rPr>
                <w:rFonts w:hint="eastAsia"/>
                <w:color w:val="auto"/>
                <w:szCs w:val="24"/>
                <w:highlight w:val="none"/>
              </w:rPr>
              <w:t>泵类</w:t>
            </w:r>
          </w:p>
        </w:tc>
        <w:tc>
          <w:tcPr>
            <w:tcW w:w="550" w:type="pct"/>
            <w:shd w:val="clear" w:color="auto" w:fill="auto"/>
            <w:vAlign w:val="center"/>
          </w:tcPr>
          <w:p>
            <w:pPr>
              <w:widowControl/>
              <w:spacing w:line="240" w:lineRule="exact"/>
              <w:jc w:val="center"/>
              <w:rPr>
                <w:color w:val="auto"/>
                <w:highlight w:val="none"/>
              </w:rPr>
            </w:pPr>
            <w:r>
              <w:rPr>
                <w:rFonts w:hint="eastAsia"/>
                <w:color w:val="auto"/>
                <w:highlight w:val="none"/>
              </w:rPr>
              <w:t>3</w:t>
            </w:r>
          </w:p>
        </w:tc>
        <w:tc>
          <w:tcPr>
            <w:tcW w:w="524" w:type="pct"/>
            <w:vAlign w:val="center"/>
          </w:tcPr>
          <w:p>
            <w:pPr>
              <w:widowControl/>
              <w:spacing w:line="240" w:lineRule="exact"/>
              <w:jc w:val="center"/>
              <w:rPr>
                <w:color w:val="auto"/>
                <w:highlight w:val="none"/>
              </w:rPr>
            </w:pPr>
            <w:r>
              <w:rPr>
                <w:rFonts w:hint="eastAsia"/>
                <w:color w:val="auto"/>
                <w:highlight w:val="none"/>
              </w:rPr>
              <w:t>80</w:t>
            </w:r>
          </w:p>
        </w:tc>
        <w:tc>
          <w:tcPr>
            <w:tcW w:w="1129" w:type="pct"/>
            <w:vAlign w:val="center"/>
          </w:tcPr>
          <w:p>
            <w:pPr>
              <w:widowControl/>
              <w:spacing w:line="240" w:lineRule="exact"/>
              <w:jc w:val="center"/>
              <w:rPr>
                <w:color w:val="auto"/>
                <w:highlight w:val="none"/>
              </w:rPr>
            </w:pPr>
            <w:r>
              <w:rPr>
                <w:rFonts w:hint="eastAsia"/>
                <w:color w:val="auto"/>
                <w:highlight w:val="none"/>
              </w:rPr>
              <w:t>基础减震</w:t>
            </w:r>
          </w:p>
        </w:tc>
        <w:tc>
          <w:tcPr>
            <w:tcW w:w="769" w:type="pct"/>
            <w:shd w:val="clear" w:color="auto" w:fill="auto"/>
            <w:vAlign w:val="center"/>
          </w:tcPr>
          <w:p>
            <w:pPr>
              <w:widowControl/>
              <w:spacing w:line="240" w:lineRule="exact"/>
              <w:jc w:val="center"/>
              <w:rPr>
                <w:color w:val="auto"/>
                <w:highlight w:val="none"/>
              </w:rPr>
            </w:pPr>
            <w:r>
              <w:rPr>
                <w:rFonts w:hint="eastAsia"/>
                <w:color w:val="auto"/>
                <w:highlight w:val="none"/>
              </w:rPr>
              <w:t>60</w:t>
            </w:r>
          </w:p>
        </w:tc>
      </w:tr>
    </w:tbl>
    <w:p>
      <w:pPr>
        <w:pStyle w:val="101"/>
        <w:spacing w:before="78"/>
        <w:rPr>
          <w:rFonts w:ascii="Times New Roman" w:hAnsi="Times New Roman"/>
          <w:color w:val="auto"/>
          <w:highlight w:val="none"/>
        </w:rPr>
      </w:pPr>
      <w:r>
        <w:rPr>
          <w:rFonts w:ascii="Times New Roman" w:hAnsi="Times New Roman"/>
          <w:color w:val="auto"/>
          <w:highlight w:val="none"/>
        </w:rPr>
        <w:t>4.4.2噪声环境影响预测</w:t>
      </w:r>
    </w:p>
    <w:p>
      <w:pPr>
        <w:pStyle w:val="112"/>
        <w:rPr>
          <w:color w:val="auto"/>
          <w:highlight w:val="none"/>
        </w:rPr>
      </w:pPr>
      <w:r>
        <w:rPr>
          <w:color w:val="auto"/>
          <w:highlight w:val="none"/>
        </w:rPr>
        <w:t>4.4.2.1</w:t>
      </w:r>
      <w:r>
        <w:rPr>
          <w:rFonts w:hint="eastAsia"/>
          <w:color w:val="auto"/>
          <w:highlight w:val="none"/>
        </w:rPr>
        <w:t>预测模型</w:t>
      </w:r>
    </w:p>
    <w:p>
      <w:pPr>
        <w:autoSpaceDE w:val="0"/>
        <w:autoSpaceDN w:val="0"/>
        <w:adjustRightInd w:val="0"/>
        <w:spacing w:line="360" w:lineRule="auto"/>
        <w:ind w:firstLine="480" w:firstLineChars="200"/>
        <w:rPr>
          <w:color w:val="auto"/>
          <w:kern w:val="0"/>
          <w:sz w:val="24"/>
          <w:highlight w:val="none"/>
          <w:lang w:val="zh-CN"/>
        </w:rPr>
      </w:pPr>
      <w:r>
        <w:rPr>
          <w:color w:val="auto"/>
          <w:kern w:val="0"/>
          <w:sz w:val="24"/>
          <w:highlight w:val="none"/>
          <w:lang w:val="zh-CN"/>
        </w:rPr>
        <w:t>采用《环境影响评价技术导则 声环境》</w:t>
      </w:r>
      <w:r>
        <w:rPr>
          <w:color w:val="auto"/>
          <w:kern w:val="0"/>
          <w:sz w:val="24"/>
          <w:highlight w:val="none"/>
        </w:rPr>
        <w:t>(HJ2.4-20</w:t>
      </w:r>
      <w:r>
        <w:rPr>
          <w:rFonts w:hint="eastAsia"/>
          <w:color w:val="auto"/>
          <w:kern w:val="0"/>
          <w:sz w:val="24"/>
          <w:highlight w:val="none"/>
        </w:rPr>
        <w:t>21</w:t>
      </w:r>
      <w:r>
        <w:rPr>
          <w:color w:val="auto"/>
          <w:kern w:val="0"/>
          <w:sz w:val="24"/>
          <w:highlight w:val="none"/>
        </w:rPr>
        <w:t>)</w:t>
      </w:r>
      <w:r>
        <w:rPr>
          <w:color w:val="auto"/>
          <w:kern w:val="0"/>
          <w:sz w:val="24"/>
          <w:highlight w:val="none"/>
          <w:lang w:val="zh-CN"/>
        </w:rPr>
        <w:t>中推荐</w:t>
      </w:r>
      <w:r>
        <w:rPr>
          <w:rFonts w:hint="eastAsia"/>
          <w:color w:val="auto"/>
          <w:kern w:val="0"/>
          <w:sz w:val="24"/>
          <w:highlight w:val="none"/>
          <w:lang w:val="zh-CN"/>
        </w:rPr>
        <w:t>模型</w:t>
      </w:r>
      <w:r>
        <w:rPr>
          <w:color w:val="auto"/>
          <w:kern w:val="0"/>
          <w:sz w:val="24"/>
          <w:highlight w:val="none"/>
          <w:lang w:val="zh-CN"/>
        </w:rPr>
        <w:t>进行预测，模式如下：</w:t>
      </w:r>
    </w:p>
    <w:p>
      <w:pPr>
        <w:autoSpaceDE w:val="0"/>
        <w:autoSpaceDN w:val="0"/>
        <w:adjustRightInd w:val="0"/>
        <w:spacing w:line="360" w:lineRule="auto"/>
        <w:ind w:firstLine="480" w:firstLineChars="200"/>
        <w:rPr>
          <w:color w:val="auto"/>
          <w:kern w:val="0"/>
          <w:sz w:val="24"/>
          <w:highlight w:val="none"/>
          <w:lang w:val="zh-CN"/>
        </w:rPr>
      </w:pPr>
      <w:r>
        <w:rPr>
          <w:color w:val="auto"/>
          <w:kern w:val="0"/>
          <w:sz w:val="24"/>
          <w:highlight w:val="none"/>
          <w:lang w:val="zh-CN"/>
        </w:rPr>
        <w:t>1、室外声源在预测点的声压级计算</w:t>
      </w:r>
    </w:p>
    <w:p>
      <w:pPr>
        <w:pStyle w:val="28"/>
        <w:jc w:val="center"/>
        <w:rPr>
          <w:rFonts w:hint="eastAsia"/>
          <w:color w:val="auto"/>
          <w:sz w:val="24"/>
          <w:szCs w:val="22"/>
          <w:highlight w:val="none"/>
          <w:lang w:val="en-US"/>
        </w:rPr>
      </w:pPr>
      <w:r>
        <w:rPr>
          <w:color w:val="auto"/>
          <w:sz w:val="24"/>
          <w:highlight w:val="none"/>
          <w:lang w:val="en-US"/>
        </w:rPr>
        <w:t>L</w:t>
      </w:r>
      <w:r>
        <w:rPr>
          <w:rFonts w:hint="eastAsia"/>
          <w:color w:val="auto"/>
          <w:sz w:val="24"/>
          <w:highlight w:val="none"/>
          <w:vertAlign w:val="subscript"/>
          <w:lang w:val="en-US"/>
        </w:rPr>
        <w:t>p</w:t>
      </w:r>
      <w:r>
        <w:rPr>
          <w:color w:val="auto"/>
          <w:sz w:val="24"/>
          <w:highlight w:val="none"/>
          <w:lang w:val="en-US"/>
        </w:rPr>
        <w:t>(r)</w:t>
      </w:r>
      <w:r>
        <w:rPr>
          <w:rFonts w:hint="eastAsia"/>
          <w:color w:val="auto"/>
          <w:sz w:val="24"/>
          <w:highlight w:val="none"/>
          <w:lang w:val="en-US"/>
        </w:rPr>
        <w:t>=</w:t>
      </w:r>
      <w:r>
        <w:rPr>
          <w:rFonts w:hint="eastAsia"/>
          <w:color w:val="auto"/>
          <w:sz w:val="24"/>
          <w:szCs w:val="24"/>
          <w:highlight w:val="none"/>
          <w:lang w:val="en-US"/>
        </w:rPr>
        <w:t xml:space="preserve"> L</w:t>
      </w:r>
      <w:r>
        <w:rPr>
          <w:rFonts w:hint="eastAsia"/>
          <w:color w:val="auto"/>
          <w:sz w:val="24"/>
          <w:szCs w:val="24"/>
          <w:highlight w:val="none"/>
          <w:vertAlign w:val="subscript"/>
          <w:lang w:val="en-US"/>
        </w:rPr>
        <w:t>p</w:t>
      </w:r>
      <w:r>
        <w:rPr>
          <w:color w:val="auto"/>
          <w:sz w:val="24"/>
          <w:highlight w:val="none"/>
          <w:lang w:val="en-US"/>
        </w:rPr>
        <w:t>(r</w:t>
      </w:r>
      <w:r>
        <w:rPr>
          <w:color w:val="auto"/>
          <w:sz w:val="24"/>
          <w:highlight w:val="none"/>
          <w:vertAlign w:val="subscript"/>
          <w:lang w:val="en-US"/>
        </w:rPr>
        <w:t>0</w:t>
      </w:r>
      <w:r>
        <w:rPr>
          <w:color w:val="auto"/>
          <w:sz w:val="24"/>
          <w:highlight w:val="none"/>
          <w:lang w:val="en-US"/>
        </w:rPr>
        <w:t>)+</w:t>
      </w:r>
      <w:r>
        <w:rPr>
          <w:rFonts w:hint="eastAsia"/>
          <w:color w:val="auto"/>
          <w:sz w:val="24"/>
          <w:szCs w:val="24"/>
          <w:highlight w:val="none"/>
          <w:lang w:val="en-US"/>
        </w:rPr>
        <w:t>D</w:t>
      </w:r>
      <w:r>
        <w:rPr>
          <w:rFonts w:hint="eastAsia"/>
          <w:color w:val="auto"/>
          <w:sz w:val="24"/>
          <w:szCs w:val="24"/>
          <w:highlight w:val="none"/>
          <w:vertAlign w:val="subscript"/>
          <w:lang w:val="en-US"/>
        </w:rPr>
        <w:t>c</w:t>
      </w:r>
      <w:r>
        <w:rPr>
          <w:color w:val="auto"/>
          <w:sz w:val="24"/>
          <w:szCs w:val="24"/>
          <w:highlight w:val="none"/>
          <w:lang w:val="en-US"/>
        </w:rPr>
        <w:t>-(</w:t>
      </w:r>
      <w:r>
        <w:rPr>
          <w:rFonts w:hint="eastAsia"/>
          <w:color w:val="auto"/>
          <w:sz w:val="24"/>
          <w:szCs w:val="24"/>
          <w:highlight w:val="none"/>
          <w:lang w:val="en-US"/>
        </w:rPr>
        <w:t>A</w:t>
      </w:r>
      <w:r>
        <w:rPr>
          <w:rFonts w:hint="eastAsia"/>
          <w:color w:val="auto"/>
          <w:sz w:val="24"/>
          <w:szCs w:val="24"/>
          <w:highlight w:val="none"/>
          <w:vertAlign w:val="subscript"/>
          <w:lang w:val="en-US"/>
        </w:rPr>
        <w:t>div</w:t>
      </w:r>
      <w:r>
        <w:rPr>
          <w:color w:val="auto"/>
          <w:sz w:val="24"/>
          <w:szCs w:val="24"/>
          <w:highlight w:val="none"/>
          <w:lang w:val="en-US"/>
        </w:rPr>
        <w:t>+</w:t>
      </w:r>
      <w:r>
        <w:rPr>
          <w:rFonts w:hint="eastAsia"/>
          <w:color w:val="auto"/>
          <w:sz w:val="24"/>
          <w:szCs w:val="24"/>
          <w:highlight w:val="none"/>
          <w:lang w:val="en-US"/>
        </w:rPr>
        <w:t>A</w:t>
      </w:r>
      <w:r>
        <w:rPr>
          <w:rFonts w:hint="eastAsia"/>
          <w:color w:val="auto"/>
          <w:sz w:val="24"/>
          <w:szCs w:val="24"/>
          <w:highlight w:val="none"/>
          <w:vertAlign w:val="subscript"/>
          <w:lang w:val="en-US"/>
        </w:rPr>
        <w:t>atm</w:t>
      </w:r>
      <w:r>
        <w:rPr>
          <w:color w:val="auto"/>
          <w:sz w:val="24"/>
          <w:szCs w:val="24"/>
          <w:highlight w:val="none"/>
          <w:lang w:val="en-US"/>
        </w:rPr>
        <w:t>+A</w:t>
      </w:r>
      <w:r>
        <w:rPr>
          <w:rFonts w:hint="eastAsia"/>
          <w:color w:val="auto"/>
          <w:sz w:val="24"/>
          <w:szCs w:val="24"/>
          <w:highlight w:val="none"/>
          <w:vertAlign w:val="subscript"/>
          <w:lang w:val="en-US"/>
        </w:rPr>
        <w:t>gr</w:t>
      </w:r>
      <w:r>
        <w:rPr>
          <w:color w:val="auto"/>
          <w:sz w:val="24"/>
          <w:szCs w:val="24"/>
          <w:highlight w:val="none"/>
          <w:lang w:val="en-US"/>
        </w:rPr>
        <w:t>+</w:t>
      </w:r>
      <w:r>
        <w:rPr>
          <w:rFonts w:hint="eastAsia"/>
          <w:color w:val="auto"/>
          <w:sz w:val="24"/>
          <w:szCs w:val="24"/>
          <w:highlight w:val="none"/>
          <w:lang w:val="en-US"/>
        </w:rPr>
        <w:t>A</w:t>
      </w:r>
      <w:r>
        <w:rPr>
          <w:rFonts w:hint="eastAsia"/>
          <w:color w:val="auto"/>
          <w:sz w:val="24"/>
          <w:szCs w:val="24"/>
          <w:highlight w:val="none"/>
          <w:vertAlign w:val="subscript"/>
          <w:lang w:val="en-US"/>
        </w:rPr>
        <w:t>bar</w:t>
      </w:r>
      <w:r>
        <w:rPr>
          <w:color w:val="auto"/>
          <w:sz w:val="24"/>
          <w:szCs w:val="24"/>
          <w:highlight w:val="none"/>
          <w:lang w:val="en-US"/>
        </w:rPr>
        <w:t>+</w:t>
      </w:r>
      <w:r>
        <w:rPr>
          <w:rFonts w:hint="eastAsia"/>
          <w:color w:val="auto"/>
          <w:sz w:val="24"/>
          <w:szCs w:val="24"/>
          <w:highlight w:val="none"/>
          <w:lang w:val="en-US"/>
        </w:rPr>
        <w:t>A</w:t>
      </w:r>
      <w:r>
        <w:rPr>
          <w:rFonts w:hint="eastAsia"/>
          <w:color w:val="auto"/>
          <w:sz w:val="24"/>
          <w:szCs w:val="24"/>
          <w:highlight w:val="none"/>
          <w:vertAlign w:val="subscript"/>
          <w:lang w:val="en-US"/>
        </w:rPr>
        <w:t>misc</w:t>
      </w:r>
      <w:r>
        <w:rPr>
          <w:color w:val="auto"/>
          <w:sz w:val="24"/>
          <w:szCs w:val="24"/>
          <w:highlight w:val="none"/>
          <w:lang w:val="en-US"/>
        </w:rPr>
        <w:t>)</w:t>
      </w:r>
    </w:p>
    <w:p>
      <w:pPr>
        <w:spacing w:line="360" w:lineRule="auto"/>
        <w:ind w:firstLine="480" w:firstLineChars="200"/>
        <w:rPr>
          <w:color w:val="auto"/>
          <w:sz w:val="24"/>
          <w:highlight w:val="none"/>
        </w:rPr>
      </w:pPr>
      <w:r>
        <w:rPr>
          <w:color w:val="auto"/>
          <w:sz w:val="24"/>
          <w:highlight w:val="none"/>
        </w:rPr>
        <w:t>式中：L</w:t>
      </w:r>
      <w:r>
        <w:rPr>
          <w:rFonts w:hint="eastAsia"/>
          <w:color w:val="auto"/>
          <w:sz w:val="24"/>
          <w:highlight w:val="none"/>
          <w:vertAlign w:val="subscript"/>
        </w:rPr>
        <w:t>p</w:t>
      </w:r>
      <w:r>
        <w:rPr>
          <w:color w:val="auto"/>
          <w:sz w:val="24"/>
          <w:highlight w:val="none"/>
        </w:rPr>
        <w:t>(r)——</w:t>
      </w:r>
      <w:r>
        <w:rPr>
          <w:rFonts w:hint="eastAsia"/>
          <w:color w:val="auto"/>
          <w:sz w:val="24"/>
          <w:highlight w:val="none"/>
        </w:rPr>
        <w:t>预测点处声压级</w:t>
      </w:r>
      <w:r>
        <w:rPr>
          <w:color w:val="auto"/>
          <w:sz w:val="24"/>
          <w:highlight w:val="none"/>
        </w:rPr>
        <w:t>，dB；</w:t>
      </w:r>
    </w:p>
    <w:p>
      <w:pPr>
        <w:pStyle w:val="28"/>
        <w:spacing w:after="0" w:line="360" w:lineRule="auto"/>
        <w:ind w:firstLine="480" w:firstLineChars="200"/>
        <w:rPr>
          <w:color w:val="auto"/>
          <w:sz w:val="24"/>
          <w:szCs w:val="24"/>
          <w:highlight w:val="none"/>
          <w:lang w:val="en-US"/>
        </w:rPr>
      </w:pPr>
      <w:r>
        <w:rPr>
          <w:rFonts w:hint="eastAsia"/>
          <w:color w:val="auto"/>
          <w:sz w:val="24"/>
          <w:szCs w:val="24"/>
          <w:highlight w:val="none"/>
          <w:lang w:val="en-US"/>
        </w:rPr>
        <w:t>L</w:t>
      </w:r>
      <w:r>
        <w:rPr>
          <w:rFonts w:hint="eastAsia"/>
          <w:color w:val="auto"/>
          <w:sz w:val="24"/>
          <w:szCs w:val="24"/>
          <w:highlight w:val="none"/>
          <w:vertAlign w:val="subscript"/>
          <w:lang w:val="en-US"/>
        </w:rPr>
        <w:t>p</w:t>
      </w:r>
      <w:r>
        <w:rPr>
          <w:color w:val="auto"/>
          <w:sz w:val="24"/>
          <w:highlight w:val="none"/>
        </w:rPr>
        <w:t>(r</w:t>
      </w:r>
      <w:r>
        <w:rPr>
          <w:color w:val="auto"/>
          <w:sz w:val="24"/>
          <w:highlight w:val="none"/>
          <w:vertAlign w:val="subscript"/>
        </w:rPr>
        <w:t>0</w:t>
      </w:r>
      <w:r>
        <w:rPr>
          <w:color w:val="auto"/>
          <w:sz w:val="24"/>
          <w:highlight w:val="none"/>
        </w:rPr>
        <w:t>)</w:t>
      </w:r>
      <w:r>
        <w:rPr>
          <w:rFonts w:hint="eastAsia"/>
          <w:color w:val="auto"/>
          <w:sz w:val="24"/>
          <w:szCs w:val="24"/>
          <w:highlight w:val="none"/>
          <w:lang w:val="en-US"/>
        </w:rPr>
        <w:t>——参考位置r</w:t>
      </w:r>
      <w:r>
        <w:rPr>
          <w:color w:val="auto"/>
          <w:sz w:val="24"/>
          <w:szCs w:val="24"/>
          <w:highlight w:val="none"/>
          <w:vertAlign w:val="subscript"/>
          <w:lang w:val="en-US"/>
        </w:rPr>
        <w:t>0</w:t>
      </w:r>
      <w:r>
        <w:rPr>
          <w:rFonts w:hint="eastAsia"/>
          <w:color w:val="auto"/>
          <w:sz w:val="24"/>
          <w:szCs w:val="24"/>
          <w:highlight w:val="none"/>
          <w:lang w:val="en-US"/>
        </w:rPr>
        <w:t>处的声压级，dB；</w:t>
      </w:r>
    </w:p>
    <w:p>
      <w:pPr>
        <w:pStyle w:val="28"/>
        <w:spacing w:after="0" w:line="360" w:lineRule="auto"/>
        <w:ind w:firstLine="480" w:firstLineChars="200"/>
        <w:rPr>
          <w:rFonts w:hint="eastAsia"/>
          <w:color w:val="auto"/>
          <w:sz w:val="24"/>
          <w:szCs w:val="24"/>
          <w:highlight w:val="none"/>
          <w:lang w:val="en-US"/>
        </w:rPr>
      </w:pPr>
      <w:r>
        <w:rPr>
          <w:rFonts w:hint="eastAsia"/>
          <w:color w:val="auto"/>
          <w:sz w:val="24"/>
          <w:szCs w:val="24"/>
          <w:highlight w:val="none"/>
          <w:lang w:val="en-US"/>
        </w:rPr>
        <w:t>D</w:t>
      </w:r>
      <w:r>
        <w:rPr>
          <w:rFonts w:hint="eastAsia"/>
          <w:color w:val="auto"/>
          <w:sz w:val="24"/>
          <w:szCs w:val="24"/>
          <w:highlight w:val="none"/>
          <w:vertAlign w:val="subscript"/>
          <w:lang w:val="en-US"/>
        </w:rPr>
        <w:t>c</w:t>
      </w:r>
      <w:r>
        <w:rPr>
          <w:rFonts w:hint="eastAsia"/>
          <w:color w:val="auto"/>
          <w:sz w:val="24"/>
          <w:szCs w:val="24"/>
          <w:highlight w:val="none"/>
          <w:lang w:val="en-US"/>
        </w:rPr>
        <w:t>——指向性校正，它描述点声源的等效连续声压级与产生声功率级Lw的全向点声源在规定方向的声级的偏差程度，dB；</w:t>
      </w:r>
    </w:p>
    <w:p>
      <w:pPr>
        <w:pStyle w:val="28"/>
        <w:spacing w:after="0" w:line="360" w:lineRule="auto"/>
        <w:ind w:firstLine="480" w:firstLineChars="200"/>
        <w:rPr>
          <w:rFonts w:hint="eastAsia"/>
          <w:color w:val="auto"/>
          <w:sz w:val="24"/>
          <w:szCs w:val="24"/>
          <w:highlight w:val="none"/>
          <w:lang w:val="en-US"/>
        </w:rPr>
      </w:pPr>
      <w:r>
        <w:rPr>
          <w:rFonts w:hint="eastAsia"/>
          <w:color w:val="auto"/>
          <w:sz w:val="24"/>
          <w:szCs w:val="24"/>
          <w:highlight w:val="none"/>
          <w:lang w:val="en-US"/>
        </w:rPr>
        <w:t>A</w:t>
      </w:r>
      <w:r>
        <w:rPr>
          <w:rFonts w:hint="eastAsia"/>
          <w:color w:val="auto"/>
          <w:sz w:val="24"/>
          <w:szCs w:val="24"/>
          <w:highlight w:val="none"/>
          <w:vertAlign w:val="subscript"/>
          <w:lang w:val="en-US"/>
        </w:rPr>
        <w:t>div</w:t>
      </w:r>
      <w:r>
        <w:rPr>
          <w:rFonts w:hint="eastAsia"/>
          <w:color w:val="auto"/>
          <w:sz w:val="24"/>
          <w:szCs w:val="24"/>
          <w:highlight w:val="none"/>
          <w:lang w:val="en-US"/>
        </w:rPr>
        <w:t>——几何发散引起的衰减，dB；</w:t>
      </w:r>
    </w:p>
    <w:p>
      <w:pPr>
        <w:pStyle w:val="28"/>
        <w:spacing w:after="0" w:line="360" w:lineRule="auto"/>
        <w:ind w:firstLine="480" w:firstLineChars="200"/>
        <w:rPr>
          <w:rFonts w:hint="eastAsia"/>
          <w:color w:val="auto"/>
          <w:sz w:val="24"/>
          <w:szCs w:val="24"/>
          <w:highlight w:val="none"/>
          <w:lang w:val="en-US"/>
        </w:rPr>
      </w:pPr>
      <w:r>
        <w:rPr>
          <w:rFonts w:hint="eastAsia"/>
          <w:color w:val="auto"/>
          <w:sz w:val="24"/>
          <w:szCs w:val="24"/>
          <w:highlight w:val="none"/>
          <w:lang w:val="en-US"/>
        </w:rPr>
        <w:t>A</w:t>
      </w:r>
      <w:r>
        <w:rPr>
          <w:rFonts w:hint="eastAsia"/>
          <w:color w:val="auto"/>
          <w:sz w:val="24"/>
          <w:szCs w:val="24"/>
          <w:highlight w:val="none"/>
          <w:vertAlign w:val="subscript"/>
          <w:lang w:val="en-US"/>
        </w:rPr>
        <w:t>atm</w:t>
      </w:r>
      <w:r>
        <w:rPr>
          <w:rFonts w:hint="eastAsia"/>
          <w:color w:val="auto"/>
          <w:sz w:val="24"/>
          <w:szCs w:val="24"/>
          <w:highlight w:val="none"/>
          <w:lang w:val="en-US"/>
        </w:rPr>
        <w:t>——大气吸收引起的衰减，dB；</w:t>
      </w:r>
    </w:p>
    <w:p>
      <w:pPr>
        <w:pStyle w:val="28"/>
        <w:spacing w:after="0" w:line="360" w:lineRule="auto"/>
        <w:ind w:firstLine="480" w:firstLineChars="200"/>
        <w:rPr>
          <w:rFonts w:hint="eastAsia"/>
          <w:color w:val="auto"/>
          <w:sz w:val="24"/>
          <w:szCs w:val="24"/>
          <w:highlight w:val="none"/>
          <w:lang w:val="en-US"/>
        </w:rPr>
      </w:pPr>
      <w:r>
        <w:rPr>
          <w:color w:val="auto"/>
          <w:sz w:val="24"/>
          <w:szCs w:val="24"/>
          <w:highlight w:val="none"/>
          <w:lang w:val="en-US"/>
        </w:rPr>
        <w:t>A</w:t>
      </w:r>
      <w:r>
        <w:rPr>
          <w:rFonts w:hint="eastAsia"/>
          <w:color w:val="auto"/>
          <w:sz w:val="24"/>
          <w:szCs w:val="24"/>
          <w:highlight w:val="none"/>
          <w:vertAlign w:val="subscript"/>
          <w:lang w:val="en-US"/>
        </w:rPr>
        <w:t>gr</w:t>
      </w:r>
      <w:r>
        <w:rPr>
          <w:rFonts w:hint="eastAsia"/>
          <w:color w:val="auto"/>
          <w:sz w:val="24"/>
          <w:szCs w:val="24"/>
          <w:highlight w:val="none"/>
          <w:lang w:val="en-US"/>
        </w:rPr>
        <w:t>——地面效应引起的衰减，dB；</w:t>
      </w:r>
    </w:p>
    <w:p>
      <w:pPr>
        <w:pStyle w:val="28"/>
        <w:spacing w:after="0" w:line="360" w:lineRule="auto"/>
        <w:ind w:firstLine="480" w:firstLineChars="200"/>
        <w:rPr>
          <w:rFonts w:hint="eastAsia"/>
          <w:color w:val="auto"/>
          <w:sz w:val="24"/>
          <w:szCs w:val="24"/>
          <w:highlight w:val="none"/>
          <w:lang w:val="en-US"/>
        </w:rPr>
      </w:pPr>
      <w:r>
        <w:rPr>
          <w:rFonts w:hint="eastAsia"/>
          <w:color w:val="auto"/>
          <w:sz w:val="24"/>
          <w:szCs w:val="24"/>
          <w:highlight w:val="none"/>
          <w:lang w:val="en-US"/>
        </w:rPr>
        <w:t>A</w:t>
      </w:r>
      <w:r>
        <w:rPr>
          <w:rFonts w:hint="eastAsia"/>
          <w:color w:val="auto"/>
          <w:sz w:val="24"/>
          <w:szCs w:val="24"/>
          <w:highlight w:val="none"/>
          <w:vertAlign w:val="subscript"/>
          <w:lang w:val="en-US"/>
        </w:rPr>
        <w:t>bar</w:t>
      </w:r>
      <w:r>
        <w:rPr>
          <w:rFonts w:hint="eastAsia"/>
          <w:color w:val="auto"/>
          <w:sz w:val="24"/>
          <w:szCs w:val="24"/>
          <w:highlight w:val="none"/>
          <w:lang w:val="en-US"/>
        </w:rPr>
        <w:t>——障碍物屏蔽引起的衰减，dB；</w:t>
      </w:r>
    </w:p>
    <w:p>
      <w:pPr>
        <w:pStyle w:val="28"/>
        <w:spacing w:after="0" w:line="360" w:lineRule="auto"/>
        <w:ind w:firstLine="480" w:firstLineChars="200"/>
        <w:rPr>
          <w:color w:val="auto"/>
          <w:sz w:val="24"/>
          <w:szCs w:val="24"/>
          <w:highlight w:val="none"/>
          <w:lang w:val="en-US"/>
        </w:rPr>
      </w:pPr>
      <w:r>
        <w:rPr>
          <w:rFonts w:hint="eastAsia"/>
          <w:color w:val="auto"/>
          <w:sz w:val="24"/>
          <w:szCs w:val="24"/>
          <w:highlight w:val="none"/>
          <w:lang w:val="en-US"/>
        </w:rPr>
        <w:t>A</w:t>
      </w:r>
      <w:r>
        <w:rPr>
          <w:rFonts w:hint="eastAsia"/>
          <w:color w:val="auto"/>
          <w:sz w:val="24"/>
          <w:szCs w:val="24"/>
          <w:highlight w:val="none"/>
          <w:vertAlign w:val="subscript"/>
          <w:lang w:val="en-US"/>
        </w:rPr>
        <w:t>misc</w:t>
      </w:r>
      <w:r>
        <w:rPr>
          <w:rFonts w:hint="eastAsia"/>
          <w:color w:val="auto"/>
          <w:sz w:val="24"/>
          <w:szCs w:val="24"/>
          <w:highlight w:val="none"/>
          <w:lang w:val="en-US"/>
        </w:rPr>
        <w:t>——其他多方面效应引起的衰减，dB。</w:t>
      </w:r>
    </w:p>
    <w:p>
      <w:pPr>
        <w:pStyle w:val="28"/>
        <w:spacing w:after="0" w:line="360" w:lineRule="auto"/>
        <w:ind w:firstLine="480" w:firstLineChars="200"/>
        <w:rPr>
          <w:color w:val="auto"/>
          <w:kern w:val="0"/>
          <w:sz w:val="24"/>
          <w:highlight w:val="none"/>
        </w:rPr>
      </w:pPr>
      <w:r>
        <w:rPr>
          <w:rFonts w:hint="eastAsia"/>
          <w:color w:val="auto"/>
          <w:sz w:val="24"/>
          <w:szCs w:val="24"/>
          <w:highlight w:val="none"/>
          <w:lang w:val="en-US"/>
        </w:rPr>
        <w:t>A</w:t>
      </w:r>
      <w:r>
        <w:rPr>
          <w:rFonts w:hint="eastAsia"/>
          <w:color w:val="auto"/>
          <w:sz w:val="24"/>
          <w:szCs w:val="24"/>
          <w:highlight w:val="none"/>
          <w:vertAlign w:val="subscript"/>
          <w:lang w:val="en-US"/>
        </w:rPr>
        <w:t>div</w:t>
      </w:r>
      <w:r>
        <w:rPr>
          <w:rFonts w:hint="eastAsia"/>
          <w:color w:val="auto"/>
          <w:sz w:val="24"/>
          <w:szCs w:val="24"/>
          <w:highlight w:val="none"/>
          <w:lang w:val="en-US"/>
        </w:rPr>
        <w:t>、A</w:t>
      </w:r>
      <w:r>
        <w:rPr>
          <w:rFonts w:hint="eastAsia"/>
          <w:color w:val="auto"/>
          <w:sz w:val="24"/>
          <w:szCs w:val="24"/>
          <w:highlight w:val="none"/>
          <w:vertAlign w:val="subscript"/>
          <w:lang w:val="en-US"/>
        </w:rPr>
        <w:t>atm</w:t>
      </w:r>
      <w:r>
        <w:rPr>
          <w:rFonts w:hint="eastAsia"/>
          <w:color w:val="auto"/>
          <w:sz w:val="24"/>
          <w:szCs w:val="24"/>
          <w:highlight w:val="none"/>
          <w:lang w:val="en-US"/>
        </w:rPr>
        <w:t>、</w:t>
      </w:r>
      <w:r>
        <w:rPr>
          <w:color w:val="auto"/>
          <w:sz w:val="24"/>
          <w:szCs w:val="24"/>
          <w:highlight w:val="none"/>
          <w:lang w:val="en-US"/>
        </w:rPr>
        <w:t>A</w:t>
      </w:r>
      <w:r>
        <w:rPr>
          <w:rFonts w:hint="eastAsia"/>
          <w:color w:val="auto"/>
          <w:sz w:val="24"/>
          <w:szCs w:val="24"/>
          <w:highlight w:val="none"/>
          <w:vertAlign w:val="subscript"/>
          <w:lang w:val="en-US"/>
        </w:rPr>
        <w:t>gr</w:t>
      </w:r>
      <w:r>
        <w:rPr>
          <w:rFonts w:hint="eastAsia"/>
          <w:color w:val="auto"/>
          <w:sz w:val="24"/>
          <w:szCs w:val="24"/>
          <w:highlight w:val="none"/>
          <w:lang w:val="en-US"/>
        </w:rPr>
        <w:t>、A</w:t>
      </w:r>
      <w:r>
        <w:rPr>
          <w:rFonts w:hint="eastAsia"/>
          <w:color w:val="auto"/>
          <w:sz w:val="24"/>
          <w:szCs w:val="24"/>
          <w:highlight w:val="none"/>
          <w:vertAlign w:val="subscript"/>
          <w:lang w:val="en-US"/>
        </w:rPr>
        <w:t>bar</w:t>
      </w:r>
      <w:r>
        <w:rPr>
          <w:rFonts w:hint="eastAsia"/>
          <w:color w:val="auto"/>
          <w:sz w:val="24"/>
          <w:szCs w:val="24"/>
          <w:highlight w:val="none"/>
          <w:lang w:val="en-US"/>
        </w:rPr>
        <w:t>、A</w:t>
      </w:r>
      <w:r>
        <w:rPr>
          <w:rFonts w:hint="eastAsia"/>
          <w:color w:val="auto"/>
          <w:sz w:val="24"/>
          <w:szCs w:val="24"/>
          <w:highlight w:val="none"/>
          <w:vertAlign w:val="subscript"/>
          <w:lang w:val="en-US"/>
        </w:rPr>
        <w:t>misc</w:t>
      </w:r>
      <w:r>
        <w:rPr>
          <w:rFonts w:hint="eastAsia"/>
          <w:color w:val="auto"/>
          <w:sz w:val="24"/>
          <w:szCs w:val="24"/>
          <w:highlight w:val="none"/>
          <w:lang w:val="en-US"/>
        </w:rPr>
        <w:t>的具体预测公式见</w:t>
      </w:r>
      <w:r>
        <w:rPr>
          <w:color w:val="auto"/>
          <w:kern w:val="0"/>
          <w:sz w:val="24"/>
          <w:highlight w:val="none"/>
        </w:rPr>
        <w:t>《环境影响评价技术导则 声环境》(HJ2.4-20</w:t>
      </w:r>
      <w:r>
        <w:rPr>
          <w:rFonts w:hint="eastAsia"/>
          <w:color w:val="auto"/>
          <w:kern w:val="0"/>
          <w:sz w:val="24"/>
          <w:highlight w:val="none"/>
        </w:rPr>
        <w:t>21</w:t>
      </w:r>
      <w:r>
        <w:rPr>
          <w:color w:val="auto"/>
          <w:kern w:val="0"/>
          <w:sz w:val="24"/>
          <w:highlight w:val="none"/>
        </w:rPr>
        <w:t>)</w:t>
      </w:r>
      <w:r>
        <w:rPr>
          <w:rFonts w:hint="eastAsia"/>
          <w:color w:val="auto"/>
          <w:kern w:val="0"/>
          <w:sz w:val="24"/>
          <w:highlight w:val="none"/>
        </w:rPr>
        <w:t>附录A。</w:t>
      </w:r>
    </w:p>
    <w:p>
      <w:pPr>
        <w:pStyle w:val="28"/>
        <w:spacing w:after="0" w:line="360" w:lineRule="auto"/>
        <w:ind w:firstLine="480" w:firstLineChars="200"/>
        <w:rPr>
          <w:color w:val="auto"/>
          <w:kern w:val="0"/>
          <w:sz w:val="24"/>
          <w:highlight w:val="none"/>
        </w:rPr>
      </w:pPr>
      <w:r>
        <w:rPr>
          <w:rFonts w:hint="eastAsia"/>
          <w:color w:val="auto"/>
          <w:kern w:val="0"/>
          <w:sz w:val="24"/>
          <w:highlight w:val="none"/>
        </w:rPr>
        <w:t>2、室内声源等效室外声源声功率级计算方法</w:t>
      </w:r>
    </w:p>
    <w:p>
      <w:pPr>
        <w:pStyle w:val="28"/>
        <w:spacing w:after="0" w:line="360" w:lineRule="auto"/>
        <w:jc w:val="center"/>
        <w:rPr>
          <w:rFonts w:hint="eastAsia"/>
          <w:color w:val="auto"/>
          <w:kern w:val="0"/>
          <w:sz w:val="24"/>
          <w:highlight w:val="none"/>
        </w:rPr>
      </w:pPr>
      <w:r>
        <w:rPr>
          <w:rFonts w:hint="eastAsia"/>
          <w:color w:val="auto"/>
          <w:kern w:val="0"/>
          <w:sz w:val="24"/>
          <w:highlight w:val="none"/>
        </w:rPr>
        <w:t>L</w:t>
      </w:r>
      <w:r>
        <w:rPr>
          <w:rFonts w:hint="eastAsia"/>
          <w:color w:val="auto"/>
          <w:kern w:val="0"/>
          <w:sz w:val="24"/>
          <w:highlight w:val="none"/>
          <w:vertAlign w:val="subscript"/>
        </w:rPr>
        <w:t>p</w:t>
      </w:r>
      <w:r>
        <w:rPr>
          <w:color w:val="auto"/>
          <w:kern w:val="0"/>
          <w:sz w:val="24"/>
          <w:highlight w:val="none"/>
          <w:vertAlign w:val="subscript"/>
        </w:rPr>
        <w:t>2</w:t>
      </w:r>
      <w:r>
        <w:rPr>
          <w:rFonts w:hint="eastAsia"/>
          <w:color w:val="auto"/>
          <w:kern w:val="0"/>
          <w:sz w:val="24"/>
          <w:highlight w:val="none"/>
        </w:rPr>
        <w:t>=L</w:t>
      </w:r>
      <w:r>
        <w:rPr>
          <w:rFonts w:hint="eastAsia"/>
          <w:color w:val="auto"/>
          <w:kern w:val="0"/>
          <w:sz w:val="24"/>
          <w:highlight w:val="none"/>
          <w:vertAlign w:val="subscript"/>
        </w:rPr>
        <w:t>P</w:t>
      </w:r>
      <w:r>
        <w:rPr>
          <w:color w:val="auto"/>
          <w:kern w:val="0"/>
          <w:sz w:val="24"/>
          <w:highlight w:val="none"/>
          <w:vertAlign w:val="subscript"/>
        </w:rPr>
        <w:t>1</w:t>
      </w:r>
      <w:r>
        <w:rPr>
          <w:color w:val="auto"/>
          <w:kern w:val="0"/>
          <w:sz w:val="24"/>
          <w:highlight w:val="none"/>
        </w:rPr>
        <w:t>-</w:t>
      </w:r>
      <w:r>
        <w:rPr>
          <w:rFonts w:hint="eastAsia"/>
          <w:color w:val="auto"/>
          <w:kern w:val="0"/>
          <w:sz w:val="24"/>
          <w:highlight w:val="none"/>
        </w:rPr>
        <w:t>（TL</w:t>
      </w:r>
      <w:r>
        <w:rPr>
          <w:color w:val="auto"/>
          <w:kern w:val="0"/>
          <w:sz w:val="24"/>
          <w:highlight w:val="none"/>
        </w:rPr>
        <w:t>+6</w:t>
      </w:r>
      <w:r>
        <w:rPr>
          <w:rFonts w:hint="eastAsia"/>
          <w:color w:val="auto"/>
          <w:kern w:val="0"/>
          <w:sz w:val="24"/>
          <w:highlight w:val="none"/>
        </w:rPr>
        <w:t>）</w:t>
      </w:r>
    </w:p>
    <w:p>
      <w:pPr>
        <w:pStyle w:val="28"/>
        <w:spacing w:after="0" w:line="360" w:lineRule="auto"/>
        <w:ind w:firstLine="480" w:firstLineChars="200"/>
        <w:rPr>
          <w:rFonts w:ascii="宋体" w:hAnsi="宋体"/>
          <w:color w:val="auto"/>
          <w:sz w:val="22"/>
          <w:szCs w:val="22"/>
          <w:highlight w:val="none"/>
          <w:lang w:val="en-US"/>
        </w:rPr>
      </w:pPr>
      <w:r>
        <w:rPr>
          <w:rFonts w:hint="eastAsia"/>
          <w:color w:val="auto"/>
          <w:sz w:val="24"/>
          <w:szCs w:val="24"/>
          <w:highlight w:val="none"/>
          <w:lang w:val="en-US"/>
        </w:rPr>
        <w:t>式中：</w:t>
      </w:r>
      <w:r>
        <w:rPr>
          <w:color w:val="auto"/>
          <w:sz w:val="22"/>
          <w:szCs w:val="22"/>
          <w:highlight w:val="none"/>
          <w:lang w:val="en-US"/>
        </w:rPr>
        <w:t>L</w:t>
      </w:r>
      <w:r>
        <w:rPr>
          <w:color w:val="auto"/>
          <w:sz w:val="14"/>
          <w:szCs w:val="14"/>
          <w:highlight w:val="none"/>
          <w:lang w:val="en-US"/>
        </w:rPr>
        <w:t>p1</w:t>
      </w:r>
      <w:r>
        <w:rPr>
          <w:color w:val="auto"/>
          <w:sz w:val="22"/>
          <w:szCs w:val="14"/>
          <w:highlight w:val="none"/>
          <w:lang w:val="en-US"/>
        </w:rPr>
        <w:t>——</w:t>
      </w:r>
      <w:r>
        <w:rPr>
          <w:rFonts w:ascii="宋体" w:hAnsi="宋体"/>
          <w:color w:val="auto"/>
          <w:sz w:val="22"/>
          <w:szCs w:val="22"/>
          <w:highlight w:val="none"/>
          <w:lang w:val="en-US"/>
        </w:rPr>
        <w:t>靠近开口处（或窗户）室内某倍频带的声压级或</w:t>
      </w:r>
      <w:r>
        <w:rPr>
          <w:color w:val="auto"/>
          <w:sz w:val="22"/>
          <w:szCs w:val="14"/>
          <w:highlight w:val="none"/>
          <w:lang w:val="en-US"/>
        </w:rPr>
        <w:t>A</w:t>
      </w:r>
      <w:r>
        <w:rPr>
          <w:rFonts w:ascii="宋体" w:hAnsi="宋体"/>
          <w:color w:val="auto"/>
          <w:sz w:val="22"/>
          <w:szCs w:val="22"/>
          <w:highlight w:val="none"/>
          <w:lang w:val="en-US"/>
        </w:rPr>
        <w:t>声级，</w:t>
      </w:r>
      <w:r>
        <w:rPr>
          <w:color w:val="auto"/>
          <w:sz w:val="22"/>
          <w:szCs w:val="14"/>
          <w:highlight w:val="none"/>
          <w:lang w:val="en-US"/>
        </w:rPr>
        <w:t>dB</w:t>
      </w:r>
      <w:r>
        <w:rPr>
          <w:rFonts w:ascii="宋体" w:hAnsi="宋体"/>
          <w:color w:val="auto"/>
          <w:sz w:val="22"/>
          <w:szCs w:val="22"/>
          <w:highlight w:val="none"/>
          <w:lang w:val="en-US"/>
        </w:rPr>
        <w:t>；</w:t>
      </w:r>
    </w:p>
    <w:p>
      <w:pPr>
        <w:pStyle w:val="28"/>
        <w:spacing w:after="0" w:line="360" w:lineRule="auto"/>
        <w:ind w:firstLine="440" w:firstLineChars="200"/>
        <w:rPr>
          <w:rFonts w:ascii="宋体" w:hAnsi="宋体"/>
          <w:color w:val="auto"/>
          <w:sz w:val="22"/>
          <w:szCs w:val="22"/>
          <w:highlight w:val="none"/>
          <w:lang w:val="en-US"/>
        </w:rPr>
      </w:pPr>
      <w:r>
        <w:rPr>
          <w:color w:val="auto"/>
          <w:sz w:val="22"/>
          <w:szCs w:val="22"/>
          <w:highlight w:val="none"/>
          <w:lang w:val="en-US"/>
        </w:rPr>
        <w:t>L</w:t>
      </w:r>
      <w:r>
        <w:rPr>
          <w:color w:val="auto"/>
          <w:sz w:val="14"/>
          <w:szCs w:val="14"/>
          <w:highlight w:val="none"/>
          <w:lang w:val="en-US"/>
        </w:rPr>
        <w:t>p2</w:t>
      </w:r>
      <w:r>
        <w:rPr>
          <w:color w:val="auto"/>
          <w:sz w:val="22"/>
          <w:szCs w:val="14"/>
          <w:highlight w:val="none"/>
          <w:lang w:val="en-US"/>
        </w:rPr>
        <w:t>——</w:t>
      </w:r>
      <w:r>
        <w:rPr>
          <w:rFonts w:ascii="宋体" w:hAnsi="宋体"/>
          <w:color w:val="auto"/>
          <w:sz w:val="22"/>
          <w:szCs w:val="22"/>
          <w:highlight w:val="none"/>
          <w:lang w:val="en-US"/>
        </w:rPr>
        <w:t>靠近开口处（或窗户）室外某倍频带的声压级或</w:t>
      </w:r>
      <w:r>
        <w:rPr>
          <w:color w:val="auto"/>
          <w:sz w:val="22"/>
          <w:szCs w:val="14"/>
          <w:highlight w:val="none"/>
          <w:lang w:val="en-US"/>
        </w:rPr>
        <w:t>A</w:t>
      </w:r>
      <w:r>
        <w:rPr>
          <w:rFonts w:ascii="宋体" w:hAnsi="宋体"/>
          <w:color w:val="auto"/>
          <w:sz w:val="22"/>
          <w:szCs w:val="22"/>
          <w:highlight w:val="none"/>
          <w:lang w:val="en-US"/>
        </w:rPr>
        <w:t>声级，</w:t>
      </w:r>
      <w:r>
        <w:rPr>
          <w:color w:val="auto"/>
          <w:sz w:val="22"/>
          <w:szCs w:val="14"/>
          <w:highlight w:val="none"/>
          <w:lang w:val="en-US"/>
        </w:rPr>
        <w:t>dB</w:t>
      </w:r>
      <w:r>
        <w:rPr>
          <w:rFonts w:ascii="宋体" w:hAnsi="宋体"/>
          <w:color w:val="auto"/>
          <w:sz w:val="22"/>
          <w:szCs w:val="22"/>
          <w:highlight w:val="none"/>
          <w:lang w:val="en-US"/>
        </w:rPr>
        <w:t>；</w:t>
      </w:r>
    </w:p>
    <w:p>
      <w:pPr>
        <w:pStyle w:val="28"/>
        <w:spacing w:after="0" w:line="360" w:lineRule="auto"/>
        <w:ind w:firstLine="440" w:firstLineChars="200"/>
        <w:rPr>
          <w:color w:val="auto"/>
          <w:sz w:val="24"/>
          <w:szCs w:val="24"/>
          <w:highlight w:val="none"/>
          <w:lang w:val="en-US"/>
        </w:rPr>
      </w:pPr>
      <w:r>
        <w:rPr>
          <w:color w:val="auto"/>
          <w:sz w:val="22"/>
          <w:szCs w:val="22"/>
          <w:highlight w:val="none"/>
          <w:lang w:val="en-US"/>
        </w:rPr>
        <w:t>TL</w:t>
      </w:r>
      <w:r>
        <w:rPr>
          <w:color w:val="auto"/>
          <w:sz w:val="22"/>
          <w:szCs w:val="14"/>
          <w:highlight w:val="none"/>
          <w:lang w:val="en-US"/>
        </w:rPr>
        <w:t>——</w:t>
      </w:r>
      <w:r>
        <w:rPr>
          <w:rFonts w:ascii="宋体" w:hAnsi="宋体"/>
          <w:color w:val="auto"/>
          <w:sz w:val="22"/>
          <w:szCs w:val="22"/>
          <w:highlight w:val="none"/>
          <w:lang w:val="en-US"/>
        </w:rPr>
        <w:t>隔墙（或窗户）倍频带或</w:t>
      </w:r>
      <w:r>
        <w:rPr>
          <w:color w:val="auto"/>
          <w:sz w:val="22"/>
          <w:szCs w:val="14"/>
          <w:highlight w:val="none"/>
          <w:lang w:val="en-US"/>
        </w:rPr>
        <w:t>A</w:t>
      </w:r>
      <w:r>
        <w:rPr>
          <w:rFonts w:ascii="宋体" w:hAnsi="宋体"/>
          <w:color w:val="auto"/>
          <w:sz w:val="22"/>
          <w:szCs w:val="22"/>
          <w:highlight w:val="none"/>
          <w:lang w:val="en-US"/>
        </w:rPr>
        <w:t>声级的隔声量，</w:t>
      </w:r>
      <w:r>
        <w:rPr>
          <w:color w:val="auto"/>
          <w:sz w:val="22"/>
          <w:szCs w:val="14"/>
          <w:highlight w:val="none"/>
          <w:lang w:val="en-US"/>
        </w:rPr>
        <w:t>dB</w:t>
      </w:r>
      <w:r>
        <w:rPr>
          <w:rFonts w:ascii="宋体" w:hAnsi="宋体"/>
          <w:color w:val="auto"/>
          <w:sz w:val="22"/>
          <w:szCs w:val="22"/>
          <w:highlight w:val="none"/>
          <w:lang w:val="en-US"/>
        </w:rPr>
        <w:t>。</w:t>
      </w:r>
    </w:p>
    <w:p>
      <w:pPr>
        <w:pStyle w:val="112"/>
        <w:rPr>
          <w:color w:val="auto"/>
          <w:highlight w:val="none"/>
        </w:rPr>
      </w:pPr>
      <w:r>
        <w:rPr>
          <w:color w:val="auto"/>
          <w:highlight w:val="none"/>
        </w:rPr>
        <w:t>4.4.2.3预测结果</w:t>
      </w:r>
    </w:p>
    <w:p>
      <w:pPr>
        <w:autoSpaceDE w:val="0"/>
        <w:autoSpaceDN w:val="0"/>
        <w:adjustRightInd w:val="0"/>
        <w:spacing w:line="360" w:lineRule="auto"/>
        <w:ind w:firstLine="482" w:firstLineChars="200"/>
        <w:rPr>
          <w:b/>
          <w:bCs/>
          <w:color w:val="auto"/>
          <w:sz w:val="24"/>
          <w:szCs w:val="24"/>
          <w:highlight w:val="none"/>
        </w:rPr>
      </w:pPr>
      <w:r>
        <w:rPr>
          <w:rFonts w:hint="eastAsia"/>
          <w:b/>
          <w:bCs/>
          <w:color w:val="auto"/>
          <w:sz w:val="24"/>
          <w:szCs w:val="24"/>
          <w:highlight w:val="none"/>
        </w:rPr>
        <w:t>1、厂界噪声预测结果</w:t>
      </w:r>
    </w:p>
    <w:p>
      <w:pPr>
        <w:autoSpaceDE w:val="0"/>
        <w:autoSpaceDN w:val="0"/>
        <w:adjustRightInd w:val="0"/>
        <w:spacing w:line="360" w:lineRule="auto"/>
        <w:ind w:firstLine="480" w:firstLineChars="200"/>
        <w:rPr>
          <w:color w:val="auto"/>
          <w:kern w:val="0"/>
          <w:sz w:val="24"/>
          <w:highlight w:val="none"/>
          <w:lang w:val="zh-CN"/>
        </w:rPr>
      </w:pPr>
      <w:r>
        <w:rPr>
          <w:color w:val="auto"/>
          <w:sz w:val="24"/>
          <w:szCs w:val="24"/>
          <w:highlight w:val="none"/>
        </w:rPr>
        <w:t>根据项目所在地特殊的地理环境、噪声源的平面分布和以上模式，预测点噪声</w:t>
      </w:r>
      <w:r>
        <w:rPr>
          <w:rFonts w:hint="eastAsia"/>
          <w:color w:val="auto"/>
          <w:sz w:val="24"/>
          <w:szCs w:val="24"/>
          <w:highlight w:val="none"/>
        </w:rPr>
        <w:t>贡献</w:t>
      </w:r>
      <w:r>
        <w:rPr>
          <w:color w:val="auto"/>
          <w:sz w:val="24"/>
          <w:szCs w:val="24"/>
          <w:highlight w:val="none"/>
        </w:rPr>
        <w:t>值结果</w:t>
      </w:r>
      <w:r>
        <w:rPr>
          <w:color w:val="auto"/>
          <w:kern w:val="0"/>
          <w:sz w:val="24"/>
          <w:highlight w:val="none"/>
          <w:lang w:val="zh-CN"/>
        </w:rPr>
        <w:t>见表4.4-</w:t>
      </w:r>
      <w:r>
        <w:rPr>
          <w:rFonts w:hint="eastAsia"/>
          <w:color w:val="auto"/>
          <w:kern w:val="0"/>
          <w:sz w:val="24"/>
          <w:highlight w:val="none"/>
          <w:lang w:val="en-US" w:eastAsia="zh-CN"/>
        </w:rPr>
        <w:t>2</w:t>
      </w:r>
      <w:r>
        <w:rPr>
          <w:color w:val="auto"/>
          <w:kern w:val="0"/>
          <w:sz w:val="24"/>
          <w:highlight w:val="none"/>
          <w:lang w:val="zh-CN"/>
        </w:rPr>
        <w:t>。</w:t>
      </w:r>
    </w:p>
    <w:p>
      <w:pPr>
        <w:widowControl/>
        <w:spacing w:line="360" w:lineRule="auto"/>
        <w:jc w:val="center"/>
        <w:rPr>
          <w:rFonts w:eastAsia="黑体"/>
          <w:color w:val="auto"/>
          <w:sz w:val="24"/>
          <w:highlight w:val="none"/>
          <w:lang w:val="zh-CN"/>
        </w:rPr>
      </w:pPr>
      <w:r>
        <w:rPr>
          <w:rFonts w:eastAsia="黑体"/>
          <w:color w:val="auto"/>
          <w:sz w:val="24"/>
          <w:highlight w:val="none"/>
          <w:lang w:val="zh-CN"/>
        </w:rPr>
        <w:t>表4.4-</w:t>
      </w:r>
      <w:r>
        <w:rPr>
          <w:rFonts w:hint="eastAsia" w:eastAsia="黑体"/>
          <w:color w:val="auto"/>
          <w:sz w:val="24"/>
          <w:highlight w:val="none"/>
          <w:lang w:val="en-US" w:eastAsia="zh-CN"/>
        </w:rPr>
        <w:t>2</w:t>
      </w:r>
      <w:r>
        <w:rPr>
          <w:rFonts w:eastAsia="黑体"/>
          <w:color w:val="auto"/>
          <w:sz w:val="24"/>
          <w:highlight w:val="none"/>
          <w:lang w:val="zh-CN"/>
        </w:rPr>
        <w:t xml:space="preserve">  </w:t>
      </w:r>
      <w:r>
        <w:rPr>
          <w:rFonts w:hint="eastAsia" w:eastAsia="黑体"/>
          <w:color w:val="auto"/>
          <w:sz w:val="24"/>
          <w:highlight w:val="none"/>
          <w:lang w:val="zh-CN"/>
        </w:rPr>
        <w:t>厂界</w:t>
      </w:r>
      <w:r>
        <w:rPr>
          <w:rFonts w:eastAsia="黑体"/>
          <w:color w:val="auto"/>
          <w:sz w:val="24"/>
          <w:highlight w:val="none"/>
          <w:lang w:val="zh-CN"/>
        </w:rPr>
        <w:t>噪声</w:t>
      </w:r>
      <w:r>
        <w:rPr>
          <w:rFonts w:hint="eastAsia" w:eastAsia="黑体"/>
          <w:color w:val="auto"/>
          <w:sz w:val="24"/>
          <w:highlight w:val="none"/>
          <w:lang w:val="zh-CN"/>
        </w:rPr>
        <w:t>贡献值</w:t>
      </w:r>
      <w:r>
        <w:rPr>
          <w:rFonts w:eastAsia="黑体"/>
          <w:color w:val="auto"/>
          <w:sz w:val="24"/>
          <w:highlight w:val="none"/>
          <w:lang w:val="zh-CN"/>
        </w:rPr>
        <w:t>预测结果一览表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43"/>
        <w:gridCol w:w="2182"/>
        <w:gridCol w:w="2978"/>
        <w:gridCol w:w="250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6" w:type="pct"/>
            <w:vAlign w:val="center"/>
          </w:tcPr>
          <w:p>
            <w:pPr>
              <w:widowControl/>
              <w:spacing w:line="240" w:lineRule="exact"/>
              <w:jc w:val="center"/>
              <w:rPr>
                <w:color w:val="auto"/>
                <w:highlight w:val="none"/>
              </w:rPr>
            </w:pPr>
            <w:r>
              <w:rPr>
                <w:color w:val="auto"/>
                <w:highlight w:val="none"/>
              </w:rPr>
              <w:t>序号</w:t>
            </w:r>
          </w:p>
        </w:tc>
        <w:tc>
          <w:tcPr>
            <w:tcW w:w="1212" w:type="pct"/>
            <w:vAlign w:val="center"/>
          </w:tcPr>
          <w:p>
            <w:pPr>
              <w:widowControl/>
              <w:spacing w:line="240" w:lineRule="exact"/>
              <w:jc w:val="center"/>
              <w:rPr>
                <w:color w:val="auto"/>
                <w:highlight w:val="none"/>
              </w:rPr>
            </w:pPr>
            <w:r>
              <w:rPr>
                <w:color w:val="auto"/>
                <w:highlight w:val="none"/>
              </w:rPr>
              <w:t>预测点</w:t>
            </w:r>
          </w:p>
        </w:tc>
        <w:tc>
          <w:tcPr>
            <w:tcW w:w="1654" w:type="pct"/>
            <w:vAlign w:val="center"/>
          </w:tcPr>
          <w:p>
            <w:pPr>
              <w:widowControl/>
              <w:spacing w:line="240" w:lineRule="exact"/>
              <w:jc w:val="center"/>
              <w:rPr>
                <w:color w:val="auto"/>
                <w:highlight w:val="none"/>
              </w:rPr>
            </w:pPr>
            <w:r>
              <w:rPr>
                <w:color w:val="auto"/>
                <w:highlight w:val="none"/>
              </w:rPr>
              <w:t>噪声贡献值dB(A)</w:t>
            </w:r>
          </w:p>
        </w:tc>
        <w:tc>
          <w:tcPr>
            <w:tcW w:w="1388" w:type="pct"/>
            <w:vAlign w:val="center"/>
          </w:tcPr>
          <w:p>
            <w:pPr>
              <w:widowControl/>
              <w:spacing w:line="240" w:lineRule="exact"/>
              <w:jc w:val="center"/>
              <w:rPr>
                <w:color w:val="auto"/>
                <w:highlight w:val="none"/>
              </w:rPr>
            </w:pPr>
            <w:r>
              <w:rPr>
                <w:rFonts w:hint="eastAsia"/>
                <w:color w:val="auto"/>
                <w:highlight w:val="none"/>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6" w:type="pct"/>
            <w:vAlign w:val="center"/>
          </w:tcPr>
          <w:p>
            <w:pPr>
              <w:widowControl/>
              <w:spacing w:line="240" w:lineRule="exact"/>
              <w:jc w:val="center"/>
              <w:rPr>
                <w:color w:val="auto"/>
                <w:highlight w:val="none"/>
              </w:rPr>
            </w:pPr>
            <w:r>
              <w:rPr>
                <w:color w:val="auto"/>
                <w:highlight w:val="none"/>
              </w:rPr>
              <w:t>1</w:t>
            </w:r>
          </w:p>
        </w:tc>
        <w:tc>
          <w:tcPr>
            <w:tcW w:w="1212" w:type="pct"/>
            <w:vAlign w:val="center"/>
          </w:tcPr>
          <w:p>
            <w:pPr>
              <w:widowControl/>
              <w:spacing w:line="240" w:lineRule="exact"/>
              <w:jc w:val="center"/>
              <w:rPr>
                <w:color w:val="auto"/>
                <w:highlight w:val="none"/>
              </w:rPr>
            </w:pPr>
            <w:r>
              <w:rPr>
                <w:color w:val="auto"/>
                <w:highlight w:val="none"/>
              </w:rPr>
              <w:t>东厂界</w:t>
            </w:r>
          </w:p>
        </w:tc>
        <w:tc>
          <w:tcPr>
            <w:tcW w:w="1654" w:type="pct"/>
            <w:vAlign w:val="center"/>
          </w:tcPr>
          <w:p>
            <w:pPr>
              <w:widowControl/>
              <w:spacing w:line="240" w:lineRule="exact"/>
              <w:jc w:val="center"/>
              <w:rPr>
                <w:color w:val="auto"/>
                <w:highlight w:val="none"/>
              </w:rPr>
            </w:pPr>
            <w:r>
              <w:rPr>
                <w:rFonts w:hint="eastAsia"/>
                <w:color w:val="auto"/>
                <w:highlight w:val="none"/>
              </w:rPr>
              <w:t>2</w:t>
            </w:r>
            <w:r>
              <w:rPr>
                <w:color w:val="auto"/>
                <w:highlight w:val="none"/>
              </w:rPr>
              <w:t>4.96</w:t>
            </w:r>
          </w:p>
        </w:tc>
        <w:tc>
          <w:tcPr>
            <w:tcW w:w="1388" w:type="pct"/>
            <w:vAlign w:val="center"/>
          </w:tcPr>
          <w:p>
            <w:pPr>
              <w:widowControl/>
              <w:spacing w:line="240" w:lineRule="exact"/>
              <w:jc w:val="center"/>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6" w:type="pct"/>
            <w:vAlign w:val="center"/>
          </w:tcPr>
          <w:p>
            <w:pPr>
              <w:widowControl/>
              <w:spacing w:line="240" w:lineRule="exact"/>
              <w:jc w:val="center"/>
              <w:rPr>
                <w:color w:val="auto"/>
                <w:highlight w:val="none"/>
              </w:rPr>
            </w:pPr>
            <w:r>
              <w:rPr>
                <w:color w:val="auto"/>
                <w:highlight w:val="none"/>
              </w:rPr>
              <w:t>2</w:t>
            </w:r>
          </w:p>
        </w:tc>
        <w:tc>
          <w:tcPr>
            <w:tcW w:w="1212" w:type="pct"/>
            <w:vAlign w:val="center"/>
          </w:tcPr>
          <w:p>
            <w:pPr>
              <w:widowControl/>
              <w:spacing w:line="240" w:lineRule="exact"/>
              <w:jc w:val="center"/>
              <w:rPr>
                <w:color w:val="auto"/>
                <w:highlight w:val="none"/>
              </w:rPr>
            </w:pPr>
            <w:r>
              <w:rPr>
                <w:color w:val="auto"/>
                <w:highlight w:val="none"/>
              </w:rPr>
              <w:t>北厂界</w:t>
            </w:r>
          </w:p>
        </w:tc>
        <w:tc>
          <w:tcPr>
            <w:tcW w:w="1654" w:type="pct"/>
            <w:vAlign w:val="center"/>
          </w:tcPr>
          <w:p>
            <w:pPr>
              <w:widowControl/>
              <w:spacing w:line="240" w:lineRule="exact"/>
              <w:jc w:val="center"/>
              <w:rPr>
                <w:color w:val="auto"/>
                <w:highlight w:val="none"/>
              </w:rPr>
            </w:pPr>
            <w:r>
              <w:rPr>
                <w:rFonts w:hint="eastAsia"/>
                <w:color w:val="auto"/>
                <w:highlight w:val="none"/>
              </w:rPr>
              <w:t>4</w:t>
            </w:r>
            <w:r>
              <w:rPr>
                <w:color w:val="auto"/>
                <w:highlight w:val="none"/>
              </w:rPr>
              <w:t>1.13</w:t>
            </w:r>
          </w:p>
        </w:tc>
        <w:tc>
          <w:tcPr>
            <w:tcW w:w="1388" w:type="pct"/>
            <w:vAlign w:val="center"/>
          </w:tcPr>
          <w:p>
            <w:pPr>
              <w:widowControl/>
              <w:spacing w:line="240" w:lineRule="exact"/>
              <w:jc w:val="center"/>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6" w:type="pct"/>
            <w:vAlign w:val="center"/>
          </w:tcPr>
          <w:p>
            <w:pPr>
              <w:widowControl/>
              <w:spacing w:line="240" w:lineRule="exact"/>
              <w:jc w:val="center"/>
              <w:rPr>
                <w:color w:val="auto"/>
                <w:highlight w:val="none"/>
              </w:rPr>
            </w:pPr>
            <w:r>
              <w:rPr>
                <w:color w:val="auto"/>
                <w:highlight w:val="none"/>
              </w:rPr>
              <w:t>3</w:t>
            </w:r>
          </w:p>
        </w:tc>
        <w:tc>
          <w:tcPr>
            <w:tcW w:w="1212" w:type="pct"/>
            <w:vAlign w:val="center"/>
          </w:tcPr>
          <w:p>
            <w:pPr>
              <w:widowControl/>
              <w:spacing w:line="240" w:lineRule="exact"/>
              <w:jc w:val="center"/>
              <w:rPr>
                <w:color w:val="auto"/>
                <w:highlight w:val="none"/>
              </w:rPr>
            </w:pPr>
            <w:r>
              <w:rPr>
                <w:color w:val="auto"/>
                <w:highlight w:val="none"/>
              </w:rPr>
              <w:t>西厂界</w:t>
            </w:r>
          </w:p>
        </w:tc>
        <w:tc>
          <w:tcPr>
            <w:tcW w:w="1654" w:type="pct"/>
            <w:vAlign w:val="center"/>
          </w:tcPr>
          <w:p>
            <w:pPr>
              <w:widowControl/>
              <w:spacing w:line="240" w:lineRule="exact"/>
              <w:jc w:val="center"/>
              <w:rPr>
                <w:color w:val="auto"/>
                <w:highlight w:val="none"/>
              </w:rPr>
            </w:pPr>
            <w:r>
              <w:rPr>
                <w:rFonts w:hint="eastAsia"/>
                <w:color w:val="auto"/>
                <w:highlight w:val="none"/>
              </w:rPr>
              <w:t>4</w:t>
            </w:r>
            <w:r>
              <w:rPr>
                <w:color w:val="auto"/>
                <w:highlight w:val="none"/>
              </w:rPr>
              <w:t>2.40</w:t>
            </w:r>
          </w:p>
        </w:tc>
        <w:tc>
          <w:tcPr>
            <w:tcW w:w="1388" w:type="pct"/>
            <w:vAlign w:val="center"/>
          </w:tcPr>
          <w:p>
            <w:pPr>
              <w:widowControl/>
              <w:spacing w:line="240" w:lineRule="exact"/>
              <w:jc w:val="center"/>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6" w:type="pct"/>
            <w:vAlign w:val="center"/>
          </w:tcPr>
          <w:p>
            <w:pPr>
              <w:widowControl/>
              <w:spacing w:line="240" w:lineRule="exact"/>
              <w:jc w:val="center"/>
              <w:rPr>
                <w:color w:val="auto"/>
                <w:highlight w:val="none"/>
              </w:rPr>
            </w:pPr>
            <w:r>
              <w:rPr>
                <w:color w:val="auto"/>
                <w:highlight w:val="none"/>
              </w:rPr>
              <w:t>4</w:t>
            </w:r>
          </w:p>
        </w:tc>
        <w:tc>
          <w:tcPr>
            <w:tcW w:w="1212" w:type="pct"/>
            <w:vAlign w:val="center"/>
          </w:tcPr>
          <w:p>
            <w:pPr>
              <w:widowControl/>
              <w:spacing w:line="240" w:lineRule="exact"/>
              <w:jc w:val="center"/>
              <w:rPr>
                <w:color w:val="auto"/>
                <w:highlight w:val="none"/>
              </w:rPr>
            </w:pPr>
            <w:r>
              <w:rPr>
                <w:color w:val="auto"/>
                <w:highlight w:val="none"/>
              </w:rPr>
              <w:t>南厂界</w:t>
            </w:r>
          </w:p>
        </w:tc>
        <w:tc>
          <w:tcPr>
            <w:tcW w:w="1654" w:type="pct"/>
            <w:vAlign w:val="center"/>
          </w:tcPr>
          <w:p>
            <w:pPr>
              <w:widowControl/>
              <w:spacing w:line="240" w:lineRule="exact"/>
              <w:jc w:val="center"/>
              <w:rPr>
                <w:color w:val="auto"/>
                <w:highlight w:val="none"/>
              </w:rPr>
            </w:pPr>
            <w:r>
              <w:rPr>
                <w:rFonts w:hint="eastAsia"/>
                <w:color w:val="auto"/>
                <w:highlight w:val="none"/>
              </w:rPr>
              <w:t>3</w:t>
            </w:r>
            <w:r>
              <w:rPr>
                <w:color w:val="auto"/>
                <w:highlight w:val="none"/>
              </w:rPr>
              <w:t>8.27</w:t>
            </w:r>
          </w:p>
        </w:tc>
        <w:tc>
          <w:tcPr>
            <w:tcW w:w="1388" w:type="pct"/>
            <w:vAlign w:val="center"/>
          </w:tcPr>
          <w:p>
            <w:pPr>
              <w:widowControl/>
              <w:spacing w:line="240" w:lineRule="exact"/>
              <w:jc w:val="center"/>
              <w:rPr>
                <w:color w:val="auto"/>
                <w:highlight w:val="none"/>
              </w:rPr>
            </w:pPr>
          </w:p>
        </w:tc>
      </w:tr>
    </w:tbl>
    <w:p>
      <w:pPr>
        <w:autoSpaceDE w:val="0"/>
        <w:autoSpaceDN w:val="0"/>
        <w:adjustRightInd w:val="0"/>
        <w:spacing w:line="360" w:lineRule="auto"/>
        <w:ind w:firstLine="480" w:firstLineChars="200"/>
        <w:rPr>
          <w:color w:val="auto"/>
          <w:sz w:val="24"/>
          <w:szCs w:val="24"/>
          <w:highlight w:val="none"/>
        </w:rPr>
      </w:pPr>
      <w:r>
        <w:rPr>
          <w:rFonts w:hint="eastAsia"/>
          <w:color w:val="auto"/>
          <w:sz w:val="24"/>
          <w:szCs w:val="24"/>
          <w:highlight w:val="none"/>
        </w:rPr>
        <w:t>由表</w:t>
      </w:r>
      <w:r>
        <w:rPr>
          <w:color w:val="auto"/>
          <w:sz w:val="24"/>
          <w:szCs w:val="24"/>
          <w:highlight w:val="none"/>
        </w:rPr>
        <w:t>4</w:t>
      </w:r>
      <w:r>
        <w:rPr>
          <w:rFonts w:hint="eastAsia"/>
          <w:color w:val="auto"/>
          <w:sz w:val="24"/>
          <w:szCs w:val="24"/>
          <w:highlight w:val="none"/>
        </w:rPr>
        <w:t>.4-3可以看出，项目建成后，四个厂界昼间、夜间噪声贡献值均可达到《工业企业厂界环境噪声排放标准》（GB12348-2008）中</w:t>
      </w:r>
      <w:r>
        <w:rPr>
          <w:rFonts w:hint="eastAsia"/>
          <w:color w:val="auto"/>
          <w:sz w:val="24"/>
          <w:szCs w:val="24"/>
          <w:highlight w:val="none"/>
          <w:lang w:val="en-US" w:eastAsia="zh-CN"/>
        </w:rPr>
        <w:t>2</w:t>
      </w:r>
      <w:r>
        <w:rPr>
          <w:rFonts w:hint="eastAsia"/>
          <w:color w:val="auto"/>
          <w:sz w:val="24"/>
          <w:szCs w:val="24"/>
          <w:highlight w:val="none"/>
        </w:rPr>
        <w:t>类标准要求。</w:t>
      </w:r>
    </w:p>
    <w:p>
      <w:pPr>
        <w:autoSpaceDE w:val="0"/>
        <w:autoSpaceDN w:val="0"/>
        <w:adjustRightInd w:val="0"/>
        <w:spacing w:line="360" w:lineRule="auto"/>
        <w:ind w:firstLine="482" w:firstLineChars="200"/>
        <w:rPr>
          <w:rFonts w:hint="eastAsia"/>
          <w:b/>
          <w:bCs/>
          <w:color w:val="auto"/>
          <w:sz w:val="24"/>
          <w:szCs w:val="24"/>
          <w:highlight w:val="none"/>
        </w:rPr>
      </w:pPr>
      <w:r>
        <w:rPr>
          <w:rFonts w:hint="eastAsia"/>
          <w:b/>
          <w:bCs/>
          <w:color w:val="auto"/>
          <w:sz w:val="24"/>
          <w:szCs w:val="24"/>
          <w:highlight w:val="none"/>
        </w:rPr>
        <w:t>2、敏感目标噪声影响预测结果</w:t>
      </w:r>
    </w:p>
    <w:p>
      <w:pPr>
        <w:autoSpaceDE w:val="0"/>
        <w:autoSpaceDN w:val="0"/>
        <w:adjustRightInd w:val="0"/>
        <w:spacing w:line="360" w:lineRule="auto"/>
        <w:ind w:firstLine="480" w:firstLineChars="200"/>
        <w:rPr>
          <w:color w:val="auto"/>
          <w:sz w:val="24"/>
          <w:szCs w:val="24"/>
          <w:highlight w:val="none"/>
        </w:rPr>
      </w:pPr>
      <w:r>
        <w:rPr>
          <w:rFonts w:hint="eastAsia"/>
          <w:color w:val="auto"/>
          <w:sz w:val="24"/>
          <w:szCs w:val="24"/>
          <w:highlight w:val="none"/>
        </w:rPr>
        <w:t>项目厂界周边2</w:t>
      </w:r>
      <w:r>
        <w:rPr>
          <w:color w:val="auto"/>
          <w:sz w:val="24"/>
          <w:szCs w:val="24"/>
          <w:highlight w:val="none"/>
        </w:rPr>
        <w:t>00</w:t>
      </w:r>
      <w:r>
        <w:rPr>
          <w:rFonts w:hint="eastAsia"/>
          <w:color w:val="auto"/>
          <w:sz w:val="24"/>
          <w:szCs w:val="24"/>
          <w:highlight w:val="none"/>
        </w:rPr>
        <w:t>m范围内主要噪声敏感目标为东侧的大官庄村，敏感目标声环境影响预测结果见表4</w:t>
      </w:r>
      <w:r>
        <w:rPr>
          <w:color w:val="auto"/>
          <w:sz w:val="24"/>
          <w:szCs w:val="24"/>
          <w:highlight w:val="none"/>
        </w:rPr>
        <w:t>.4-4</w:t>
      </w:r>
      <w:r>
        <w:rPr>
          <w:rFonts w:hint="eastAsia"/>
          <w:color w:val="auto"/>
          <w:sz w:val="24"/>
          <w:szCs w:val="24"/>
          <w:highlight w:val="none"/>
        </w:rPr>
        <w:t>，厂界周边200m范围内噪声预测等声级线图见图4</w:t>
      </w:r>
      <w:r>
        <w:rPr>
          <w:color w:val="auto"/>
          <w:sz w:val="24"/>
          <w:szCs w:val="24"/>
          <w:highlight w:val="none"/>
        </w:rPr>
        <w:t>.4-1</w:t>
      </w:r>
      <w:r>
        <w:rPr>
          <w:rFonts w:hint="eastAsia"/>
          <w:color w:val="auto"/>
          <w:sz w:val="24"/>
          <w:szCs w:val="24"/>
          <w:highlight w:val="none"/>
        </w:rPr>
        <w:t>。</w:t>
      </w:r>
      <w:r>
        <w:rPr>
          <w:rFonts w:hint="eastAsia"/>
          <w:color w:val="auto"/>
          <w:sz w:val="24"/>
          <w:szCs w:val="24"/>
          <w:highlight w:val="none"/>
          <w:lang w:val="en-US" w:eastAsia="zh-CN"/>
        </w:rPr>
        <w:t>由</w:t>
      </w:r>
      <w:r>
        <w:rPr>
          <w:rFonts w:hint="eastAsia"/>
          <w:color w:val="auto"/>
          <w:sz w:val="24"/>
          <w:szCs w:val="24"/>
          <w:highlight w:val="none"/>
        </w:rPr>
        <w:t>表4</w:t>
      </w:r>
      <w:r>
        <w:rPr>
          <w:color w:val="auto"/>
          <w:sz w:val="24"/>
          <w:szCs w:val="24"/>
          <w:highlight w:val="none"/>
        </w:rPr>
        <w:t>.4-1</w:t>
      </w:r>
      <w:r>
        <w:rPr>
          <w:rFonts w:hint="eastAsia"/>
          <w:color w:val="auto"/>
          <w:sz w:val="24"/>
          <w:szCs w:val="24"/>
          <w:highlight w:val="none"/>
        </w:rPr>
        <w:t>及图4</w:t>
      </w:r>
      <w:r>
        <w:rPr>
          <w:color w:val="auto"/>
          <w:sz w:val="24"/>
          <w:szCs w:val="24"/>
          <w:highlight w:val="none"/>
        </w:rPr>
        <w:t>.4-1</w:t>
      </w:r>
      <w:r>
        <w:rPr>
          <w:rFonts w:hint="eastAsia"/>
          <w:color w:val="auto"/>
          <w:sz w:val="24"/>
          <w:szCs w:val="24"/>
          <w:highlight w:val="none"/>
        </w:rPr>
        <w:t>可见，本项目建成后，大官庄村声环境昼夜均可满足《声环境质量标准》(GB3096-2008)2类标准要求。</w:t>
      </w:r>
    </w:p>
    <w:p>
      <w:pPr>
        <w:pStyle w:val="103"/>
        <w:rPr>
          <w:rFonts w:hint="eastAsia"/>
          <w:color w:val="auto"/>
          <w:highlight w:val="none"/>
        </w:rPr>
      </w:pPr>
      <w:r>
        <w:rPr>
          <w:rFonts w:hint="eastAsia"/>
          <w:color w:val="auto"/>
          <w:highlight w:val="none"/>
        </w:rPr>
        <w:t>表4</w:t>
      </w:r>
      <w:r>
        <w:rPr>
          <w:color w:val="auto"/>
          <w:highlight w:val="none"/>
        </w:rPr>
        <w:t>.4-</w:t>
      </w:r>
      <w:r>
        <w:rPr>
          <w:rFonts w:hint="eastAsia"/>
          <w:color w:val="auto"/>
          <w:highlight w:val="none"/>
          <w:lang w:val="en-US" w:eastAsia="zh-CN"/>
        </w:rPr>
        <w:t>3</w:t>
      </w:r>
      <w:r>
        <w:rPr>
          <w:color w:val="auto"/>
          <w:highlight w:val="none"/>
        </w:rPr>
        <w:t xml:space="preserve">  </w:t>
      </w:r>
      <w:r>
        <w:rPr>
          <w:rFonts w:hint="eastAsia"/>
          <w:color w:val="auto"/>
          <w:highlight w:val="none"/>
        </w:rPr>
        <w:t>敏感目标声环境影响预测结果</w:t>
      </w:r>
    </w:p>
    <w:tbl>
      <w:tblPr>
        <w:tblStyle w:val="6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1"/>
        <w:gridCol w:w="631"/>
        <w:gridCol w:w="631"/>
        <w:gridCol w:w="633"/>
        <w:gridCol w:w="631"/>
        <w:gridCol w:w="633"/>
        <w:gridCol w:w="631"/>
        <w:gridCol w:w="633"/>
        <w:gridCol w:w="633"/>
        <w:gridCol w:w="633"/>
        <w:gridCol w:w="633"/>
        <w:gridCol w:w="634"/>
        <w:gridCol w:w="634"/>
        <w:gridCol w:w="6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vMerge w:val="restart"/>
            <w:tcMar>
              <w:left w:w="28" w:type="dxa"/>
              <w:right w:w="28" w:type="dxa"/>
            </w:tcMar>
            <w:vAlign w:val="center"/>
          </w:tcPr>
          <w:p>
            <w:pPr>
              <w:jc w:val="center"/>
              <w:rPr>
                <w:color w:val="auto"/>
                <w:highlight w:val="none"/>
              </w:rPr>
            </w:pPr>
            <w:r>
              <w:rPr>
                <w:rFonts w:hint="eastAsia"/>
                <w:color w:val="auto"/>
                <w:highlight w:val="none"/>
              </w:rPr>
              <w:t>敏感目标</w:t>
            </w:r>
          </w:p>
        </w:tc>
        <w:tc>
          <w:tcPr>
            <w:tcW w:w="357" w:type="pct"/>
            <w:vMerge w:val="restart"/>
            <w:tcMar>
              <w:left w:w="28" w:type="dxa"/>
              <w:right w:w="28" w:type="dxa"/>
            </w:tcMar>
            <w:vAlign w:val="center"/>
          </w:tcPr>
          <w:p>
            <w:pPr>
              <w:jc w:val="center"/>
              <w:rPr>
                <w:color w:val="auto"/>
                <w:highlight w:val="none"/>
              </w:rPr>
            </w:pPr>
            <w:r>
              <w:rPr>
                <w:rFonts w:hint="eastAsia"/>
                <w:color w:val="auto"/>
                <w:highlight w:val="none"/>
              </w:rPr>
              <w:t>敏感目标</w:t>
            </w:r>
          </w:p>
        </w:tc>
        <w:tc>
          <w:tcPr>
            <w:tcW w:w="715" w:type="pct"/>
            <w:gridSpan w:val="2"/>
            <w:tcMar>
              <w:left w:w="28" w:type="dxa"/>
              <w:right w:w="28" w:type="dxa"/>
            </w:tcMar>
            <w:vAlign w:val="center"/>
          </w:tcPr>
          <w:p>
            <w:pPr>
              <w:jc w:val="center"/>
              <w:rPr>
                <w:color w:val="auto"/>
                <w:highlight w:val="none"/>
              </w:rPr>
            </w:pPr>
            <w:r>
              <w:rPr>
                <w:rFonts w:hint="eastAsia"/>
                <w:color w:val="auto"/>
                <w:highlight w:val="none"/>
              </w:rPr>
              <w:t>背景值</w:t>
            </w:r>
          </w:p>
        </w:tc>
        <w:tc>
          <w:tcPr>
            <w:tcW w:w="715" w:type="pct"/>
            <w:gridSpan w:val="2"/>
            <w:tcMar>
              <w:left w:w="28" w:type="dxa"/>
              <w:right w:w="28" w:type="dxa"/>
            </w:tcMar>
            <w:vAlign w:val="center"/>
          </w:tcPr>
          <w:p>
            <w:pPr>
              <w:jc w:val="center"/>
              <w:rPr>
                <w:color w:val="auto"/>
                <w:highlight w:val="none"/>
              </w:rPr>
            </w:pPr>
            <w:r>
              <w:rPr>
                <w:rFonts w:hint="eastAsia"/>
                <w:color w:val="auto"/>
                <w:highlight w:val="none"/>
              </w:rPr>
              <w:t>标准值</w:t>
            </w:r>
          </w:p>
        </w:tc>
        <w:tc>
          <w:tcPr>
            <w:tcW w:w="715" w:type="pct"/>
            <w:gridSpan w:val="2"/>
            <w:tcMar>
              <w:left w:w="28" w:type="dxa"/>
              <w:right w:w="28" w:type="dxa"/>
            </w:tcMar>
            <w:vAlign w:val="center"/>
          </w:tcPr>
          <w:p>
            <w:pPr>
              <w:jc w:val="center"/>
              <w:rPr>
                <w:color w:val="auto"/>
                <w:highlight w:val="none"/>
              </w:rPr>
            </w:pPr>
            <w:r>
              <w:rPr>
                <w:rFonts w:hint="eastAsia"/>
                <w:color w:val="auto"/>
                <w:highlight w:val="none"/>
              </w:rPr>
              <w:t>贡献值</w:t>
            </w:r>
          </w:p>
        </w:tc>
        <w:tc>
          <w:tcPr>
            <w:tcW w:w="716" w:type="pct"/>
            <w:gridSpan w:val="2"/>
            <w:tcMar>
              <w:left w:w="28" w:type="dxa"/>
              <w:right w:w="28" w:type="dxa"/>
            </w:tcMar>
            <w:vAlign w:val="center"/>
          </w:tcPr>
          <w:p>
            <w:pPr>
              <w:jc w:val="center"/>
              <w:rPr>
                <w:color w:val="auto"/>
                <w:highlight w:val="none"/>
              </w:rPr>
            </w:pPr>
            <w:r>
              <w:rPr>
                <w:rFonts w:hint="eastAsia"/>
                <w:color w:val="auto"/>
                <w:highlight w:val="none"/>
              </w:rPr>
              <w:t>预测值</w:t>
            </w:r>
          </w:p>
        </w:tc>
        <w:tc>
          <w:tcPr>
            <w:tcW w:w="716" w:type="pct"/>
            <w:gridSpan w:val="2"/>
            <w:tcMar>
              <w:left w:w="28" w:type="dxa"/>
              <w:right w:w="28" w:type="dxa"/>
            </w:tcMar>
            <w:vAlign w:val="center"/>
          </w:tcPr>
          <w:p>
            <w:pPr>
              <w:jc w:val="center"/>
              <w:rPr>
                <w:color w:val="auto"/>
                <w:highlight w:val="none"/>
              </w:rPr>
            </w:pPr>
            <w:r>
              <w:rPr>
                <w:rFonts w:hint="eastAsia"/>
                <w:color w:val="auto"/>
                <w:highlight w:val="none"/>
              </w:rPr>
              <w:t>增量</w:t>
            </w:r>
          </w:p>
        </w:tc>
        <w:tc>
          <w:tcPr>
            <w:tcW w:w="709" w:type="pct"/>
            <w:gridSpan w:val="2"/>
            <w:tcMar>
              <w:left w:w="28" w:type="dxa"/>
              <w:right w:w="28" w:type="dxa"/>
            </w:tcMar>
            <w:vAlign w:val="center"/>
          </w:tcPr>
          <w:p>
            <w:pPr>
              <w:jc w:val="center"/>
              <w:rPr>
                <w:color w:val="auto"/>
                <w:highlight w:val="none"/>
              </w:rPr>
            </w:pPr>
            <w:r>
              <w:rPr>
                <w:rFonts w:hint="eastAsia"/>
                <w:color w:val="auto"/>
                <w:highlight w:val="none"/>
              </w:rPr>
              <w:t>达标判定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vMerge w:val="continue"/>
            <w:tcMar>
              <w:left w:w="28" w:type="dxa"/>
              <w:right w:w="28" w:type="dxa"/>
            </w:tcMar>
            <w:vAlign w:val="center"/>
          </w:tcPr>
          <w:p>
            <w:pPr>
              <w:jc w:val="center"/>
              <w:rPr>
                <w:color w:val="auto"/>
                <w:highlight w:val="none"/>
              </w:rPr>
            </w:pPr>
          </w:p>
        </w:tc>
        <w:tc>
          <w:tcPr>
            <w:tcW w:w="357" w:type="pct"/>
            <w:vMerge w:val="continue"/>
            <w:tcMar>
              <w:left w:w="28" w:type="dxa"/>
              <w:right w:w="28" w:type="dxa"/>
            </w:tcMar>
            <w:vAlign w:val="center"/>
          </w:tcPr>
          <w:p>
            <w:pPr>
              <w:jc w:val="center"/>
              <w:rPr>
                <w:color w:val="auto"/>
                <w:highlight w:val="none"/>
              </w:rPr>
            </w:pPr>
          </w:p>
        </w:tc>
        <w:tc>
          <w:tcPr>
            <w:tcW w:w="357" w:type="pct"/>
            <w:tcMar>
              <w:left w:w="28" w:type="dxa"/>
              <w:right w:w="28" w:type="dxa"/>
            </w:tcMar>
            <w:vAlign w:val="center"/>
          </w:tcPr>
          <w:p>
            <w:pPr>
              <w:jc w:val="center"/>
              <w:rPr>
                <w:color w:val="auto"/>
                <w:highlight w:val="none"/>
              </w:rPr>
            </w:pPr>
            <w:r>
              <w:rPr>
                <w:rFonts w:hint="eastAsia"/>
                <w:color w:val="auto"/>
                <w:highlight w:val="none"/>
              </w:rPr>
              <w:t>昼间</w:t>
            </w:r>
          </w:p>
        </w:tc>
        <w:tc>
          <w:tcPr>
            <w:tcW w:w="358" w:type="pct"/>
            <w:tcMar>
              <w:left w:w="28" w:type="dxa"/>
              <w:right w:w="28" w:type="dxa"/>
            </w:tcMar>
            <w:vAlign w:val="center"/>
          </w:tcPr>
          <w:p>
            <w:pPr>
              <w:jc w:val="center"/>
              <w:rPr>
                <w:color w:val="auto"/>
                <w:highlight w:val="none"/>
              </w:rPr>
            </w:pPr>
            <w:r>
              <w:rPr>
                <w:rFonts w:hint="eastAsia"/>
                <w:color w:val="auto"/>
                <w:highlight w:val="none"/>
              </w:rPr>
              <w:t>夜间</w:t>
            </w:r>
          </w:p>
        </w:tc>
        <w:tc>
          <w:tcPr>
            <w:tcW w:w="357" w:type="pct"/>
            <w:tcMar>
              <w:left w:w="28" w:type="dxa"/>
              <w:right w:w="28" w:type="dxa"/>
            </w:tcMar>
            <w:vAlign w:val="center"/>
          </w:tcPr>
          <w:p>
            <w:pPr>
              <w:jc w:val="center"/>
              <w:rPr>
                <w:color w:val="auto"/>
                <w:highlight w:val="none"/>
              </w:rPr>
            </w:pPr>
            <w:r>
              <w:rPr>
                <w:rFonts w:hint="eastAsia"/>
                <w:color w:val="auto"/>
                <w:highlight w:val="none"/>
              </w:rPr>
              <w:t>昼间</w:t>
            </w:r>
          </w:p>
        </w:tc>
        <w:tc>
          <w:tcPr>
            <w:tcW w:w="358" w:type="pct"/>
            <w:tcMar>
              <w:left w:w="28" w:type="dxa"/>
              <w:right w:w="28" w:type="dxa"/>
            </w:tcMar>
            <w:vAlign w:val="center"/>
          </w:tcPr>
          <w:p>
            <w:pPr>
              <w:jc w:val="center"/>
              <w:rPr>
                <w:color w:val="auto"/>
                <w:highlight w:val="none"/>
              </w:rPr>
            </w:pPr>
            <w:r>
              <w:rPr>
                <w:rFonts w:hint="eastAsia"/>
                <w:color w:val="auto"/>
                <w:highlight w:val="none"/>
              </w:rPr>
              <w:t>夜间</w:t>
            </w:r>
          </w:p>
        </w:tc>
        <w:tc>
          <w:tcPr>
            <w:tcW w:w="357" w:type="pct"/>
            <w:tcMar>
              <w:left w:w="28" w:type="dxa"/>
              <w:right w:w="28" w:type="dxa"/>
            </w:tcMar>
            <w:vAlign w:val="center"/>
          </w:tcPr>
          <w:p>
            <w:pPr>
              <w:jc w:val="center"/>
              <w:rPr>
                <w:color w:val="auto"/>
                <w:highlight w:val="none"/>
              </w:rPr>
            </w:pPr>
            <w:r>
              <w:rPr>
                <w:rFonts w:hint="eastAsia"/>
                <w:color w:val="auto"/>
                <w:highlight w:val="none"/>
              </w:rPr>
              <w:t>昼间</w:t>
            </w:r>
          </w:p>
        </w:tc>
        <w:tc>
          <w:tcPr>
            <w:tcW w:w="358" w:type="pct"/>
            <w:tcMar>
              <w:left w:w="28" w:type="dxa"/>
              <w:right w:w="28" w:type="dxa"/>
            </w:tcMar>
            <w:vAlign w:val="center"/>
          </w:tcPr>
          <w:p>
            <w:pPr>
              <w:jc w:val="center"/>
              <w:rPr>
                <w:color w:val="auto"/>
                <w:highlight w:val="none"/>
              </w:rPr>
            </w:pPr>
            <w:r>
              <w:rPr>
                <w:rFonts w:hint="eastAsia"/>
                <w:color w:val="auto"/>
                <w:highlight w:val="none"/>
              </w:rPr>
              <w:t>夜间</w:t>
            </w:r>
          </w:p>
        </w:tc>
        <w:tc>
          <w:tcPr>
            <w:tcW w:w="358" w:type="pct"/>
            <w:tcMar>
              <w:left w:w="28" w:type="dxa"/>
              <w:right w:w="28" w:type="dxa"/>
            </w:tcMar>
            <w:vAlign w:val="center"/>
          </w:tcPr>
          <w:p>
            <w:pPr>
              <w:jc w:val="center"/>
              <w:rPr>
                <w:color w:val="auto"/>
                <w:highlight w:val="none"/>
              </w:rPr>
            </w:pPr>
            <w:r>
              <w:rPr>
                <w:rFonts w:hint="eastAsia"/>
                <w:color w:val="auto"/>
                <w:highlight w:val="none"/>
              </w:rPr>
              <w:t>昼间</w:t>
            </w:r>
          </w:p>
        </w:tc>
        <w:tc>
          <w:tcPr>
            <w:tcW w:w="358" w:type="pct"/>
            <w:tcMar>
              <w:left w:w="28" w:type="dxa"/>
              <w:right w:w="28" w:type="dxa"/>
            </w:tcMar>
            <w:vAlign w:val="center"/>
          </w:tcPr>
          <w:p>
            <w:pPr>
              <w:jc w:val="center"/>
              <w:rPr>
                <w:color w:val="auto"/>
                <w:highlight w:val="none"/>
              </w:rPr>
            </w:pPr>
            <w:r>
              <w:rPr>
                <w:rFonts w:hint="eastAsia"/>
                <w:color w:val="auto"/>
                <w:highlight w:val="none"/>
              </w:rPr>
              <w:t>夜间</w:t>
            </w:r>
          </w:p>
        </w:tc>
        <w:tc>
          <w:tcPr>
            <w:tcW w:w="358" w:type="pct"/>
            <w:tcMar>
              <w:left w:w="28" w:type="dxa"/>
              <w:right w:w="28" w:type="dxa"/>
            </w:tcMar>
            <w:vAlign w:val="center"/>
          </w:tcPr>
          <w:p>
            <w:pPr>
              <w:jc w:val="center"/>
              <w:rPr>
                <w:color w:val="auto"/>
                <w:highlight w:val="none"/>
              </w:rPr>
            </w:pPr>
            <w:r>
              <w:rPr>
                <w:rFonts w:hint="eastAsia"/>
                <w:color w:val="auto"/>
                <w:highlight w:val="none"/>
              </w:rPr>
              <w:t>昼间</w:t>
            </w:r>
          </w:p>
        </w:tc>
        <w:tc>
          <w:tcPr>
            <w:tcW w:w="358" w:type="pct"/>
            <w:tcMar>
              <w:left w:w="28" w:type="dxa"/>
              <w:right w:w="28" w:type="dxa"/>
            </w:tcMar>
            <w:vAlign w:val="center"/>
          </w:tcPr>
          <w:p>
            <w:pPr>
              <w:jc w:val="center"/>
              <w:rPr>
                <w:color w:val="auto"/>
                <w:highlight w:val="none"/>
              </w:rPr>
            </w:pPr>
            <w:r>
              <w:rPr>
                <w:rFonts w:hint="eastAsia"/>
                <w:color w:val="auto"/>
                <w:highlight w:val="none"/>
              </w:rPr>
              <w:t>夜间</w:t>
            </w:r>
          </w:p>
        </w:tc>
        <w:tc>
          <w:tcPr>
            <w:tcW w:w="358" w:type="pct"/>
            <w:tcMar>
              <w:left w:w="28" w:type="dxa"/>
              <w:right w:w="28" w:type="dxa"/>
            </w:tcMar>
            <w:vAlign w:val="center"/>
          </w:tcPr>
          <w:p>
            <w:pPr>
              <w:jc w:val="center"/>
              <w:rPr>
                <w:color w:val="auto"/>
                <w:highlight w:val="none"/>
              </w:rPr>
            </w:pPr>
            <w:r>
              <w:rPr>
                <w:rFonts w:hint="eastAsia"/>
                <w:color w:val="auto"/>
                <w:highlight w:val="none"/>
              </w:rPr>
              <w:t>昼间</w:t>
            </w:r>
          </w:p>
        </w:tc>
        <w:tc>
          <w:tcPr>
            <w:tcW w:w="351" w:type="pct"/>
            <w:tcMar>
              <w:left w:w="28" w:type="dxa"/>
              <w:right w:w="28" w:type="dxa"/>
            </w:tcMar>
            <w:vAlign w:val="center"/>
          </w:tcPr>
          <w:p>
            <w:pPr>
              <w:jc w:val="center"/>
              <w:rPr>
                <w:color w:val="auto"/>
                <w:highlight w:val="none"/>
              </w:rPr>
            </w:pPr>
            <w:r>
              <w:rPr>
                <w:rFonts w:hint="eastAsia"/>
                <w:color w:val="auto"/>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vMerge w:val="restart"/>
            <w:tcMar>
              <w:left w:w="28" w:type="dxa"/>
              <w:right w:w="28" w:type="dxa"/>
            </w:tcMar>
            <w:vAlign w:val="center"/>
          </w:tcPr>
          <w:p>
            <w:pPr>
              <w:jc w:val="center"/>
              <w:rPr>
                <w:color w:val="auto"/>
                <w:highlight w:val="none"/>
              </w:rPr>
            </w:pPr>
            <w:r>
              <w:rPr>
                <w:rFonts w:hint="eastAsia"/>
                <w:color w:val="auto"/>
                <w:highlight w:val="none"/>
              </w:rPr>
              <w:t>大官庄村</w:t>
            </w:r>
          </w:p>
        </w:tc>
        <w:tc>
          <w:tcPr>
            <w:tcW w:w="357" w:type="pct"/>
            <w:tcMar>
              <w:left w:w="28" w:type="dxa"/>
              <w:right w:w="28" w:type="dxa"/>
            </w:tcMar>
            <w:vAlign w:val="center"/>
          </w:tcPr>
          <w:p>
            <w:pPr>
              <w:jc w:val="center"/>
              <w:rPr>
                <w:color w:val="auto"/>
                <w:highlight w:val="none"/>
              </w:rPr>
            </w:pPr>
            <w:r>
              <w:rPr>
                <w:rFonts w:hint="eastAsia"/>
                <w:color w:val="auto"/>
                <w:highlight w:val="none"/>
              </w:rPr>
              <w:t>1楼</w:t>
            </w:r>
          </w:p>
        </w:tc>
        <w:tc>
          <w:tcPr>
            <w:tcW w:w="357" w:type="pct"/>
            <w:tcMar>
              <w:left w:w="28" w:type="dxa"/>
              <w:right w:w="28" w:type="dxa"/>
            </w:tcMar>
            <w:vAlign w:val="center"/>
          </w:tcPr>
          <w:p>
            <w:pPr>
              <w:jc w:val="center"/>
              <w:rPr>
                <w:color w:val="auto"/>
                <w:highlight w:val="none"/>
              </w:rPr>
            </w:pPr>
            <w:r>
              <w:rPr>
                <w:rFonts w:hint="eastAsia"/>
                <w:color w:val="auto"/>
                <w:highlight w:val="none"/>
              </w:rPr>
              <w:t>4</w:t>
            </w:r>
            <w:r>
              <w:rPr>
                <w:color w:val="auto"/>
                <w:highlight w:val="none"/>
              </w:rPr>
              <w:t>6</w:t>
            </w:r>
          </w:p>
        </w:tc>
        <w:tc>
          <w:tcPr>
            <w:tcW w:w="358" w:type="pct"/>
            <w:tcMar>
              <w:left w:w="28" w:type="dxa"/>
              <w:right w:w="28" w:type="dxa"/>
            </w:tcMar>
            <w:vAlign w:val="center"/>
          </w:tcPr>
          <w:p>
            <w:pPr>
              <w:jc w:val="center"/>
              <w:rPr>
                <w:color w:val="auto"/>
                <w:highlight w:val="none"/>
              </w:rPr>
            </w:pPr>
            <w:r>
              <w:rPr>
                <w:rFonts w:hint="eastAsia"/>
                <w:color w:val="auto"/>
                <w:highlight w:val="none"/>
              </w:rPr>
              <w:t>4</w:t>
            </w:r>
            <w:r>
              <w:rPr>
                <w:color w:val="auto"/>
                <w:highlight w:val="none"/>
              </w:rPr>
              <w:t>1</w:t>
            </w:r>
          </w:p>
        </w:tc>
        <w:tc>
          <w:tcPr>
            <w:tcW w:w="357" w:type="pct"/>
            <w:tcMar>
              <w:left w:w="28" w:type="dxa"/>
              <w:right w:w="28" w:type="dxa"/>
            </w:tcMar>
            <w:vAlign w:val="center"/>
          </w:tcPr>
          <w:p>
            <w:pPr>
              <w:jc w:val="center"/>
              <w:rPr>
                <w:color w:val="auto"/>
                <w:highlight w:val="none"/>
              </w:rPr>
            </w:pPr>
            <w:r>
              <w:rPr>
                <w:rFonts w:hint="eastAsia"/>
                <w:color w:val="auto"/>
                <w:highlight w:val="none"/>
              </w:rPr>
              <w:t>6</w:t>
            </w:r>
            <w:r>
              <w:rPr>
                <w:color w:val="auto"/>
                <w:highlight w:val="none"/>
              </w:rPr>
              <w:t>0</w:t>
            </w:r>
          </w:p>
        </w:tc>
        <w:tc>
          <w:tcPr>
            <w:tcW w:w="358" w:type="pct"/>
            <w:tcMar>
              <w:left w:w="28" w:type="dxa"/>
              <w:right w:w="28" w:type="dxa"/>
            </w:tcMar>
            <w:vAlign w:val="center"/>
          </w:tcPr>
          <w:p>
            <w:pPr>
              <w:jc w:val="center"/>
              <w:rPr>
                <w:color w:val="auto"/>
                <w:highlight w:val="none"/>
              </w:rPr>
            </w:pPr>
            <w:r>
              <w:rPr>
                <w:rFonts w:hint="eastAsia"/>
                <w:color w:val="auto"/>
                <w:highlight w:val="none"/>
              </w:rPr>
              <w:t>5</w:t>
            </w:r>
            <w:r>
              <w:rPr>
                <w:color w:val="auto"/>
                <w:highlight w:val="none"/>
              </w:rPr>
              <w:t>0</w:t>
            </w:r>
          </w:p>
        </w:tc>
        <w:tc>
          <w:tcPr>
            <w:tcW w:w="357" w:type="pct"/>
            <w:tcMar>
              <w:left w:w="28" w:type="dxa"/>
              <w:right w:w="28" w:type="dxa"/>
            </w:tcMar>
            <w:vAlign w:val="center"/>
          </w:tcPr>
          <w:p>
            <w:pPr>
              <w:jc w:val="center"/>
              <w:rPr>
                <w:color w:val="auto"/>
                <w:highlight w:val="none"/>
              </w:rPr>
            </w:pPr>
            <w:r>
              <w:rPr>
                <w:rFonts w:hint="eastAsia"/>
                <w:color w:val="auto"/>
                <w:highlight w:val="none"/>
              </w:rPr>
              <w:t>2</w:t>
            </w:r>
            <w:r>
              <w:rPr>
                <w:color w:val="auto"/>
                <w:highlight w:val="none"/>
              </w:rPr>
              <w:t>7.9</w:t>
            </w:r>
          </w:p>
        </w:tc>
        <w:tc>
          <w:tcPr>
            <w:tcW w:w="358" w:type="pct"/>
            <w:tcMar>
              <w:left w:w="28" w:type="dxa"/>
              <w:right w:w="28" w:type="dxa"/>
            </w:tcMar>
            <w:vAlign w:val="center"/>
          </w:tcPr>
          <w:p>
            <w:pPr>
              <w:jc w:val="center"/>
              <w:rPr>
                <w:color w:val="auto"/>
                <w:highlight w:val="none"/>
              </w:rPr>
            </w:pPr>
            <w:r>
              <w:rPr>
                <w:rFonts w:hint="eastAsia"/>
                <w:color w:val="auto"/>
                <w:highlight w:val="none"/>
              </w:rPr>
              <w:t>2</w:t>
            </w:r>
            <w:r>
              <w:rPr>
                <w:color w:val="auto"/>
                <w:highlight w:val="none"/>
              </w:rPr>
              <w:t>7.9</w:t>
            </w:r>
          </w:p>
        </w:tc>
        <w:tc>
          <w:tcPr>
            <w:tcW w:w="358" w:type="pct"/>
            <w:tcMar>
              <w:left w:w="28" w:type="dxa"/>
              <w:right w:w="28" w:type="dxa"/>
            </w:tcMar>
            <w:vAlign w:val="center"/>
          </w:tcPr>
          <w:p>
            <w:pPr>
              <w:jc w:val="center"/>
              <w:rPr>
                <w:color w:val="auto"/>
                <w:highlight w:val="none"/>
              </w:rPr>
            </w:pPr>
            <w:r>
              <w:rPr>
                <w:rFonts w:hint="eastAsia"/>
                <w:color w:val="auto"/>
                <w:highlight w:val="none"/>
              </w:rPr>
              <w:t>4</w:t>
            </w:r>
            <w:r>
              <w:rPr>
                <w:color w:val="auto"/>
                <w:highlight w:val="none"/>
              </w:rPr>
              <w:t>6.07</w:t>
            </w:r>
          </w:p>
        </w:tc>
        <w:tc>
          <w:tcPr>
            <w:tcW w:w="358" w:type="pct"/>
            <w:tcMar>
              <w:left w:w="28" w:type="dxa"/>
              <w:right w:w="28" w:type="dxa"/>
            </w:tcMar>
            <w:vAlign w:val="center"/>
          </w:tcPr>
          <w:p>
            <w:pPr>
              <w:jc w:val="center"/>
              <w:rPr>
                <w:color w:val="auto"/>
                <w:highlight w:val="none"/>
              </w:rPr>
            </w:pPr>
            <w:r>
              <w:rPr>
                <w:rFonts w:hint="eastAsia"/>
                <w:color w:val="auto"/>
                <w:highlight w:val="none"/>
              </w:rPr>
              <w:t>4</w:t>
            </w:r>
            <w:r>
              <w:rPr>
                <w:color w:val="auto"/>
                <w:highlight w:val="none"/>
              </w:rPr>
              <w:t>1.21</w:t>
            </w:r>
          </w:p>
        </w:tc>
        <w:tc>
          <w:tcPr>
            <w:tcW w:w="358" w:type="pct"/>
            <w:tcMar>
              <w:left w:w="28" w:type="dxa"/>
              <w:right w:w="28" w:type="dxa"/>
            </w:tcMar>
            <w:vAlign w:val="center"/>
          </w:tcPr>
          <w:p>
            <w:pPr>
              <w:jc w:val="center"/>
              <w:rPr>
                <w:color w:val="auto"/>
                <w:highlight w:val="none"/>
              </w:rPr>
            </w:pPr>
            <w:r>
              <w:rPr>
                <w:rFonts w:hint="eastAsia"/>
                <w:color w:val="auto"/>
                <w:highlight w:val="none"/>
              </w:rPr>
              <w:t>0</w:t>
            </w:r>
            <w:r>
              <w:rPr>
                <w:color w:val="auto"/>
                <w:highlight w:val="none"/>
              </w:rPr>
              <w:t>.07</w:t>
            </w:r>
          </w:p>
        </w:tc>
        <w:tc>
          <w:tcPr>
            <w:tcW w:w="358" w:type="pct"/>
            <w:tcMar>
              <w:left w:w="28" w:type="dxa"/>
              <w:right w:w="28" w:type="dxa"/>
            </w:tcMar>
            <w:vAlign w:val="center"/>
          </w:tcPr>
          <w:p>
            <w:pPr>
              <w:jc w:val="center"/>
              <w:rPr>
                <w:color w:val="auto"/>
                <w:highlight w:val="none"/>
              </w:rPr>
            </w:pPr>
            <w:r>
              <w:rPr>
                <w:rFonts w:hint="eastAsia"/>
                <w:color w:val="auto"/>
                <w:highlight w:val="none"/>
              </w:rPr>
              <w:t>0</w:t>
            </w:r>
            <w:r>
              <w:rPr>
                <w:color w:val="auto"/>
                <w:highlight w:val="none"/>
              </w:rPr>
              <w:t>.21</w:t>
            </w:r>
          </w:p>
        </w:tc>
        <w:tc>
          <w:tcPr>
            <w:tcW w:w="358" w:type="pct"/>
            <w:tcMar>
              <w:left w:w="28" w:type="dxa"/>
              <w:right w:w="28" w:type="dxa"/>
            </w:tcMar>
            <w:vAlign w:val="center"/>
          </w:tcPr>
          <w:p>
            <w:pPr>
              <w:jc w:val="center"/>
              <w:rPr>
                <w:color w:val="auto"/>
                <w:highlight w:val="none"/>
              </w:rPr>
            </w:pPr>
            <w:r>
              <w:rPr>
                <w:rFonts w:hint="eastAsia"/>
                <w:color w:val="auto"/>
                <w:highlight w:val="none"/>
              </w:rPr>
              <w:t>达标</w:t>
            </w:r>
          </w:p>
        </w:tc>
        <w:tc>
          <w:tcPr>
            <w:tcW w:w="351" w:type="pct"/>
            <w:tcMar>
              <w:left w:w="28" w:type="dxa"/>
              <w:right w:w="28" w:type="dxa"/>
            </w:tcMar>
            <w:vAlign w:val="center"/>
          </w:tcPr>
          <w:p>
            <w:pPr>
              <w:jc w:val="center"/>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vMerge w:val="continue"/>
            <w:tcMar>
              <w:left w:w="28" w:type="dxa"/>
              <w:right w:w="28" w:type="dxa"/>
            </w:tcMar>
            <w:vAlign w:val="center"/>
          </w:tcPr>
          <w:p>
            <w:pPr>
              <w:jc w:val="center"/>
              <w:rPr>
                <w:color w:val="auto"/>
                <w:highlight w:val="none"/>
              </w:rPr>
            </w:pPr>
          </w:p>
        </w:tc>
        <w:tc>
          <w:tcPr>
            <w:tcW w:w="357" w:type="pct"/>
            <w:tcMar>
              <w:left w:w="28" w:type="dxa"/>
              <w:right w:w="28" w:type="dxa"/>
            </w:tcMar>
            <w:vAlign w:val="center"/>
          </w:tcPr>
          <w:p>
            <w:pPr>
              <w:jc w:val="center"/>
              <w:rPr>
                <w:rFonts w:hint="eastAsia"/>
                <w:color w:val="auto"/>
                <w:highlight w:val="none"/>
              </w:rPr>
            </w:pPr>
            <w:r>
              <w:rPr>
                <w:color w:val="auto"/>
                <w:highlight w:val="none"/>
              </w:rPr>
              <w:t>3</w:t>
            </w:r>
            <w:r>
              <w:rPr>
                <w:rFonts w:hint="eastAsia"/>
                <w:color w:val="auto"/>
                <w:highlight w:val="none"/>
              </w:rPr>
              <w:t>楼</w:t>
            </w:r>
          </w:p>
        </w:tc>
        <w:tc>
          <w:tcPr>
            <w:tcW w:w="357" w:type="pct"/>
            <w:tcMar>
              <w:left w:w="28" w:type="dxa"/>
              <w:right w:w="28" w:type="dxa"/>
            </w:tcMar>
            <w:vAlign w:val="center"/>
          </w:tcPr>
          <w:p>
            <w:pPr>
              <w:jc w:val="center"/>
              <w:rPr>
                <w:color w:val="auto"/>
                <w:highlight w:val="none"/>
              </w:rPr>
            </w:pPr>
            <w:r>
              <w:rPr>
                <w:rFonts w:hint="eastAsia"/>
                <w:color w:val="auto"/>
                <w:highlight w:val="none"/>
              </w:rPr>
              <w:t>4</w:t>
            </w:r>
            <w:r>
              <w:rPr>
                <w:color w:val="auto"/>
                <w:highlight w:val="none"/>
              </w:rPr>
              <w:t>2</w:t>
            </w:r>
          </w:p>
        </w:tc>
        <w:tc>
          <w:tcPr>
            <w:tcW w:w="358" w:type="pct"/>
            <w:tcMar>
              <w:left w:w="28" w:type="dxa"/>
              <w:right w:w="28" w:type="dxa"/>
            </w:tcMar>
            <w:vAlign w:val="center"/>
          </w:tcPr>
          <w:p>
            <w:pPr>
              <w:jc w:val="center"/>
              <w:rPr>
                <w:color w:val="auto"/>
                <w:highlight w:val="none"/>
              </w:rPr>
            </w:pPr>
            <w:r>
              <w:rPr>
                <w:rFonts w:hint="eastAsia"/>
                <w:color w:val="auto"/>
                <w:highlight w:val="none"/>
              </w:rPr>
              <w:t>4</w:t>
            </w:r>
            <w:r>
              <w:rPr>
                <w:color w:val="auto"/>
                <w:highlight w:val="none"/>
              </w:rPr>
              <w:t>5</w:t>
            </w:r>
          </w:p>
        </w:tc>
        <w:tc>
          <w:tcPr>
            <w:tcW w:w="357" w:type="pct"/>
            <w:tcMar>
              <w:left w:w="28" w:type="dxa"/>
              <w:right w:w="28" w:type="dxa"/>
            </w:tcMar>
            <w:vAlign w:val="center"/>
          </w:tcPr>
          <w:p>
            <w:pPr>
              <w:jc w:val="center"/>
              <w:rPr>
                <w:color w:val="auto"/>
                <w:highlight w:val="none"/>
              </w:rPr>
            </w:pPr>
            <w:r>
              <w:rPr>
                <w:rFonts w:hint="eastAsia"/>
                <w:color w:val="auto"/>
                <w:highlight w:val="none"/>
              </w:rPr>
              <w:t>6</w:t>
            </w:r>
            <w:r>
              <w:rPr>
                <w:color w:val="auto"/>
                <w:highlight w:val="none"/>
              </w:rPr>
              <w:t>0</w:t>
            </w:r>
          </w:p>
        </w:tc>
        <w:tc>
          <w:tcPr>
            <w:tcW w:w="358" w:type="pct"/>
            <w:tcMar>
              <w:left w:w="28" w:type="dxa"/>
              <w:right w:w="28" w:type="dxa"/>
            </w:tcMar>
            <w:vAlign w:val="center"/>
          </w:tcPr>
          <w:p>
            <w:pPr>
              <w:jc w:val="center"/>
              <w:rPr>
                <w:color w:val="auto"/>
                <w:highlight w:val="none"/>
              </w:rPr>
            </w:pPr>
            <w:r>
              <w:rPr>
                <w:rFonts w:hint="eastAsia"/>
                <w:color w:val="auto"/>
                <w:highlight w:val="none"/>
              </w:rPr>
              <w:t>5</w:t>
            </w:r>
            <w:r>
              <w:rPr>
                <w:color w:val="auto"/>
                <w:highlight w:val="none"/>
              </w:rPr>
              <w:t>0</w:t>
            </w:r>
          </w:p>
        </w:tc>
        <w:tc>
          <w:tcPr>
            <w:tcW w:w="357" w:type="pct"/>
            <w:tcMar>
              <w:left w:w="28" w:type="dxa"/>
              <w:right w:w="28" w:type="dxa"/>
            </w:tcMar>
            <w:vAlign w:val="center"/>
          </w:tcPr>
          <w:p>
            <w:pPr>
              <w:jc w:val="center"/>
              <w:rPr>
                <w:color w:val="auto"/>
                <w:highlight w:val="none"/>
              </w:rPr>
            </w:pPr>
            <w:r>
              <w:rPr>
                <w:rFonts w:hint="eastAsia"/>
                <w:color w:val="auto"/>
                <w:highlight w:val="none"/>
              </w:rPr>
              <w:t>3</w:t>
            </w:r>
            <w:r>
              <w:rPr>
                <w:color w:val="auto"/>
                <w:highlight w:val="none"/>
              </w:rPr>
              <w:t>7.4</w:t>
            </w:r>
          </w:p>
        </w:tc>
        <w:tc>
          <w:tcPr>
            <w:tcW w:w="358" w:type="pct"/>
            <w:tcMar>
              <w:left w:w="28" w:type="dxa"/>
              <w:right w:w="28" w:type="dxa"/>
            </w:tcMar>
            <w:vAlign w:val="center"/>
          </w:tcPr>
          <w:p>
            <w:pPr>
              <w:jc w:val="center"/>
              <w:rPr>
                <w:color w:val="auto"/>
                <w:highlight w:val="none"/>
              </w:rPr>
            </w:pPr>
            <w:r>
              <w:rPr>
                <w:rFonts w:hint="eastAsia"/>
                <w:color w:val="auto"/>
                <w:highlight w:val="none"/>
              </w:rPr>
              <w:t>3</w:t>
            </w:r>
            <w:r>
              <w:rPr>
                <w:color w:val="auto"/>
                <w:highlight w:val="none"/>
              </w:rPr>
              <w:t>7.4</w:t>
            </w:r>
          </w:p>
        </w:tc>
        <w:tc>
          <w:tcPr>
            <w:tcW w:w="358" w:type="pct"/>
            <w:tcMar>
              <w:left w:w="28" w:type="dxa"/>
              <w:right w:w="28" w:type="dxa"/>
            </w:tcMar>
            <w:vAlign w:val="center"/>
          </w:tcPr>
          <w:p>
            <w:pPr>
              <w:jc w:val="center"/>
              <w:rPr>
                <w:color w:val="auto"/>
                <w:highlight w:val="none"/>
              </w:rPr>
            </w:pPr>
            <w:r>
              <w:rPr>
                <w:rFonts w:hint="eastAsia"/>
                <w:color w:val="auto"/>
                <w:highlight w:val="none"/>
              </w:rPr>
              <w:t>4</w:t>
            </w:r>
            <w:r>
              <w:rPr>
                <w:color w:val="auto"/>
                <w:highlight w:val="none"/>
              </w:rPr>
              <w:t>3.29</w:t>
            </w:r>
          </w:p>
        </w:tc>
        <w:tc>
          <w:tcPr>
            <w:tcW w:w="358" w:type="pct"/>
            <w:tcMar>
              <w:left w:w="28" w:type="dxa"/>
              <w:right w:w="28" w:type="dxa"/>
            </w:tcMar>
            <w:vAlign w:val="center"/>
          </w:tcPr>
          <w:p>
            <w:pPr>
              <w:jc w:val="center"/>
              <w:rPr>
                <w:color w:val="auto"/>
                <w:highlight w:val="none"/>
              </w:rPr>
            </w:pPr>
            <w:r>
              <w:rPr>
                <w:rFonts w:hint="eastAsia"/>
                <w:color w:val="auto"/>
                <w:highlight w:val="none"/>
              </w:rPr>
              <w:t>4</w:t>
            </w:r>
            <w:r>
              <w:rPr>
                <w:color w:val="auto"/>
                <w:highlight w:val="none"/>
              </w:rPr>
              <w:t>5.70</w:t>
            </w:r>
          </w:p>
        </w:tc>
        <w:tc>
          <w:tcPr>
            <w:tcW w:w="358" w:type="pct"/>
            <w:tcMar>
              <w:left w:w="28" w:type="dxa"/>
              <w:right w:w="28" w:type="dxa"/>
            </w:tcMar>
            <w:vAlign w:val="center"/>
          </w:tcPr>
          <w:p>
            <w:pPr>
              <w:jc w:val="center"/>
              <w:rPr>
                <w:color w:val="auto"/>
                <w:highlight w:val="none"/>
              </w:rPr>
            </w:pPr>
            <w:r>
              <w:rPr>
                <w:rFonts w:hint="eastAsia"/>
                <w:color w:val="auto"/>
                <w:highlight w:val="none"/>
              </w:rPr>
              <w:t>1</w:t>
            </w:r>
            <w:r>
              <w:rPr>
                <w:color w:val="auto"/>
                <w:highlight w:val="none"/>
              </w:rPr>
              <w:t>.29</w:t>
            </w:r>
          </w:p>
        </w:tc>
        <w:tc>
          <w:tcPr>
            <w:tcW w:w="358" w:type="pct"/>
            <w:tcMar>
              <w:left w:w="28" w:type="dxa"/>
              <w:right w:w="28" w:type="dxa"/>
            </w:tcMar>
            <w:vAlign w:val="center"/>
          </w:tcPr>
          <w:p>
            <w:pPr>
              <w:jc w:val="center"/>
              <w:rPr>
                <w:color w:val="auto"/>
                <w:highlight w:val="none"/>
              </w:rPr>
            </w:pPr>
            <w:r>
              <w:rPr>
                <w:rFonts w:hint="eastAsia"/>
                <w:color w:val="auto"/>
                <w:highlight w:val="none"/>
              </w:rPr>
              <w:t>0</w:t>
            </w:r>
            <w:r>
              <w:rPr>
                <w:color w:val="auto"/>
                <w:highlight w:val="none"/>
              </w:rPr>
              <w:t>.70</w:t>
            </w:r>
          </w:p>
        </w:tc>
        <w:tc>
          <w:tcPr>
            <w:tcW w:w="358" w:type="pct"/>
            <w:tcMar>
              <w:left w:w="28" w:type="dxa"/>
              <w:right w:w="28" w:type="dxa"/>
            </w:tcMar>
            <w:vAlign w:val="center"/>
          </w:tcPr>
          <w:p>
            <w:pPr>
              <w:jc w:val="center"/>
              <w:rPr>
                <w:color w:val="auto"/>
                <w:highlight w:val="none"/>
              </w:rPr>
            </w:pPr>
            <w:r>
              <w:rPr>
                <w:rFonts w:hint="eastAsia"/>
                <w:color w:val="auto"/>
                <w:highlight w:val="none"/>
              </w:rPr>
              <w:t>达标</w:t>
            </w:r>
          </w:p>
        </w:tc>
        <w:tc>
          <w:tcPr>
            <w:tcW w:w="351" w:type="pct"/>
            <w:tcMar>
              <w:left w:w="28" w:type="dxa"/>
              <w:right w:w="28" w:type="dxa"/>
            </w:tcMar>
            <w:vAlign w:val="center"/>
          </w:tcPr>
          <w:p>
            <w:pPr>
              <w:jc w:val="center"/>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vMerge w:val="continue"/>
            <w:tcMar>
              <w:left w:w="28" w:type="dxa"/>
              <w:right w:w="28" w:type="dxa"/>
            </w:tcMar>
            <w:vAlign w:val="center"/>
          </w:tcPr>
          <w:p>
            <w:pPr>
              <w:jc w:val="center"/>
              <w:rPr>
                <w:color w:val="auto"/>
                <w:highlight w:val="none"/>
              </w:rPr>
            </w:pPr>
          </w:p>
        </w:tc>
        <w:tc>
          <w:tcPr>
            <w:tcW w:w="357" w:type="pct"/>
            <w:tcMar>
              <w:left w:w="28" w:type="dxa"/>
              <w:right w:w="28" w:type="dxa"/>
            </w:tcMar>
            <w:vAlign w:val="center"/>
          </w:tcPr>
          <w:p>
            <w:pPr>
              <w:jc w:val="center"/>
              <w:rPr>
                <w:rFonts w:hint="eastAsia"/>
                <w:color w:val="auto"/>
                <w:highlight w:val="none"/>
              </w:rPr>
            </w:pPr>
            <w:r>
              <w:rPr>
                <w:color w:val="auto"/>
                <w:highlight w:val="none"/>
              </w:rPr>
              <w:t>5</w:t>
            </w:r>
            <w:r>
              <w:rPr>
                <w:rFonts w:hint="eastAsia"/>
                <w:color w:val="auto"/>
                <w:highlight w:val="none"/>
              </w:rPr>
              <w:t>楼</w:t>
            </w:r>
          </w:p>
        </w:tc>
        <w:tc>
          <w:tcPr>
            <w:tcW w:w="357" w:type="pct"/>
            <w:tcMar>
              <w:left w:w="28" w:type="dxa"/>
              <w:right w:w="28" w:type="dxa"/>
            </w:tcMar>
            <w:vAlign w:val="center"/>
          </w:tcPr>
          <w:p>
            <w:pPr>
              <w:jc w:val="center"/>
              <w:rPr>
                <w:color w:val="auto"/>
                <w:highlight w:val="none"/>
              </w:rPr>
            </w:pPr>
            <w:r>
              <w:rPr>
                <w:rFonts w:hint="eastAsia"/>
                <w:color w:val="auto"/>
                <w:highlight w:val="none"/>
              </w:rPr>
              <w:t>4</w:t>
            </w:r>
            <w:r>
              <w:rPr>
                <w:color w:val="auto"/>
                <w:highlight w:val="none"/>
              </w:rPr>
              <w:t>3</w:t>
            </w:r>
          </w:p>
        </w:tc>
        <w:tc>
          <w:tcPr>
            <w:tcW w:w="358" w:type="pct"/>
            <w:tcMar>
              <w:left w:w="28" w:type="dxa"/>
              <w:right w:w="28" w:type="dxa"/>
            </w:tcMar>
            <w:vAlign w:val="center"/>
          </w:tcPr>
          <w:p>
            <w:pPr>
              <w:jc w:val="center"/>
              <w:rPr>
                <w:color w:val="auto"/>
                <w:highlight w:val="none"/>
              </w:rPr>
            </w:pPr>
            <w:r>
              <w:rPr>
                <w:rFonts w:hint="eastAsia"/>
                <w:color w:val="auto"/>
                <w:highlight w:val="none"/>
              </w:rPr>
              <w:t>4</w:t>
            </w:r>
            <w:r>
              <w:rPr>
                <w:color w:val="auto"/>
                <w:highlight w:val="none"/>
              </w:rPr>
              <w:t>2</w:t>
            </w:r>
          </w:p>
        </w:tc>
        <w:tc>
          <w:tcPr>
            <w:tcW w:w="357" w:type="pct"/>
            <w:tcMar>
              <w:left w:w="28" w:type="dxa"/>
              <w:right w:w="28" w:type="dxa"/>
            </w:tcMar>
            <w:vAlign w:val="center"/>
          </w:tcPr>
          <w:p>
            <w:pPr>
              <w:jc w:val="center"/>
              <w:rPr>
                <w:color w:val="auto"/>
                <w:highlight w:val="none"/>
              </w:rPr>
            </w:pPr>
            <w:r>
              <w:rPr>
                <w:rFonts w:hint="eastAsia"/>
                <w:color w:val="auto"/>
                <w:highlight w:val="none"/>
              </w:rPr>
              <w:t>6</w:t>
            </w:r>
            <w:r>
              <w:rPr>
                <w:color w:val="auto"/>
                <w:highlight w:val="none"/>
              </w:rPr>
              <w:t>0</w:t>
            </w:r>
          </w:p>
        </w:tc>
        <w:tc>
          <w:tcPr>
            <w:tcW w:w="358" w:type="pct"/>
            <w:tcMar>
              <w:left w:w="28" w:type="dxa"/>
              <w:right w:w="28" w:type="dxa"/>
            </w:tcMar>
            <w:vAlign w:val="center"/>
          </w:tcPr>
          <w:p>
            <w:pPr>
              <w:jc w:val="center"/>
              <w:rPr>
                <w:color w:val="auto"/>
                <w:highlight w:val="none"/>
              </w:rPr>
            </w:pPr>
            <w:r>
              <w:rPr>
                <w:rFonts w:hint="eastAsia"/>
                <w:color w:val="auto"/>
                <w:highlight w:val="none"/>
              </w:rPr>
              <w:t>5</w:t>
            </w:r>
            <w:r>
              <w:rPr>
                <w:color w:val="auto"/>
                <w:highlight w:val="none"/>
              </w:rPr>
              <w:t>0</w:t>
            </w:r>
          </w:p>
        </w:tc>
        <w:tc>
          <w:tcPr>
            <w:tcW w:w="357" w:type="pct"/>
            <w:tcMar>
              <w:left w:w="28" w:type="dxa"/>
              <w:right w:w="28" w:type="dxa"/>
            </w:tcMar>
            <w:vAlign w:val="center"/>
          </w:tcPr>
          <w:p>
            <w:pPr>
              <w:jc w:val="center"/>
              <w:rPr>
                <w:color w:val="auto"/>
                <w:highlight w:val="none"/>
              </w:rPr>
            </w:pPr>
            <w:r>
              <w:rPr>
                <w:rFonts w:hint="eastAsia"/>
                <w:color w:val="auto"/>
                <w:highlight w:val="none"/>
              </w:rPr>
              <w:t>3</w:t>
            </w:r>
            <w:r>
              <w:rPr>
                <w:color w:val="auto"/>
                <w:highlight w:val="none"/>
              </w:rPr>
              <w:t>8.3</w:t>
            </w:r>
          </w:p>
        </w:tc>
        <w:tc>
          <w:tcPr>
            <w:tcW w:w="358" w:type="pct"/>
            <w:tcMar>
              <w:left w:w="28" w:type="dxa"/>
              <w:right w:w="28" w:type="dxa"/>
            </w:tcMar>
            <w:vAlign w:val="center"/>
          </w:tcPr>
          <w:p>
            <w:pPr>
              <w:jc w:val="center"/>
              <w:rPr>
                <w:color w:val="auto"/>
                <w:highlight w:val="none"/>
              </w:rPr>
            </w:pPr>
            <w:r>
              <w:rPr>
                <w:rFonts w:hint="eastAsia"/>
                <w:color w:val="auto"/>
                <w:highlight w:val="none"/>
              </w:rPr>
              <w:t>3</w:t>
            </w:r>
            <w:r>
              <w:rPr>
                <w:color w:val="auto"/>
                <w:highlight w:val="none"/>
              </w:rPr>
              <w:t>8.3</w:t>
            </w:r>
          </w:p>
        </w:tc>
        <w:tc>
          <w:tcPr>
            <w:tcW w:w="358" w:type="pct"/>
            <w:tcMar>
              <w:left w:w="28" w:type="dxa"/>
              <w:right w:w="28" w:type="dxa"/>
            </w:tcMar>
            <w:vAlign w:val="center"/>
          </w:tcPr>
          <w:p>
            <w:pPr>
              <w:jc w:val="center"/>
              <w:rPr>
                <w:color w:val="auto"/>
                <w:highlight w:val="none"/>
              </w:rPr>
            </w:pPr>
            <w:r>
              <w:rPr>
                <w:rFonts w:hint="eastAsia"/>
                <w:color w:val="auto"/>
                <w:highlight w:val="none"/>
              </w:rPr>
              <w:t>4</w:t>
            </w:r>
            <w:r>
              <w:rPr>
                <w:color w:val="auto"/>
                <w:highlight w:val="none"/>
              </w:rPr>
              <w:t>4.27</w:t>
            </w:r>
          </w:p>
        </w:tc>
        <w:tc>
          <w:tcPr>
            <w:tcW w:w="358" w:type="pct"/>
            <w:tcMar>
              <w:left w:w="28" w:type="dxa"/>
              <w:right w:w="28" w:type="dxa"/>
            </w:tcMar>
            <w:vAlign w:val="center"/>
          </w:tcPr>
          <w:p>
            <w:pPr>
              <w:jc w:val="center"/>
              <w:rPr>
                <w:color w:val="auto"/>
                <w:highlight w:val="none"/>
              </w:rPr>
            </w:pPr>
            <w:r>
              <w:rPr>
                <w:rFonts w:hint="eastAsia"/>
                <w:color w:val="auto"/>
                <w:highlight w:val="none"/>
              </w:rPr>
              <w:t>4</w:t>
            </w:r>
            <w:r>
              <w:rPr>
                <w:color w:val="auto"/>
                <w:highlight w:val="none"/>
              </w:rPr>
              <w:t>3.54</w:t>
            </w:r>
          </w:p>
        </w:tc>
        <w:tc>
          <w:tcPr>
            <w:tcW w:w="358" w:type="pct"/>
            <w:tcMar>
              <w:left w:w="28" w:type="dxa"/>
              <w:right w:w="28" w:type="dxa"/>
            </w:tcMar>
            <w:vAlign w:val="center"/>
          </w:tcPr>
          <w:p>
            <w:pPr>
              <w:jc w:val="center"/>
              <w:rPr>
                <w:color w:val="auto"/>
                <w:highlight w:val="none"/>
              </w:rPr>
            </w:pPr>
            <w:r>
              <w:rPr>
                <w:rFonts w:hint="eastAsia"/>
                <w:color w:val="auto"/>
                <w:highlight w:val="none"/>
              </w:rPr>
              <w:t>1</w:t>
            </w:r>
            <w:r>
              <w:rPr>
                <w:color w:val="auto"/>
                <w:highlight w:val="none"/>
              </w:rPr>
              <w:t>.27</w:t>
            </w:r>
          </w:p>
        </w:tc>
        <w:tc>
          <w:tcPr>
            <w:tcW w:w="358" w:type="pct"/>
            <w:tcMar>
              <w:left w:w="28" w:type="dxa"/>
              <w:right w:w="28" w:type="dxa"/>
            </w:tcMar>
            <w:vAlign w:val="center"/>
          </w:tcPr>
          <w:p>
            <w:pPr>
              <w:jc w:val="center"/>
              <w:rPr>
                <w:color w:val="auto"/>
                <w:highlight w:val="none"/>
              </w:rPr>
            </w:pPr>
            <w:r>
              <w:rPr>
                <w:rFonts w:hint="eastAsia"/>
                <w:color w:val="auto"/>
                <w:highlight w:val="none"/>
              </w:rPr>
              <w:t>1</w:t>
            </w:r>
            <w:r>
              <w:rPr>
                <w:color w:val="auto"/>
                <w:highlight w:val="none"/>
              </w:rPr>
              <w:t>.54</w:t>
            </w:r>
          </w:p>
        </w:tc>
        <w:tc>
          <w:tcPr>
            <w:tcW w:w="358" w:type="pct"/>
            <w:tcMar>
              <w:left w:w="28" w:type="dxa"/>
              <w:right w:w="28" w:type="dxa"/>
            </w:tcMar>
            <w:vAlign w:val="center"/>
          </w:tcPr>
          <w:p>
            <w:pPr>
              <w:jc w:val="center"/>
              <w:rPr>
                <w:color w:val="auto"/>
                <w:highlight w:val="none"/>
              </w:rPr>
            </w:pPr>
            <w:r>
              <w:rPr>
                <w:rFonts w:hint="eastAsia"/>
                <w:color w:val="auto"/>
                <w:highlight w:val="none"/>
              </w:rPr>
              <w:t>达标</w:t>
            </w:r>
          </w:p>
        </w:tc>
        <w:tc>
          <w:tcPr>
            <w:tcW w:w="351" w:type="pct"/>
            <w:tcMar>
              <w:left w:w="28" w:type="dxa"/>
              <w:right w:w="28" w:type="dxa"/>
            </w:tcMar>
            <w:vAlign w:val="center"/>
          </w:tcPr>
          <w:p>
            <w:pPr>
              <w:jc w:val="center"/>
              <w:rPr>
                <w:color w:val="auto"/>
                <w:highlight w:val="none"/>
              </w:rPr>
            </w:pPr>
            <w:r>
              <w:rPr>
                <w:rFonts w:hint="eastAsia"/>
                <w:color w:val="auto"/>
                <w:highlight w:val="none"/>
              </w:rPr>
              <w:t>达标</w:t>
            </w:r>
          </w:p>
        </w:tc>
      </w:tr>
    </w:tbl>
    <w:p>
      <w:pPr>
        <w:pStyle w:val="28"/>
        <w:rPr>
          <w:color w:val="auto"/>
          <w:highlight w:val="none"/>
          <w:lang w:val="en-US"/>
        </w:rPr>
      </w:pPr>
      <w:r>
        <w:rPr>
          <w:color w:val="auto"/>
          <w:highlight w:val="none"/>
        </w:rPr>
        <w:drawing>
          <wp:inline distT="0" distB="0" distL="0" distR="0">
            <wp:extent cx="5579745" cy="5474335"/>
            <wp:effectExtent l="0" t="0" r="8255"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579745" cy="5474335"/>
                    </a:xfrm>
                    <a:prstGeom prst="rect">
                      <a:avLst/>
                    </a:prstGeom>
                  </pic:spPr>
                </pic:pic>
              </a:graphicData>
            </a:graphic>
          </wp:inline>
        </w:drawing>
      </w:r>
    </w:p>
    <w:p>
      <w:pPr>
        <w:pStyle w:val="28"/>
        <w:jc w:val="center"/>
        <w:rPr>
          <w:color w:val="auto"/>
          <w:highlight w:val="none"/>
          <w:lang w:val="en-US"/>
        </w:rPr>
      </w:pPr>
      <w:r>
        <w:rPr>
          <w:rFonts w:hint="eastAsia" w:ascii="黑体" w:hAnsi="黑体" w:eastAsia="黑体"/>
          <w:color w:val="auto"/>
          <w:sz w:val="24"/>
          <w:szCs w:val="22"/>
          <w:highlight w:val="none"/>
          <w:lang w:val="en-US"/>
        </w:rPr>
        <w:t>图4</w:t>
      </w:r>
      <w:r>
        <w:rPr>
          <w:rFonts w:ascii="黑体" w:hAnsi="黑体" w:eastAsia="黑体"/>
          <w:color w:val="auto"/>
          <w:sz w:val="24"/>
          <w:szCs w:val="22"/>
          <w:highlight w:val="none"/>
          <w:lang w:val="en-US"/>
        </w:rPr>
        <w:t xml:space="preserve">.4-1  </w:t>
      </w:r>
      <w:r>
        <w:rPr>
          <w:rFonts w:hint="eastAsia" w:ascii="黑体" w:hAnsi="黑体" w:eastAsia="黑体"/>
          <w:color w:val="auto"/>
          <w:sz w:val="24"/>
          <w:szCs w:val="22"/>
          <w:highlight w:val="none"/>
          <w:lang w:val="en-US"/>
        </w:rPr>
        <w:t>噪声预测等声级线图</w:t>
      </w:r>
    </w:p>
    <w:p>
      <w:pPr>
        <w:pStyle w:val="101"/>
        <w:spacing w:before="78"/>
        <w:rPr>
          <w:rFonts w:ascii="Times New Roman" w:hAnsi="Times New Roman"/>
          <w:color w:val="auto"/>
          <w:highlight w:val="none"/>
        </w:rPr>
      </w:pPr>
      <w:r>
        <w:rPr>
          <w:rFonts w:ascii="Times New Roman" w:hAnsi="Times New Roman"/>
          <w:color w:val="auto"/>
          <w:highlight w:val="none"/>
        </w:rPr>
        <w:t>4.4.</w:t>
      </w:r>
      <w:r>
        <w:rPr>
          <w:rFonts w:hint="eastAsia" w:ascii="Times New Roman" w:hAnsi="Times New Roman"/>
          <w:color w:val="auto"/>
          <w:highlight w:val="none"/>
        </w:rPr>
        <w:t>3噪声</w:t>
      </w:r>
      <w:r>
        <w:rPr>
          <w:rFonts w:ascii="Times New Roman" w:hAnsi="Times New Roman"/>
          <w:color w:val="auto"/>
          <w:highlight w:val="none"/>
        </w:rPr>
        <w:t>控制措施及管理措施</w:t>
      </w:r>
    </w:p>
    <w:p>
      <w:pPr>
        <w:pStyle w:val="99"/>
        <w:ind w:firstLine="480"/>
        <w:rPr>
          <w:color w:val="auto"/>
          <w:highlight w:val="none"/>
        </w:rPr>
      </w:pPr>
      <w:r>
        <w:rPr>
          <w:rFonts w:hint="eastAsia"/>
          <w:color w:val="auto"/>
          <w:highlight w:val="none"/>
        </w:rPr>
        <w:t>针对以上噪声源产生情况，从控制噪声源、噪声传播途径等方面出发，项目将采取</w:t>
      </w:r>
      <w:r>
        <w:rPr>
          <w:color w:val="auto"/>
          <w:highlight w:val="none"/>
        </w:rPr>
        <w:t>以下防噪降噪措施：</w:t>
      </w:r>
    </w:p>
    <w:p>
      <w:pPr>
        <w:pStyle w:val="99"/>
        <w:ind w:firstLine="480"/>
        <w:rPr>
          <w:color w:val="auto"/>
          <w:highlight w:val="none"/>
        </w:rPr>
      </w:pPr>
      <w:r>
        <w:rPr>
          <w:color w:val="auto"/>
          <w:highlight w:val="none"/>
        </w:rPr>
        <w:t>1、在设备选型上，首先选用装备先进的低噪音设备，并采取适当的降噪措施，如 机组基础设置衬垫，使之与建筑结构隔开。</w:t>
      </w:r>
    </w:p>
    <w:p>
      <w:pPr>
        <w:pStyle w:val="99"/>
        <w:ind w:firstLine="480"/>
        <w:rPr>
          <w:color w:val="auto"/>
          <w:highlight w:val="none"/>
        </w:rPr>
      </w:pPr>
      <w:r>
        <w:rPr>
          <w:color w:val="auto"/>
          <w:highlight w:val="none"/>
        </w:rPr>
        <w:t>2、主要生产设备设置于室内，内部墙面、门窗均采用吸声、隔声材料等加强隔声 效果。</w:t>
      </w:r>
    </w:p>
    <w:p>
      <w:pPr>
        <w:pStyle w:val="99"/>
        <w:ind w:firstLine="480"/>
        <w:rPr>
          <w:color w:val="auto"/>
          <w:highlight w:val="none"/>
        </w:rPr>
      </w:pPr>
      <w:r>
        <w:rPr>
          <w:color w:val="auto"/>
          <w:highlight w:val="none"/>
        </w:rPr>
        <w:t>3、在设备、管道设计中，注意防振、防冲击，以减轻振动噪声，并应注意改善气体输送时流场状况，以减少空气动力噪声。</w:t>
      </w:r>
    </w:p>
    <w:p>
      <w:pPr>
        <w:pStyle w:val="99"/>
        <w:ind w:firstLine="480"/>
        <w:rPr>
          <w:color w:val="auto"/>
          <w:highlight w:val="none"/>
        </w:rPr>
      </w:pPr>
      <w:r>
        <w:rPr>
          <w:color w:val="auto"/>
          <w:highlight w:val="none"/>
        </w:rPr>
        <w:t>4、在厂区总体平面布置中统筹规划、合理布局、注重噪声衰减间距。通过距离衰减减轻噪声源对厂界噪声的影响。</w:t>
      </w:r>
    </w:p>
    <w:p>
      <w:pPr>
        <w:pStyle w:val="101"/>
        <w:spacing w:before="78"/>
        <w:rPr>
          <w:rFonts w:ascii="Times New Roman" w:hAnsi="Times New Roman"/>
          <w:color w:val="auto"/>
          <w:highlight w:val="none"/>
        </w:rPr>
      </w:pPr>
      <w:r>
        <w:rPr>
          <w:rFonts w:ascii="Times New Roman" w:hAnsi="Times New Roman"/>
          <w:color w:val="auto"/>
          <w:highlight w:val="none"/>
        </w:rPr>
        <w:t>4.4.</w:t>
      </w:r>
      <w:r>
        <w:rPr>
          <w:rFonts w:hint="eastAsia" w:ascii="Times New Roman" w:hAnsi="Times New Roman"/>
          <w:color w:val="auto"/>
          <w:highlight w:val="none"/>
        </w:rPr>
        <w:t>4小结</w:t>
      </w:r>
    </w:p>
    <w:p>
      <w:pPr>
        <w:pStyle w:val="99"/>
        <w:ind w:firstLine="480"/>
        <w:rPr>
          <w:color w:val="auto"/>
          <w:highlight w:val="none"/>
        </w:rPr>
      </w:pPr>
      <w:r>
        <w:rPr>
          <w:color w:val="auto"/>
          <w:highlight w:val="none"/>
        </w:rPr>
        <w:t>项目运行过程中加强管理和监测，项目主要噪声源经采取基础减震、建筑隔声、距离衰减等降噪措施后，</w:t>
      </w:r>
      <w:r>
        <w:rPr>
          <w:rFonts w:hint="eastAsia"/>
          <w:color w:val="auto"/>
          <w:highlight w:val="none"/>
        </w:rPr>
        <w:t>厂界昼间噪声贡献值能满足《工业企业厂界环境噪声排放标准》(GB12348-2008)2类区标准要求，大官庄村噪声预测值可满足《声环境质量标准》(GB3096-2008)2类标准要求，</w:t>
      </w:r>
      <w:r>
        <w:rPr>
          <w:color w:val="auto"/>
          <w:highlight w:val="none"/>
        </w:rPr>
        <w:t>对周围声环境质量影响较小。</w:t>
      </w:r>
    </w:p>
    <w:p>
      <w:pPr>
        <w:pStyle w:val="100"/>
        <w:spacing w:before="156"/>
        <w:rPr>
          <w:rFonts w:ascii="Times New Roman" w:hAnsi="Times New Roman"/>
          <w:color w:val="auto"/>
          <w:highlight w:val="none"/>
        </w:rPr>
      </w:pPr>
      <w:bookmarkStart w:id="181" w:name="_Toc66281290"/>
      <w:bookmarkStart w:id="182" w:name="_Toc5072"/>
      <w:bookmarkStart w:id="183" w:name="_Toc57804765"/>
      <w:r>
        <w:rPr>
          <w:rFonts w:ascii="Times New Roman" w:hAnsi="Times New Roman"/>
          <w:color w:val="auto"/>
          <w:highlight w:val="none"/>
        </w:rPr>
        <w:t>4.5固体废物环境影响分析</w:t>
      </w:r>
      <w:bookmarkEnd w:id="181"/>
      <w:bookmarkEnd w:id="182"/>
      <w:bookmarkEnd w:id="183"/>
    </w:p>
    <w:p>
      <w:pPr>
        <w:pStyle w:val="99"/>
        <w:ind w:firstLine="480"/>
        <w:rPr>
          <w:color w:val="auto"/>
          <w:highlight w:val="none"/>
        </w:rPr>
      </w:pPr>
      <w:r>
        <w:rPr>
          <w:color w:val="auto"/>
          <w:highlight w:val="none"/>
        </w:rPr>
        <w:t>项目本着“资源化”、“减量化”和“无害化”原则，对产生的固体废物实行不同的处置方式，在减少外排环境数量的基础上，力求实现环境效益、经济效益和社会效益的统一。根据《关于进一步加强建设项目固体废物环境管理的通知》</w:t>
      </w:r>
      <w:r>
        <w:rPr>
          <w:rFonts w:hint="eastAsia"/>
          <w:color w:val="auto"/>
          <w:highlight w:val="none"/>
        </w:rPr>
        <w:t>(</w:t>
      </w:r>
      <w:r>
        <w:rPr>
          <w:color w:val="auto"/>
          <w:highlight w:val="none"/>
        </w:rPr>
        <w:t>鲁环办函[2016]141号</w:t>
      </w:r>
      <w:r>
        <w:rPr>
          <w:rFonts w:hint="eastAsia"/>
          <w:color w:val="auto"/>
          <w:highlight w:val="none"/>
        </w:rPr>
        <w:t>)</w:t>
      </w:r>
      <w:r>
        <w:rPr>
          <w:color w:val="auto"/>
          <w:highlight w:val="none"/>
        </w:rPr>
        <w:t>，依据原辅料、工艺设计和物料平衡，深入分析固体废物的产生环节、种类、性质及危害特性，科学预测产生量，评价其综合利用和无害化处置方式的环境影响，并提出相应的对策措施。</w:t>
      </w:r>
    </w:p>
    <w:p>
      <w:pPr>
        <w:pStyle w:val="101"/>
        <w:spacing w:before="78"/>
        <w:rPr>
          <w:rFonts w:ascii="Times New Roman" w:hAnsi="Times New Roman"/>
          <w:color w:val="auto"/>
          <w:highlight w:val="none"/>
        </w:rPr>
      </w:pPr>
      <w:r>
        <w:rPr>
          <w:rFonts w:ascii="Times New Roman" w:hAnsi="Times New Roman"/>
          <w:color w:val="auto"/>
          <w:highlight w:val="none"/>
        </w:rPr>
        <w:t>4.</w:t>
      </w:r>
      <w:r>
        <w:rPr>
          <w:rFonts w:hint="eastAsia" w:ascii="Times New Roman" w:hAnsi="Times New Roman"/>
          <w:color w:val="auto"/>
          <w:highlight w:val="none"/>
        </w:rPr>
        <w:t>5</w:t>
      </w:r>
      <w:r>
        <w:rPr>
          <w:rFonts w:ascii="Times New Roman" w:hAnsi="Times New Roman"/>
          <w:color w:val="auto"/>
          <w:highlight w:val="none"/>
        </w:rPr>
        <w:t>.1固废产生情况</w:t>
      </w:r>
    </w:p>
    <w:p>
      <w:pPr>
        <w:pStyle w:val="99"/>
        <w:ind w:firstLine="480"/>
        <w:rPr>
          <w:rFonts w:ascii="Times New Roman" w:hAnsi="Times New Roman"/>
          <w:color w:val="auto"/>
          <w:highlight w:val="none"/>
        </w:rPr>
      </w:pPr>
      <w:r>
        <w:rPr>
          <w:rFonts w:hint="eastAsia"/>
          <w:color w:val="auto"/>
          <w:highlight w:val="none"/>
        </w:rPr>
        <w:t>由工程分析可知，项目固体废物可分为危险废物、一般工业固废，以及生活垃圾等。</w:t>
      </w:r>
      <w:r>
        <w:rPr>
          <w:color w:val="auto"/>
          <w:highlight w:val="none"/>
        </w:rPr>
        <w:t>本项目固体废物来源、产生量及处理方式详见表4.5-1。</w:t>
      </w:r>
    </w:p>
    <w:p>
      <w:pPr>
        <w:pStyle w:val="103"/>
        <w:rPr>
          <w:rFonts w:ascii="Times New Roman" w:hAnsi="Times New Roman"/>
          <w:color w:val="auto"/>
          <w:highlight w:val="none"/>
        </w:rPr>
      </w:pPr>
      <w:r>
        <w:rPr>
          <w:rFonts w:ascii="Times New Roman" w:hAnsi="Times New Roman"/>
          <w:color w:val="auto"/>
          <w:highlight w:val="none"/>
        </w:rPr>
        <w:t>表4.5-1  拟建项目固体废物产生及处理情况</w:t>
      </w:r>
      <w:r>
        <w:rPr>
          <w:rFonts w:hint="eastAsia" w:ascii="Times New Roman" w:hAnsi="Times New Roman"/>
          <w:color w:val="auto"/>
          <w:highlight w:val="none"/>
        </w:rPr>
        <w:t xml:space="preserve">  单位：t/a</w:t>
      </w:r>
    </w:p>
    <w:tbl>
      <w:tblPr>
        <w:tblStyle w:val="5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312"/>
        <w:gridCol w:w="1133"/>
        <w:gridCol w:w="1703"/>
        <w:gridCol w:w="1701"/>
        <w:gridCol w:w="1090"/>
        <w:gridCol w:w="14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354" w:type="pct"/>
            <w:vAlign w:val="center"/>
          </w:tcPr>
          <w:p>
            <w:pPr>
              <w:jc w:val="center"/>
              <w:rPr>
                <w:color w:val="auto"/>
                <w:szCs w:val="21"/>
                <w:highlight w:val="none"/>
              </w:rPr>
            </w:pPr>
            <w:r>
              <w:rPr>
                <w:color w:val="auto"/>
                <w:szCs w:val="21"/>
                <w:highlight w:val="none"/>
              </w:rPr>
              <w:t>序号</w:t>
            </w:r>
          </w:p>
        </w:tc>
        <w:tc>
          <w:tcPr>
            <w:tcW w:w="728" w:type="pct"/>
            <w:vAlign w:val="center"/>
          </w:tcPr>
          <w:p>
            <w:pPr>
              <w:jc w:val="center"/>
              <w:rPr>
                <w:color w:val="auto"/>
                <w:szCs w:val="21"/>
                <w:highlight w:val="none"/>
              </w:rPr>
            </w:pPr>
            <w:r>
              <w:rPr>
                <w:color w:val="auto"/>
                <w:szCs w:val="21"/>
                <w:highlight w:val="none"/>
              </w:rPr>
              <w:t>名称</w:t>
            </w:r>
          </w:p>
        </w:tc>
        <w:tc>
          <w:tcPr>
            <w:tcW w:w="629" w:type="pct"/>
            <w:vAlign w:val="center"/>
          </w:tcPr>
          <w:p>
            <w:pPr>
              <w:jc w:val="center"/>
              <w:rPr>
                <w:color w:val="auto"/>
                <w:szCs w:val="21"/>
                <w:highlight w:val="none"/>
              </w:rPr>
            </w:pPr>
            <w:r>
              <w:rPr>
                <w:color w:val="auto"/>
                <w:szCs w:val="21"/>
                <w:highlight w:val="none"/>
              </w:rPr>
              <w:t>废物类别</w:t>
            </w:r>
          </w:p>
        </w:tc>
        <w:tc>
          <w:tcPr>
            <w:tcW w:w="945" w:type="pct"/>
            <w:vAlign w:val="center"/>
          </w:tcPr>
          <w:p>
            <w:pPr>
              <w:jc w:val="center"/>
              <w:rPr>
                <w:color w:val="auto"/>
                <w:szCs w:val="21"/>
                <w:highlight w:val="none"/>
              </w:rPr>
            </w:pPr>
            <w:r>
              <w:rPr>
                <w:color w:val="auto"/>
                <w:szCs w:val="21"/>
                <w:highlight w:val="none"/>
              </w:rPr>
              <w:t>废物代码</w:t>
            </w:r>
          </w:p>
        </w:tc>
        <w:tc>
          <w:tcPr>
            <w:tcW w:w="944" w:type="pct"/>
            <w:vAlign w:val="center"/>
          </w:tcPr>
          <w:p>
            <w:pPr>
              <w:jc w:val="center"/>
              <w:rPr>
                <w:color w:val="auto"/>
                <w:szCs w:val="21"/>
                <w:highlight w:val="none"/>
              </w:rPr>
            </w:pPr>
            <w:r>
              <w:rPr>
                <w:color w:val="auto"/>
                <w:szCs w:val="21"/>
                <w:highlight w:val="none"/>
              </w:rPr>
              <w:t>主要成分</w:t>
            </w:r>
          </w:p>
        </w:tc>
        <w:tc>
          <w:tcPr>
            <w:tcW w:w="605" w:type="pct"/>
            <w:vAlign w:val="center"/>
          </w:tcPr>
          <w:p>
            <w:pPr>
              <w:jc w:val="center"/>
              <w:rPr>
                <w:color w:val="auto"/>
                <w:szCs w:val="21"/>
                <w:highlight w:val="none"/>
              </w:rPr>
            </w:pPr>
            <w:r>
              <w:rPr>
                <w:color w:val="auto"/>
                <w:szCs w:val="21"/>
                <w:highlight w:val="none"/>
              </w:rPr>
              <w:t>产生量</w:t>
            </w:r>
          </w:p>
        </w:tc>
        <w:tc>
          <w:tcPr>
            <w:tcW w:w="791" w:type="pct"/>
            <w:vAlign w:val="center"/>
          </w:tcPr>
          <w:p>
            <w:pPr>
              <w:jc w:val="center"/>
              <w:rPr>
                <w:color w:val="auto"/>
                <w:szCs w:val="21"/>
                <w:highlight w:val="none"/>
              </w:rPr>
            </w:pPr>
            <w:r>
              <w:rPr>
                <w:color w:val="auto"/>
                <w:szCs w:val="21"/>
                <w:highlight w:val="none"/>
              </w:rPr>
              <w:t>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354" w:type="pct"/>
            <w:vAlign w:val="center"/>
          </w:tcPr>
          <w:p>
            <w:pPr>
              <w:jc w:val="center"/>
              <w:rPr>
                <w:color w:val="auto"/>
                <w:szCs w:val="21"/>
                <w:highlight w:val="none"/>
              </w:rPr>
            </w:pPr>
            <w:r>
              <w:rPr>
                <w:color w:val="auto"/>
                <w:szCs w:val="21"/>
                <w:highlight w:val="none"/>
              </w:rPr>
              <w:t>1</w:t>
            </w:r>
          </w:p>
        </w:tc>
        <w:tc>
          <w:tcPr>
            <w:tcW w:w="728" w:type="pct"/>
            <w:vAlign w:val="center"/>
          </w:tcPr>
          <w:p>
            <w:pPr>
              <w:jc w:val="center"/>
              <w:rPr>
                <w:color w:val="auto"/>
                <w:szCs w:val="21"/>
                <w:highlight w:val="none"/>
              </w:rPr>
            </w:pPr>
            <w:r>
              <w:rPr>
                <w:color w:val="auto"/>
                <w:szCs w:val="21"/>
                <w:highlight w:val="none"/>
              </w:rPr>
              <w:t>管道及配件生产切割下脚料、质检不合格产品</w:t>
            </w:r>
          </w:p>
        </w:tc>
        <w:tc>
          <w:tcPr>
            <w:tcW w:w="629" w:type="pct"/>
            <w:vAlign w:val="center"/>
          </w:tcPr>
          <w:p>
            <w:pPr>
              <w:jc w:val="center"/>
              <w:rPr>
                <w:color w:val="auto"/>
                <w:szCs w:val="21"/>
                <w:highlight w:val="none"/>
              </w:rPr>
            </w:pPr>
            <w:r>
              <w:rPr>
                <w:color w:val="auto"/>
                <w:szCs w:val="21"/>
                <w:highlight w:val="none"/>
              </w:rPr>
              <w:t>一般固废</w:t>
            </w:r>
          </w:p>
        </w:tc>
        <w:tc>
          <w:tcPr>
            <w:tcW w:w="945" w:type="pct"/>
            <w:vAlign w:val="center"/>
          </w:tcPr>
          <w:p>
            <w:pPr>
              <w:jc w:val="center"/>
              <w:rPr>
                <w:color w:val="auto"/>
                <w:szCs w:val="21"/>
                <w:highlight w:val="none"/>
              </w:rPr>
            </w:pPr>
            <w:r>
              <w:rPr>
                <w:color w:val="auto"/>
                <w:szCs w:val="21"/>
                <w:highlight w:val="none"/>
              </w:rPr>
              <w:t>900-999-99</w:t>
            </w:r>
          </w:p>
        </w:tc>
        <w:tc>
          <w:tcPr>
            <w:tcW w:w="944" w:type="pct"/>
            <w:vAlign w:val="center"/>
          </w:tcPr>
          <w:p>
            <w:pPr>
              <w:jc w:val="center"/>
              <w:rPr>
                <w:color w:val="auto"/>
                <w:szCs w:val="21"/>
                <w:highlight w:val="none"/>
              </w:rPr>
            </w:pPr>
            <w:r>
              <w:rPr>
                <w:color w:val="auto"/>
                <w:szCs w:val="21"/>
                <w:highlight w:val="none"/>
              </w:rPr>
              <w:t>废塑料等</w:t>
            </w:r>
          </w:p>
        </w:tc>
        <w:tc>
          <w:tcPr>
            <w:tcW w:w="605" w:type="pct"/>
            <w:vAlign w:val="center"/>
          </w:tcPr>
          <w:p>
            <w:pPr>
              <w:jc w:val="center"/>
              <w:rPr>
                <w:color w:val="auto"/>
                <w:szCs w:val="21"/>
                <w:highlight w:val="none"/>
              </w:rPr>
            </w:pPr>
            <w:r>
              <w:rPr>
                <w:rFonts w:hint="eastAsia"/>
                <w:color w:val="auto"/>
                <w:szCs w:val="21"/>
                <w:highlight w:val="none"/>
              </w:rPr>
              <w:t>219.32</w:t>
            </w:r>
          </w:p>
        </w:tc>
        <w:tc>
          <w:tcPr>
            <w:tcW w:w="791" w:type="pct"/>
            <w:vAlign w:val="center"/>
          </w:tcPr>
          <w:p>
            <w:pPr>
              <w:jc w:val="center"/>
              <w:rPr>
                <w:color w:val="auto"/>
                <w:szCs w:val="21"/>
                <w:highlight w:val="none"/>
              </w:rPr>
            </w:pPr>
            <w:r>
              <w:rPr>
                <w:color w:val="auto"/>
                <w:szCs w:val="21"/>
                <w:highlight w:val="none"/>
              </w:rPr>
              <w:t>经破碎后回用于造粒工序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4" w:type="pct"/>
            <w:vAlign w:val="center"/>
          </w:tcPr>
          <w:p>
            <w:pPr>
              <w:jc w:val="center"/>
              <w:rPr>
                <w:color w:val="auto"/>
                <w:szCs w:val="21"/>
                <w:highlight w:val="none"/>
              </w:rPr>
            </w:pPr>
            <w:r>
              <w:rPr>
                <w:color w:val="auto"/>
                <w:szCs w:val="21"/>
                <w:highlight w:val="none"/>
              </w:rPr>
              <w:t>2</w:t>
            </w:r>
          </w:p>
        </w:tc>
        <w:tc>
          <w:tcPr>
            <w:tcW w:w="728" w:type="pct"/>
            <w:vAlign w:val="center"/>
          </w:tcPr>
          <w:p>
            <w:pPr>
              <w:jc w:val="center"/>
              <w:rPr>
                <w:color w:val="auto"/>
                <w:szCs w:val="21"/>
                <w:highlight w:val="none"/>
              </w:rPr>
            </w:pPr>
            <w:r>
              <w:rPr>
                <w:color w:val="auto"/>
                <w:szCs w:val="21"/>
                <w:highlight w:val="none"/>
              </w:rPr>
              <w:t>造粒工序熔融挤出废料</w:t>
            </w:r>
          </w:p>
        </w:tc>
        <w:tc>
          <w:tcPr>
            <w:tcW w:w="629" w:type="pct"/>
            <w:vAlign w:val="center"/>
          </w:tcPr>
          <w:p>
            <w:pPr>
              <w:jc w:val="center"/>
              <w:rPr>
                <w:color w:val="auto"/>
                <w:szCs w:val="21"/>
                <w:highlight w:val="none"/>
              </w:rPr>
            </w:pPr>
            <w:r>
              <w:rPr>
                <w:color w:val="auto"/>
                <w:szCs w:val="21"/>
                <w:highlight w:val="none"/>
              </w:rPr>
              <w:t>一般固废</w:t>
            </w:r>
          </w:p>
        </w:tc>
        <w:tc>
          <w:tcPr>
            <w:tcW w:w="945" w:type="pct"/>
            <w:vAlign w:val="center"/>
          </w:tcPr>
          <w:p>
            <w:pPr>
              <w:jc w:val="center"/>
              <w:rPr>
                <w:color w:val="auto"/>
                <w:szCs w:val="21"/>
                <w:highlight w:val="none"/>
              </w:rPr>
            </w:pPr>
            <w:r>
              <w:rPr>
                <w:color w:val="auto"/>
                <w:szCs w:val="21"/>
                <w:highlight w:val="none"/>
              </w:rPr>
              <w:t>900-999-99</w:t>
            </w:r>
          </w:p>
        </w:tc>
        <w:tc>
          <w:tcPr>
            <w:tcW w:w="944" w:type="pct"/>
            <w:vAlign w:val="center"/>
          </w:tcPr>
          <w:p>
            <w:pPr>
              <w:jc w:val="center"/>
              <w:rPr>
                <w:color w:val="auto"/>
                <w:szCs w:val="21"/>
                <w:highlight w:val="none"/>
              </w:rPr>
            </w:pPr>
            <w:r>
              <w:rPr>
                <w:color w:val="auto"/>
                <w:szCs w:val="21"/>
                <w:highlight w:val="none"/>
              </w:rPr>
              <w:t>废塑料等</w:t>
            </w:r>
          </w:p>
        </w:tc>
        <w:tc>
          <w:tcPr>
            <w:tcW w:w="605" w:type="pct"/>
            <w:vAlign w:val="center"/>
          </w:tcPr>
          <w:p>
            <w:pPr>
              <w:jc w:val="center"/>
              <w:rPr>
                <w:color w:val="auto"/>
                <w:szCs w:val="21"/>
                <w:highlight w:val="none"/>
              </w:rPr>
            </w:pPr>
            <w:r>
              <w:rPr>
                <w:rFonts w:hint="eastAsia"/>
                <w:color w:val="auto"/>
                <w:highlight w:val="none"/>
              </w:rPr>
              <w:t>49.894</w:t>
            </w:r>
          </w:p>
        </w:tc>
        <w:tc>
          <w:tcPr>
            <w:tcW w:w="791" w:type="pct"/>
            <w:vAlign w:val="center"/>
          </w:tcPr>
          <w:p>
            <w:pPr>
              <w:jc w:val="center"/>
              <w:rPr>
                <w:color w:val="auto"/>
                <w:szCs w:val="21"/>
                <w:highlight w:val="none"/>
              </w:rPr>
            </w:pPr>
            <w:r>
              <w:rPr>
                <w:color w:val="auto"/>
                <w:szCs w:val="21"/>
                <w:highlight w:val="none"/>
              </w:rPr>
              <w:t>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4" w:type="pct"/>
            <w:vAlign w:val="center"/>
          </w:tcPr>
          <w:p>
            <w:pPr>
              <w:jc w:val="center"/>
              <w:rPr>
                <w:color w:val="auto"/>
                <w:szCs w:val="21"/>
                <w:highlight w:val="none"/>
              </w:rPr>
            </w:pPr>
            <w:r>
              <w:rPr>
                <w:color w:val="auto"/>
                <w:szCs w:val="21"/>
                <w:highlight w:val="none"/>
              </w:rPr>
              <w:t>3</w:t>
            </w:r>
          </w:p>
        </w:tc>
        <w:tc>
          <w:tcPr>
            <w:tcW w:w="728" w:type="pct"/>
            <w:vAlign w:val="center"/>
          </w:tcPr>
          <w:p>
            <w:pPr>
              <w:jc w:val="center"/>
              <w:rPr>
                <w:color w:val="auto"/>
                <w:szCs w:val="21"/>
                <w:highlight w:val="none"/>
              </w:rPr>
            </w:pPr>
            <w:r>
              <w:rPr>
                <w:color w:val="auto"/>
                <w:szCs w:val="21"/>
                <w:highlight w:val="none"/>
              </w:rPr>
              <w:t>废滤网</w:t>
            </w:r>
          </w:p>
        </w:tc>
        <w:tc>
          <w:tcPr>
            <w:tcW w:w="629" w:type="pct"/>
            <w:vAlign w:val="center"/>
          </w:tcPr>
          <w:p>
            <w:pPr>
              <w:jc w:val="center"/>
              <w:rPr>
                <w:color w:val="auto"/>
                <w:szCs w:val="21"/>
                <w:highlight w:val="none"/>
              </w:rPr>
            </w:pPr>
            <w:r>
              <w:rPr>
                <w:color w:val="auto"/>
                <w:szCs w:val="21"/>
                <w:highlight w:val="none"/>
              </w:rPr>
              <w:t>一般固废</w:t>
            </w:r>
          </w:p>
        </w:tc>
        <w:tc>
          <w:tcPr>
            <w:tcW w:w="945" w:type="pct"/>
            <w:vAlign w:val="center"/>
          </w:tcPr>
          <w:p>
            <w:pPr>
              <w:jc w:val="center"/>
              <w:rPr>
                <w:color w:val="auto"/>
                <w:szCs w:val="21"/>
                <w:highlight w:val="none"/>
              </w:rPr>
            </w:pPr>
            <w:r>
              <w:rPr>
                <w:color w:val="auto"/>
                <w:szCs w:val="21"/>
                <w:highlight w:val="none"/>
              </w:rPr>
              <w:t>900-999-99</w:t>
            </w:r>
          </w:p>
        </w:tc>
        <w:tc>
          <w:tcPr>
            <w:tcW w:w="944" w:type="pct"/>
            <w:vAlign w:val="center"/>
          </w:tcPr>
          <w:p>
            <w:pPr>
              <w:jc w:val="center"/>
              <w:rPr>
                <w:color w:val="auto"/>
                <w:szCs w:val="21"/>
                <w:highlight w:val="none"/>
              </w:rPr>
            </w:pPr>
            <w:r>
              <w:rPr>
                <w:color w:val="auto"/>
                <w:szCs w:val="21"/>
                <w:highlight w:val="none"/>
              </w:rPr>
              <w:t>废铁等</w:t>
            </w:r>
          </w:p>
        </w:tc>
        <w:tc>
          <w:tcPr>
            <w:tcW w:w="605" w:type="pct"/>
            <w:vAlign w:val="center"/>
          </w:tcPr>
          <w:p>
            <w:pPr>
              <w:jc w:val="center"/>
              <w:rPr>
                <w:color w:val="auto"/>
                <w:szCs w:val="21"/>
                <w:highlight w:val="none"/>
              </w:rPr>
            </w:pPr>
            <w:r>
              <w:rPr>
                <w:color w:val="auto"/>
                <w:szCs w:val="21"/>
                <w:highlight w:val="none"/>
              </w:rPr>
              <w:t>0.05</w:t>
            </w:r>
          </w:p>
        </w:tc>
        <w:tc>
          <w:tcPr>
            <w:tcW w:w="791" w:type="pct"/>
            <w:vAlign w:val="center"/>
          </w:tcPr>
          <w:p>
            <w:pPr>
              <w:jc w:val="center"/>
              <w:rPr>
                <w:color w:val="auto"/>
                <w:szCs w:val="21"/>
                <w:highlight w:val="none"/>
              </w:rPr>
            </w:pPr>
            <w:r>
              <w:rPr>
                <w:color w:val="auto"/>
                <w:szCs w:val="21"/>
                <w:highlight w:val="none"/>
              </w:rPr>
              <w:t>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354" w:type="pct"/>
            <w:vAlign w:val="center"/>
          </w:tcPr>
          <w:p>
            <w:pPr>
              <w:jc w:val="center"/>
              <w:rPr>
                <w:color w:val="auto"/>
                <w:szCs w:val="21"/>
                <w:highlight w:val="none"/>
              </w:rPr>
            </w:pPr>
            <w:r>
              <w:rPr>
                <w:color w:val="auto"/>
                <w:szCs w:val="21"/>
                <w:highlight w:val="none"/>
              </w:rPr>
              <w:t>4</w:t>
            </w:r>
          </w:p>
        </w:tc>
        <w:tc>
          <w:tcPr>
            <w:tcW w:w="728" w:type="pct"/>
            <w:vAlign w:val="center"/>
          </w:tcPr>
          <w:p>
            <w:pPr>
              <w:jc w:val="center"/>
              <w:rPr>
                <w:color w:val="auto"/>
                <w:szCs w:val="21"/>
                <w:highlight w:val="none"/>
              </w:rPr>
            </w:pPr>
            <w:r>
              <w:rPr>
                <w:color w:val="auto"/>
                <w:szCs w:val="21"/>
                <w:highlight w:val="none"/>
              </w:rPr>
              <w:t>废活性炭</w:t>
            </w:r>
          </w:p>
        </w:tc>
        <w:tc>
          <w:tcPr>
            <w:tcW w:w="629" w:type="pct"/>
            <w:vAlign w:val="center"/>
          </w:tcPr>
          <w:p>
            <w:pPr>
              <w:jc w:val="center"/>
              <w:rPr>
                <w:color w:val="auto"/>
                <w:szCs w:val="21"/>
                <w:highlight w:val="none"/>
              </w:rPr>
            </w:pPr>
            <w:r>
              <w:rPr>
                <w:color w:val="auto"/>
                <w:szCs w:val="21"/>
                <w:highlight w:val="none"/>
              </w:rPr>
              <w:t>危险废物</w:t>
            </w:r>
          </w:p>
        </w:tc>
        <w:tc>
          <w:tcPr>
            <w:tcW w:w="945" w:type="pct"/>
            <w:vAlign w:val="center"/>
          </w:tcPr>
          <w:p>
            <w:pPr>
              <w:jc w:val="center"/>
              <w:rPr>
                <w:color w:val="auto"/>
                <w:szCs w:val="21"/>
                <w:highlight w:val="none"/>
              </w:rPr>
            </w:pPr>
            <w:r>
              <w:rPr>
                <w:color w:val="auto"/>
                <w:szCs w:val="21"/>
                <w:highlight w:val="none"/>
              </w:rPr>
              <w:t>HW49 900-039-49</w:t>
            </w:r>
          </w:p>
        </w:tc>
        <w:tc>
          <w:tcPr>
            <w:tcW w:w="944" w:type="pct"/>
            <w:vAlign w:val="center"/>
          </w:tcPr>
          <w:p>
            <w:pPr>
              <w:jc w:val="center"/>
              <w:rPr>
                <w:color w:val="auto"/>
                <w:szCs w:val="21"/>
                <w:highlight w:val="none"/>
              </w:rPr>
            </w:pPr>
            <w:r>
              <w:rPr>
                <w:color w:val="auto"/>
                <w:szCs w:val="21"/>
                <w:highlight w:val="none"/>
              </w:rPr>
              <w:t>有机物等</w:t>
            </w:r>
          </w:p>
        </w:tc>
        <w:tc>
          <w:tcPr>
            <w:tcW w:w="605" w:type="pct"/>
            <w:vAlign w:val="center"/>
          </w:tcPr>
          <w:p>
            <w:pPr>
              <w:jc w:val="center"/>
              <w:rPr>
                <w:color w:val="auto"/>
                <w:szCs w:val="21"/>
                <w:highlight w:val="none"/>
              </w:rPr>
            </w:pPr>
            <w:r>
              <w:rPr>
                <w:color w:val="auto"/>
                <w:szCs w:val="21"/>
                <w:highlight w:val="none"/>
              </w:rPr>
              <w:t>3</w:t>
            </w:r>
          </w:p>
        </w:tc>
        <w:tc>
          <w:tcPr>
            <w:tcW w:w="791" w:type="pct"/>
            <w:vMerge w:val="restart"/>
            <w:vAlign w:val="center"/>
          </w:tcPr>
          <w:p>
            <w:pPr>
              <w:jc w:val="center"/>
              <w:rPr>
                <w:color w:val="auto"/>
                <w:szCs w:val="21"/>
                <w:highlight w:val="none"/>
              </w:rPr>
            </w:pPr>
            <w:r>
              <w:rPr>
                <w:color w:val="auto"/>
                <w:szCs w:val="21"/>
                <w:highlight w:val="none"/>
              </w:rPr>
              <w:t>委托有相关资质单位处置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4" w:type="pct"/>
            <w:vAlign w:val="center"/>
          </w:tcPr>
          <w:p>
            <w:pPr>
              <w:jc w:val="center"/>
              <w:rPr>
                <w:color w:val="auto"/>
                <w:szCs w:val="21"/>
                <w:highlight w:val="none"/>
              </w:rPr>
            </w:pPr>
            <w:r>
              <w:rPr>
                <w:color w:val="auto"/>
                <w:szCs w:val="21"/>
                <w:highlight w:val="none"/>
              </w:rPr>
              <w:t>5</w:t>
            </w:r>
          </w:p>
        </w:tc>
        <w:tc>
          <w:tcPr>
            <w:tcW w:w="728" w:type="pct"/>
            <w:vAlign w:val="center"/>
          </w:tcPr>
          <w:p>
            <w:pPr>
              <w:jc w:val="center"/>
              <w:rPr>
                <w:color w:val="auto"/>
                <w:szCs w:val="21"/>
                <w:highlight w:val="none"/>
              </w:rPr>
            </w:pPr>
            <w:r>
              <w:rPr>
                <w:color w:val="auto"/>
                <w:szCs w:val="21"/>
                <w:highlight w:val="none"/>
              </w:rPr>
              <w:t>废催化剂</w:t>
            </w:r>
          </w:p>
        </w:tc>
        <w:tc>
          <w:tcPr>
            <w:tcW w:w="629" w:type="pct"/>
            <w:vAlign w:val="center"/>
          </w:tcPr>
          <w:p>
            <w:pPr>
              <w:jc w:val="center"/>
              <w:rPr>
                <w:color w:val="auto"/>
                <w:szCs w:val="21"/>
                <w:highlight w:val="none"/>
              </w:rPr>
            </w:pPr>
            <w:r>
              <w:rPr>
                <w:color w:val="auto"/>
                <w:szCs w:val="21"/>
                <w:highlight w:val="none"/>
              </w:rPr>
              <w:t>危险废物</w:t>
            </w:r>
          </w:p>
        </w:tc>
        <w:tc>
          <w:tcPr>
            <w:tcW w:w="945" w:type="pct"/>
            <w:vAlign w:val="center"/>
          </w:tcPr>
          <w:p>
            <w:pPr>
              <w:jc w:val="center"/>
              <w:rPr>
                <w:color w:val="auto"/>
                <w:szCs w:val="21"/>
                <w:highlight w:val="none"/>
              </w:rPr>
            </w:pPr>
            <w:r>
              <w:rPr>
                <w:color w:val="auto"/>
                <w:szCs w:val="21"/>
                <w:highlight w:val="none"/>
              </w:rPr>
              <w:t>HW50 900-049-50</w:t>
            </w:r>
          </w:p>
        </w:tc>
        <w:tc>
          <w:tcPr>
            <w:tcW w:w="944" w:type="pct"/>
            <w:vAlign w:val="center"/>
          </w:tcPr>
          <w:p>
            <w:pPr>
              <w:jc w:val="center"/>
              <w:rPr>
                <w:color w:val="auto"/>
                <w:szCs w:val="21"/>
                <w:highlight w:val="none"/>
              </w:rPr>
            </w:pPr>
            <w:r>
              <w:rPr>
                <w:color w:val="auto"/>
                <w:szCs w:val="21"/>
                <w:highlight w:val="none"/>
              </w:rPr>
              <w:t>铂等重金属</w:t>
            </w:r>
          </w:p>
        </w:tc>
        <w:tc>
          <w:tcPr>
            <w:tcW w:w="605" w:type="pct"/>
            <w:vAlign w:val="center"/>
          </w:tcPr>
          <w:p>
            <w:pPr>
              <w:jc w:val="center"/>
              <w:rPr>
                <w:color w:val="auto"/>
                <w:szCs w:val="21"/>
                <w:highlight w:val="none"/>
              </w:rPr>
            </w:pPr>
            <w:r>
              <w:rPr>
                <w:color w:val="auto"/>
                <w:szCs w:val="21"/>
                <w:highlight w:val="none"/>
              </w:rPr>
              <w:t>0.019</w:t>
            </w:r>
          </w:p>
        </w:tc>
        <w:tc>
          <w:tcPr>
            <w:tcW w:w="791" w:type="pct"/>
            <w:vMerge w:val="continue"/>
            <w:vAlign w:val="center"/>
          </w:tcPr>
          <w:p>
            <w:pPr>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4" w:type="pct"/>
            <w:vAlign w:val="center"/>
          </w:tcPr>
          <w:p>
            <w:pPr>
              <w:jc w:val="center"/>
              <w:rPr>
                <w:color w:val="auto"/>
                <w:szCs w:val="21"/>
                <w:highlight w:val="none"/>
              </w:rPr>
            </w:pPr>
            <w:r>
              <w:rPr>
                <w:color w:val="auto"/>
                <w:szCs w:val="21"/>
                <w:highlight w:val="none"/>
              </w:rPr>
              <w:t>6</w:t>
            </w:r>
          </w:p>
        </w:tc>
        <w:tc>
          <w:tcPr>
            <w:tcW w:w="728" w:type="pct"/>
            <w:vAlign w:val="center"/>
          </w:tcPr>
          <w:p>
            <w:pPr>
              <w:jc w:val="center"/>
              <w:rPr>
                <w:color w:val="auto"/>
                <w:szCs w:val="21"/>
                <w:highlight w:val="none"/>
              </w:rPr>
            </w:pPr>
            <w:r>
              <w:rPr>
                <w:color w:val="auto"/>
                <w:szCs w:val="21"/>
                <w:highlight w:val="none"/>
              </w:rPr>
              <w:t>废矿物油及其空桶</w:t>
            </w:r>
          </w:p>
        </w:tc>
        <w:tc>
          <w:tcPr>
            <w:tcW w:w="629" w:type="pct"/>
            <w:vAlign w:val="center"/>
          </w:tcPr>
          <w:p>
            <w:pPr>
              <w:jc w:val="center"/>
              <w:rPr>
                <w:color w:val="auto"/>
                <w:szCs w:val="21"/>
                <w:highlight w:val="none"/>
              </w:rPr>
            </w:pPr>
            <w:r>
              <w:rPr>
                <w:color w:val="auto"/>
                <w:szCs w:val="21"/>
                <w:highlight w:val="none"/>
              </w:rPr>
              <w:t>危险废物</w:t>
            </w:r>
          </w:p>
        </w:tc>
        <w:tc>
          <w:tcPr>
            <w:tcW w:w="945" w:type="pct"/>
            <w:vAlign w:val="center"/>
          </w:tcPr>
          <w:p>
            <w:pPr>
              <w:jc w:val="center"/>
              <w:rPr>
                <w:color w:val="auto"/>
                <w:szCs w:val="21"/>
                <w:highlight w:val="none"/>
              </w:rPr>
            </w:pPr>
            <w:r>
              <w:rPr>
                <w:color w:val="auto"/>
                <w:szCs w:val="21"/>
                <w:highlight w:val="none"/>
              </w:rPr>
              <w:t>HW08</w:t>
            </w:r>
          </w:p>
          <w:p>
            <w:pPr>
              <w:jc w:val="center"/>
              <w:rPr>
                <w:color w:val="auto"/>
                <w:szCs w:val="21"/>
                <w:highlight w:val="none"/>
              </w:rPr>
            </w:pPr>
            <w:r>
              <w:rPr>
                <w:color w:val="auto"/>
                <w:szCs w:val="21"/>
                <w:highlight w:val="none"/>
              </w:rPr>
              <w:t>(900-217-08、(900-249-08)</w:t>
            </w:r>
          </w:p>
        </w:tc>
        <w:tc>
          <w:tcPr>
            <w:tcW w:w="944" w:type="pct"/>
            <w:vAlign w:val="center"/>
          </w:tcPr>
          <w:p>
            <w:pPr>
              <w:jc w:val="center"/>
              <w:rPr>
                <w:color w:val="auto"/>
                <w:szCs w:val="21"/>
                <w:highlight w:val="none"/>
              </w:rPr>
            </w:pPr>
            <w:r>
              <w:rPr>
                <w:color w:val="auto"/>
                <w:szCs w:val="21"/>
                <w:highlight w:val="none"/>
              </w:rPr>
              <w:t>废矿物油</w:t>
            </w:r>
          </w:p>
        </w:tc>
        <w:tc>
          <w:tcPr>
            <w:tcW w:w="605" w:type="pct"/>
            <w:vAlign w:val="center"/>
          </w:tcPr>
          <w:p>
            <w:pPr>
              <w:jc w:val="center"/>
              <w:rPr>
                <w:color w:val="auto"/>
                <w:szCs w:val="21"/>
                <w:highlight w:val="none"/>
              </w:rPr>
            </w:pPr>
            <w:r>
              <w:rPr>
                <w:color w:val="auto"/>
                <w:szCs w:val="21"/>
                <w:highlight w:val="none"/>
              </w:rPr>
              <w:t>0.05</w:t>
            </w:r>
          </w:p>
        </w:tc>
        <w:tc>
          <w:tcPr>
            <w:tcW w:w="791" w:type="pct"/>
            <w:vMerge w:val="continue"/>
            <w:vAlign w:val="center"/>
          </w:tcPr>
          <w:p>
            <w:pPr>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354" w:type="pct"/>
            <w:vAlign w:val="center"/>
          </w:tcPr>
          <w:p>
            <w:pPr>
              <w:jc w:val="center"/>
              <w:rPr>
                <w:color w:val="auto"/>
                <w:szCs w:val="21"/>
                <w:highlight w:val="none"/>
              </w:rPr>
            </w:pPr>
            <w:r>
              <w:rPr>
                <w:color w:val="auto"/>
                <w:szCs w:val="21"/>
                <w:highlight w:val="none"/>
              </w:rPr>
              <w:t>7</w:t>
            </w:r>
          </w:p>
        </w:tc>
        <w:tc>
          <w:tcPr>
            <w:tcW w:w="728" w:type="pct"/>
            <w:vAlign w:val="center"/>
          </w:tcPr>
          <w:p>
            <w:pPr>
              <w:jc w:val="center"/>
              <w:rPr>
                <w:color w:val="auto"/>
                <w:szCs w:val="21"/>
                <w:highlight w:val="none"/>
              </w:rPr>
            </w:pPr>
            <w:r>
              <w:rPr>
                <w:color w:val="auto"/>
                <w:szCs w:val="21"/>
                <w:highlight w:val="none"/>
              </w:rPr>
              <w:t>生活垃圾</w:t>
            </w:r>
          </w:p>
        </w:tc>
        <w:tc>
          <w:tcPr>
            <w:tcW w:w="629" w:type="pct"/>
            <w:vAlign w:val="center"/>
          </w:tcPr>
          <w:p>
            <w:pPr>
              <w:jc w:val="center"/>
              <w:rPr>
                <w:color w:val="auto"/>
                <w:szCs w:val="21"/>
                <w:highlight w:val="none"/>
              </w:rPr>
            </w:pPr>
            <w:r>
              <w:rPr>
                <w:color w:val="auto"/>
                <w:szCs w:val="21"/>
                <w:highlight w:val="none"/>
              </w:rPr>
              <w:t>一般固废</w:t>
            </w:r>
          </w:p>
        </w:tc>
        <w:tc>
          <w:tcPr>
            <w:tcW w:w="945" w:type="pct"/>
            <w:vAlign w:val="center"/>
          </w:tcPr>
          <w:p>
            <w:pPr>
              <w:jc w:val="center"/>
              <w:rPr>
                <w:color w:val="auto"/>
                <w:szCs w:val="21"/>
                <w:highlight w:val="none"/>
              </w:rPr>
            </w:pPr>
            <w:r>
              <w:rPr>
                <w:color w:val="auto"/>
                <w:szCs w:val="21"/>
                <w:highlight w:val="none"/>
              </w:rPr>
              <w:t>900-999-99</w:t>
            </w:r>
          </w:p>
        </w:tc>
        <w:tc>
          <w:tcPr>
            <w:tcW w:w="944" w:type="pct"/>
            <w:vAlign w:val="center"/>
          </w:tcPr>
          <w:p>
            <w:pPr>
              <w:jc w:val="center"/>
              <w:rPr>
                <w:color w:val="auto"/>
                <w:szCs w:val="21"/>
                <w:highlight w:val="none"/>
              </w:rPr>
            </w:pPr>
            <w:r>
              <w:rPr>
                <w:color w:val="auto"/>
                <w:szCs w:val="21"/>
                <w:highlight w:val="none"/>
              </w:rPr>
              <w:t>纸张、果皮、塑料等</w:t>
            </w:r>
          </w:p>
        </w:tc>
        <w:tc>
          <w:tcPr>
            <w:tcW w:w="605" w:type="pct"/>
            <w:vAlign w:val="center"/>
          </w:tcPr>
          <w:p>
            <w:pPr>
              <w:jc w:val="center"/>
              <w:rPr>
                <w:color w:val="auto"/>
                <w:szCs w:val="21"/>
                <w:highlight w:val="none"/>
              </w:rPr>
            </w:pPr>
            <w:r>
              <w:rPr>
                <w:color w:val="auto"/>
                <w:szCs w:val="21"/>
                <w:highlight w:val="none"/>
              </w:rPr>
              <w:t>4.5</w:t>
            </w:r>
          </w:p>
        </w:tc>
        <w:tc>
          <w:tcPr>
            <w:tcW w:w="791" w:type="pct"/>
            <w:vAlign w:val="center"/>
          </w:tcPr>
          <w:p>
            <w:pPr>
              <w:jc w:val="center"/>
              <w:rPr>
                <w:color w:val="auto"/>
                <w:szCs w:val="21"/>
                <w:highlight w:val="none"/>
              </w:rPr>
            </w:pPr>
            <w:r>
              <w:rPr>
                <w:color w:val="auto"/>
                <w:szCs w:val="21"/>
                <w:highlight w:val="none"/>
              </w:rPr>
              <w:t>环卫部门定期清运</w:t>
            </w:r>
          </w:p>
        </w:tc>
      </w:tr>
    </w:tbl>
    <w:p>
      <w:pPr>
        <w:pStyle w:val="101"/>
        <w:spacing w:before="78"/>
        <w:rPr>
          <w:rFonts w:ascii="Times New Roman" w:hAnsi="Times New Roman"/>
          <w:color w:val="auto"/>
          <w:highlight w:val="none"/>
        </w:rPr>
      </w:pPr>
      <w:r>
        <w:rPr>
          <w:rFonts w:ascii="Times New Roman" w:hAnsi="Times New Roman"/>
          <w:color w:val="auto"/>
          <w:highlight w:val="none"/>
        </w:rPr>
        <w:t>4.5.2固废储运方式及要求</w:t>
      </w:r>
    </w:p>
    <w:p>
      <w:pPr>
        <w:pStyle w:val="99"/>
        <w:ind w:firstLine="480"/>
        <w:rPr>
          <w:color w:val="auto"/>
          <w:highlight w:val="none"/>
        </w:rPr>
      </w:pPr>
      <w:r>
        <w:rPr>
          <w:color w:val="auto"/>
          <w:highlight w:val="none"/>
        </w:rPr>
        <w:t>由于项目废物产生量较大，种类较多，因此必须强化管理，废物在厂区的贮存严格按照有关管理规定执行，防止在储存、周转和最终处置等环节产生二次污染，具体要求如下：</w:t>
      </w:r>
    </w:p>
    <w:p>
      <w:pPr>
        <w:pStyle w:val="99"/>
        <w:ind w:firstLine="480"/>
        <w:rPr>
          <w:color w:val="auto"/>
          <w:highlight w:val="none"/>
        </w:rPr>
      </w:pPr>
      <w:r>
        <w:rPr>
          <w:color w:val="auto"/>
          <w:highlight w:val="none"/>
        </w:rPr>
        <w:t>1、废物应做到分类贮存，一般固体废物应分类存放，禁止生产固废和生活垃圾混 入。生活垃圾应定点堆放，设置封闭式垃圾储存装置，防止恶臭等产生，做到日产日清 日运，并尽量做到垃圾分类存放和处理。</w:t>
      </w:r>
    </w:p>
    <w:p>
      <w:pPr>
        <w:pStyle w:val="99"/>
        <w:ind w:firstLine="480"/>
        <w:rPr>
          <w:color w:val="auto"/>
          <w:highlight w:val="none"/>
        </w:rPr>
      </w:pPr>
      <w:r>
        <w:rPr>
          <w:color w:val="auto"/>
          <w:highlight w:val="none"/>
        </w:rPr>
        <w:t>2、设置一般固废暂存场所，配备防风、防雨、防晒并配套照明设施等，并与厂区内其它生产单元、办公生活区分开。同时，尽量缩短一般固废堆放时间。</w:t>
      </w:r>
    </w:p>
    <w:p>
      <w:pPr>
        <w:pStyle w:val="99"/>
        <w:ind w:firstLine="480"/>
        <w:rPr>
          <w:color w:val="auto"/>
          <w:highlight w:val="none"/>
        </w:rPr>
      </w:pPr>
      <w:r>
        <w:rPr>
          <w:color w:val="auto"/>
          <w:highlight w:val="none"/>
        </w:rPr>
        <w:t>3、项目产生的危险废物应与其他固体废物严格隔离，其他一般固体废物应分类存 放，禁止危险废物和生活垃圾等一般固废混入。应按《危险废物贮存污染控制标准》</w:t>
      </w:r>
      <w:r>
        <w:rPr>
          <w:rFonts w:hint="eastAsia"/>
          <w:color w:val="auto"/>
          <w:highlight w:val="none"/>
        </w:rPr>
        <w:t>(</w:t>
      </w:r>
      <w:r>
        <w:rPr>
          <w:color w:val="auto"/>
          <w:highlight w:val="none"/>
        </w:rPr>
        <w:t>GB18597-2001</w:t>
      </w:r>
      <w:r>
        <w:rPr>
          <w:rFonts w:hint="eastAsia"/>
          <w:color w:val="auto"/>
          <w:highlight w:val="none"/>
        </w:rPr>
        <w:t>)</w:t>
      </w:r>
      <w:r>
        <w:rPr>
          <w:color w:val="auto"/>
          <w:highlight w:val="none"/>
        </w:rPr>
        <w:t>设置警示标志及环境保护图形标志。危险废物应当使用符合标准的容器分类盛装，无法接入常用容器的危险废物可用防漏胶袋等盛装；禁止将不相容</w:t>
      </w:r>
      <w:r>
        <w:rPr>
          <w:rFonts w:hint="eastAsia"/>
          <w:color w:val="auto"/>
          <w:highlight w:val="none"/>
        </w:rPr>
        <w:t>(</w:t>
      </w:r>
      <w:r>
        <w:rPr>
          <w:color w:val="auto"/>
          <w:highlight w:val="none"/>
        </w:rPr>
        <w:t>相互反应</w:t>
      </w:r>
      <w:r>
        <w:rPr>
          <w:rFonts w:hint="eastAsia"/>
          <w:color w:val="auto"/>
          <w:highlight w:val="none"/>
        </w:rPr>
        <w:t>)</w:t>
      </w:r>
      <w:r>
        <w:rPr>
          <w:color w:val="auto"/>
          <w:highlight w:val="none"/>
        </w:rPr>
        <w:t>的危险废物在同一容器内混装；盛装危险废物的容器上必须粘贴符合标准的标签。</w:t>
      </w:r>
    </w:p>
    <w:p>
      <w:pPr>
        <w:pStyle w:val="99"/>
        <w:ind w:firstLine="480"/>
        <w:rPr>
          <w:color w:val="auto"/>
          <w:szCs w:val="24"/>
          <w:highlight w:val="none"/>
        </w:rPr>
      </w:pPr>
      <w:r>
        <w:rPr>
          <w:color w:val="auto"/>
          <w:highlight w:val="none"/>
        </w:rPr>
        <w:t>4、对固体废物进行全过程严格管理和安全处置，确保废物严格按照《一般工业固体废物贮存和填埋污染控制标准》</w:t>
      </w:r>
      <w:r>
        <w:rPr>
          <w:rFonts w:hint="eastAsia"/>
          <w:color w:val="auto"/>
          <w:highlight w:val="none"/>
        </w:rPr>
        <w:t>(</w:t>
      </w:r>
      <w:r>
        <w:rPr>
          <w:color w:val="auto"/>
          <w:highlight w:val="none"/>
        </w:rPr>
        <w:t>GB18599-2020</w:t>
      </w:r>
      <w:r>
        <w:rPr>
          <w:rFonts w:hint="eastAsia"/>
          <w:color w:val="auto"/>
          <w:highlight w:val="none"/>
        </w:rPr>
        <w:t>)</w:t>
      </w:r>
      <w:r>
        <w:rPr>
          <w:color w:val="auto"/>
          <w:highlight w:val="none"/>
        </w:rPr>
        <w:t>和《危险废物贮存污染控制标准》</w:t>
      </w:r>
      <w:r>
        <w:rPr>
          <w:rFonts w:hint="eastAsia"/>
          <w:color w:val="auto"/>
          <w:highlight w:val="none"/>
        </w:rPr>
        <w:t>(</w:t>
      </w:r>
      <w:r>
        <w:rPr>
          <w:color w:val="auto"/>
          <w:highlight w:val="none"/>
        </w:rPr>
        <w:t>GB18597-2001</w:t>
      </w:r>
      <w:r>
        <w:rPr>
          <w:rFonts w:hint="eastAsia"/>
          <w:color w:val="auto"/>
          <w:highlight w:val="none"/>
        </w:rPr>
        <w:t>)</w:t>
      </w:r>
      <w:r>
        <w:rPr>
          <w:color w:val="auto"/>
          <w:highlight w:val="none"/>
        </w:rPr>
        <w:t>及其修改单的要求。</w:t>
      </w:r>
    </w:p>
    <w:p>
      <w:pPr>
        <w:pStyle w:val="99"/>
        <w:ind w:firstLine="480"/>
        <w:rPr>
          <w:color w:val="auto"/>
          <w:szCs w:val="24"/>
          <w:highlight w:val="none"/>
        </w:rPr>
      </w:pPr>
      <w:r>
        <w:rPr>
          <w:rFonts w:hint="eastAsia"/>
          <w:color w:val="auto"/>
          <w:szCs w:val="24"/>
          <w:highlight w:val="none"/>
        </w:rPr>
        <w:t>5、</w:t>
      </w:r>
      <w:r>
        <w:rPr>
          <w:color w:val="auto"/>
          <w:szCs w:val="24"/>
          <w:highlight w:val="none"/>
        </w:rPr>
        <w:t>根据《危险废物收集贮存运输技术规范》</w:t>
      </w:r>
      <w:r>
        <w:rPr>
          <w:rFonts w:hint="eastAsia"/>
          <w:color w:val="auto"/>
          <w:szCs w:val="24"/>
          <w:highlight w:val="none"/>
        </w:rPr>
        <w:t>(</w:t>
      </w:r>
      <w:r>
        <w:rPr>
          <w:color w:val="auto"/>
          <w:szCs w:val="24"/>
          <w:highlight w:val="none"/>
        </w:rPr>
        <w:t>HJ2025-2012</w:t>
      </w:r>
      <w:r>
        <w:rPr>
          <w:rFonts w:hint="eastAsia"/>
          <w:color w:val="auto"/>
          <w:szCs w:val="24"/>
          <w:highlight w:val="none"/>
        </w:rPr>
        <w:t>)</w:t>
      </w:r>
      <w:r>
        <w:rPr>
          <w:color w:val="auto"/>
          <w:szCs w:val="24"/>
          <w:highlight w:val="none"/>
        </w:rPr>
        <w:t>，危险废物在收集、贮存及运输过程中应注意以下内容。</w:t>
      </w:r>
    </w:p>
    <w:p>
      <w:pPr>
        <w:pStyle w:val="99"/>
        <w:ind w:firstLine="480"/>
        <w:rPr>
          <w:bCs/>
          <w:color w:val="auto"/>
          <w:szCs w:val="24"/>
          <w:highlight w:val="none"/>
        </w:rPr>
      </w:pPr>
      <w:r>
        <w:rPr>
          <w:bCs/>
          <w:color w:val="auto"/>
          <w:szCs w:val="24"/>
          <w:highlight w:val="none"/>
        </w:rPr>
        <w:t>(1)</w:t>
      </w:r>
      <w:r>
        <w:rPr>
          <w:rFonts w:hint="eastAsia"/>
          <w:bCs/>
          <w:color w:val="auto"/>
          <w:szCs w:val="24"/>
          <w:highlight w:val="none"/>
        </w:rPr>
        <w:t xml:space="preserve"> </w:t>
      </w:r>
      <w:r>
        <w:rPr>
          <w:bCs/>
          <w:color w:val="auto"/>
          <w:szCs w:val="24"/>
          <w:highlight w:val="none"/>
        </w:rPr>
        <w:t>危险废物收集相关要求</w:t>
      </w:r>
    </w:p>
    <w:p>
      <w:pPr>
        <w:pStyle w:val="99"/>
        <w:ind w:firstLine="480"/>
        <w:rPr>
          <w:color w:val="auto"/>
          <w:szCs w:val="24"/>
          <w:highlight w:val="none"/>
        </w:rPr>
      </w:pPr>
      <w:r>
        <w:rPr>
          <w:rFonts w:hint="eastAsia"/>
          <w:color w:val="auto"/>
          <w:szCs w:val="24"/>
          <w:highlight w:val="none"/>
        </w:rPr>
        <w:t xml:space="preserve">① </w:t>
      </w:r>
      <w:r>
        <w:rPr>
          <w:color w:val="auto"/>
          <w:szCs w:val="24"/>
          <w:highlight w:val="none"/>
        </w:rPr>
        <w:t>危险废物的收集应根据危险废物产生的工艺特征、排放周期、危险废物特性、废物管理计划等因素制定收集计划。收集计划应包括收集任务概述、收集目标及原则、危险废物特性评估、危险废物收集量估算、收集作业范围和方法、收集设备与包装容器、安全生产与个人防护、工程防护与事故应急、进度安排与组织管理等。</w:t>
      </w:r>
    </w:p>
    <w:p>
      <w:pPr>
        <w:pStyle w:val="99"/>
        <w:ind w:firstLine="480"/>
        <w:rPr>
          <w:color w:val="auto"/>
          <w:szCs w:val="24"/>
          <w:highlight w:val="none"/>
        </w:rPr>
      </w:pPr>
      <w:r>
        <w:rPr>
          <w:rFonts w:hint="eastAsia" w:ascii="宋体" w:hAnsi="宋体" w:cs="宋体"/>
          <w:color w:val="auto"/>
          <w:szCs w:val="24"/>
          <w:highlight w:val="none"/>
        </w:rPr>
        <w:t>②</w:t>
      </w:r>
      <w:r>
        <w:rPr>
          <w:color w:val="auto"/>
          <w:szCs w:val="24"/>
          <w:highlight w:val="none"/>
        </w:rPr>
        <w:t xml:space="preserve"> 危险废物的收集应制定详细的操作规程，内容至少应包括适用范围、操作程序和方法、专用设备和工具、转移和交接、安全保障和应急防护等。</w:t>
      </w:r>
    </w:p>
    <w:p>
      <w:pPr>
        <w:pStyle w:val="99"/>
        <w:ind w:firstLine="480"/>
        <w:rPr>
          <w:color w:val="auto"/>
          <w:szCs w:val="24"/>
          <w:highlight w:val="none"/>
        </w:rPr>
      </w:pPr>
      <w:r>
        <w:rPr>
          <w:rFonts w:hint="eastAsia" w:ascii="宋体" w:hAnsi="宋体" w:cs="宋体"/>
          <w:color w:val="auto"/>
          <w:szCs w:val="24"/>
          <w:highlight w:val="none"/>
        </w:rPr>
        <w:t>③</w:t>
      </w:r>
      <w:r>
        <w:rPr>
          <w:color w:val="auto"/>
          <w:szCs w:val="24"/>
          <w:highlight w:val="none"/>
        </w:rPr>
        <w:t xml:space="preserve"> 危险废物收集和转运作业人员应根据工作需要配备必要的个人防护装备，如手套、防护镜、防护服、防毒面具或口罩等。</w:t>
      </w:r>
    </w:p>
    <w:p>
      <w:pPr>
        <w:pStyle w:val="99"/>
        <w:ind w:firstLine="480"/>
        <w:rPr>
          <w:color w:val="auto"/>
          <w:szCs w:val="24"/>
          <w:highlight w:val="none"/>
        </w:rPr>
      </w:pPr>
      <w:r>
        <w:rPr>
          <w:rFonts w:hint="eastAsia" w:ascii="宋体" w:hAnsi="宋体" w:cs="宋体"/>
          <w:color w:val="auto"/>
          <w:szCs w:val="24"/>
          <w:highlight w:val="none"/>
        </w:rPr>
        <w:t>④</w:t>
      </w:r>
      <w:r>
        <w:rPr>
          <w:color w:val="auto"/>
          <w:szCs w:val="24"/>
          <w:highlight w:val="none"/>
        </w:rPr>
        <w:t xml:space="preserve"> 在危险废物的收集和转运过程中，应采取相应的安全防护和污染防治措施，包括防爆、防火、防中毒、防感染、防泄露、防飞扬、防雨或其它防止污染环境的措施。</w:t>
      </w:r>
    </w:p>
    <w:p>
      <w:pPr>
        <w:pStyle w:val="99"/>
        <w:ind w:firstLine="480"/>
        <w:rPr>
          <w:color w:val="auto"/>
          <w:szCs w:val="24"/>
          <w:highlight w:val="none"/>
        </w:rPr>
      </w:pPr>
      <w:r>
        <w:rPr>
          <w:rFonts w:hint="eastAsia" w:ascii="宋体" w:hAnsi="宋体" w:cs="宋体"/>
          <w:color w:val="auto"/>
          <w:szCs w:val="24"/>
          <w:highlight w:val="none"/>
        </w:rPr>
        <w:t>⑤</w:t>
      </w:r>
      <w:r>
        <w:rPr>
          <w:color w:val="auto"/>
          <w:szCs w:val="24"/>
          <w:highlight w:val="none"/>
        </w:rPr>
        <w:t xml:space="preserve"> 危险废物收集时应根据危险废物的种类、数量、危险特性、物理形态、运输要求等因素确定包装形式，具体包装应符合如下要求：</w:t>
      </w:r>
    </w:p>
    <w:p>
      <w:pPr>
        <w:pStyle w:val="99"/>
        <w:ind w:firstLine="480"/>
        <w:rPr>
          <w:color w:val="auto"/>
          <w:szCs w:val="24"/>
          <w:highlight w:val="none"/>
        </w:rPr>
      </w:pPr>
      <w:r>
        <w:rPr>
          <w:color w:val="auto"/>
          <w:szCs w:val="24"/>
          <w:highlight w:val="none"/>
        </w:rPr>
        <w:t>a</w:t>
      </w:r>
      <w:r>
        <w:rPr>
          <w:rFonts w:hint="eastAsia"/>
          <w:color w:val="auto"/>
          <w:szCs w:val="24"/>
          <w:highlight w:val="none"/>
        </w:rPr>
        <w:t>.</w:t>
      </w:r>
      <w:r>
        <w:rPr>
          <w:color w:val="auto"/>
          <w:szCs w:val="24"/>
          <w:highlight w:val="none"/>
        </w:rPr>
        <w:t>包装材质要与危险废物相容，可根据废物特性选择钢、铝、塑料等材质。</w:t>
      </w:r>
    </w:p>
    <w:p>
      <w:pPr>
        <w:pStyle w:val="99"/>
        <w:ind w:firstLine="480"/>
        <w:rPr>
          <w:color w:val="auto"/>
          <w:szCs w:val="24"/>
          <w:highlight w:val="none"/>
        </w:rPr>
      </w:pPr>
      <w:r>
        <w:rPr>
          <w:rFonts w:hint="eastAsia"/>
          <w:color w:val="auto"/>
          <w:szCs w:val="24"/>
          <w:highlight w:val="none"/>
        </w:rPr>
        <w:t>b.</w:t>
      </w:r>
      <w:r>
        <w:rPr>
          <w:color w:val="auto"/>
          <w:szCs w:val="24"/>
          <w:highlight w:val="none"/>
        </w:rPr>
        <w:t>性质类似的废物可收集到同一容器中，性质不相容的危险废物不应混合包装。</w:t>
      </w:r>
    </w:p>
    <w:p>
      <w:pPr>
        <w:pStyle w:val="99"/>
        <w:ind w:firstLine="480"/>
        <w:rPr>
          <w:color w:val="auto"/>
          <w:szCs w:val="24"/>
          <w:highlight w:val="none"/>
        </w:rPr>
      </w:pPr>
      <w:r>
        <w:rPr>
          <w:rFonts w:hint="eastAsia"/>
          <w:color w:val="auto"/>
          <w:szCs w:val="24"/>
          <w:highlight w:val="none"/>
        </w:rPr>
        <w:t>c.</w:t>
      </w:r>
      <w:r>
        <w:rPr>
          <w:color w:val="auto"/>
          <w:szCs w:val="24"/>
          <w:highlight w:val="none"/>
        </w:rPr>
        <w:t>危险废物包装应能有效隔断危险废物迁移扩散途径，并达到防渗、防漏要求。</w:t>
      </w:r>
    </w:p>
    <w:p>
      <w:pPr>
        <w:pStyle w:val="99"/>
        <w:ind w:firstLine="480"/>
        <w:rPr>
          <w:color w:val="auto"/>
          <w:szCs w:val="24"/>
          <w:highlight w:val="none"/>
        </w:rPr>
      </w:pPr>
      <w:r>
        <w:rPr>
          <w:rFonts w:hint="eastAsia"/>
          <w:color w:val="auto"/>
          <w:szCs w:val="24"/>
          <w:highlight w:val="none"/>
        </w:rPr>
        <w:t>d.</w:t>
      </w:r>
      <w:r>
        <w:rPr>
          <w:color w:val="auto"/>
          <w:szCs w:val="24"/>
          <w:highlight w:val="none"/>
        </w:rPr>
        <w:t>包装好的危险废物应设置相应的标签，标签信息应填写完整翔实。</w:t>
      </w:r>
    </w:p>
    <w:p>
      <w:pPr>
        <w:pStyle w:val="99"/>
        <w:ind w:firstLine="480"/>
        <w:rPr>
          <w:color w:val="auto"/>
          <w:szCs w:val="24"/>
          <w:highlight w:val="none"/>
        </w:rPr>
      </w:pPr>
      <w:r>
        <w:rPr>
          <w:rFonts w:hint="eastAsia"/>
          <w:color w:val="auto"/>
          <w:szCs w:val="24"/>
          <w:highlight w:val="none"/>
        </w:rPr>
        <w:t>e.</w:t>
      </w:r>
      <w:r>
        <w:rPr>
          <w:color w:val="auto"/>
          <w:szCs w:val="24"/>
          <w:highlight w:val="none"/>
        </w:rPr>
        <w:t>盛装过危险废物的包装袋或包装容器破损后应按危险废物进行管理和处置。</w:t>
      </w:r>
    </w:p>
    <w:p>
      <w:pPr>
        <w:pStyle w:val="99"/>
        <w:ind w:firstLine="480"/>
        <w:rPr>
          <w:color w:val="auto"/>
          <w:szCs w:val="24"/>
          <w:highlight w:val="none"/>
        </w:rPr>
      </w:pPr>
      <w:r>
        <w:rPr>
          <w:rFonts w:hint="eastAsia"/>
          <w:color w:val="auto"/>
          <w:szCs w:val="24"/>
          <w:highlight w:val="none"/>
        </w:rPr>
        <w:t>f.</w:t>
      </w:r>
      <w:r>
        <w:rPr>
          <w:color w:val="auto"/>
          <w:szCs w:val="24"/>
          <w:highlight w:val="none"/>
        </w:rPr>
        <w:t>危险废物还应根据GB12463的有关要求进行运输包装。</w:t>
      </w:r>
    </w:p>
    <w:p>
      <w:pPr>
        <w:pStyle w:val="99"/>
        <w:ind w:firstLine="480"/>
        <w:rPr>
          <w:color w:val="auto"/>
          <w:szCs w:val="24"/>
          <w:highlight w:val="none"/>
        </w:rPr>
      </w:pPr>
      <w:r>
        <w:rPr>
          <w:rFonts w:hint="eastAsia" w:ascii="宋体" w:hAnsi="宋体" w:cs="宋体"/>
          <w:color w:val="auto"/>
          <w:szCs w:val="24"/>
          <w:highlight w:val="none"/>
        </w:rPr>
        <w:t>⑥</w:t>
      </w:r>
      <w:r>
        <w:rPr>
          <w:color w:val="auto"/>
          <w:szCs w:val="24"/>
          <w:highlight w:val="none"/>
        </w:rPr>
        <w:t xml:space="preserve"> 收集不具备运输包装条件的危险废物时，且危险特性不会对环境和操作人员造成重大危害，可在临时包装后进行暂时贮存，但正式运输前应按本标准要求进行包装。</w:t>
      </w:r>
    </w:p>
    <w:p>
      <w:pPr>
        <w:pStyle w:val="99"/>
        <w:ind w:firstLine="480"/>
        <w:rPr>
          <w:color w:val="auto"/>
          <w:szCs w:val="24"/>
          <w:highlight w:val="none"/>
        </w:rPr>
      </w:pPr>
      <w:r>
        <w:rPr>
          <w:rFonts w:hint="eastAsia" w:ascii="宋体" w:hAnsi="宋体" w:cs="宋体"/>
          <w:color w:val="auto"/>
          <w:szCs w:val="24"/>
          <w:highlight w:val="none"/>
        </w:rPr>
        <w:t>⑦</w:t>
      </w:r>
      <w:r>
        <w:rPr>
          <w:color w:val="auto"/>
          <w:szCs w:val="24"/>
          <w:highlight w:val="none"/>
        </w:rPr>
        <w:t xml:space="preserve"> 危险废物收集前应进行放射性检测，如具有放射性则应按《放射性废物管理规定》(GB14500)进行收集和处置。</w:t>
      </w:r>
    </w:p>
    <w:p>
      <w:pPr>
        <w:pStyle w:val="99"/>
        <w:ind w:firstLine="480"/>
        <w:rPr>
          <w:bCs/>
          <w:color w:val="auto"/>
          <w:szCs w:val="24"/>
          <w:highlight w:val="none"/>
        </w:rPr>
      </w:pPr>
      <w:r>
        <w:rPr>
          <w:bCs/>
          <w:color w:val="auto"/>
          <w:szCs w:val="24"/>
          <w:highlight w:val="none"/>
        </w:rPr>
        <w:t>(</w:t>
      </w:r>
      <w:r>
        <w:rPr>
          <w:rFonts w:hint="eastAsia"/>
          <w:bCs/>
          <w:color w:val="auto"/>
          <w:szCs w:val="24"/>
          <w:highlight w:val="none"/>
        </w:rPr>
        <w:t>2</w:t>
      </w:r>
      <w:r>
        <w:rPr>
          <w:bCs/>
          <w:color w:val="auto"/>
          <w:szCs w:val="24"/>
          <w:highlight w:val="none"/>
        </w:rPr>
        <w:t>)</w:t>
      </w:r>
      <w:r>
        <w:rPr>
          <w:rFonts w:hint="eastAsia"/>
          <w:bCs/>
          <w:color w:val="auto"/>
          <w:szCs w:val="24"/>
          <w:highlight w:val="none"/>
        </w:rPr>
        <w:t xml:space="preserve"> </w:t>
      </w:r>
      <w:r>
        <w:rPr>
          <w:bCs/>
          <w:color w:val="auto"/>
          <w:szCs w:val="24"/>
          <w:highlight w:val="none"/>
        </w:rPr>
        <w:t>危险废物贮存相关要求</w:t>
      </w:r>
    </w:p>
    <w:p>
      <w:pPr>
        <w:pStyle w:val="99"/>
        <w:ind w:firstLine="480"/>
        <w:rPr>
          <w:color w:val="auto"/>
          <w:szCs w:val="24"/>
          <w:highlight w:val="none"/>
        </w:rPr>
      </w:pPr>
      <w:r>
        <w:rPr>
          <w:rFonts w:hint="eastAsia"/>
          <w:color w:val="auto"/>
          <w:szCs w:val="24"/>
          <w:highlight w:val="none"/>
        </w:rPr>
        <w:t xml:space="preserve">① </w:t>
      </w:r>
      <w:r>
        <w:rPr>
          <w:color w:val="auto"/>
          <w:szCs w:val="24"/>
          <w:highlight w:val="none"/>
        </w:rPr>
        <w:t>贮存危险废物时应按危险废物的种类和特性进行分区贮存，每个贮存区域之间宜设置挡墙间隔，并应设置防雨、防火、防雷、防扬尘装置。</w:t>
      </w:r>
    </w:p>
    <w:p>
      <w:pPr>
        <w:pStyle w:val="99"/>
        <w:ind w:firstLine="480"/>
        <w:rPr>
          <w:color w:val="auto"/>
          <w:szCs w:val="24"/>
          <w:highlight w:val="none"/>
        </w:rPr>
      </w:pPr>
      <w:r>
        <w:rPr>
          <w:rFonts w:hint="eastAsia" w:ascii="宋体" w:hAnsi="宋体" w:cs="宋体"/>
          <w:color w:val="auto"/>
          <w:szCs w:val="24"/>
          <w:highlight w:val="none"/>
        </w:rPr>
        <w:t>②</w:t>
      </w:r>
      <w:r>
        <w:rPr>
          <w:color w:val="auto"/>
          <w:szCs w:val="24"/>
          <w:highlight w:val="none"/>
        </w:rPr>
        <w:t xml:space="preserve"> 贮存易燃易爆危险废物应配置有机气体报警、火灾报警装置和导出静电的接地装置。</w:t>
      </w:r>
    </w:p>
    <w:p>
      <w:pPr>
        <w:pStyle w:val="99"/>
        <w:ind w:firstLine="480"/>
        <w:rPr>
          <w:color w:val="auto"/>
          <w:szCs w:val="24"/>
          <w:highlight w:val="none"/>
        </w:rPr>
      </w:pPr>
      <w:r>
        <w:rPr>
          <w:rFonts w:hint="eastAsia" w:ascii="宋体" w:hAnsi="宋体" w:cs="宋体"/>
          <w:color w:val="auto"/>
          <w:szCs w:val="24"/>
          <w:highlight w:val="none"/>
        </w:rPr>
        <w:t>③</w:t>
      </w:r>
      <w:r>
        <w:rPr>
          <w:color w:val="auto"/>
          <w:szCs w:val="24"/>
          <w:highlight w:val="none"/>
        </w:rPr>
        <w:t xml:space="preserve"> 废弃危险化学品贮存应满足GB15603、《危险化学品安全管理条例》、《废弃危险化学品污染环境防治办法》的要求。贮存废弃剧毒化学品还应充分考虑防盗要求，采用双钥匙封闭式管理，且有专人24小时看管。</w:t>
      </w:r>
    </w:p>
    <w:p>
      <w:pPr>
        <w:pStyle w:val="99"/>
        <w:ind w:firstLine="480"/>
        <w:rPr>
          <w:color w:val="auto"/>
          <w:szCs w:val="24"/>
          <w:highlight w:val="none"/>
        </w:rPr>
      </w:pPr>
      <w:r>
        <w:rPr>
          <w:rFonts w:hint="eastAsia" w:ascii="宋体" w:hAnsi="宋体" w:cs="宋体"/>
          <w:color w:val="auto"/>
          <w:szCs w:val="24"/>
          <w:highlight w:val="none"/>
        </w:rPr>
        <w:t>④</w:t>
      </w:r>
      <w:r>
        <w:rPr>
          <w:color w:val="auto"/>
          <w:szCs w:val="24"/>
          <w:highlight w:val="none"/>
        </w:rPr>
        <w:t xml:space="preserve"> 危险废物贮存期限应符合《中华人民共和国固体废物污染环境防治法》的有关规定。</w:t>
      </w:r>
    </w:p>
    <w:p>
      <w:pPr>
        <w:pStyle w:val="99"/>
        <w:ind w:firstLine="480"/>
        <w:rPr>
          <w:color w:val="auto"/>
          <w:highlight w:val="none"/>
        </w:rPr>
      </w:pPr>
      <w:r>
        <w:rPr>
          <w:rFonts w:hint="eastAsia" w:ascii="宋体" w:hAnsi="宋体" w:cs="宋体"/>
          <w:color w:val="auto"/>
          <w:highlight w:val="none"/>
        </w:rPr>
        <w:t>⑤</w:t>
      </w:r>
      <w:r>
        <w:rPr>
          <w:color w:val="auto"/>
          <w:highlight w:val="none"/>
        </w:rPr>
        <w:t xml:space="preserve"> 危险废物贮存单位应建立危险废物贮存的台帐制度，危险废物出入库交接记录内容应参照《险废物收集贮存运输技术规范》（HJ2025-2012）附录C执行。具体见图4.5-1。</w:t>
      </w:r>
    </w:p>
    <w:p>
      <w:pPr>
        <w:pStyle w:val="99"/>
        <w:ind w:firstLine="480"/>
        <w:rPr>
          <w:color w:val="auto"/>
          <w:highlight w:val="none"/>
        </w:rPr>
      </w:pPr>
      <w:r>
        <w:rPr>
          <w:color w:val="auto"/>
          <w:highlight w:val="none"/>
        </w:rPr>
        <w:drawing>
          <wp:inline distT="0" distB="0" distL="0" distR="0">
            <wp:extent cx="4981575" cy="210502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4981575" cy="2105025"/>
                    </a:xfrm>
                    <a:prstGeom prst="rect">
                      <a:avLst/>
                    </a:prstGeom>
                    <a:noFill/>
                    <a:ln>
                      <a:noFill/>
                    </a:ln>
                  </pic:spPr>
                </pic:pic>
              </a:graphicData>
            </a:graphic>
          </wp:inline>
        </w:drawing>
      </w:r>
    </w:p>
    <w:p>
      <w:pPr>
        <w:pStyle w:val="99"/>
        <w:ind w:firstLine="480"/>
        <w:jc w:val="center"/>
        <w:rPr>
          <w:rFonts w:eastAsia="黑体"/>
          <w:color w:val="auto"/>
          <w:szCs w:val="24"/>
          <w:highlight w:val="none"/>
        </w:rPr>
      </w:pPr>
      <w:r>
        <w:rPr>
          <w:rFonts w:eastAsia="黑体"/>
          <w:color w:val="auto"/>
          <w:szCs w:val="24"/>
          <w:highlight w:val="none"/>
        </w:rPr>
        <w:t>图</w:t>
      </w:r>
      <w:r>
        <w:rPr>
          <w:color w:val="auto"/>
          <w:szCs w:val="24"/>
          <w:highlight w:val="none"/>
        </w:rPr>
        <w:t xml:space="preserve">4.5-1 </w:t>
      </w:r>
      <w:r>
        <w:rPr>
          <w:rFonts w:hint="eastAsia"/>
          <w:color w:val="auto"/>
          <w:szCs w:val="24"/>
          <w:highlight w:val="none"/>
        </w:rPr>
        <w:t xml:space="preserve">  </w:t>
      </w:r>
      <w:r>
        <w:rPr>
          <w:rFonts w:eastAsia="黑体"/>
          <w:color w:val="auto"/>
          <w:szCs w:val="24"/>
          <w:highlight w:val="none"/>
        </w:rPr>
        <w:t>危险废物出入库</w:t>
      </w:r>
      <w:r>
        <w:rPr>
          <w:rFonts w:hint="eastAsia" w:eastAsia="黑体"/>
          <w:color w:val="auto"/>
          <w:szCs w:val="24"/>
          <w:highlight w:val="none"/>
          <w:lang w:val="en-US" w:eastAsia="zh-CN"/>
        </w:rPr>
        <w:t>交接</w:t>
      </w:r>
      <w:r>
        <w:rPr>
          <w:rFonts w:eastAsia="黑体"/>
          <w:color w:val="auto"/>
          <w:szCs w:val="24"/>
          <w:highlight w:val="none"/>
        </w:rPr>
        <w:t>记录示意图</w:t>
      </w:r>
    </w:p>
    <w:p>
      <w:pPr>
        <w:pStyle w:val="99"/>
        <w:ind w:firstLine="480"/>
        <w:rPr>
          <w:color w:val="auto"/>
          <w:szCs w:val="24"/>
          <w:highlight w:val="none"/>
        </w:rPr>
      </w:pPr>
      <w:r>
        <w:rPr>
          <w:rFonts w:hint="eastAsia" w:ascii="宋体" w:hAnsi="宋体" w:cs="宋体"/>
          <w:color w:val="auto"/>
          <w:szCs w:val="24"/>
          <w:highlight w:val="none"/>
        </w:rPr>
        <w:t>⑥</w:t>
      </w:r>
      <w:r>
        <w:rPr>
          <w:color w:val="auto"/>
          <w:szCs w:val="24"/>
          <w:highlight w:val="none"/>
        </w:rPr>
        <w:t xml:space="preserve"> 危险废物贮存设施应根据贮存的废物种类和特性设置标志。</w:t>
      </w:r>
    </w:p>
    <w:p>
      <w:pPr>
        <w:pStyle w:val="99"/>
        <w:ind w:firstLine="480"/>
        <w:rPr>
          <w:color w:val="auto"/>
          <w:szCs w:val="24"/>
          <w:highlight w:val="none"/>
        </w:rPr>
      </w:pPr>
      <w:r>
        <w:rPr>
          <w:rFonts w:hint="eastAsia" w:ascii="宋体" w:hAnsi="宋体" w:cs="宋体"/>
          <w:color w:val="auto"/>
          <w:szCs w:val="24"/>
          <w:highlight w:val="none"/>
        </w:rPr>
        <w:t>⑦</w:t>
      </w:r>
      <w:r>
        <w:rPr>
          <w:color w:val="auto"/>
          <w:szCs w:val="24"/>
          <w:highlight w:val="none"/>
        </w:rPr>
        <w:t xml:space="preserve"> 危险废物贮存设施的关闭应按照GB18597和《危险废物经营许可证管理办法》的有关规定执行。</w:t>
      </w:r>
    </w:p>
    <w:p>
      <w:pPr>
        <w:pStyle w:val="99"/>
        <w:ind w:firstLine="480"/>
        <w:rPr>
          <w:bCs/>
          <w:color w:val="auto"/>
          <w:highlight w:val="none"/>
        </w:rPr>
      </w:pPr>
      <w:r>
        <w:rPr>
          <w:rFonts w:hint="eastAsia"/>
          <w:bCs/>
          <w:color w:val="auto"/>
          <w:highlight w:val="none"/>
        </w:rPr>
        <w:t xml:space="preserve">(3) </w:t>
      </w:r>
      <w:r>
        <w:rPr>
          <w:bCs/>
          <w:color w:val="auto"/>
          <w:highlight w:val="none"/>
        </w:rPr>
        <w:t>危险废物运输相关要求</w:t>
      </w:r>
    </w:p>
    <w:p>
      <w:pPr>
        <w:pStyle w:val="99"/>
        <w:ind w:firstLine="480"/>
        <w:rPr>
          <w:color w:val="auto"/>
          <w:szCs w:val="24"/>
          <w:highlight w:val="none"/>
        </w:rPr>
      </w:pPr>
      <w:r>
        <w:rPr>
          <w:rFonts w:hint="eastAsia" w:ascii="宋体" w:hAnsi="宋体" w:cs="宋体"/>
          <w:color w:val="auto"/>
          <w:szCs w:val="24"/>
          <w:highlight w:val="none"/>
        </w:rPr>
        <w:t>①</w:t>
      </w:r>
      <w:r>
        <w:rPr>
          <w:color w:val="auto"/>
          <w:szCs w:val="24"/>
          <w:highlight w:val="none"/>
        </w:rPr>
        <w:t xml:space="preserve"> 危险废物运输应由持有危险废物经营许可证的单位按照其许可证的经营范围组织实施，承担危险废物运输的单位应获得交通运输部门颁发的危险货物运输资质。</w:t>
      </w:r>
    </w:p>
    <w:p>
      <w:pPr>
        <w:pStyle w:val="99"/>
        <w:ind w:firstLine="480"/>
        <w:rPr>
          <w:color w:val="auto"/>
          <w:szCs w:val="24"/>
          <w:highlight w:val="none"/>
        </w:rPr>
      </w:pPr>
      <w:r>
        <w:rPr>
          <w:rFonts w:hint="eastAsia" w:ascii="宋体" w:hAnsi="宋体" w:cs="宋体"/>
          <w:color w:val="auto"/>
          <w:szCs w:val="24"/>
          <w:highlight w:val="none"/>
        </w:rPr>
        <w:t>②</w:t>
      </w:r>
      <w:r>
        <w:rPr>
          <w:color w:val="auto"/>
          <w:szCs w:val="24"/>
          <w:highlight w:val="none"/>
        </w:rPr>
        <w:t xml:space="preserve"> 危险废物公路运输应按照《道路危险货物运输管理规定》(交通部令[2005年]第9号)、JT617以及JT618执行；危险废物铁路运输应按《铁路危险货物运输管理规则》(铁运[2006]79号)规定执行；危险废物水路运输应按《水路危险货物运输规则》(交通部令[1996年]第10号)规定执行。</w:t>
      </w:r>
    </w:p>
    <w:p>
      <w:pPr>
        <w:pStyle w:val="99"/>
        <w:ind w:firstLine="480"/>
        <w:rPr>
          <w:color w:val="auto"/>
          <w:szCs w:val="24"/>
          <w:highlight w:val="none"/>
        </w:rPr>
      </w:pPr>
      <w:r>
        <w:rPr>
          <w:rFonts w:hint="eastAsia" w:ascii="宋体" w:hAnsi="宋体" w:cs="宋体"/>
          <w:color w:val="auto"/>
          <w:szCs w:val="24"/>
          <w:highlight w:val="none"/>
        </w:rPr>
        <w:t>③</w:t>
      </w:r>
      <w:r>
        <w:rPr>
          <w:color w:val="auto"/>
          <w:szCs w:val="24"/>
          <w:highlight w:val="none"/>
        </w:rPr>
        <w:t xml:space="preserve"> 废弃危险化学品的运输应执行《危险化学品安全管理条例》有关运输的规定。</w:t>
      </w:r>
    </w:p>
    <w:p>
      <w:pPr>
        <w:pStyle w:val="99"/>
        <w:ind w:firstLine="480"/>
        <w:rPr>
          <w:color w:val="auto"/>
          <w:szCs w:val="24"/>
          <w:highlight w:val="none"/>
        </w:rPr>
      </w:pPr>
      <w:r>
        <w:rPr>
          <w:rFonts w:hint="eastAsia" w:ascii="宋体" w:hAnsi="宋体" w:cs="宋体"/>
          <w:color w:val="auto"/>
          <w:szCs w:val="24"/>
          <w:highlight w:val="none"/>
        </w:rPr>
        <w:t>④</w:t>
      </w:r>
      <w:r>
        <w:rPr>
          <w:color w:val="auto"/>
          <w:szCs w:val="24"/>
          <w:highlight w:val="none"/>
        </w:rPr>
        <w:t xml:space="preserve"> 运输单位承运危险废物时，应在危险废物包装上设置标志。</w:t>
      </w:r>
    </w:p>
    <w:p>
      <w:pPr>
        <w:pStyle w:val="99"/>
        <w:ind w:firstLine="480"/>
        <w:rPr>
          <w:color w:val="auto"/>
          <w:szCs w:val="24"/>
          <w:highlight w:val="none"/>
        </w:rPr>
      </w:pPr>
      <w:r>
        <w:rPr>
          <w:rFonts w:hint="eastAsia" w:ascii="宋体" w:hAnsi="宋体" w:cs="宋体"/>
          <w:color w:val="auto"/>
          <w:szCs w:val="24"/>
          <w:highlight w:val="none"/>
        </w:rPr>
        <w:t>⑤</w:t>
      </w:r>
      <w:r>
        <w:rPr>
          <w:color w:val="auto"/>
          <w:szCs w:val="24"/>
          <w:highlight w:val="none"/>
        </w:rPr>
        <w:t xml:space="preserve"> 危险废物公路运输时，运输车辆应按GB13392设置车辆标志。</w:t>
      </w:r>
    </w:p>
    <w:p>
      <w:pPr>
        <w:pStyle w:val="99"/>
        <w:ind w:firstLine="480"/>
        <w:rPr>
          <w:color w:val="auto"/>
          <w:szCs w:val="24"/>
          <w:highlight w:val="none"/>
        </w:rPr>
      </w:pPr>
      <w:r>
        <w:rPr>
          <w:rFonts w:hint="eastAsia" w:ascii="宋体" w:hAnsi="宋体" w:cs="宋体"/>
          <w:color w:val="auto"/>
          <w:szCs w:val="24"/>
          <w:highlight w:val="none"/>
        </w:rPr>
        <w:t>⑥</w:t>
      </w:r>
      <w:r>
        <w:rPr>
          <w:color w:val="auto"/>
          <w:szCs w:val="24"/>
          <w:highlight w:val="none"/>
        </w:rPr>
        <w:t xml:space="preserve"> 危险废物运输时的中转、装卸过程应遵守如下技术要求：</w:t>
      </w:r>
    </w:p>
    <w:p>
      <w:pPr>
        <w:pStyle w:val="99"/>
        <w:ind w:firstLine="480"/>
        <w:rPr>
          <w:color w:val="auto"/>
          <w:szCs w:val="24"/>
          <w:highlight w:val="none"/>
        </w:rPr>
      </w:pPr>
      <w:r>
        <w:rPr>
          <w:color w:val="auto"/>
          <w:szCs w:val="24"/>
          <w:highlight w:val="none"/>
        </w:rPr>
        <w:t>a.卸载区的工作人员应熟悉废物的危险特性，并配备适当的个人防护装备，装卸剧毒废物应配备特殊的防护装备。</w:t>
      </w:r>
    </w:p>
    <w:p>
      <w:pPr>
        <w:pStyle w:val="99"/>
        <w:ind w:firstLine="480"/>
        <w:rPr>
          <w:color w:val="auto"/>
          <w:szCs w:val="24"/>
          <w:highlight w:val="none"/>
        </w:rPr>
      </w:pPr>
      <w:r>
        <w:rPr>
          <w:color w:val="auto"/>
          <w:szCs w:val="24"/>
          <w:highlight w:val="none"/>
        </w:rPr>
        <w:t>b.卸载区应配备必要的消防设备和设施，并设置明显的指示标志。</w:t>
      </w:r>
    </w:p>
    <w:p>
      <w:pPr>
        <w:pStyle w:val="99"/>
        <w:ind w:firstLine="480"/>
        <w:rPr>
          <w:color w:val="auto"/>
          <w:highlight w:val="none"/>
        </w:rPr>
      </w:pPr>
      <w:r>
        <w:rPr>
          <w:color w:val="auto"/>
          <w:szCs w:val="24"/>
          <w:highlight w:val="none"/>
        </w:rPr>
        <w:t>c.危险废物装卸区应设置隔离设施，液态废物卸载区应设收集槽和缓冲罐。</w:t>
      </w:r>
    </w:p>
    <w:p>
      <w:pPr>
        <w:pStyle w:val="101"/>
        <w:spacing w:before="78"/>
        <w:rPr>
          <w:rFonts w:ascii="Times New Roman" w:hAnsi="Times New Roman"/>
          <w:color w:val="auto"/>
          <w:highlight w:val="none"/>
        </w:rPr>
      </w:pPr>
      <w:r>
        <w:rPr>
          <w:rFonts w:ascii="Times New Roman" w:hAnsi="Times New Roman"/>
          <w:color w:val="auto"/>
          <w:highlight w:val="none"/>
        </w:rPr>
        <w:t>4.5.3环境影响分析</w:t>
      </w:r>
    </w:p>
    <w:p>
      <w:pPr>
        <w:pStyle w:val="112"/>
        <w:rPr>
          <w:color w:val="auto"/>
          <w:highlight w:val="none"/>
        </w:rPr>
      </w:pPr>
      <w:r>
        <w:rPr>
          <w:color w:val="auto"/>
          <w:highlight w:val="none"/>
        </w:rPr>
        <w:t>4.5.3.1一般固废环境影响分析</w:t>
      </w:r>
    </w:p>
    <w:p>
      <w:pPr>
        <w:pStyle w:val="99"/>
        <w:ind w:firstLine="482"/>
        <w:rPr>
          <w:b/>
          <w:bCs/>
          <w:color w:val="auto"/>
          <w:highlight w:val="none"/>
        </w:rPr>
      </w:pPr>
      <w:r>
        <w:rPr>
          <w:b/>
          <w:bCs/>
          <w:color w:val="auto"/>
          <w:highlight w:val="none"/>
        </w:rPr>
        <w:t>1、对环境空气的影响分析</w:t>
      </w:r>
    </w:p>
    <w:p>
      <w:pPr>
        <w:pStyle w:val="99"/>
        <w:ind w:firstLine="480"/>
        <w:rPr>
          <w:color w:val="auto"/>
          <w:highlight w:val="none"/>
        </w:rPr>
      </w:pPr>
      <w:r>
        <w:rPr>
          <w:color w:val="auto"/>
          <w:highlight w:val="none"/>
        </w:rPr>
        <w:t>固体废物中的微细颗粒物在长期堆存时，因表面干燥会随风引起扬尘，对周围大气环境造成危害。垃圾等固体废物在长期堆放时由于其中的有机物发酵散发恶臭气体，污染大气环境。</w:t>
      </w:r>
    </w:p>
    <w:p>
      <w:pPr>
        <w:pStyle w:val="99"/>
        <w:ind w:firstLine="480"/>
        <w:rPr>
          <w:color w:val="auto"/>
          <w:highlight w:val="none"/>
        </w:rPr>
      </w:pPr>
      <w:r>
        <w:rPr>
          <w:color w:val="auto"/>
          <w:highlight w:val="none"/>
        </w:rPr>
        <w:t>拟建项目固体废物不露天堆置，不会产生大风扬尘，对于一般固废只要及时清运，严格管理，次布</w:t>
      </w:r>
      <w:r>
        <w:rPr>
          <w:rFonts w:hint="eastAsia"/>
          <w:color w:val="auto"/>
          <w:highlight w:val="none"/>
        </w:rPr>
        <w:t>、边料定期外售，</w:t>
      </w:r>
      <w:r>
        <w:rPr>
          <w:color w:val="auto"/>
          <w:highlight w:val="none"/>
        </w:rPr>
        <w:t>对厂区一般固废的回收情况进行监督，防止其随意倾倒，一般固废的产生和处置对周围环境不会造成很大影响。</w:t>
      </w:r>
    </w:p>
    <w:p>
      <w:pPr>
        <w:pStyle w:val="99"/>
        <w:ind w:firstLine="482"/>
        <w:rPr>
          <w:b/>
          <w:bCs/>
          <w:color w:val="auto"/>
          <w:highlight w:val="none"/>
        </w:rPr>
      </w:pPr>
      <w:r>
        <w:rPr>
          <w:b/>
          <w:bCs/>
          <w:color w:val="auto"/>
          <w:highlight w:val="none"/>
        </w:rPr>
        <w:t>2、对水体的影响分析</w:t>
      </w:r>
    </w:p>
    <w:p>
      <w:pPr>
        <w:pStyle w:val="99"/>
        <w:ind w:firstLine="480"/>
        <w:rPr>
          <w:color w:val="auto"/>
          <w:highlight w:val="none"/>
        </w:rPr>
      </w:pPr>
      <w:r>
        <w:rPr>
          <w:color w:val="auto"/>
          <w:highlight w:val="none"/>
        </w:rPr>
        <w:t>如果直接向水域倾倒固体废物，不但容易堵塞水流，减少水域面积，而且固体废物进入水体，还会影响水生生物生存和水资源的利用。固体废物任意堆放或填埋，经雨水浸淋，其渗滤液会污染土壤、地下水等。</w:t>
      </w:r>
    </w:p>
    <w:p>
      <w:pPr>
        <w:pStyle w:val="99"/>
        <w:ind w:firstLine="480"/>
        <w:rPr>
          <w:color w:val="auto"/>
          <w:highlight w:val="none"/>
        </w:rPr>
      </w:pPr>
      <w:r>
        <w:rPr>
          <w:color w:val="auto"/>
          <w:highlight w:val="none"/>
        </w:rPr>
        <w:t>拟建项目固体废物全部综合利用和安全处置不外排，生活垃圾及时由环卫部门清运，减少在厂区的存放时间，因此，对周围地表水体影响较小。</w:t>
      </w:r>
    </w:p>
    <w:p>
      <w:pPr>
        <w:pStyle w:val="99"/>
        <w:ind w:firstLine="482"/>
        <w:rPr>
          <w:b/>
          <w:bCs/>
          <w:color w:val="auto"/>
          <w:highlight w:val="none"/>
        </w:rPr>
      </w:pPr>
      <w:r>
        <w:rPr>
          <w:b/>
          <w:bCs/>
          <w:color w:val="auto"/>
          <w:highlight w:val="none"/>
        </w:rPr>
        <w:t>3、对土壤的影响分析</w:t>
      </w:r>
    </w:p>
    <w:p>
      <w:pPr>
        <w:pStyle w:val="99"/>
        <w:ind w:firstLine="480"/>
        <w:rPr>
          <w:color w:val="auto"/>
          <w:highlight w:val="none"/>
        </w:rPr>
      </w:pPr>
      <w:r>
        <w:rPr>
          <w:color w:val="auto"/>
          <w:highlight w:val="none"/>
        </w:rPr>
        <w:t>固体废物及其渗滤液进入土壤中，其中所含有的有害物质能改变土质和土壤结构，影响土壤中微生物的活动，有碍植物的生长，而且使有毒有害物质在植物机体内积蓄。拟建项目固体废物堆放场所，对地面进行硬化和防渗处理，要防风、防雨、防渗、防晒。采取以上有效的防治措施后可确保固体废物堆放不会对土壤产生影响。</w:t>
      </w:r>
    </w:p>
    <w:p>
      <w:pPr>
        <w:pStyle w:val="99"/>
        <w:ind w:firstLine="482"/>
        <w:rPr>
          <w:b/>
          <w:bCs/>
          <w:color w:val="auto"/>
          <w:highlight w:val="none"/>
        </w:rPr>
      </w:pPr>
      <w:r>
        <w:rPr>
          <w:b/>
          <w:bCs/>
          <w:color w:val="auto"/>
          <w:highlight w:val="none"/>
        </w:rPr>
        <w:t>4、对生态和人体健康的影响分析</w:t>
      </w:r>
    </w:p>
    <w:p>
      <w:pPr>
        <w:pStyle w:val="99"/>
        <w:ind w:firstLine="480"/>
        <w:rPr>
          <w:color w:val="auto"/>
          <w:highlight w:val="none"/>
        </w:rPr>
      </w:pPr>
      <w:r>
        <w:rPr>
          <w:color w:val="auto"/>
          <w:highlight w:val="none"/>
        </w:rPr>
        <w:t>固体废物乱堆乱放会占用土地，破坏地表植被，对周围景观产生不利影响。同时固体废物中所含的有毒物质和病原体，除能通过生物传播外，还会以水、大气为媒介进行传播和扩散，危害人体健康。</w:t>
      </w:r>
    </w:p>
    <w:p>
      <w:pPr>
        <w:pStyle w:val="112"/>
        <w:rPr>
          <w:color w:val="auto"/>
          <w:highlight w:val="none"/>
        </w:rPr>
      </w:pPr>
      <w:r>
        <w:rPr>
          <w:color w:val="auto"/>
          <w:highlight w:val="none"/>
        </w:rPr>
        <w:t>4.5.3.2危险废物环境影响分析</w:t>
      </w:r>
    </w:p>
    <w:p>
      <w:pPr>
        <w:pStyle w:val="99"/>
        <w:ind w:firstLine="482"/>
        <w:rPr>
          <w:b/>
          <w:bCs/>
          <w:color w:val="auto"/>
          <w:highlight w:val="none"/>
        </w:rPr>
      </w:pPr>
      <w:r>
        <w:rPr>
          <w:b/>
          <w:bCs/>
          <w:color w:val="auto"/>
          <w:highlight w:val="none"/>
        </w:rPr>
        <w:t>1、贮存场所环境影响分析</w:t>
      </w:r>
    </w:p>
    <w:p>
      <w:pPr>
        <w:pStyle w:val="99"/>
        <w:ind w:firstLine="480"/>
        <w:rPr>
          <w:color w:val="auto"/>
          <w:highlight w:val="none"/>
        </w:rPr>
      </w:pPr>
      <w:r>
        <w:rPr>
          <w:color w:val="auto"/>
          <w:highlight w:val="none"/>
        </w:rPr>
        <w:t>危险废物应贮存于厂内危废间，危废间建设应防渗、防雨、防盗，具体建设规范应满足第4.5.2.2节及《危险废物贮存污染控制标准》</w:t>
      </w:r>
      <w:r>
        <w:rPr>
          <w:rFonts w:hint="eastAsia"/>
          <w:color w:val="auto"/>
          <w:highlight w:val="none"/>
        </w:rPr>
        <w:t>(</w:t>
      </w:r>
      <w:r>
        <w:rPr>
          <w:color w:val="auto"/>
          <w:highlight w:val="none"/>
        </w:rPr>
        <w:t>GB18597-2001及其修改单</w:t>
      </w:r>
      <w:r>
        <w:rPr>
          <w:rFonts w:hint="eastAsia"/>
          <w:color w:val="auto"/>
          <w:highlight w:val="none"/>
        </w:rPr>
        <w:t>)</w:t>
      </w:r>
      <w:r>
        <w:rPr>
          <w:color w:val="auto"/>
          <w:highlight w:val="none"/>
        </w:rPr>
        <w:t>相关要求。危险废物正常贮存过程中对环境影响较小，但危险废物贮存过程中存在以下风险：</w:t>
      </w:r>
      <w:r>
        <w:rPr>
          <w:rFonts w:hint="eastAsia" w:ascii="宋体" w:hAnsi="宋体" w:cs="宋体"/>
          <w:color w:val="auto"/>
          <w:highlight w:val="none"/>
        </w:rPr>
        <w:t>①</w:t>
      </w:r>
      <w:r>
        <w:rPr>
          <w:color w:val="auto"/>
          <w:szCs w:val="24"/>
          <w:highlight w:val="none"/>
        </w:rPr>
        <w:t>包装容器破损，导致废物泄露至环境中，造成污染；</w:t>
      </w:r>
      <w:r>
        <w:rPr>
          <w:rFonts w:hint="eastAsia" w:ascii="宋体" w:hAnsi="宋体" w:cs="宋体"/>
          <w:color w:val="auto"/>
          <w:szCs w:val="24"/>
          <w:highlight w:val="none"/>
        </w:rPr>
        <w:t>②</w:t>
      </w:r>
      <w:r>
        <w:rPr>
          <w:color w:val="auto"/>
          <w:szCs w:val="24"/>
          <w:highlight w:val="none"/>
        </w:rPr>
        <w:t>危险废物厂内转移过程中出现遗撒；</w:t>
      </w:r>
      <w:r>
        <w:rPr>
          <w:rFonts w:hint="eastAsia" w:ascii="宋体" w:hAnsi="宋体" w:cs="宋体"/>
          <w:color w:val="auto"/>
          <w:szCs w:val="24"/>
          <w:highlight w:val="none"/>
        </w:rPr>
        <w:t>③</w:t>
      </w:r>
      <w:r>
        <w:rPr>
          <w:color w:val="auto"/>
          <w:szCs w:val="24"/>
          <w:highlight w:val="none"/>
        </w:rPr>
        <w:t>对危险废物理化性质不了解而将废物盛装于不适合的容器内或将不相容的废物混合在一起，导致发生危险事故或二次污染。企业应按照第4.5.2.2节相关要求对危险废物进行贮存，并制定危险废物风险事故应急预案，一旦发生危险废物泄漏等事故及时处置，将环境影响降至最低。</w:t>
      </w:r>
    </w:p>
    <w:p>
      <w:pPr>
        <w:pStyle w:val="99"/>
        <w:ind w:firstLine="482"/>
        <w:rPr>
          <w:b/>
          <w:bCs/>
          <w:color w:val="auto"/>
          <w:highlight w:val="none"/>
        </w:rPr>
      </w:pPr>
      <w:r>
        <w:rPr>
          <w:b/>
          <w:bCs/>
          <w:color w:val="auto"/>
          <w:highlight w:val="none"/>
        </w:rPr>
        <w:t>2、运输过程环境影响分析</w:t>
      </w:r>
    </w:p>
    <w:p>
      <w:pPr>
        <w:pStyle w:val="102"/>
        <w:ind w:firstLine="480"/>
        <w:rPr>
          <w:color w:val="auto"/>
          <w:highlight w:val="none"/>
        </w:rPr>
      </w:pPr>
      <w:r>
        <w:rPr>
          <w:rFonts w:eastAsia="新宋体"/>
          <w:color w:val="auto"/>
          <w:highlight w:val="none"/>
        </w:rPr>
        <w:t>危险废物正常运输过程中对周边环境影响较小，如发生事故可能对造成污染事故。危险废物运输过程存在以下风险：</w:t>
      </w:r>
      <w:r>
        <w:rPr>
          <w:rFonts w:hint="eastAsia" w:ascii="宋体" w:hAnsi="宋体" w:cs="宋体"/>
          <w:color w:val="auto"/>
          <w:highlight w:val="none"/>
        </w:rPr>
        <w:t>①</w:t>
      </w:r>
      <w:r>
        <w:rPr>
          <w:color w:val="auto"/>
          <w:highlight w:val="none"/>
        </w:rPr>
        <w:t>运输时因包装密封不严出现扬散、泄漏而使废物散落；</w:t>
      </w:r>
      <w:r>
        <w:rPr>
          <w:rFonts w:hint="eastAsia" w:ascii="宋体" w:hAnsi="宋体" w:cs="宋体"/>
          <w:color w:val="auto"/>
          <w:highlight w:val="none"/>
        </w:rPr>
        <w:t>②</w:t>
      </w:r>
      <w:r>
        <w:rPr>
          <w:color w:val="auto"/>
          <w:highlight w:val="none"/>
        </w:rPr>
        <w:t>交通事故(车祸)，车身倾翻，货箱破裂，整车的废物流失进入环境；</w:t>
      </w:r>
      <w:r>
        <w:rPr>
          <w:rFonts w:hint="eastAsia" w:ascii="宋体" w:hAnsi="宋体" w:cs="宋体"/>
          <w:color w:val="auto"/>
          <w:highlight w:val="none"/>
        </w:rPr>
        <w:t>③</w:t>
      </w:r>
      <w:r>
        <w:rPr>
          <w:color w:val="auto"/>
          <w:highlight w:val="none"/>
        </w:rPr>
        <w:t>性质不相容的废物混装或运输时自身碰撞，发生化学反应或起火，导致危险废物外泄，危及环境。本项目危废主要为含废矿物油、沾染废</w:t>
      </w:r>
      <w:r>
        <w:rPr>
          <w:rFonts w:hint="eastAsia"/>
          <w:color w:val="auto"/>
          <w:highlight w:val="none"/>
        </w:rPr>
        <w:t>染料</w:t>
      </w:r>
      <w:r>
        <w:rPr>
          <w:color w:val="auto"/>
          <w:highlight w:val="none"/>
        </w:rPr>
        <w:t>或</w:t>
      </w:r>
      <w:r>
        <w:rPr>
          <w:rFonts w:hint="eastAsia"/>
          <w:color w:val="auto"/>
          <w:highlight w:val="none"/>
        </w:rPr>
        <w:t>化学</w:t>
      </w:r>
      <w:r>
        <w:rPr>
          <w:color w:val="auto"/>
          <w:highlight w:val="none"/>
        </w:rPr>
        <w:t>品的包装</w:t>
      </w:r>
      <w:r>
        <w:rPr>
          <w:rFonts w:hint="eastAsia"/>
          <w:color w:val="auto"/>
          <w:highlight w:val="none"/>
        </w:rPr>
        <w:t>物</w:t>
      </w:r>
      <w:r>
        <w:rPr>
          <w:color w:val="auto"/>
          <w:highlight w:val="none"/>
        </w:rPr>
        <w:t>及可能含有有毒有害物质的污泥，一旦发生泄漏事故，将会对泄漏点地表水、土壤、环境空气等造成污染。危废转移运输过程应严格按照4.5.2.2节中的相关要求，由有危险货物运输资质的单位负责。</w:t>
      </w:r>
    </w:p>
    <w:p>
      <w:pPr>
        <w:pStyle w:val="99"/>
        <w:ind w:firstLine="482"/>
        <w:rPr>
          <w:b/>
          <w:bCs/>
          <w:color w:val="auto"/>
          <w:highlight w:val="none"/>
        </w:rPr>
      </w:pPr>
      <w:r>
        <w:rPr>
          <w:b/>
          <w:bCs/>
          <w:color w:val="auto"/>
          <w:highlight w:val="none"/>
        </w:rPr>
        <w:t>3、委托处置环境影响分析</w:t>
      </w:r>
    </w:p>
    <w:p>
      <w:pPr>
        <w:pStyle w:val="99"/>
        <w:ind w:firstLine="480"/>
        <w:rPr>
          <w:color w:val="auto"/>
          <w:highlight w:val="none"/>
        </w:rPr>
      </w:pPr>
      <w:r>
        <w:rPr>
          <w:color w:val="auto"/>
          <w:highlight w:val="none"/>
        </w:rPr>
        <w:t>项目产生的危废主要为</w:t>
      </w:r>
      <w:r>
        <w:rPr>
          <w:rFonts w:hint="eastAsia"/>
          <w:color w:val="auto"/>
          <w:highlight w:val="none"/>
        </w:rPr>
        <w:t>废活性炭、废催化剂、废机油及包装桶。</w:t>
      </w:r>
      <w:r>
        <w:rPr>
          <w:color w:val="auto"/>
          <w:highlight w:val="none"/>
        </w:rPr>
        <w:t>枣庄地区主要危险废物处置经营单位有山东鲁南渤瑞危险废物集中处置有限公司</w:t>
      </w:r>
      <w:r>
        <w:rPr>
          <w:rFonts w:hint="eastAsia"/>
          <w:color w:val="auto"/>
          <w:highlight w:val="none"/>
        </w:rPr>
        <w:t>(</w:t>
      </w:r>
      <w:r>
        <w:rPr>
          <w:color w:val="auto"/>
          <w:highlight w:val="none"/>
        </w:rPr>
        <w:t>鲁危证126号</w:t>
      </w:r>
      <w:r>
        <w:rPr>
          <w:rFonts w:hint="eastAsia"/>
          <w:color w:val="auto"/>
          <w:highlight w:val="none"/>
        </w:rPr>
        <w:t>)</w:t>
      </w:r>
      <w:r>
        <w:rPr>
          <w:color w:val="auto"/>
          <w:highlight w:val="none"/>
        </w:rPr>
        <w:t>、高能时代环境</w:t>
      </w:r>
      <w:r>
        <w:rPr>
          <w:rFonts w:hint="eastAsia"/>
          <w:color w:val="auto"/>
          <w:highlight w:val="none"/>
        </w:rPr>
        <w:t>(</w:t>
      </w:r>
      <w:r>
        <w:rPr>
          <w:color w:val="auto"/>
          <w:highlight w:val="none"/>
        </w:rPr>
        <w:t>滕州</w:t>
      </w:r>
      <w:r>
        <w:rPr>
          <w:rFonts w:hint="eastAsia"/>
          <w:color w:val="auto"/>
          <w:highlight w:val="none"/>
        </w:rPr>
        <w:t>)</w:t>
      </w:r>
      <w:r>
        <w:rPr>
          <w:color w:val="auto"/>
          <w:highlight w:val="none"/>
        </w:rPr>
        <w:t>环保技术有限公司</w:t>
      </w:r>
      <w:r>
        <w:rPr>
          <w:rFonts w:hint="eastAsia"/>
          <w:color w:val="auto"/>
          <w:highlight w:val="none"/>
        </w:rPr>
        <w:t>(</w:t>
      </w:r>
      <w:r>
        <w:rPr>
          <w:color w:val="auto"/>
          <w:highlight w:val="none"/>
        </w:rPr>
        <w:t>鲁危证125号</w:t>
      </w:r>
      <w:r>
        <w:rPr>
          <w:rFonts w:hint="eastAsia"/>
          <w:color w:val="auto"/>
          <w:highlight w:val="none"/>
        </w:rPr>
        <w:t>)</w:t>
      </w:r>
      <w:r>
        <w:rPr>
          <w:color w:val="auto"/>
          <w:highlight w:val="none"/>
        </w:rPr>
        <w:t>，均位于滕州市木石镇高科技化工园区，均具有处置本项目所产危废类别的能力。本项目运营后危废可委托上述两家公司处置，危废运输主要可能经过枣木高速、S345省道、S348省道、</w:t>
      </w:r>
      <w:r>
        <w:rPr>
          <w:rFonts w:hint="eastAsia"/>
          <w:color w:val="auto"/>
          <w:highlight w:val="none"/>
        </w:rPr>
        <w:t>店韩路</w:t>
      </w:r>
      <w:r>
        <w:rPr>
          <w:color w:val="auto"/>
          <w:highlight w:val="none"/>
        </w:rPr>
        <w:t>等，交通运输距离约</w:t>
      </w:r>
      <w:r>
        <w:rPr>
          <w:rFonts w:hint="eastAsia"/>
          <w:color w:val="auto"/>
          <w:highlight w:val="none"/>
        </w:rPr>
        <w:t>46km，</w:t>
      </w:r>
      <w:r>
        <w:rPr>
          <w:color w:val="auto"/>
          <w:highlight w:val="none"/>
        </w:rPr>
        <w:t>项目危废委托具有危险废物处置经营资质的单位处置后，对周围环境影响较小。</w:t>
      </w:r>
    </w:p>
    <w:p>
      <w:pPr>
        <w:pStyle w:val="101"/>
        <w:spacing w:before="78"/>
        <w:rPr>
          <w:rFonts w:ascii="Times New Roman" w:hAnsi="Times New Roman"/>
          <w:color w:val="auto"/>
          <w:highlight w:val="none"/>
        </w:rPr>
      </w:pPr>
      <w:r>
        <w:rPr>
          <w:rFonts w:ascii="Times New Roman" w:hAnsi="Times New Roman"/>
          <w:color w:val="auto"/>
          <w:highlight w:val="none"/>
        </w:rPr>
        <w:t>4.5.4小结</w:t>
      </w:r>
    </w:p>
    <w:p>
      <w:pPr>
        <w:pStyle w:val="99"/>
        <w:ind w:firstLine="480"/>
        <w:rPr>
          <w:color w:val="auto"/>
          <w:szCs w:val="24"/>
          <w:highlight w:val="none"/>
        </w:rPr>
      </w:pPr>
      <w:r>
        <w:rPr>
          <w:color w:val="auto"/>
          <w:szCs w:val="24"/>
          <w:highlight w:val="none"/>
        </w:rPr>
        <w:t>拟建项目针对固体废物的产生情况采取了合理的处置措施，固体废物的收集、贮运和转运环节也严格按照《一般工业固体废物贮存和填埋污染控制标准》(GB18599-2020)、《危险废物贮存污染控制标准》</w:t>
      </w:r>
      <w:r>
        <w:rPr>
          <w:rFonts w:hint="eastAsia"/>
          <w:color w:val="auto"/>
          <w:szCs w:val="24"/>
          <w:highlight w:val="none"/>
        </w:rPr>
        <w:t>(</w:t>
      </w:r>
      <w:r>
        <w:rPr>
          <w:color w:val="auto"/>
          <w:szCs w:val="24"/>
          <w:highlight w:val="none"/>
        </w:rPr>
        <w:t>GB18597-2001</w:t>
      </w:r>
      <w:r>
        <w:rPr>
          <w:rFonts w:hint="eastAsia"/>
          <w:color w:val="auto"/>
          <w:szCs w:val="24"/>
          <w:highlight w:val="none"/>
        </w:rPr>
        <w:t>)</w:t>
      </w:r>
      <w:r>
        <w:rPr>
          <w:color w:val="auto"/>
          <w:szCs w:val="24"/>
          <w:highlight w:val="none"/>
        </w:rPr>
        <w:t>及其修改单标准以及《危险废物收集贮存运输技术规范》</w:t>
      </w:r>
      <w:r>
        <w:rPr>
          <w:rFonts w:hint="eastAsia"/>
          <w:color w:val="auto"/>
          <w:szCs w:val="24"/>
          <w:highlight w:val="none"/>
        </w:rPr>
        <w:t>(</w:t>
      </w:r>
      <w:r>
        <w:rPr>
          <w:color w:val="auto"/>
          <w:szCs w:val="24"/>
          <w:highlight w:val="none"/>
        </w:rPr>
        <w:t>HJ2025-2012</w:t>
      </w:r>
      <w:r>
        <w:rPr>
          <w:rFonts w:hint="eastAsia"/>
          <w:color w:val="auto"/>
          <w:szCs w:val="24"/>
          <w:highlight w:val="none"/>
        </w:rPr>
        <w:t>)</w:t>
      </w:r>
      <w:r>
        <w:rPr>
          <w:color w:val="auto"/>
          <w:szCs w:val="24"/>
          <w:highlight w:val="none"/>
        </w:rPr>
        <w:t>等相关规范进行。</w:t>
      </w:r>
    </w:p>
    <w:p>
      <w:pPr>
        <w:pStyle w:val="99"/>
        <w:ind w:firstLine="480"/>
        <w:rPr>
          <w:color w:val="auto"/>
          <w:highlight w:val="none"/>
        </w:rPr>
      </w:pPr>
      <w:r>
        <w:rPr>
          <w:color w:val="auto"/>
          <w:szCs w:val="24"/>
          <w:highlight w:val="none"/>
        </w:rPr>
        <w:t>综上所述，在加强管理，并在落实好各项污染防治措施和固体废物安全处置措施的前提下，项目产生的固体废物对周围环境的影响较小。</w:t>
      </w:r>
    </w:p>
    <w:p>
      <w:pPr>
        <w:pStyle w:val="100"/>
        <w:spacing w:before="156"/>
        <w:rPr>
          <w:rFonts w:ascii="Times New Roman" w:hAnsi="Times New Roman"/>
          <w:color w:val="auto"/>
          <w:highlight w:val="none"/>
        </w:rPr>
      </w:pPr>
      <w:bookmarkStart w:id="184" w:name="_Toc18484"/>
      <w:bookmarkStart w:id="185" w:name="_Toc57804767"/>
      <w:bookmarkStart w:id="186" w:name="_Toc66281292"/>
      <w:r>
        <w:rPr>
          <w:rFonts w:ascii="Times New Roman" w:hAnsi="Times New Roman"/>
          <w:color w:val="auto"/>
          <w:highlight w:val="none"/>
        </w:rPr>
        <w:t>4.7生态环境影响评价</w:t>
      </w:r>
      <w:bookmarkEnd w:id="184"/>
      <w:bookmarkEnd w:id="185"/>
      <w:bookmarkEnd w:id="186"/>
    </w:p>
    <w:p>
      <w:pPr>
        <w:pStyle w:val="101"/>
        <w:spacing w:before="78"/>
        <w:rPr>
          <w:rFonts w:ascii="Times New Roman" w:hAnsi="Times New Roman"/>
          <w:color w:val="auto"/>
          <w:highlight w:val="none"/>
        </w:rPr>
      </w:pPr>
      <w:r>
        <w:rPr>
          <w:rFonts w:ascii="Times New Roman" w:hAnsi="Times New Roman"/>
          <w:color w:val="auto"/>
          <w:highlight w:val="none"/>
        </w:rPr>
        <w:t>4.7.1施工期生态环境影响评价</w:t>
      </w:r>
    </w:p>
    <w:p>
      <w:pPr>
        <w:pStyle w:val="99"/>
        <w:ind w:firstLine="480"/>
        <w:rPr>
          <w:color w:val="auto"/>
          <w:szCs w:val="24"/>
          <w:highlight w:val="none"/>
        </w:rPr>
      </w:pPr>
      <w:r>
        <w:rPr>
          <w:color w:val="auto"/>
          <w:szCs w:val="24"/>
          <w:highlight w:val="none"/>
        </w:rPr>
        <w:t>由于涉及施工活动的施工区域面积较大，施工活动对地表生态有一定的影响。根据类似项目的建设经验，在项目建设阶段，施工活动对场地区域生态的不利影响在生物多样性、植被覆盖率、土地利用、水土流失等多个方面均有体现。</w:t>
      </w:r>
    </w:p>
    <w:p>
      <w:pPr>
        <w:pStyle w:val="99"/>
        <w:ind w:firstLine="480"/>
        <w:rPr>
          <w:color w:val="auto"/>
          <w:szCs w:val="24"/>
          <w:highlight w:val="none"/>
        </w:rPr>
      </w:pPr>
      <w:r>
        <w:rPr>
          <w:color w:val="auto"/>
          <w:szCs w:val="24"/>
          <w:highlight w:val="none"/>
        </w:rPr>
        <w:t>本项目可能发生水土流失的施工阶段主要是拟建</w:t>
      </w:r>
      <w:r>
        <w:rPr>
          <w:rFonts w:hint="eastAsia"/>
          <w:color w:val="auto"/>
          <w:szCs w:val="24"/>
          <w:highlight w:val="none"/>
        </w:rPr>
        <w:t>项目建构筑物地基开挖</w:t>
      </w:r>
      <w:r>
        <w:rPr>
          <w:color w:val="auto"/>
          <w:szCs w:val="24"/>
          <w:highlight w:val="none"/>
        </w:rPr>
        <w:t>以及污水管道敷设过程地面开挖</w:t>
      </w:r>
      <w:r>
        <w:rPr>
          <w:rFonts w:hint="eastAsia"/>
          <w:color w:val="auto"/>
          <w:szCs w:val="24"/>
          <w:highlight w:val="none"/>
        </w:rPr>
        <w:t>阶段</w:t>
      </w:r>
      <w:r>
        <w:rPr>
          <w:color w:val="auto"/>
          <w:szCs w:val="24"/>
          <w:highlight w:val="none"/>
        </w:rPr>
        <w:t>。但结合本工程场地区域的环境生态现状，工程开工建设对施工场地区域环境生态带来的不利影响主要体现在水土流失加剧等两个方面。</w:t>
      </w:r>
    </w:p>
    <w:p>
      <w:pPr>
        <w:pStyle w:val="99"/>
        <w:ind w:firstLine="482"/>
        <w:rPr>
          <w:b/>
          <w:bCs/>
          <w:color w:val="auto"/>
          <w:szCs w:val="24"/>
          <w:highlight w:val="none"/>
        </w:rPr>
      </w:pPr>
      <w:r>
        <w:rPr>
          <w:b/>
          <w:bCs/>
          <w:color w:val="auto"/>
          <w:szCs w:val="24"/>
          <w:highlight w:val="none"/>
        </w:rPr>
        <w:t>1、对土地利用方式的影响</w:t>
      </w:r>
    </w:p>
    <w:p>
      <w:pPr>
        <w:pStyle w:val="99"/>
        <w:ind w:firstLine="480"/>
        <w:rPr>
          <w:color w:val="auto"/>
          <w:szCs w:val="24"/>
          <w:highlight w:val="none"/>
        </w:rPr>
      </w:pPr>
      <w:r>
        <w:rPr>
          <w:color w:val="auto"/>
          <w:szCs w:val="24"/>
          <w:highlight w:val="none"/>
        </w:rPr>
        <w:t>拟建项目用地</w:t>
      </w:r>
      <w:r>
        <w:rPr>
          <w:rFonts w:hint="eastAsia"/>
          <w:color w:val="auto"/>
          <w:szCs w:val="24"/>
          <w:highlight w:val="none"/>
        </w:rPr>
        <w:t>已被划为工业用地</w:t>
      </w:r>
      <w:r>
        <w:rPr>
          <w:color w:val="auto"/>
          <w:szCs w:val="24"/>
          <w:highlight w:val="none"/>
        </w:rPr>
        <w:t>，经调研，评价区内全部为人工生态系统或半人生态系统，完全自然生态系统已不存在</w:t>
      </w:r>
      <w:r>
        <w:rPr>
          <w:rFonts w:hint="eastAsia"/>
          <w:color w:val="auto"/>
          <w:szCs w:val="24"/>
          <w:highlight w:val="none"/>
        </w:rPr>
        <w:t>，本项目建设后土地利用性质未改变</w:t>
      </w:r>
      <w:r>
        <w:rPr>
          <w:color w:val="auto"/>
          <w:szCs w:val="24"/>
          <w:highlight w:val="none"/>
        </w:rPr>
        <w:t>。</w:t>
      </w:r>
    </w:p>
    <w:p>
      <w:pPr>
        <w:pStyle w:val="99"/>
        <w:ind w:firstLine="482"/>
        <w:rPr>
          <w:b/>
          <w:bCs/>
          <w:color w:val="auto"/>
          <w:szCs w:val="24"/>
          <w:highlight w:val="none"/>
        </w:rPr>
      </w:pPr>
      <w:r>
        <w:rPr>
          <w:b/>
          <w:bCs/>
          <w:color w:val="auto"/>
          <w:szCs w:val="24"/>
          <w:highlight w:val="none"/>
        </w:rPr>
        <w:t>2、对植被的破坏</w:t>
      </w:r>
    </w:p>
    <w:p>
      <w:pPr>
        <w:pStyle w:val="99"/>
        <w:ind w:firstLine="480"/>
        <w:rPr>
          <w:color w:val="auto"/>
          <w:szCs w:val="24"/>
          <w:highlight w:val="none"/>
        </w:rPr>
      </w:pPr>
      <w:r>
        <w:rPr>
          <w:color w:val="auto"/>
          <w:szCs w:val="24"/>
          <w:highlight w:val="none"/>
        </w:rPr>
        <w:t>项目用地</w:t>
      </w:r>
      <w:r>
        <w:rPr>
          <w:rFonts w:hint="eastAsia"/>
          <w:color w:val="auto"/>
          <w:szCs w:val="24"/>
          <w:highlight w:val="none"/>
        </w:rPr>
        <w:t>已被划为工业用地</w:t>
      </w:r>
      <w:r>
        <w:rPr>
          <w:color w:val="auto"/>
          <w:szCs w:val="24"/>
          <w:highlight w:val="none"/>
        </w:rPr>
        <w:t>，</w:t>
      </w:r>
      <w:r>
        <w:rPr>
          <w:rFonts w:hint="eastAsia"/>
          <w:color w:val="auto"/>
          <w:szCs w:val="24"/>
          <w:highlight w:val="none"/>
        </w:rPr>
        <w:t>目前已有闲置厂房</w:t>
      </w:r>
      <w:r>
        <w:rPr>
          <w:color w:val="auto"/>
          <w:szCs w:val="24"/>
          <w:highlight w:val="none"/>
        </w:rPr>
        <w:t>，施工期对当地植被的影响较小</w:t>
      </w:r>
      <w:r>
        <w:rPr>
          <w:rFonts w:hint="eastAsia"/>
          <w:color w:val="auto"/>
          <w:szCs w:val="24"/>
          <w:highlight w:val="none"/>
        </w:rPr>
        <w:t>。</w:t>
      </w:r>
    </w:p>
    <w:p>
      <w:pPr>
        <w:pStyle w:val="99"/>
        <w:ind w:firstLine="482"/>
        <w:rPr>
          <w:b/>
          <w:bCs/>
          <w:color w:val="auto"/>
          <w:highlight w:val="none"/>
        </w:rPr>
      </w:pPr>
      <w:r>
        <w:rPr>
          <w:b/>
          <w:bCs/>
          <w:color w:val="auto"/>
          <w:szCs w:val="24"/>
          <w:highlight w:val="none"/>
        </w:rPr>
        <w:t>3、水土流失预测</w:t>
      </w:r>
    </w:p>
    <w:p>
      <w:pPr>
        <w:pStyle w:val="99"/>
        <w:ind w:firstLine="480"/>
        <w:rPr>
          <w:color w:val="auto"/>
          <w:szCs w:val="24"/>
          <w:highlight w:val="none"/>
        </w:rPr>
      </w:pPr>
      <w:r>
        <w:rPr>
          <w:color w:val="auto"/>
          <w:szCs w:val="24"/>
          <w:highlight w:val="none"/>
        </w:rPr>
        <w:t>工程建设主要以机械化施工、工程占压、土石方开挖、弃石渣等工程，给项目所在区及周边地区地表造成破坏、扰动，土壤与基岩裸露，将不可避免引起和加剧水土流失。</w:t>
      </w:r>
    </w:p>
    <w:p>
      <w:pPr>
        <w:pStyle w:val="99"/>
        <w:ind w:firstLine="480"/>
        <w:rPr>
          <w:color w:val="auto"/>
          <w:szCs w:val="24"/>
          <w:highlight w:val="none"/>
        </w:rPr>
      </w:pPr>
      <w:r>
        <w:rPr>
          <w:color w:val="auto"/>
          <w:szCs w:val="24"/>
          <w:highlight w:val="none"/>
        </w:rPr>
        <w:t>(1)水土流失特点</w:t>
      </w:r>
    </w:p>
    <w:p>
      <w:pPr>
        <w:pStyle w:val="99"/>
        <w:ind w:firstLine="480"/>
        <w:rPr>
          <w:color w:val="auto"/>
          <w:szCs w:val="24"/>
          <w:highlight w:val="none"/>
        </w:rPr>
      </w:pPr>
      <w:r>
        <w:rPr>
          <w:color w:val="auto"/>
          <w:szCs w:val="24"/>
          <w:highlight w:val="none"/>
        </w:rPr>
        <w:t>项目区汛期降雨占全年降水的2/3左右，降雨集中，且强度较大，在未受损坏的原地表状况或因施工活动而新塑的地貌状况下，造成水土流失的主要外营力为降雨，水土流失类型为水力侵蚀，水力侵蚀的主要形式为溅蚀、面蚀和沟蚀。在春天干旱多风季节，水土流失类型主要为风蚀。</w:t>
      </w:r>
    </w:p>
    <w:p>
      <w:pPr>
        <w:pStyle w:val="99"/>
        <w:ind w:firstLine="480"/>
        <w:rPr>
          <w:color w:val="auto"/>
          <w:szCs w:val="24"/>
          <w:highlight w:val="none"/>
        </w:rPr>
      </w:pPr>
      <w:r>
        <w:rPr>
          <w:color w:val="auto"/>
          <w:szCs w:val="24"/>
          <w:highlight w:val="none"/>
        </w:rPr>
        <w:t>工业场地施工后，其地表的层将遭到彻底剥离破坏，除一小部分面积被施工建筑物遮盖外，其余绝大部分面积处于完全裸露状态，这些都可能使场区产生水土流失。</w:t>
      </w:r>
    </w:p>
    <w:p>
      <w:pPr>
        <w:pStyle w:val="99"/>
        <w:ind w:firstLine="480"/>
        <w:rPr>
          <w:color w:val="auto"/>
          <w:szCs w:val="24"/>
          <w:highlight w:val="none"/>
        </w:rPr>
      </w:pPr>
      <w:r>
        <w:rPr>
          <w:color w:val="auto"/>
          <w:szCs w:val="24"/>
          <w:highlight w:val="none"/>
        </w:rPr>
        <w:t>(2) 预测内容</w:t>
      </w:r>
    </w:p>
    <w:p>
      <w:pPr>
        <w:pStyle w:val="99"/>
        <w:ind w:firstLine="480"/>
        <w:rPr>
          <w:color w:val="auto"/>
          <w:szCs w:val="24"/>
          <w:highlight w:val="none"/>
        </w:rPr>
      </w:pPr>
      <w:r>
        <w:rPr>
          <w:rFonts w:hint="eastAsia" w:ascii="宋体" w:hAnsi="宋体" w:cs="宋体"/>
          <w:color w:val="auto"/>
          <w:szCs w:val="24"/>
          <w:highlight w:val="none"/>
        </w:rPr>
        <w:t>①</w:t>
      </w:r>
      <w:r>
        <w:rPr>
          <w:color w:val="auto"/>
          <w:szCs w:val="24"/>
          <w:highlight w:val="none"/>
        </w:rPr>
        <w:t>扰动原地貌、破坏土地和植被的面积预测</w:t>
      </w:r>
    </w:p>
    <w:p>
      <w:pPr>
        <w:pStyle w:val="99"/>
        <w:ind w:firstLine="480"/>
        <w:rPr>
          <w:color w:val="auto"/>
          <w:szCs w:val="24"/>
          <w:highlight w:val="none"/>
        </w:rPr>
      </w:pPr>
      <w:r>
        <w:rPr>
          <w:color w:val="auto"/>
          <w:szCs w:val="24"/>
          <w:highlight w:val="none"/>
        </w:rPr>
        <w:t>拟建项目土石方开挖工程量较小，目前地面基本无植物覆盖。但建设过程中扰动扰动地表，扰动地表总面积为约为</w:t>
      </w:r>
      <w:r>
        <w:rPr>
          <w:rFonts w:hint="eastAsia"/>
          <w:color w:val="auto"/>
          <w:szCs w:val="24"/>
          <w:highlight w:val="none"/>
        </w:rPr>
        <w:t>640</w:t>
      </w:r>
      <w:r>
        <w:rPr>
          <w:color w:val="auto"/>
          <w:szCs w:val="24"/>
          <w:highlight w:val="none"/>
        </w:rPr>
        <w:t>m</w:t>
      </w:r>
      <w:r>
        <w:rPr>
          <w:color w:val="auto"/>
          <w:szCs w:val="24"/>
          <w:highlight w:val="none"/>
          <w:vertAlign w:val="superscript"/>
        </w:rPr>
        <w:t>2</w:t>
      </w:r>
      <w:r>
        <w:rPr>
          <w:color w:val="auto"/>
          <w:szCs w:val="24"/>
          <w:highlight w:val="none"/>
        </w:rPr>
        <w:t>。</w:t>
      </w:r>
    </w:p>
    <w:p>
      <w:pPr>
        <w:pStyle w:val="99"/>
        <w:ind w:firstLine="480"/>
        <w:rPr>
          <w:color w:val="auto"/>
          <w:szCs w:val="24"/>
          <w:highlight w:val="none"/>
        </w:rPr>
      </w:pPr>
      <w:r>
        <w:rPr>
          <w:rFonts w:hint="eastAsia" w:ascii="宋体" w:hAnsi="宋体" w:cs="宋体"/>
          <w:color w:val="auto"/>
          <w:szCs w:val="24"/>
          <w:highlight w:val="none"/>
        </w:rPr>
        <w:t>②</w:t>
      </w:r>
      <w:r>
        <w:rPr>
          <w:color w:val="auto"/>
          <w:szCs w:val="24"/>
          <w:highlight w:val="none"/>
        </w:rPr>
        <w:t>可能造成的扰动水土侵蚀量的预测</w:t>
      </w:r>
    </w:p>
    <w:p>
      <w:pPr>
        <w:pStyle w:val="99"/>
        <w:ind w:firstLine="480"/>
        <w:rPr>
          <w:color w:val="auto"/>
          <w:szCs w:val="24"/>
          <w:highlight w:val="none"/>
        </w:rPr>
      </w:pPr>
      <w:r>
        <w:rPr>
          <w:color w:val="auto"/>
          <w:szCs w:val="24"/>
          <w:highlight w:val="none"/>
        </w:rPr>
        <w:t>工业场地施工建设过程中，形成大范围的裸露地表，使占地区域内的水土保持功能降低或丧失；同时，工程开挖破坏地表为水土流失的发生发展创造了条件，会直接影响工程的施工。另外，工程施工期改变了区域原有的排水系统，遇汛期集中性降雨或强度较大的暴雨，有可能加大土壤侵蚀，加剧水土流失，将进一步恶化周边地区的生态环境。项目区建设期大面积扰动地表土，因此可能导致大风对疏松土壤表面的吹蚀和集中降雨的冲蚀，产生水土流失。</w:t>
      </w:r>
    </w:p>
    <w:p>
      <w:pPr>
        <w:pStyle w:val="99"/>
        <w:ind w:firstLine="480"/>
        <w:rPr>
          <w:color w:val="auto"/>
          <w:szCs w:val="24"/>
          <w:highlight w:val="none"/>
        </w:rPr>
      </w:pPr>
      <w:r>
        <w:rPr>
          <w:color w:val="auto"/>
          <w:szCs w:val="24"/>
          <w:highlight w:val="none"/>
        </w:rPr>
        <w:t>施工期土壤侵蚀量预测采用经验公式计算，其公式为：m</w:t>
      </w:r>
      <w:r>
        <w:rPr>
          <w:color w:val="auto"/>
          <w:sz w:val="16"/>
          <w:szCs w:val="16"/>
          <w:highlight w:val="none"/>
        </w:rPr>
        <w:t>s</w:t>
      </w:r>
      <w:r>
        <w:rPr>
          <w:color w:val="auto"/>
          <w:szCs w:val="24"/>
          <w:highlight w:val="none"/>
        </w:rPr>
        <w:t>=F×A×P</w:t>
      </w:r>
    </w:p>
    <w:p>
      <w:pPr>
        <w:pStyle w:val="99"/>
        <w:ind w:firstLine="480"/>
        <w:rPr>
          <w:color w:val="auto"/>
          <w:highlight w:val="none"/>
        </w:rPr>
      </w:pPr>
      <w:r>
        <w:rPr>
          <w:color w:val="auto"/>
          <w:highlight w:val="none"/>
        </w:rPr>
        <w:t>式中，m</w:t>
      </w:r>
      <w:r>
        <w:rPr>
          <w:color w:val="auto"/>
          <w:sz w:val="16"/>
          <w:szCs w:val="16"/>
          <w:highlight w:val="none"/>
        </w:rPr>
        <w:t>s</w:t>
      </w:r>
      <w:r>
        <w:rPr>
          <w:color w:val="auto"/>
          <w:highlight w:val="none"/>
        </w:rPr>
        <w:t>为项目建设期的土壤侵蚀量。</w:t>
      </w:r>
    </w:p>
    <w:p>
      <w:pPr>
        <w:pStyle w:val="99"/>
        <w:ind w:firstLine="480"/>
        <w:rPr>
          <w:color w:val="auto"/>
          <w:highlight w:val="none"/>
        </w:rPr>
      </w:pPr>
      <w:r>
        <w:rPr>
          <w:color w:val="auto"/>
          <w:highlight w:val="none"/>
        </w:rPr>
        <w:t>F为加速侵蚀面积，为</w:t>
      </w:r>
      <w:r>
        <w:rPr>
          <w:rFonts w:hint="eastAsia"/>
          <w:color w:val="auto"/>
          <w:highlight w:val="none"/>
        </w:rPr>
        <w:t>640</w:t>
      </w:r>
      <w:r>
        <w:rPr>
          <w:color w:val="auto"/>
          <w:highlight w:val="none"/>
        </w:rPr>
        <w:t>m</w:t>
      </w:r>
      <w:r>
        <w:rPr>
          <w:color w:val="auto"/>
          <w:highlight w:val="none"/>
          <w:vertAlign w:val="superscript"/>
        </w:rPr>
        <w:t>2</w:t>
      </w:r>
      <w:r>
        <w:rPr>
          <w:color w:val="auto"/>
          <w:highlight w:val="none"/>
        </w:rPr>
        <w:t>；</w:t>
      </w:r>
    </w:p>
    <w:p>
      <w:pPr>
        <w:pStyle w:val="99"/>
        <w:ind w:firstLine="480"/>
        <w:rPr>
          <w:color w:val="auto"/>
          <w:szCs w:val="24"/>
          <w:highlight w:val="none"/>
        </w:rPr>
      </w:pPr>
      <w:r>
        <w:rPr>
          <w:color w:val="auto"/>
          <w:szCs w:val="24"/>
          <w:highlight w:val="none"/>
        </w:rPr>
        <w:t>A为加速侵蚀系数，根据有关研究，取值范围1.5-5.0，由于本项目施工过程中加速侵蚀系数取4.0；</w:t>
      </w:r>
    </w:p>
    <w:p>
      <w:pPr>
        <w:pStyle w:val="99"/>
        <w:ind w:firstLine="480"/>
        <w:rPr>
          <w:color w:val="auto"/>
          <w:highlight w:val="none"/>
        </w:rPr>
      </w:pPr>
      <w:r>
        <w:rPr>
          <w:color w:val="auto"/>
          <w:highlight w:val="none"/>
        </w:rPr>
        <w:t>P为原生地貌的土壤侵蚀模数，取680t/km</w:t>
      </w:r>
      <w:r>
        <w:rPr>
          <w:color w:val="auto"/>
          <w:highlight w:val="none"/>
          <w:vertAlign w:val="superscript"/>
        </w:rPr>
        <w:t>2</w:t>
      </w:r>
      <w:r>
        <w:rPr>
          <w:color w:val="auto"/>
          <w:highlight w:val="none"/>
        </w:rPr>
        <w:t>·a。</w:t>
      </w:r>
    </w:p>
    <w:p>
      <w:pPr>
        <w:pStyle w:val="99"/>
        <w:ind w:firstLine="480"/>
        <w:rPr>
          <w:color w:val="auto"/>
          <w:szCs w:val="24"/>
          <w:highlight w:val="none"/>
        </w:rPr>
      </w:pPr>
      <w:r>
        <w:rPr>
          <w:color w:val="auto"/>
          <w:szCs w:val="24"/>
          <w:highlight w:val="none"/>
        </w:rPr>
        <w:t>本项目施工期约</w:t>
      </w:r>
      <w:r>
        <w:rPr>
          <w:rFonts w:hint="eastAsia"/>
          <w:color w:val="auto"/>
          <w:szCs w:val="24"/>
          <w:highlight w:val="none"/>
        </w:rPr>
        <w:t>1</w:t>
      </w:r>
      <w:r>
        <w:rPr>
          <w:color w:val="auto"/>
          <w:szCs w:val="24"/>
          <w:highlight w:val="none"/>
        </w:rPr>
        <w:t>个月，根据上述公式和参数计算得到，项目区施工期土壤扰动侵蚀量为</w:t>
      </w:r>
      <w:r>
        <w:rPr>
          <w:rFonts w:hint="eastAsia"/>
          <w:color w:val="auto"/>
          <w:szCs w:val="24"/>
          <w:highlight w:val="none"/>
        </w:rPr>
        <w:t>1.74</w:t>
      </w:r>
      <w:r>
        <w:rPr>
          <w:color w:val="auto"/>
          <w:szCs w:val="24"/>
          <w:highlight w:val="none"/>
        </w:rPr>
        <w:t>t/a。</w:t>
      </w:r>
    </w:p>
    <w:p>
      <w:pPr>
        <w:pStyle w:val="99"/>
        <w:ind w:firstLine="480"/>
        <w:rPr>
          <w:color w:val="auto"/>
          <w:szCs w:val="24"/>
          <w:highlight w:val="none"/>
        </w:rPr>
      </w:pPr>
      <w:r>
        <w:rPr>
          <w:rFonts w:hint="eastAsia" w:ascii="宋体" w:hAnsi="宋体" w:cs="宋体"/>
          <w:color w:val="auto"/>
          <w:szCs w:val="24"/>
          <w:highlight w:val="none"/>
        </w:rPr>
        <w:t>③</w:t>
      </w:r>
      <w:r>
        <w:rPr>
          <w:color w:val="auto"/>
          <w:szCs w:val="24"/>
          <w:highlight w:val="none"/>
        </w:rPr>
        <w:t>可能造成的水土流失危害</w:t>
      </w:r>
    </w:p>
    <w:p>
      <w:pPr>
        <w:pStyle w:val="99"/>
        <w:ind w:firstLine="480"/>
        <w:rPr>
          <w:color w:val="auto"/>
          <w:szCs w:val="24"/>
          <w:highlight w:val="none"/>
        </w:rPr>
      </w:pPr>
      <w:r>
        <w:rPr>
          <w:color w:val="auto"/>
          <w:szCs w:val="24"/>
          <w:highlight w:val="none"/>
        </w:rPr>
        <w:t>●施工建设过程中，施工区域内形成大范围的裸露地表，使区域内的水土保持功能降低或丧失；同时，工程建设的再塑作用改变了原地貌类型，为水土流失的发生、发展创造了条件。</w:t>
      </w:r>
    </w:p>
    <w:p>
      <w:pPr>
        <w:pStyle w:val="99"/>
        <w:ind w:firstLine="480"/>
        <w:rPr>
          <w:color w:val="auto"/>
          <w:szCs w:val="24"/>
          <w:highlight w:val="none"/>
        </w:rPr>
      </w:pPr>
      <w:r>
        <w:rPr>
          <w:color w:val="auto"/>
          <w:szCs w:val="24"/>
          <w:highlight w:val="none"/>
        </w:rPr>
        <w:t>●工程建设将使大量的表层土剥离，若不采取水土保持措施，表层土将随地表径流被冲走，土壤中的氮、磷、钾等有效成分及有机质也随之丧失，使土壤趋于贫瘠化，为以后植被恢复造成不良影响。</w:t>
      </w:r>
    </w:p>
    <w:p>
      <w:pPr>
        <w:pStyle w:val="101"/>
        <w:spacing w:before="78"/>
        <w:rPr>
          <w:rFonts w:ascii="Times New Roman" w:hAnsi="Times New Roman"/>
          <w:color w:val="auto"/>
          <w:highlight w:val="none"/>
        </w:rPr>
      </w:pPr>
      <w:r>
        <w:rPr>
          <w:rFonts w:ascii="Times New Roman" w:hAnsi="Times New Roman"/>
          <w:color w:val="auto"/>
          <w:highlight w:val="none"/>
        </w:rPr>
        <w:t>4.7.2运营期生态环境影响评价</w:t>
      </w:r>
    </w:p>
    <w:p>
      <w:pPr>
        <w:pStyle w:val="99"/>
        <w:ind w:firstLine="480"/>
        <w:rPr>
          <w:color w:val="auto"/>
          <w:szCs w:val="24"/>
          <w:highlight w:val="none"/>
        </w:rPr>
      </w:pPr>
      <w:r>
        <w:rPr>
          <w:color w:val="auto"/>
          <w:szCs w:val="24"/>
          <w:highlight w:val="none"/>
        </w:rPr>
        <w:t>项目建设后，项目区建设过程中产生的弃土、弃渣等得到有效处置，项目区进行硬化和在场界周围、隔离带进行了绿化。通过采取各种水土保持措施，使原有水土流失状况得到基本控制，项目区范围及其周围地区的环境生态质量得到明显改善。因此，项目区建设完成后，其配套的水土保持设施也同时发挥作用。运营期对区域生态环境的影响主要表现在土地利用方式的改变、景观的变化等方面。</w:t>
      </w:r>
    </w:p>
    <w:p>
      <w:pPr>
        <w:pStyle w:val="99"/>
        <w:ind w:firstLine="482"/>
        <w:rPr>
          <w:b/>
          <w:bCs/>
          <w:color w:val="auto"/>
          <w:szCs w:val="24"/>
          <w:highlight w:val="none"/>
        </w:rPr>
      </w:pPr>
      <w:r>
        <w:rPr>
          <w:b/>
          <w:bCs/>
          <w:color w:val="auto"/>
          <w:szCs w:val="24"/>
          <w:highlight w:val="none"/>
        </w:rPr>
        <w:t>1、土地利用的变化</w:t>
      </w:r>
    </w:p>
    <w:p>
      <w:pPr>
        <w:pStyle w:val="99"/>
        <w:ind w:firstLine="480"/>
        <w:rPr>
          <w:color w:val="auto"/>
          <w:szCs w:val="24"/>
          <w:highlight w:val="none"/>
        </w:rPr>
      </w:pPr>
      <w:r>
        <w:rPr>
          <w:color w:val="auto"/>
          <w:szCs w:val="24"/>
          <w:highlight w:val="none"/>
        </w:rPr>
        <w:t>项目建成后，土地功能</w:t>
      </w:r>
      <w:r>
        <w:rPr>
          <w:rFonts w:hint="eastAsia"/>
          <w:color w:val="auto"/>
          <w:szCs w:val="24"/>
          <w:highlight w:val="none"/>
        </w:rPr>
        <w:t>未</w:t>
      </w:r>
      <w:r>
        <w:rPr>
          <w:color w:val="auto"/>
          <w:szCs w:val="24"/>
          <w:highlight w:val="none"/>
        </w:rPr>
        <w:t>发生变化</w:t>
      </w:r>
      <w:r>
        <w:rPr>
          <w:rFonts w:hint="eastAsia"/>
          <w:color w:val="auto"/>
          <w:szCs w:val="24"/>
          <w:highlight w:val="none"/>
        </w:rPr>
        <w:t>，仍为工业用地</w:t>
      </w:r>
      <w:r>
        <w:rPr>
          <w:color w:val="auto"/>
          <w:szCs w:val="24"/>
          <w:highlight w:val="none"/>
        </w:rPr>
        <w:t>。整个生产区内的土地利用类型主要分为建构筑物、绿化用地、道路等3个类型。</w:t>
      </w:r>
    </w:p>
    <w:p>
      <w:pPr>
        <w:pStyle w:val="99"/>
        <w:ind w:firstLine="482"/>
        <w:rPr>
          <w:b/>
          <w:bCs/>
          <w:color w:val="auto"/>
          <w:szCs w:val="24"/>
          <w:highlight w:val="none"/>
        </w:rPr>
      </w:pPr>
      <w:r>
        <w:rPr>
          <w:b/>
          <w:bCs/>
          <w:color w:val="auto"/>
          <w:szCs w:val="24"/>
          <w:highlight w:val="none"/>
        </w:rPr>
        <w:t>2、植被和绿化</w:t>
      </w:r>
    </w:p>
    <w:p>
      <w:pPr>
        <w:pStyle w:val="99"/>
        <w:ind w:firstLine="480"/>
        <w:rPr>
          <w:color w:val="auto"/>
          <w:szCs w:val="24"/>
          <w:highlight w:val="none"/>
        </w:rPr>
      </w:pPr>
      <w:r>
        <w:rPr>
          <w:color w:val="auto"/>
          <w:szCs w:val="24"/>
          <w:highlight w:val="none"/>
        </w:rPr>
        <w:t>项目建成后，对可绿化的区域进行绿化，需以当地的适宜树种为主，增加物种的多样性。以改善环境，美化场区。绿化要求一定的乔、灌、草的比例，在可绿化的地段种植适合生长的乔木、灌木和花草。绿化树种遵循“适地适树”的原则，使用本地适生树种为基调树种和骨干树种，丰富场区景观。项目建成后，项目区自然物种几乎消失。但人为引进一些乔、灌、草新品种。因此，物种多样性相对减少。</w:t>
      </w:r>
    </w:p>
    <w:p>
      <w:pPr>
        <w:pStyle w:val="99"/>
        <w:ind w:firstLine="482"/>
        <w:rPr>
          <w:b/>
          <w:bCs/>
          <w:color w:val="auto"/>
          <w:szCs w:val="24"/>
          <w:highlight w:val="none"/>
        </w:rPr>
      </w:pPr>
      <w:r>
        <w:rPr>
          <w:b/>
          <w:bCs/>
          <w:color w:val="auto"/>
          <w:szCs w:val="24"/>
          <w:highlight w:val="none"/>
        </w:rPr>
        <w:t>3、水土流失预测</w:t>
      </w:r>
    </w:p>
    <w:p>
      <w:pPr>
        <w:pStyle w:val="99"/>
        <w:ind w:firstLine="480"/>
        <w:rPr>
          <w:color w:val="auto"/>
          <w:szCs w:val="24"/>
          <w:highlight w:val="none"/>
        </w:rPr>
      </w:pPr>
      <w:r>
        <w:rPr>
          <w:color w:val="auto"/>
          <w:szCs w:val="24"/>
          <w:highlight w:val="none"/>
        </w:rPr>
        <w:t>项目区建设完成后，因施工破坏而影响水土流失的各种因素在各项水土保持措施实施后逐渐消失，并且随着时间的推移各项措施的水土保持功能日益得到发挥，生态环境将逐步得到恢复和改善，水土流失量逐渐减小直至达到新的稳定状态。</w:t>
      </w:r>
    </w:p>
    <w:p>
      <w:pPr>
        <w:pStyle w:val="99"/>
        <w:ind w:firstLine="480"/>
        <w:rPr>
          <w:color w:val="auto"/>
          <w:szCs w:val="24"/>
          <w:highlight w:val="none"/>
        </w:rPr>
      </w:pPr>
      <w:r>
        <w:rPr>
          <w:color w:val="auto"/>
          <w:szCs w:val="24"/>
          <w:highlight w:val="none"/>
        </w:rPr>
        <w:t>项目区由于基础建设基地设施，办公楼</w:t>
      </w:r>
      <w:r>
        <w:rPr>
          <w:rFonts w:hint="eastAsia"/>
          <w:color w:val="auto"/>
          <w:szCs w:val="24"/>
          <w:highlight w:val="none"/>
        </w:rPr>
        <w:t>、车间</w:t>
      </w:r>
      <w:r>
        <w:rPr>
          <w:color w:val="auto"/>
          <w:szCs w:val="24"/>
          <w:highlight w:val="none"/>
        </w:rPr>
        <w:t>及部分地面硬化、铺装，营运期地表土壤流失量比现状明显下降，降雨入渗量明显减少，降低了地下水的补给量，将造成水资源的浪费。</w:t>
      </w:r>
    </w:p>
    <w:p>
      <w:pPr>
        <w:pStyle w:val="99"/>
        <w:ind w:firstLine="480"/>
        <w:rPr>
          <w:color w:val="auto"/>
          <w:szCs w:val="24"/>
          <w:highlight w:val="none"/>
        </w:rPr>
      </w:pPr>
      <w:r>
        <w:rPr>
          <w:color w:val="auto"/>
          <w:szCs w:val="24"/>
          <w:highlight w:val="none"/>
        </w:rPr>
        <w:t>因此，在运营期间，必会造成一定的水土流失，但通过合理的水土保持布局及措施，且加强重点防护区的保护，可使水土流失的危害降到最低程度，使项目区及周边地区的生态环境得到有效的改善。</w:t>
      </w:r>
    </w:p>
    <w:p>
      <w:pPr>
        <w:pStyle w:val="99"/>
        <w:ind w:firstLine="482"/>
        <w:rPr>
          <w:b/>
          <w:bCs/>
          <w:color w:val="auto"/>
          <w:szCs w:val="24"/>
          <w:highlight w:val="none"/>
        </w:rPr>
      </w:pPr>
      <w:r>
        <w:rPr>
          <w:b/>
          <w:bCs/>
          <w:color w:val="auto"/>
          <w:szCs w:val="24"/>
          <w:highlight w:val="none"/>
        </w:rPr>
        <w:t>4、景观结构与功能变化</w:t>
      </w:r>
    </w:p>
    <w:p>
      <w:pPr>
        <w:pStyle w:val="99"/>
        <w:ind w:firstLine="480"/>
        <w:rPr>
          <w:color w:val="auto"/>
          <w:szCs w:val="24"/>
          <w:highlight w:val="none"/>
        </w:rPr>
      </w:pPr>
      <w:r>
        <w:rPr>
          <w:color w:val="auto"/>
          <w:szCs w:val="24"/>
          <w:highlight w:val="none"/>
        </w:rPr>
        <w:t>因项目位于</w:t>
      </w:r>
      <w:r>
        <w:rPr>
          <w:rFonts w:hint="eastAsia"/>
          <w:color w:val="auto"/>
          <w:highlight w:val="none"/>
        </w:rPr>
        <w:t>枣庄市峄城区峨山镇大官庄村西</w:t>
      </w:r>
      <w:r>
        <w:rPr>
          <w:color w:val="auto"/>
          <w:szCs w:val="24"/>
          <w:highlight w:val="none"/>
        </w:rPr>
        <w:t>，项目用地</w:t>
      </w:r>
      <w:r>
        <w:rPr>
          <w:rFonts w:hint="eastAsia"/>
          <w:color w:val="auto"/>
          <w:szCs w:val="24"/>
          <w:highlight w:val="none"/>
        </w:rPr>
        <w:t>为工业用地</w:t>
      </w:r>
      <w:r>
        <w:rPr>
          <w:color w:val="auto"/>
          <w:szCs w:val="24"/>
          <w:highlight w:val="none"/>
        </w:rPr>
        <w:t>。项目建成后，区域景观结构与功能变化较小。</w:t>
      </w:r>
    </w:p>
    <w:p>
      <w:pPr>
        <w:pStyle w:val="101"/>
        <w:spacing w:before="78"/>
        <w:rPr>
          <w:rFonts w:ascii="Times New Roman" w:hAnsi="Times New Roman"/>
          <w:color w:val="auto"/>
          <w:highlight w:val="none"/>
        </w:rPr>
      </w:pPr>
      <w:r>
        <w:rPr>
          <w:rFonts w:ascii="Times New Roman" w:hAnsi="Times New Roman"/>
          <w:color w:val="auto"/>
          <w:highlight w:val="none"/>
        </w:rPr>
        <w:t>4.7.3生态环境保护措施</w:t>
      </w:r>
    </w:p>
    <w:p>
      <w:pPr>
        <w:pStyle w:val="112"/>
        <w:rPr>
          <w:color w:val="auto"/>
          <w:highlight w:val="none"/>
        </w:rPr>
      </w:pPr>
      <w:r>
        <w:rPr>
          <w:color w:val="auto"/>
          <w:highlight w:val="none"/>
        </w:rPr>
        <w:t>4.7.3.1施工期</w:t>
      </w:r>
    </w:p>
    <w:p>
      <w:pPr>
        <w:pStyle w:val="99"/>
        <w:ind w:firstLine="480"/>
        <w:rPr>
          <w:color w:val="auto"/>
          <w:szCs w:val="24"/>
          <w:highlight w:val="none"/>
        </w:rPr>
      </w:pPr>
      <w:r>
        <w:rPr>
          <w:color w:val="auto"/>
          <w:szCs w:val="24"/>
          <w:highlight w:val="none"/>
        </w:rPr>
        <w:t>施工期，清除地表植被，使现有植被几乎消失，造成项目区生态系统的稳定性降低，影响最大的就是水土流失。在此期间，采用的主要是工程措施防治水土流失。</w:t>
      </w:r>
    </w:p>
    <w:p>
      <w:pPr>
        <w:pStyle w:val="99"/>
        <w:ind w:firstLine="480"/>
        <w:rPr>
          <w:color w:val="auto"/>
          <w:highlight w:val="none"/>
        </w:rPr>
      </w:pPr>
      <w:r>
        <w:rPr>
          <w:color w:val="auto"/>
          <w:highlight w:val="none"/>
        </w:rPr>
        <w:t>1、为了减少施工期的水土流失，建设单位应精心组织，合理安排施工计划，在暴雨季节采取合理的防护措施，并减少雨季时的施工，对施工道路的设计，土石方挖填等方案进行周密论证，优选出水土流失较少的方案。</w:t>
      </w:r>
    </w:p>
    <w:p>
      <w:pPr>
        <w:pStyle w:val="99"/>
        <w:ind w:firstLine="480"/>
        <w:rPr>
          <w:color w:val="auto"/>
          <w:szCs w:val="24"/>
          <w:highlight w:val="none"/>
        </w:rPr>
      </w:pPr>
      <w:r>
        <w:rPr>
          <w:color w:val="auto"/>
          <w:szCs w:val="24"/>
          <w:highlight w:val="none"/>
        </w:rPr>
        <w:t>2、在开挖建设中，应尽量避开雨季。为防止雨季雨水无序进入建设区造成冲刷，需在厂址周围设置排水明渠，排水明渠采用浆砌块石形式，断面为矩形，该措施也应作为施工期水保的导水主导方案。</w:t>
      </w:r>
    </w:p>
    <w:p>
      <w:pPr>
        <w:pStyle w:val="99"/>
        <w:ind w:firstLine="480"/>
        <w:rPr>
          <w:color w:val="auto"/>
          <w:szCs w:val="24"/>
          <w:highlight w:val="none"/>
        </w:rPr>
      </w:pPr>
      <w:r>
        <w:rPr>
          <w:color w:val="auto"/>
          <w:szCs w:val="24"/>
          <w:highlight w:val="none"/>
        </w:rPr>
        <w:t>3、施工期要注意防止水土流失，要尽量做到挖、填方的平衡，减少借方和弃方，开挖的土方尽量作为施工场地平整回填之用，不能在场区内长时间堆存，其堆放场地须采取防止水土流失措施，如挡土墙等。</w:t>
      </w:r>
    </w:p>
    <w:p>
      <w:pPr>
        <w:pStyle w:val="99"/>
        <w:ind w:firstLine="480"/>
        <w:rPr>
          <w:color w:val="auto"/>
          <w:szCs w:val="24"/>
          <w:highlight w:val="none"/>
        </w:rPr>
      </w:pPr>
      <w:r>
        <w:rPr>
          <w:color w:val="auto"/>
          <w:szCs w:val="24"/>
          <w:highlight w:val="none"/>
        </w:rPr>
        <w:t>4、施工中所用材料统一堆放管理，设置专门的材料场。</w:t>
      </w:r>
    </w:p>
    <w:p>
      <w:pPr>
        <w:pStyle w:val="99"/>
        <w:ind w:firstLine="480"/>
        <w:rPr>
          <w:color w:val="auto"/>
          <w:szCs w:val="24"/>
          <w:highlight w:val="none"/>
        </w:rPr>
      </w:pPr>
      <w:r>
        <w:rPr>
          <w:color w:val="auto"/>
          <w:szCs w:val="24"/>
          <w:highlight w:val="none"/>
        </w:rPr>
        <w:t>5、施工中占用的非征用地，应及时恢复原有功能，实在不能恢复的，应采取补救措施。</w:t>
      </w:r>
    </w:p>
    <w:p>
      <w:pPr>
        <w:pStyle w:val="99"/>
        <w:ind w:firstLine="480"/>
        <w:rPr>
          <w:color w:val="auto"/>
          <w:szCs w:val="24"/>
          <w:highlight w:val="none"/>
        </w:rPr>
      </w:pPr>
      <w:r>
        <w:rPr>
          <w:color w:val="auto"/>
          <w:szCs w:val="24"/>
          <w:highlight w:val="none"/>
        </w:rPr>
        <w:t>6、加强施工管理，把项目引起的难以避免的植被破坏减少到最低限度，注意对地区植被的保护，采取措施，尽力减少土壤侵蚀。</w:t>
      </w:r>
    </w:p>
    <w:p>
      <w:pPr>
        <w:pStyle w:val="112"/>
        <w:rPr>
          <w:color w:val="auto"/>
          <w:highlight w:val="none"/>
        </w:rPr>
      </w:pPr>
      <w:r>
        <w:rPr>
          <w:color w:val="auto"/>
          <w:highlight w:val="none"/>
        </w:rPr>
        <w:t>4.7.3.2运营期</w:t>
      </w:r>
    </w:p>
    <w:p>
      <w:pPr>
        <w:pStyle w:val="99"/>
        <w:ind w:firstLine="480"/>
        <w:rPr>
          <w:color w:val="auto"/>
          <w:szCs w:val="24"/>
          <w:highlight w:val="none"/>
        </w:rPr>
      </w:pPr>
      <w:r>
        <w:rPr>
          <w:color w:val="auto"/>
          <w:szCs w:val="24"/>
          <w:highlight w:val="none"/>
        </w:rPr>
        <w:t>在工程完成后，要及时进行绿化建设，在物种配置时异地要选择适合当地的树种，注意乔、灌、草的结合，既要考虑生态功能，又要考虑美观的生态价值。</w:t>
      </w:r>
    </w:p>
    <w:p>
      <w:pPr>
        <w:pStyle w:val="99"/>
        <w:ind w:firstLine="480"/>
        <w:rPr>
          <w:color w:val="auto"/>
          <w:highlight w:val="none"/>
        </w:rPr>
      </w:pPr>
      <w:r>
        <w:rPr>
          <w:color w:val="auto"/>
          <w:szCs w:val="24"/>
          <w:highlight w:val="none"/>
        </w:rPr>
        <w:t>为美化环境，在项目建成后，应植树造林，办公楼和生活区前种植观赏花草，美化环境，使厂区成为一个办公条件舒适、环境优美、善心悦目的人造景观。</w:t>
      </w:r>
    </w:p>
    <w:p>
      <w:pPr>
        <w:pStyle w:val="99"/>
        <w:ind w:firstLine="480"/>
        <w:rPr>
          <w:color w:val="auto"/>
          <w:szCs w:val="24"/>
          <w:highlight w:val="none"/>
        </w:rPr>
      </w:pPr>
      <w:r>
        <w:rPr>
          <w:color w:val="auto"/>
          <w:szCs w:val="24"/>
          <w:highlight w:val="none"/>
        </w:rPr>
        <w:t>通过增加厂区的绿化面积，包括整个厂区的美化和立体绿化，可将厂区与周围环境进行绿色隔离。</w:t>
      </w:r>
    </w:p>
    <w:p>
      <w:pPr>
        <w:pStyle w:val="112"/>
        <w:rPr>
          <w:color w:val="auto"/>
          <w:highlight w:val="none"/>
        </w:rPr>
      </w:pPr>
      <w:r>
        <w:rPr>
          <w:color w:val="auto"/>
          <w:highlight w:val="none"/>
        </w:rPr>
        <w:t>4.7.3.3水土保持措施</w:t>
      </w:r>
    </w:p>
    <w:p>
      <w:pPr>
        <w:pStyle w:val="99"/>
        <w:ind w:firstLine="480"/>
        <w:rPr>
          <w:color w:val="auto"/>
          <w:szCs w:val="24"/>
          <w:highlight w:val="none"/>
        </w:rPr>
      </w:pPr>
      <w:r>
        <w:rPr>
          <w:color w:val="auto"/>
          <w:szCs w:val="24"/>
          <w:highlight w:val="none"/>
        </w:rPr>
        <w:t>1、加强绿化，减轻雨水对厂区的冲刷。</w:t>
      </w:r>
    </w:p>
    <w:p>
      <w:pPr>
        <w:pStyle w:val="99"/>
        <w:ind w:firstLine="480"/>
        <w:rPr>
          <w:color w:val="auto"/>
          <w:highlight w:val="none"/>
        </w:rPr>
      </w:pPr>
      <w:r>
        <w:rPr>
          <w:color w:val="auto"/>
          <w:szCs w:val="24"/>
          <w:highlight w:val="none"/>
        </w:rPr>
        <w:t>2、加强厂区的管理，控制各种地表剥离，加强项目完成后对破坏植被的恢复。</w:t>
      </w:r>
    </w:p>
    <w:p>
      <w:pPr>
        <w:pStyle w:val="100"/>
        <w:spacing w:before="156"/>
        <w:rPr>
          <w:rFonts w:ascii="Times New Roman" w:hAnsi="Times New Roman"/>
          <w:color w:val="auto"/>
          <w:highlight w:val="none"/>
        </w:rPr>
      </w:pPr>
      <w:bookmarkStart w:id="187" w:name="_Toc13215"/>
      <w:bookmarkStart w:id="188" w:name="_Toc66281293"/>
      <w:r>
        <w:rPr>
          <w:rFonts w:ascii="Times New Roman" w:hAnsi="Times New Roman"/>
          <w:color w:val="auto"/>
          <w:highlight w:val="none"/>
        </w:rPr>
        <w:t>4.8施工期环境影响分析</w:t>
      </w:r>
      <w:bookmarkEnd w:id="187"/>
      <w:bookmarkEnd w:id="188"/>
    </w:p>
    <w:p>
      <w:pPr>
        <w:pStyle w:val="99"/>
        <w:ind w:firstLine="480"/>
        <w:rPr>
          <w:color w:val="auto"/>
          <w:szCs w:val="24"/>
          <w:highlight w:val="none"/>
        </w:rPr>
      </w:pPr>
      <w:r>
        <w:rPr>
          <w:color w:val="auto"/>
          <w:szCs w:val="24"/>
          <w:highlight w:val="none"/>
        </w:rPr>
        <w:t>施工期工程建设主要包括两个部分：一是建构筑物的施工建设；二是生产设备的安装。主要内容有：场地平整、地基处理、车间建设、设备安装等；在施工期间各项施工活动对周围环境的影响主要有：机械噪声、扬尘、交通、土壤植被。</w:t>
      </w:r>
    </w:p>
    <w:p>
      <w:pPr>
        <w:pStyle w:val="101"/>
        <w:spacing w:before="78"/>
        <w:rPr>
          <w:rFonts w:ascii="Times New Roman" w:hAnsi="Times New Roman"/>
          <w:color w:val="auto"/>
          <w:highlight w:val="none"/>
        </w:rPr>
      </w:pPr>
      <w:r>
        <w:rPr>
          <w:rFonts w:ascii="Times New Roman" w:hAnsi="Times New Roman"/>
          <w:color w:val="auto"/>
          <w:highlight w:val="none"/>
        </w:rPr>
        <w:t>4.8.1施工噪声环境影响分析</w:t>
      </w:r>
    </w:p>
    <w:p>
      <w:pPr>
        <w:pStyle w:val="99"/>
        <w:ind w:firstLine="480"/>
        <w:rPr>
          <w:color w:val="auto"/>
          <w:szCs w:val="24"/>
          <w:highlight w:val="none"/>
        </w:rPr>
      </w:pPr>
      <w:r>
        <w:rPr>
          <w:color w:val="auto"/>
          <w:szCs w:val="24"/>
          <w:highlight w:val="none"/>
        </w:rPr>
        <w:t>施工中一般常使用的施工机械有挖掘机、推土机、压路机、自卸机、搅拌机、吊车等，各种机械运行中的噪声水平如表4.8-1所示。</w:t>
      </w:r>
    </w:p>
    <w:p>
      <w:pPr>
        <w:pStyle w:val="103"/>
        <w:rPr>
          <w:rFonts w:ascii="Times New Roman" w:hAnsi="Times New Roman"/>
          <w:color w:val="auto"/>
          <w:highlight w:val="none"/>
        </w:rPr>
      </w:pPr>
      <w:r>
        <w:rPr>
          <w:rFonts w:ascii="Times New Roman" w:hAnsi="Times New Roman"/>
          <w:color w:val="auto"/>
          <w:highlight w:val="none"/>
        </w:rPr>
        <w:t>表4.8-1  建筑施工过程主要施工机械噪声声压级表（单位：dB(A)）</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108" w:type="dxa"/>
          <w:bottom w:w="28" w:type="dxa"/>
          <w:right w:w="108" w:type="dxa"/>
        </w:tblCellMar>
      </w:tblPr>
      <w:tblGrid>
        <w:gridCol w:w="1100"/>
        <w:gridCol w:w="1900"/>
        <w:gridCol w:w="1500"/>
        <w:gridCol w:w="1136"/>
        <w:gridCol w:w="1866"/>
        <w:gridCol w:w="15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611" w:type="pct"/>
            <w:vAlign w:val="center"/>
          </w:tcPr>
          <w:p>
            <w:pPr>
              <w:widowControl/>
              <w:spacing w:line="280" w:lineRule="exact"/>
              <w:jc w:val="center"/>
              <w:rPr>
                <w:color w:val="auto"/>
                <w:highlight w:val="none"/>
              </w:rPr>
            </w:pPr>
            <w:r>
              <w:rPr>
                <w:color w:val="auto"/>
                <w:highlight w:val="none"/>
              </w:rPr>
              <w:t>序号</w:t>
            </w:r>
          </w:p>
        </w:tc>
        <w:tc>
          <w:tcPr>
            <w:tcW w:w="1055" w:type="pct"/>
            <w:vAlign w:val="center"/>
          </w:tcPr>
          <w:p>
            <w:pPr>
              <w:widowControl/>
              <w:spacing w:line="280" w:lineRule="exact"/>
              <w:jc w:val="center"/>
              <w:rPr>
                <w:color w:val="auto"/>
                <w:highlight w:val="none"/>
              </w:rPr>
            </w:pPr>
            <w:r>
              <w:rPr>
                <w:color w:val="auto"/>
                <w:highlight w:val="none"/>
              </w:rPr>
              <w:t>机械名称</w:t>
            </w:r>
          </w:p>
        </w:tc>
        <w:tc>
          <w:tcPr>
            <w:tcW w:w="833" w:type="pct"/>
            <w:vAlign w:val="center"/>
          </w:tcPr>
          <w:p>
            <w:pPr>
              <w:widowControl/>
              <w:spacing w:line="280" w:lineRule="exact"/>
              <w:jc w:val="center"/>
              <w:rPr>
                <w:color w:val="auto"/>
                <w:highlight w:val="none"/>
              </w:rPr>
            </w:pPr>
            <w:r>
              <w:rPr>
                <w:color w:val="auto"/>
                <w:highlight w:val="none"/>
              </w:rPr>
              <w:t>噪声级</w:t>
            </w:r>
          </w:p>
        </w:tc>
        <w:tc>
          <w:tcPr>
            <w:tcW w:w="631" w:type="pct"/>
            <w:vAlign w:val="center"/>
          </w:tcPr>
          <w:p>
            <w:pPr>
              <w:widowControl/>
              <w:spacing w:line="280" w:lineRule="exact"/>
              <w:jc w:val="center"/>
              <w:rPr>
                <w:color w:val="auto"/>
                <w:highlight w:val="none"/>
              </w:rPr>
            </w:pPr>
            <w:r>
              <w:rPr>
                <w:color w:val="auto"/>
                <w:highlight w:val="none"/>
              </w:rPr>
              <w:t>序号</w:t>
            </w:r>
          </w:p>
        </w:tc>
        <w:tc>
          <w:tcPr>
            <w:tcW w:w="1036" w:type="pct"/>
            <w:vAlign w:val="center"/>
          </w:tcPr>
          <w:p>
            <w:pPr>
              <w:widowControl/>
              <w:spacing w:line="280" w:lineRule="exact"/>
              <w:jc w:val="center"/>
              <w:rPr>
                <w:color w:val="auto"/>
                <w:highlight w:val="none"/>
              </w:rPr>
            </w:pPr>
            <w:r>
              <w:rPr>
                <w:color w:val="auto"/>
                <w:highlight w:val="none"/>
              </w:rPr>
              <w:t>机械名称</w:t>
            </w:r>
          </w:p>
        </w:tc>
        <w:tc>
          <w:tcPr>
            <w:tcW w:w="833" w:type="pct"/>
            <w:vAlign w:val="center"/>
          </w:tcPr>
          <w:p>
            <w:pPr>
              <w:widowControl/>
              <w:spacing w:line="280" w:lineRule="exact"/>
              <w:jc w:val="center"/>
              <w:rPr>
                <w:color w:val="auto"/>
                <w:highlight w:val="none"/>
              </w:rPr>
            </w:pPr>
            <w:r>
              <w:rPr>
                <w:color w:val="auto"/>
                <w:highlight w:val="none"/>
              </w:rPr>
              <w:t>噪声级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611" w:type="pct"/>
            <w:vAlign w:val="center"/>
          </w:tcPr>
          <w:p>
            <w:pPr>
              <w:widowControl/>
              <w:spacing w:line="280" w:lineRule="exact"/>
              <w:jc w:val="center"/>
              <w:rPr>
                <w:color w:val="auto"/>
                <w:highlight w:val="none"/>
              </w:rPr>
            </w:pPr>
            <w:r>
              <w:rPr>
                <w:color w:val="auto"/>
                <w:highlight w:val="none"/>
              </w:rPr>
              <w:t>1</w:t>
            </w:r>
          </w:p>
        </w:tc>
        <w:tc>
          <w:tcPr>
            <w:tcW w:w="1055" w:type="pct"/>
            <w:vAlign w:val="center"/>
          </w:tcPr>
          <w:p>
            <w:pPr>
              <w:widowControl/>
              <w:spacing w:line="280" w:lineRule="exact"/>
              <w:jc w:val="center"/>
              <w:rPr>
                <w:color w:val="auto"/>
                <w:highlight w:val="none"/>
              </w:rPr>
            </w:pPr>
            <w:r>
              <w:rPr>
                <w:color w:val="auto"/>
                <w:highlight w:val="none"/>
              </w:rPr>
              <w:t>推土机</w:t>
            </w:r>
          </w:p>
        </w:tc>
        <w:tc>
          <w:tcPr>
            <w:tcW w:w="833" w:type="pct"/>
            <w:vAlign w:val="center"/>
          </w:tcPr>
          <w:p>
            <w:pPr>
              <w:widowControl/>
              <w:spacing w:line="280" w:lineRule="exact"/>
              <w:jc w:val="center"/>
              <w:rPr>
                <w:color w:val="auto"/>
                <w:highlight w:val="none"/>
              </w:rPr>
            </w:pPr>
            <w:r>
              <w:rPr>
                <w:color w:val="auto"/>
                <w:highlight w:val="none"/>
              </w:rPr>
              <w:t>78~96</w:t>
            </w:r>
          </w:p>
        </w:tc>
        <w:tc>
          <w:tcPr>
            <w:tcW w:w="631" w:type="pct"/>
            <w:vAlign w:val="center"/>
          </w:tcPr>
          <w:p>
            <w:pPr>
              <w:widowControl/>
              <w:spacing w:line="280" w:lineRule="exact"/>
              <w:jc w:val="center"/>
              <w:rPr>
                <w:color w:val="auto"/>
                <w:highlight w:val="none"/>
              </w:rPr>
            </w:pPr>
            <w:r>
              <w:rPr>
                <w:color w:val="auto"/>
                <w:highlight w:val="none"/>
              </w:rPr>
              <w:t>6</w:t>
            </w:r>
          </w:p>
        </w:tc>
        <w:tc>
          <w:tcPr>
            <w:tcW w:w="1036" w:type="pct"/>
            <w:vAlign w:val="center"/>
          </w:tcPr>
          <w:p>
            <w:pPr>
              <w:widowControl/>
              <w:spacing w:line="280" w:lineRule="exact"/>
              <w:jc w:val="center"/>
              <w:rPr>
                <w:color w:val="auto"/>
                <w:highlight w:val="none"/>
              </w:rPr>
            </w:pPr>
            <w:r>
              <w:rPr>
                <w:color w:val="auto"/>
                <w:highlight w:val="none"/>
              </w:rPr>
              <w:t>挖土机</w:t>
            </w:r>
          </w:p>
        </w:tc>
        <w:tc>
          <w:tcPr>
            <w:tcW w:w="833" w:type="pct"/>
            <w:vAlign w:val="center"/>
          </w:tcPr>
          <w:p>
            <w:pPr>
              <w:widowControl/>
              <w:spacing w:line="280" w:lineRule="exact"/>
              <w:jc w:val="center"/>
              <w:rPr>
                <w:color w:val="auto"/>
                <w:highlight w:val="none"/>
              </w:rPr>
            </w:pPr>
            <w:r>
              <w:rPr>
                <w:color w:val="auto"/>
                <w:highlight w:val="none"/>
              </w:rPr>
              <w:t>80~93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611" w:type="pct"/>
            <w:vAlign w:val="center"/>
          </w:tcPr>
          <w:p>
            <w:pPr>
              <w:widowControl/>
              <w:spacing w:line="280" w:lineRule="exact"/>
              <w:jc w:val="center"/>
              <w:rPr>
                <w:color w:val="auto"/>
                <w:highlight w:val="none"/>
              </w:rPr>
            </w:pPr>
            <w:r>
              <w:rPr>
                <w:color w:val="auto"/>
                <w:highlight w:val="none"/>
              </w:rPr>
              <w:t>2</w:t>
            </w:r>
          </w:p>
        </w:tc>
        <w:tc>
          <w:tcPr>
            <w:tcW w:w="1055" w:type="pct"/>
            <w:vAlign w:val="center"/>
          </w:tcPr>
          <w:p>
            <w:pPr>
              <w:widowControl/>
              <w:spacing w:line="280" w:lineRule="exact"/>
              <w:jc w:val="center"/>
              <w:rPr>
                <w:color w:val="auto"/>
                <w:highlight w:val="none"/>
              </w:rPr>
            </w:pPr>
            <w:r>
              <w:rPr>
                <w:color w:val="auto"/>
                <w:highlight w:val="none"/>
              </w:rPr>
              <w:t>搅拌机</w:t>
            </w:r>
          </w:p>
        </w:tc>
        <w:tc>
          <w:tcPr>
            <w:tcW w:w="833" w:type="pct"/>
            <w:vAlign w:val="center"/>
          </w:tcPr>
          <w:p>
            <w:pPr>
              <w:widowControl/>
              <w:spacing w:line="280" w:lineRule="exact"/>
              <w:jc w:val="center"/>
              <w:rPr>
                <w:color w:val="auto"/>
                <w:highlight w:val="none"/>
              </w:rPr>
            </w:pPr>
            <w:r>
              <w:rPr>
                <w:color w:val="auto"/>
                <w:highlight w:val="none"/>
              </w:rPr>
              <w:t>75~88</w:t>
            </w:r>
          </w:p>
        </w:tc>
        <w:tc>
          <w:tcPr>
            <w:tcW w:w="631" w:type="pct"/>
            <w:vAlign w:val="center"/>
          </w:tcPr>
          <w:p>
            <w:pPr>
              <w:widowControl/>
              <w:spacing w:line="280" w:lineRule="exact"/>
              <w:jc w:val="center"/>
              <w:rPr>
                <w:color w:val="auto"/>
                <w:highlight w:val="none"/>
              </w:rPr>
            </w:pPr>
            <w:r>
              <w:rPr>
                <w:color w:val="auto"/>
                <w:highlight w:val="none"/>
              </w:rPr>
              <w:t>7</w:t>
            </w:r>
          </w:p>
        </w:tc>
        <w:tc>
          <w:tcPr>
            <w:tcW w:w="1036" w:type="pct"/>
            <w:vAlign w:val="center"/>
          </w:tcPr>
          <w:p>
            <w:pPr>
              <w:widowControl/>
              <w:spacing w:line="280" w:lineRule="exact"/>
              <w:jc w:val="center"/>
              <w:rPr>
                <w:color w:val="auto"/>
                <w:highlight w:val="none"/>
              </w:rPr>
            </w:pPr>
            <w:r>
              <w:rPr>
                <w:color w:val="auto"/>
                <w:highlight w:val="none"/>
              </w:rPr>
              <w:t>运土卡车</w:t>
            </w:r>
          </w:p>
        </w:tc>
        <w:tc>
          <w:tcPr>
            <w:tcW w:w="833" w:type="pct"/>
            <w:vAlign w:val="center"/>
          </w:tcPr>
          <w:p>
            <w:pPr>
              <w:widowControl/>
              <w:spacing w:line="280" w:lineRule="exact"/>
              <w:jc w:val="center"/>
              <w:rPr>
                <w:color w:val="auto"/>
                <w:highlight w:val="none"/>
              </w:rPr>
            </w:pPr>
            <w:r>
              <w:rPr>
                <w:color w:val="auto"/>
                <w:highlight w:val="none"/>
              </w:rPr>
              <w:t>85~94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611" w:type="pct"/>
            <w:vAlign w:val="center"/>
          </w:tcPr>
          <w:p>
            <w:pPr>
              <w:widowControl/>
              <w:spacing w:line="280" w:lineRule="exact"/>
              <w:jc w:val="center"/>
              <w:rPr>
                <w:color w:val="auto"/>
                <w:highlight w:val="none"/>
              </w:rPr>
            </w:pPr>
            <w:r>
              <w:rPr>
                <w:color w:val="auto"/>
                <w:highlight w:val="none"/>
              </w:rPr>
              <w:t>3</w:t>
            </w:r>
          </w:p>
        </w:tc>
        <w:tc>
          <w:tcPr>
            <w:tcW w:w="1055" w:type="pct"/>
            <w:vAlign w:val="center"/>
          </w:tcPr>
          <w:p>
            <w:pPr>
              <w:widowControl/>
              <w:spacing w:line="280" w:lineRule="exact"/>
              <w:jc w:val="center"/>
              <w:rPr>
                <w:color w:val="auto"/>
                <w:highlight w:val="none"/>
              </w:rPr>
            </w:pPr>
            <w:r>
              <w:rPr>
                <w:color w:val="auto"/>
                <w:highlight w:val="none"/>
              </w:rPr>
              <w:t>气锤、风钻</w:t>
            </w:r>
          </w:p>
        </w:tc>
        <w:tc>
          <w:tcPr>
            <w:tcW w:w="833" w:type="pct"/>
            <w:vAlign w:val="center"/>
          </w:tcPr>
          <w:p>
            <w:pPr>
              <w:widowControl/>
              <w:spacing w:line="280" w:lineRule="exact"/>
              <w:jc w:val="center"/>
              <w:rPr>
                <w:color w:val="auto"/>
                <w:highlight w:val="none"/>
              </w:rPr>
            </w:pPr>
            <w:r>
              <w:rPr>
                <w:color w:val="auto"/>
                <w:highlight w:val="none"/>
              </w:rPr>
              <w:t>82~98</w:t>
            </w:r>
          </w:p>
        </w:tc>
        <w:tc>
          <w:tcPr>
            <w:tcW w:w="631" w:type="pct"/>
            <w:vAlign w:val="center"/>
          </w:tcPr>
          <w:p>
            <w:pPr>
              <w:widowControl/>
              <w:spacing w:line="280" w:lineRule="exact"/>
              <w:jc w:val="center"/>
              <w:rPr>
                <w:color w:val="auto"/>
                <w:highlight w:val="none"/>
              </w:rPr>
            </w:pPr>
            <w:r>
              <w:rPr>
                <w:color w:val="auto"/>
                <w:highlight w:val="none"/>
              </w:rPr>
              <w:t>8</w:t>
            </w:r>
          </w:p>
        </w:tc>
        <w:tc>
          <w:tcPr>
            <w:tcW w:w="1036" w:type="pct"/>
            <w:vAlign w:val="center"/>
          </w:tcPr>
          <w:p>
            <w:pPr>
              <w:widowControl/>
              <w:spacing w:line="280" w:lineRule="exact"/>
              <w:jc w:val="center"/>
              <w:rPr>
                <w:color w:val="auto"/>
                <w:highlight w:val="none"/>
              </w:rPr>
            </w:pPr>
            <w:r>
              <w:rPr>
                <w:color w:val="auto"/>
                <w:highlight w:val="none"/>
              </w:rPr>
              <w:t>空压机</w:t>
            </w:r>
          </w:p>
        </w:tc>
        <w:tc>
          <w:tcPr>
            <w:tcW w:w="833" w:type="pct"/>
            <w:vAlign w:val="center"/>
          </w:tcPr>
          <w:p>
            <w:pPr>
              <w:widowControl/>
              <w:spacing w:line="280" w:lineRule="exact"/>
              <w:jc w:val="center"/>
              <w:rPr>
                <w:color w:val="auto"/>
                <w:highlight w:val="none"/>
              </w:rPr>
            </w:pPr>
            <w:r>
              <w:rPr>
                <w:color w:val="auto"/>
                <w:highlight w:val="none"/>
              </w:rPr>
              <w:t>75~88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611" w:type="pct"/>
            <w:vAlign w:val="center"/>
          </w:tcPr>
          <w:p>
            <w:pPr>
              <w:widowControl/>
              <w:spacing w:line="280" w:lineRule="exact"/>
              <w:jc w:val="center"/>
              <w:rPr>
                <w:color w:val="auto"/>
                <w:highlight w:val="none"/>
              </w:rPr>
            </w:pPr>
            <w:r>
              <w:rPr>
                <w:color w:val="auto"/>
                <w:highlight w:val="none"/>
              </w:rPr>
              <w:t>4</w:t>
            </w:r>
          </w:p>
        </w:tc>
        <w:tc>
          <w:tcPr>
            <w:tcW w:w="1055" w:type="pct"/>
            <w:vAlign w:val="center"/>
          </w:tcPr>
          <w:p>
            <w:pPr>
              <w:widowControl/>
              <w:spacing w:line="280" w:lineRule="exact"/>
              <w:jc w:val="center"/>
              <w:rPr>
                <w:color w:val="auto"/>
                <w:highlight w:val="none"/>
              </w:rPr>
            </w:pPr>
            <w:r>
              <w:rPr>
                <w:color w:val="auto"/>
                <w:highlight w:val="none"/>
              </w:rPr>
              <w:t>混凝土破碎机</w:t>
            </w:r>
          </w:p>
        </w:tc>
        <w:tc>
          <w:tcPr>
            <w:tcW w:w="833" w:type="pct"/>
            <w:vAlign w:val="center"/>
          </w:tcPr>
          <w:p>
            <w:pPr>
              <w:widowControl/>
              <w:spacing w:line="280" w:lineRule="exact"/>
              <w:jc w:val="center"/>
              <w:rPr>
                <w:color w:val="auto"/>
                <w:highlight w:val="none"/>
              </w:rPr>
            </w:pPr>
            <w:r>
              <w:rPr>
                <w:color w:val="auto"/>
                <w:highlight w:val="none"/>
              </w:rPr>
              <w:t>85</w:t>
            </w:r>
          </w:p>
        </w:tc>
        <w:tc>
          <w:tcPr>
            <w:tcW w:w="631" w:type="pct"/>
            <w:vAlign w:val="center"/>
          </w:tcPr>
          <w:p>
            <w:pPr>
              <w:widowControl/>
              <w:spacing w:line="280" w:lineRule="exact"/>
              <w:jc w:val="center"/>
              <w:rPr>
                <w:color w:val="auto"/>
                <w:highlight w:val="none"/>
              </w:rPr>
            </w:pPr>
            <w:r>
              <w:rPr>
                <w:color w:val="auto"/>
                <w:highlight w:val="none"/>
              </w:rPr>
              <w:t>9</w:t>
            </w:r>
          </w:p>
        </w:tc>
        <w:tc>
          <w:tcPr>
            <w:tcW w:w="1036" w:type="pct"/>
            <w:vAlign w:val="center"/>
          </w:tcPr>
          <w:p>
            <w:pPr>
              <w:widowControl/>
              <w:spacing w:line="280" w:lineRule="exact"/>
              <w:jc w:val="center"/>
              <w:rPr>
                <w:color w:val="auto"/>
                <w:highlight w:val="none"/>
              </w:rPr>
            </w:pPr>
            <w:r>
              <w:rPr>
                <w:color w:val="auto"/>
                <w:highlight w:val="none"/>
              </w:rPr>
              <w:t>钻机</w:t>
            </w:r>
          </w:p>
        </w:tc>
        <w:tc>
          <w:tcPr>
            <w:tcW w:w="833" w:type="pct"/>
            <w:vAlign w:val="center"/>
          </w:tcPr>
          <w:p>
            <w:pPr>
              <w:widowControl/>
              <w:spacing w:line="280" w:lineRule="exact"/>
              <w:jc w:val="center"/>
              <w:rPr>
                <w:color w:val="auto"/>
                <w:highlight w:val="none"/>
              </w:rPr>
            </w:pPr>
            <w:r>
              <w:rPr>
                <w:color w:val="auto"/>
                <w:highlight w:val="none"/>
              </w:rPr>
              <w:t>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611" w:type="pct"/>
            <w:vAlign w:val="center"/>
          </w:tcPr>
          <w:p>
            <w:pPr>
              <w:widowControl/>
              <w:spacing w:line="280" w:lineRule="exact"/>
              <w:jc w:val="center"/>
              <w:rPr>
                <w:color w:val="auto"/>
                <w:highlight w:val="none"/>
              </w:rPr>
            </w:pPr>
            <w:r>
              <w:rPr>
                <w:color w:val="auto"/>
                <w:highlight w:val="none"/>
              </w:rPr>
              <w:t>5</w:t>
            </w:r>
          </w:p>
        </w:tc>
        <w:tc>
          <w:tcPr>
            <w:tcW w:w="1055" w:type="pct"/>
            <w:vAlign w:val="center"/>
          </w:tcPr>
          <w:p>
            <w:pPr>
              <w:widowControl/>
              <w:spacing w:line="280" w:lineRule="exact"/>
              <w:jc w:val="center"/>
              <w:rPr>
                <w:color w:val="auto"/>
                <w:highlight w:val="none"/>
              </w:rPr>
            </w:pPr>
            <w:r>
              <w:rPr>
                <w:color w:val="auto"/>
                <w:highlight w:val="none"/>
              </w:rPr>
              <w:t>卷扬机</w:t>
            </w:r>
          </w:p>
        </w:tc>
        <w:tc>
          <w:tcPr>
            <w:tcW w:w="833" w:type="pct"/>
            <w:vAlign w:val="center"/>
          </w:tcPr>
          <w:p>
            <w:pPr>
              <w:widowControl/>
              <w:spacing w:line="280" w:lineRule="exact"/>
              <w:jc w:val="center"/>
              <w:rPr>
                <w:color w:val="auto"/>
                <w:highlight w:val="none"/>
              </w:rPr>
            </w:pPr>
            <w:r>
              <w:rPr>
                <w:color w:val="auto"/>
                <w:highlight w:val="none"/>
              </w:rPr>
              <w:t>75~88</w:t>
            </w:r>
          </w:p>
        </w:tc>
        <w:tc>
          <w:tcPr>
            <w:tcW w:w="631" w:type="pct"/>
            <w:vAlign w:val="center"/>
          </w:tcPr>
          <w:p>
            <w:pPr>
              <w:widowControl/>
              <w:spacing w:line="280" w:lineRule="exact"/>
              <w:jc w:val="center"/>
              <w:rPr>
                <w:color w:val="auto"/>
                <w:highlight w:val="none"/>
              </w:rPr>
            </w:pPr>
          </w:p>
        </w:tc>
        <w:tc>
          <w:tcPr>
            <w:tcW w:w="1036" w:type="pct"/>
            <w:vAlign w:val="center"/>
          </w:tcPr>
          <w:p>
            <w:pPr>
              <w:widowControl/>
              <w:spacing w:line="280" w:lineRule="exact"/>
              <w:jc w:val="center"/>
              <w:rPr>
                <w:color w:val="auto"/>
                <w:highlight w:val="none"/>
              </w:rPr>
            </w:pPr>
          </w:p>
        </w:tc>
        <w:tc>
          <w:tcPr>
            <w:tcW w:w="833" w:type="pct"/>
            <w:vAlign w:val="center"/>
          </w:tcPr>
          <w:p>
            <w:pPr>
              <w:widowControl/>
              <w:spacing w:line="280" w:lineRule="exact"/>
              <w:jc w:val="center"/>
              <w:rPr>
                <w:color w:val="auto"/>
                <w:highlight w:val="none"/>
              </w:rPr>
            </w:pPr>
          </w:p>
        </w:tc>
      </w:tr>
    </w:tbl>
    <w:p>
      <w:pPr>
        <w:pStyle w:val="99"/>
        <w:ind w:firstLine="480"/>
        <w:rPr>
          <w:color w:val="auto"/>
          <w:szCs w:val="24"/>
          <w:highlight w:val="none"/>
        </w:rPr>
      </w:pPr>
      <w:r>
        <w:rPr>
          <w:color w:val="auto"/>
          <w:szCs w:val="24"/>
          <w:highlight w:val="none"/>
        </w:rPr>
        <w:t>各种机械运行中的噪声影响范围预测见表4.8-2。</w:t>
      </w:r>
    </w:p>
    <w:p>
      <w:pPr>
        <w:pStyle w:val="103"/>
        <w:rPr>
          <w:rFonts w:ascii="Times New Roman" w:hAnsi="Times New Roman"/>
          <w:color w:val="auto"/>
          <w:highlight w:val="none"/>
        </w:rPr>
      </w:pPr>
    </w:p>
    <w:p>
      <w:pPr>
        <w:pStyle w:val="103"/>
        <w:rPr>
          <w:rFonts w:ascii="Times New Roman" w:hAnsi="Times New Roman"/>
          <w:color w:val="auto"/>
          <w:highlight w:val="none"/>
        </w:rPr>
      </w:pPr>
      <w:r>
        <w:rPr>
          <w:rFonts w:ascii="Times New Roman" w:hAnsi="Times New Roman"/>
          <w:color w:val="auto"/>
          <w:highlight w:val="none"/>
        </w:rPr>
        <w:t>表4.8-2  主要施工机械影响范围预测表（单位：dB(A)）</w:t>
      </w:r>
    </w:p>
    <w:tbl>
      <w:tblPr>
        <w:tblStyle w:val="59"/>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15"/>
        <w:gridCol w:w="1361"/>
        <w:gridCol w:w="1476"/>
        <w:gridCol w:w="808"/>
        <w:gridCol w:w="729"/>
        <w:gridCol w:w="684"/>
        <w:gridCol w:w="722"/>
        <w:gridCol w:w="803"/>
        <w:gridCol w:w="897"/>
        <w:gridCol w:w="80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blHeader/>
        </w:trPr>
        <w:tc>
          <w:tcPr>
            <w:tcW w:w="397" w:type="pct"/>
            <w:vMerge w:val="restart"/>
            <w:shd w:val="clear" w:color="auto" w:fill="auto"/>
            <w:vAlign w:val="center"/>
          </w:tcPr>
          <w:p>
            <w:pPr>
              <w:spacing w:line="240" w:lineRule="exact"/>
              <w:jc w:val="center"/>
              <w:rPr>
                <w:color w:val="auto"/>
                <w:kern w:val="0"/>
                <w:szCs w:val="21"/>
                <w:highlight w:val="none"/>
              </w:rPr>
            </w:pPr>
            <w:r>
              <w:rPr>
                <w:color w:val="auto"/>
                <w:kern w:val="0"/>
                <w:szCs w:val="21"/>
                <w:highlight w:val="none"/>
              </w:rPr>
              <w:t>序号</w:t>
            </w:r>
          </w:p>
        </w:tc>
        <w:tc>
          <w:tcPr>
            <w:tcW w:w="756" w:type="pct"/>
            <w:vMerge w:val="restart"/>
            <w:shd w:val="clear" w:color="auto" w:fill="auto"/>
            <w:vAlign w:val="center"/>
          </w:tcPr>
          <w:p>
            <w:pPr>
              <w:spacing w:line="240" w:lineRule="exact"/>
              <w:jc w:val="center"/>
              <w:rPr>
                <w:color w:val="auto"/>
                <w:kern w:val="0"/>
                <w:szCs w:val="21"/>
                <w:highlight w:val="none"/>
              </w:rPr>
            </w:pPr>
            <w:r>
              <w:rPr>
                <w:color w:val="auto"/>
                <w:kern w:val="0"/>
                <w:szCs w:val="21"/>
                <w:highlight w:val="none"/>
              </w:rPr>
              <w:t>机械名称</w:t>
            </w:r>
          </w:p>
        </w:tc>
        <w:tc>
          <w:tcPr>
            <w:tcW w:w="820" w:type="pct"/>
            <w:vMerge w:val="restart"/>
            <w:shd w:val="clear" w:color="auto" w:fill="auto"/>
            <w:vAlign w:val="center"/>
          </w:tcPr>
          <w:p>
            <w:pPr>
              <w:spacing w:line="240" w:lineRule="exact"/>
              <w:jc w:val="center"/>
              <w:rPr>
                <w:color w:val="auto"/>
                <w:kern w:val="0"/>
                <w:szCs w:val="21"/>
                <w:highlight w:val="none"/>
              </w:rPr>
            </w:pPr>
            <w:r>
              <w:rPr>
                <w:color w:val="auto"/>
                <w:kern w:val="0"/>
                <w:szCs w:val="21"/>
                <w:highlight w:val="none"/>
              </w:rPr>
              <w:t>噪声源强</w:t>
            </w:r>
          </w:p>
        </w:tc>
        <w:tc>
          <w:tcPr>
            <w:tcW w:w="3027" w:type="pct"/>
            <w:gridSpan w:val="7"/>
            <w:tcBorders>
              <w:right w:val="nil"/>
            </w:tcBorders>
            <w:shd w:val="clear" w:color="auto" w:fill="auto"/>
            <w:vAlign w:val="center"/>
          </w:tcPr>
          <w:p>
            <w:pPr>
              <w:spacing w:line="240" w:lineRule="exact"/>
              <w:jc w:val="center"/>
              <w:rPr>
                <w:color w:val="auto"/>
                <w:kern w:val="0"/>
                <w:szCs w:val="21"/>
                <w:highlight w:val="none"/>
              </w:rPr>
            </w:pPr>
            <w:r>
              <w:rPr>
                <w:color w:val="auto"/>
                <w:kern w:val="0"/>
                <w:szCs w:val="21"/>
                <w:highlight w:val="none"/>
              </w:rPr>
              <w:t>距声源不同距离处的噪声值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blHeader/>
        </w:trPr>
        <w:tc>
          <w:tcPr>
            <w:tcW w:w="397" w:type="pct"/>
            <w:vMerge w:val="continue"/>
            <w:shd w:val="clear" w:color="auto" w:fill="auto"/>
            <w:vAlign w:val="center"/>
          </w:tcPr>
          <w:p>
            <w:pPr>
              <w:spacing w:line="240" w:lineRule="exact"/>
              <w:jc w:val="center"/>
              <w:rPr>
                <w:color w:val="auto"/>
                <w:kern w:val="0"/>
                <w:szCs w:val="21"/>
                <w:highlight w:val="none"/>
              </w:rPr>
            </w:pPr>
          </w:p>
        </w:tc>
        <w:tc>
          <w:tcPr>
            <w:tcW w:w="756" w:type="pct"/>
            <w:vMerge w:val="continue"/>
            <w:shd w:val="clear" w:color="auto" w:fill="auto"/>
            <w:vAlign w:val="center"/>
          </w:tcPr>
          <w:p>
            <w:pPr>
              <w:spacing w:line="240" w:lineRule="exact"/>
              <w:jc w:val="center"/>
              <w:rPr>
                <w:color w:val="auto"/>
                <w:kern w:val="0"/>
                <w:szCs w:val="21"/>
                <w:highlight w:val="none"/>
              </w:rPr>
            </w:pPr>
          </w:p>
        </w:tc>
        <w:tc>
          <w:tcPr>
            <w:tcW w:w="820" w:type="pct"/>
            <w:vMerge w:val="continue"/>
            <w:shd w:val="clear" w:color="auto" w:fill="auto"/>
            <w:vAlign w:val="center"/>
          </w:tcPr>
          <w:p>
            <w:pPr>
              <w:spacing w:line="240" w:lineRule="exact"/>
              <w:jc w:val="center"/>
              <w:rPr>
                <w:color w:val="auto"/>
                <w:kern w:val="0"/>
                <w:szCs w:val="21"/>
                <w:highlight w:val="none"/>
              </w:rPr>
            </w:pPr>
          </w:p>
        </w:tc>
        <w:tc>
          <w:tcPr>
            <w:tcW w:w="449" w:type="pct"/>
            <w:shd w:val="clear" w:color="auto" w:fill="auto"/>
            <w:vAlign w:val="center"/>
          </w:tcPr>
          <w:p>
            <w:pPr>
              <w:spacing w:line="240" w:lineRule="exact"/>
              <w:jc w:val="center"/>
              <w:rPr>
                <w:color w:val="auto"/>
                <w:kern w:val="0"/>
                <w:szCs w:val="21"/>
                <w:highlight w:val="none"/>
              </w:rPr>
            </w:pPr>
            <w:r>
              <w:rPr>
                <w:color w:val="auto"/>
                <w:kern w:val="0"/>
                <w:szCs w:val="21"/>
                <w:highlight w:val="none"/>
              </w:rPr>
              <w:t>20m</w:t>
            </w:r>
          </w:p>
        </w:tc>
        <w:tc>
          <w:tcPr>
            <w:tcW w:w="405" w:type="pct"/>
            <w:shd w:val="clear" w:color="auto" w:fill="auto"/>
            <w:vAlign w:val="center"/>
          </w:tcPr>
          <w:p>
            <w:pPr>
              <w:spacing w:line="240" w:lineRule="exact"/>
              <w:jc w:val="center"/>
              <w:rPr>
                <w:color w:val="auto"/>
                <w:kern w:val="0"/>
                <w:szCs w:val="21"/>
                <w:highlight w:val="none"/>
              </w:rPr>
            </w:pPr>
            <w:r>
              <w:rPr>
                <w:color w:val="auto"/>
                <w:kern w:val="0"/>
                <w:szCs w:val="21"/>
                <w:highlight w:val="none"/>
              </w:rPr>
              <w:t>40m</w:t>
            </w:r>
          </w:p>
        </w:tc>
        <w:tc>
          <w:tcPr>
            <w:tcW w:w="380" w:type="pct"/>
            <w:shd w:val="clear" w:color="auto" w:fill="auto"/>
            <w:vAlign w:val="center"/>
          </w:tcPr>
          <w:p>
            <w:pPr>
              <w:spacing w:line="240" w:lineRule="exact"/>
              <w:jc w:val="center"/>
              <w:rPr>
                <w:color w:val="auto"/>
                <w:kern w:val="0"/>
                <w:szCs w:val="21"/>
                <w:highlight w:val="none"/>
              </w:rPr>
            </w:pPr>
            <w:r>
              <w:rPr>
                <w:color w:val="auto"/>
                <w:kern w:val="0"/>
                <w:szCs w:val="21"/>
                <w:highlight w:val="none"/>
              </w:rPr>
              <w:t>60m</w:t>
            </w:r>
          </w:p>
        </w:tc>
        <w:tc>
          <w:tcPr>
            <w:tcW w:w="401" w:type="pct"/>
            <w:shd w:val="clear" w:color="auto" w:fill="auto"/>
            <w:vAlign w:val="center"/>
          </w:tcPr>
          <w:p>
            <w:pPr>
              <w:spacing w:line="240" w:lineRule="exact"/>
              <w:jc w:val="center"/>
              <w:rPr>
                <w:color w:val="auto"/>
                <w:kern w:val="0"/>
                <w:szCs w:val="21"/>
                <w:highlight w:val="none"/>
              </w:rPr>
            </w:pPr>
            <w:r>
              <w:rPr>
                <w:color w:val="auto"/>
                <w:kern w:val="0"/>
                <w:szCs w:val="21"/>
                <w:highlight w:val="none"/>
              </w:rPr>
              <w:t>80m</w:t>
            </w:r>
          </w:p>
        </w:tc>
        <w:tc>
          <w:tcPr>
            <w:tcW w:w="446" w:type="pct"/>
            <w:shd w:val="clear" w:color="auto" w:fill="auto"/>
            <w:vAlign w:val="center"/>
          </w:tcPr>
          <w:p>
            <w:pPr>
              <w:spacing w:line="240" w:lineRule="exact"/>
              <w:jc w:val="center"/>
              <w:rPr>
                <w:color w:val="auto"/>
                <w:kern w:val="0"/>
                <w:szCs w:val="21"/>
                <w:highlight w:val="none"/>
              </w:rPr>
            </w:pPr>
            <w:r>
              <w:rPr>
                <w:color w:val="auto"/>
                <w:kern w:val="0"/>
                <w:szCs w:val="21"/>
                <w:highlight w:val="none"/>
              </w:rPr>
              <w:t>100m</w:t>
            </w:r>
          </w:p>
        </w:tc>
        <w:tc>
          <w:tcPr>
            <w:tcW w:w="498" w:type="pct"/>
            <w:shd w:val="clear" w:color="auto" w:fill="auto"/>
            <w:vAlign w:val="center"/>
          </w:tcPr>
          <w:p>
            <w:pPr>
              <w:spacing w:line="240" w:lineRule="exact"/>
              <w:jc w:val="center"/>
              <w:rPr>
                <w:color w:val="auto"/>
                <w:kern w:val="0"/>
                <w:szCs w:val="21"/>
                <w:highlight w:val="none"/>
              </w:rPr>
            </w:pPr>
            <w:r>
              <w:rPr>
                <w:color w:val="auto"/>
                <w:kern w:val="0"/>
                <w:szCs w:val="21"/>
                <w:highlight w:val="none"/>
              </w:rPr>
              <w:t>200m</w:t>
            </w:r>
          </w:p>
        </w:tc>
        <w:tc>
          <w:tcPr>
            <w:tcW w:w="449" w:type="pct"/>
            <w:shd w:val="clear" w:color="auto" w:fill="auto"/>
            <w:vAlign w:val="center"/>
          </w:tcPr>
          <w:p>
            <w:pPr>
              <w:spacing w:line="240" w:lineRule="exact"/>
              <w:jc w:val="center"/>
              <w:rPr>
                <w:color w:val="auto"/>
                <w:kern w:val="0"/>
                <w:szCs w:val="21"/>
                <w:highlight w:val="none"/>
              </w:rPr>
            </w:pPr>
            <w:r>
              <w:rPr>
                <w:color w:val="auto"/>
                <w:kern w:val="0"/>
                <w:szCs w:val="21"/>
                <w:highlight w:val="none"/>
              </w:rPr>
              <w:t>300m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7" w:type="pct"/>
            <w:shd w:val="clear" w:color="auto" w:fill="auto"/>
            <w:vAlign w:val="center"/>
          </w:tcPr>
          <w:p>
            <w:pPr>
              <w:spacing w:line="240" w:lineRule="exact"/>
              <w:jc w:val="center"/>
              <w:rPr>
                <w:color w:val="auto"/>
                <w:kern w:val="0"/>
                <w:szCs w:val="21"/>
                <w:highlight w:val="none"/>
              </w:rPr>
            </w:pPr>
            <w:r>
              <w:rPr>
                <w:color w:val="auto"/>
                <w:kern w:val="0"/>
                <w:szCs w:val="21"/>
                <w:highlight w:val="none"/>
              </w:rPr>
              <w:t>1</w:t>
            </w:r>
          </w:p>
        </w:tc>
        <w:tc>
          <w:tcPr>
            <w:tcW w:w="756" w:type="pct"/>
            <w:shd w:val="clear" w:color="auto" w:fill="auto"/>
            <w:vAlign w:val="center"/>
          </w:tcPr>
          <w:p>
            <w:pPr>
              <w:spacing w:line="240" w:lineRule="exact"/>
              <w:jc w:val="center"/>
              <w:rPr>
                <w:color w:val="auto"/>
                <w:kern w:val="0"/>
                <w:szCs w:val="21"/>
                <w:highlight w:val="none"/>
              </w:rPr>
            </w:pPr>
            <w:r>
              <w:rPr>
                <w:color w:val="auto"/>
                <w:kern w:val="0"/>
                <w:szCs w:val="21"/>
                <w:highlight w:val="none"/>
              </w:rPr>
              <w:t>空压机</w:t>
            </w:r>
          </w:p>
        </w:tc>
        <w:tc>
          <w:tcPr>
            <w:tcW w:w="820" w:type="pct"/>
            <w:shd w:val="clear" w:color="auto" w:fill="auto"/>
            <w:vAlign w:val="center"/>
          </w:tcPr>
          <w:p>
            <w:pPr>
              <w:spacing w:line="240" w:lineRule="exact"/>
              <w:jc w:val="center"/>
              <w:rPr>
                <w:color w:val="auto"/>
                <w:kern w:val="0"/>
                <w:szCs w:val="21"/>
                <w:highlight w:val="none"/>
              </w:rPr>
            </w:pPr>
            <w:r>
              <w:rPr>
                <w:color w:val="auto"/>
                <w:kern w:val="0"/>
                <w:szCs w:val="21"/>
                <w:highlight w:val="none"/>
              </w:rPr>
              <w:t>88</w:t>
            </w:r>
          </w:p>
        </w:tc>
        <w:tc>
          <w:tcPr>
            <w:tcW w:w="449" w:type="pct"/>
            <w:shd w:val="clear" w:color="auto" w:fill="auto"/>
            <w:vAlign w:val="center"/>
          </w:tcPr>
          <w:p>
            <w:pPr>
              <w:spacing w:line="240" w:lineRule="exact"/>
              <w:jc w:val="center"/>
              <w:rPr>
                <w:color w:val="auto"/>
                <w:kern w:val="0"/>
                <w:szCs w:val="21"/>
                <w:highlight w:val="none"/>
              </w:rPr>
            </w:pPr>
            <w:r>
              <w:rPr>
                <w:color w:val="auto"/>
                <w:kern w:val="0"/>
                <w:szCs w:val="21"/>
                <w:highlight w:val="none"/>
              </w:rPr>
              <w:t>62</w:t>
            </w:r>
          </w:p>
        </w:tc>
        <w:tc>
          <w:tcPr>
            <w:tcW w:w="405" w:type="pct"/>
            <w:shd w:val="clear" w:color="auto" w:fill="auto"/>
            <w:vAlign w:val="center"/>
          </w:tcPr>
          <w:p>
            <w:pPr>
              <w:spacing w:line="240" w:lineRule="exact"/>
              <w:jc w:val="center"/>
              <w:rPr>
                <w:color w:val="auto"/>
                <w:kern w:val="0"/>
                <w:szCs w:val="21"/>
                <w:highlight w:val="none"/>
              </w:rPr>
            </w:pPr>
            <w:r>
              <w:rPr>
                <w:color w:val="auto"/>
                <w:kern w:val="0"/>
                <w:szCs w:val="21"/>
                <w:highlight w:val="none"/>
              </w:rPr>
              <w:t>56</w:t>
            </w:r>
          </w:p>
        </w:tc>
        <w:tc>
          <w:tcPr>
            <w:tcW w:w="380" w:type="pct"/>
            <w:shd w:val="clear" w:color="auto" w:fill="auto"/>
            <w:vAlign w:val="center"/>
          </w:tcPr>
          <w:p>
            <w:pPr>
              <w:spacing w:line="240" w:lineRule="exact"/>
              <w:jc w:val="center"/>
              <w:rPr>
                <w:color w:val="auto"/>
                <w:kern w:val="0"/>
                <w:szCs w:val="21"/>
                <w:highlight w:val="none"/>
              </w:rPr>
            </w:pPr>
            <w:r>
              <w:rPr>
                <w:color w:val="auto"/>
                <w:kern w:val="0"/>
                <w:szCs w:val="21"/>
                <w:highlight w:val="none"/>
              </w:rPr>
              <w:t>52</w:t>
            </w:r>
          </w:p>
        </w:tc>
        <w:tc>
          <w:tcPr>
            <w:tcW w:w="401" w:type="pct"/>
            <w:shd w:val="clear" w:color="auto" w:fill="auto"/>
            <w:vAlign w:val="center"/>
          </w:tcPr>
          <w:p>
            <w:pPr>
              <w:spacing w:line="240" w:lineRule="exact"/>
              <w:jc w:val="center"/>
              <w:rPr>
                <w:color w:val="auto"/>
                <w:kern w:val="0"/>
                <w:szCs w:val="21"/>
                <w:highlight w:val="none"/>
              </w:rPr>
            </w:pPr>
            <w:r>
              <w:rPr>
                <w:color w:val="auto"/>
                <w:kern w:val="0"/>
                <w:szCs w:val="21"/>
                <w:highlight w:val="none"/>
              </w:rPr>
              <w:t>50</w:t>
            </w:r>
          </w:p>
        </w:tc>
        <w:tc>
          <w:tcPr>
            <w:tcW w:w="446" w:type="pct"/>
            <w:shd w:val="clear" w:color="auto" w:fill="auto"/>
            <w:vAlign w:val="center"/>
          </w:tcPr>
          <w:p>
            <w:pPr>
              <w:spacing w:line="240" w:lineRule="exact"/>
              <w:jc w:val="center"/>
              <w:rPr>
                <w:color w:val="auto"/>
                <w:kern w:val="0"/>
                <w:szCs w:val="21"/>
                <w:highlight w:val="none"/>
              </w:rPr>
            </w:pPr>
            <w:r>
              <w:rPr>
                <w:color w:val="auto"/>
                <w:kern w:val="0"/>
                <w:szCs w:val="21"/>
                <w:highlight w:val="none"/>
              </w:rPr>
              <w:t>48</w:t>
            </w:r>
          </w:p>
        </w:tc>
        <w:tc>
          <w:tcPr>
            <w:tcW w:w="498" w:type="pct"/>
            <w:shd w:val="clear" w:color="auto" w:fill="auto"/>
            <w:vAlign w:val="center"/>
          </w:tcPr>
          <w:p>
            <w:pPr>
              <w:spacing w:line="240" w:lineRule="exact"/>
              <w:jc w:val="center"/>
              <w:rPr>
                <w:color w:val="auto"/>
                <w:kern w:val="0"/>
                <w:szCs w:val="21"/>
                <w:highlight w:val="none"/>
              </w:rPr>
            </w:pPr>
            <w:r>
              <w:rPr>
                <w:color w:val="auto"/>
                <w:kern w:val="0"/>
                <w:szCs w:val="21"/>
                <w:highlight w:val="none"/>
              </w:rPr>
              <w:t>42</w:t>
            </w:r>
          </w:p>
        </w:tc>
        <w:tc>
          <w:tcPr>
            <w:tcW w:w="449" w:type="pct"/>
            <w:shd w:val="clear" w:color="auto" w:fill="auto"/>
            <w:vAlign w:val="center"/>
          </w:tcPr>
          <w:p>
            <w:pPr>
              <w:spacing w:line="240" w:lineRule="exact"/>
              <w:jc w:val="center"/>
              <w:rPr>
                <w:color w:val="auto"/>
                <w:kern w:val="0"/>
                <w:szCs w:val="21"/>
                <w:highlight w:val="none"/>
              </w:rPr>
            </w:pPr>
            <w:r>
              <w:rPr>
                <w:color w:val="auto"/>
                <w:kern w:val="0"/>
                <w:szCs w:val="21"/>
                <w:highlight w:val="none"/>
              </w:rPr>
              <w:t>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7" w:type="pct"/>
            <w:shd w:val="clear" w:color="auto" w:fill="auto"/>
            <w:vAlign w:val="center"/>
          </w:tcPr>
          <w:p>
            <w:pPr>
              <w:spacing w:line="240" w:lineRule="exact"/>
              <w:jc w:val="center"/>
              <w:rPr>
                <w:color w:val="auto"/>
                <w:kern w:val="0"/>
                <w:szCs w:val="21"/>
                <w:highlight w:val="none"/>
              </w:rPr>
            </w:pPr>
            <w:r>
              <w:rPr>
                <w:color w:val="auto"/>
                <w:kern w:val="0"/>
                <w:szCs w:val="21"/>
                <w:highlight w:val="none"/>
              </w:rPr>
              <w:t>2</w:t>
            </w:r>
          </w:p>
        </w:tc>
        <w:tc>
          <w:tcPr>
            <w:tcW w:w="756" w:type="pct"/>
            <w:shd w:val="clear" w:color="auto" w:fill="auto"/>
            <w:vAlign w:val="center"/>
          </w:tcPr>
          <w:p>
            <w:pPr>
              <w:spacing w:line="240" w:lineRule="exact"/>
              <w:jc w:val="center"/>
              <w:rPr>
                <w:color w:val="auto"/>
                <w:kern w:val="0"/>
                <w:szCs w:val="21"/>
                <w:highlight w:val="none"/>
              </w:rPr>
            </w:pPr>
            <w:r>
              <w:rPr>
                <w:color w:val="auto"/>
                <w:kern w:val="0"/>
                <w:szCs w:val="21"/>
                <w:highlight w:val="none"/>
              </w:rPr>
              <w:t>挖掘机</w:t>
            </w:r>
          </w:p>
        </w:tc>
        <w:tc>
          <w:tcPr>
            <w:tcW w:w="820" w:type="pct"/>
            <w:shd w:val="clear" w:color="auto" w:fill="auto"/>
            <w:vAlign w:val="center"/>
          </w:tcPr>
          <w:p>
            <w:pPr>
              <w:spacing w:line="240" w:lineRule="exact"/>
              <w:jc w:val="center"/>
              <w:rPr>
                <w:color w:val="auto"/>
                <w:kern w:val="0"/>
                <w:szCs w:val="21"/>
                <w:highlight w:val="none"/>
              </w:rPr>
            </w:pPr>
            <w:r>
              <w:rPr>
                <w:color w:val="auto"/>
                <w:kern w:val="0"/>
                <w:szCs w:val="21"/>
                <w:highlight w:val="none"/>
              </w:rPr>
              <w:t>83</w:t>
            </w:r>
          </w:p>
        </w:tc>
        <w:tc>
          <w:tcPr>
            <w:tcW w:w="449" w:type="pct"/>
            <w:shd w:val="clear" w:color="auto" w:fill="auto"/>
            <w:vAlign w:val="center"/>
          </w:tcPr>
          <w:p>
            <w:pPr>
              <w:spacing w:line="240" w:lineRule="exact"/>
              <w:jc w:val="center"/>
              <w:rPr>
                <w:color w:val="auto"/>
                <w:kern w:val="0"/>
                <w:szCs w:val="21"/>
                <w:highlight w:val="none"/>
              </w:rPr>
            </w:pPr>
            <w:r>
              <w:rPr>
                <w:color w:val="auto"/>
                <w:kern w:val="0"/>
                <w:szCs w:val="21"/>
                <w:highlight w:val="none"/>
              </w:rPr>
              <w:t>57</w:t>
            </w:r>
          </w:p>
        </w:tc>
        <w:tc>
          <w:tcPr>
            <w:tcW w:w="405" w:type="pct"/>
            <w:shd w:val="clear" w:color="auto" w:fill="auto"/>
            <w:vAlign w:val="center"/>
          </w:tcPr>
          <w:p>
            <w:pPr>
              <w:spacing w:line="240" w:lineRule="exact"/>
              <w:jc w:val="center"/>
              <w:rPr>
                <w:color w:val="auto"/>
                <w:kern w:val="0"/>
                <w:szCs w:val="21"/>
                <w:highlight w:val="none"/>
              </w:rPr>
            </w:pPr>
            <w:r>
              <w:rPr>
                <w:color w:val="auto"/>
                <w:kern w:val="0"/>
                <w:szCs w:val="21"/>
                <w:highlight w:val="none"/>
              </w:rPr>
              <w:t>51</w:t>
            </w:r>
          </w:p>
        </w:tc>
        <w:tc>
          <w:tcPr>
            <w:tcW w:w="380" w:type="pct"/>
            <w:shd w:val="clear" w:color="auto" w:fill="auto"/>
            <w:vAlign w:val="center"/>
          </w:tcPr>
          <w:p>
            <w:pPr>
              <w:spacing w:line="240" w:lineRule="exact"/>
              <w:jc w:val="center"/>
              <w:rPr>
                <w:color w:val="auto"/>
                <w:kern w:val="0"/>
                <w:szCs w:val="21"/>
                <w:highlight w:val="none"/>
              </w:rPr>
            </w:pPr>
            <w:r>
              <w:rPr>
                <w:color w:val="auto"/>
                <w:kern w:val="0"/>
                <w:szCs w:val="21"/>
                <w:highlight w:val="none"/>
              </w:rPr>
              <w:t>47</w:t>
            </w:r>
          </w:p>
        </w:tc>
        <w:tc>
          <w:tcPr>
            <w:tcW w:w="401" w:type="pct"/>
            <w:shd w:val="clear" w:color="auto" w:fill="auto"/>
            <w:vAlign w:val="center"/>
          </w:tcPr>
          <w:p>
            <w:pPr>
              <w:spacing w:line="240" w:lineRule="exact"/>
              <w:jc w:val="center"/>
              <w:rPr>
                <w:color w:val="auto"/>
                <w:kern w:val="0"/>
                <w:szCs w:val="21"/>
                <w:highlight w:val="none"/>
              </w:rPr>
            </w:pPr>
            <w:r>
              <w:rPr>
                <w:color w:val="auto"/>
                <w:kern w:val="0"/>
                <w:szCs w:val="21"/>
                <w:highlight w:val="none"/>
              </w:rPr>
              <w:t>45</w:t>
            </w:r>
          </w:p>
        </w:tc>
        <w:tc>
          <w:tcPr>
            <w:tcW w:w="446" w:type="pct"/>
            <w:shd w:val="clear" w:color="auto" w:fill="auto"/>
            <w:vAlign w:val="center"/>
          </w:tcPr>
          <w:p>
            <w:pPr>
              <w:spacing w:line="240" w:lineRule="exact"/>
              <w:jc w:val="center"/>
              <w:rPr>
                <w:color w:val="auto"/>
                <w:kern w:val="0"/>
                <w:szCs w:val="21"/>
                <w:highlight w:val="none"/>
              </w:rPr>
            </w:pPr>
            <w:r>
              <w:rPr>
                <w:color w:val="auto"/>
                <w:kern w:val="0"/>
                <w:szCs w:val="21"/>
                <w:highlight w:val="none"/>
              </w:rPr>
              <w:t>43</w:t>
            </w:r>
          </w:p>
        </w:tc>
        <w:tc>
          <w:tcPr>
            <w:tcW w:w="498" w:type="pct"/>
            <w:shd w:val="clear" w:color="auto" w:fill="auto"/>
            <w:vAlign w:val="center"/>
          </w:tcPr>
          <w:p>
            <w:pPr>
              <w:spacing w:line="240" w:lineRule="exact"/>
              <w:jc w:val="center"/>
              <w:rPr>
                <w:color w:val="auto"/>
                <w:kern w:val="0"/>
                <w:szCs w:val="21"/>
                <w:highlight w:val="none"/>
              </w:rPr>
            </w:pPr>
            <w:r>
              <w:rPr>
                <w:color w:val="auto"/>
                <w:kern w:val="0"/>
                <w:szCs w:val="21"/>
                <w:highlight w:val="none"/>
              </w:rPr>
              <w:t>37</w:t>
            </w:r>
          </w:p>
        </w:tc>
        <w:tc>
          <w:tcPr>
            <w:tcW w:w="449" w:type="pct"/>
            <w:shd w:val="clear" w:color="auto" w:fill="auto"/>
            <w:vAlign w:val="center"/>
          </w:tcPr>
          <w:p>
            <w:pPr>
              <w:spacing w:line="240" w:lineRule="exact"/>
              <w:jc w:val="center"/>
              <w:rPr>
                <w:color w:val="auto"/>
                <w:kern w:val="0"/>
                <w:szCs w:val="21"/>
                <w:highlight w:val="none"/>
              </w:rPr>
            </w:pPr>
            <w:r>
              <w:rPr>
                <w:color w:val="auto"/>
                <w:kern w:val="0"/>
                <w:szCs w:val="21"/>
                <w:highlight w:val="none"/>
              </w:rPr>
              <w:t>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7" w:type="pct"/>
            <w:shd w:val="clear" w:color="auto" w:fill="auto"/>
            <w:vAlign w:val="center"/>
          </w:tcPr>
          <w:p>
            <w:pPr>
              <w:spacing w:line="240" w:lineRule="exact"/>
              <w:jc w:val="center"/>
              <w:rPr>
                <w:color w:val="auto"/>
                <w:kern w:val="0"/>
                <w:szCs w:val="21"/>
                <w:highlight w:val="none"/>
              </w:rPr>
            </w:pPr>
            <w:r>
              <w:rPr>
                <w:color w:val="auto"/>
                <w:kern w:val="0"/>
                <w:szCs w:val="21"/>
                <w:highlight w:val="none"/>
              </w:rPr>
              <w:t>3</w:t>
            </w:r>
          </w:p>
        </w:tc>
        <w:tc>
          <w:tcPr>
            <w:tcW w:w="756" w:type="pct"/>
            <w:shd w:val="clear" w:color="auto" w:fill="auto"/>
            <w:vAlign w:val="center"/>
          </w:tcPr>
          <w:p>
            <w:pPr>
              <w:spacing w:line="240" w:lineRule="exact"/>
              <w:jc w:val="center"/>
              <w:rPr>
                <w:color w:val="auto"/>
                <w:kern w:val="0"/>
                <w:szCs w:val="21"/>
                <w:highlight w:val="none"/>
              </w:rPr>
            </w:pPr>
            <w:r>
              <w:rPr>
                <w:color w:val="auto"/>
                <w:kern w:val="0"/>
                <w:szCs w:val="21"/>
                <w:highlight w:val="none"/>
              </w:rPr>
              <w:t>推土机</w:t>
            </w:r>
          </w:p>
        </w:tc>
        <w:tc>
          <w:tcPr>
            <w:tcW w:w="820" w:type="pct"/>
            <w:shd w:val="clear" w:color="auto" w:fill="auto"/>
            <w:vAlign w:val="center"/>
          </w:tcPr>
          <w:p>
            <w:pPr>
              <w:spacing w:line="240" w:lineRule="exact"/>
              <w:jc w:val="center"/>
              <w:rPr>
                <w:color w:val="auto"/>
                <w:kern w:val="0"/>
                <w:szCs w:val="21"/>
                <w:highlight w:val="none"/>
              </w:rPr>
            </w:pPr>
            <w:r>
              <w:rPr>
                <w:color w:val="auto"/>
                <w:kern w:val="0"/>
                <w:szCs w:val="21"/>
                <w:highlight w:val="none"/>
              </w:rPr>
              <w:t>85</w:t>
            </w:r>
          </w:p>
        </w:tc>
        <w:tc>
          <w:tcPr>
            <w:tcW w:w="449" w:type="pct"/>
            <w:shd w:val="clear" w:color="auto" w:fill="auto"/>
            <w:vAlign w:val="center"/>
          </w:tcPr>
          <w:p>
            <w:pPr>
              <w:spacing w:line="240" w:lineRule="exact"/>
              <w:jc w:val="center"/>
              <w:rPr>
                <w:color w:val="auto"/>
                <w:kern w:val="0"/>
                <w:szCs w:val="21"/>
                <w:highlight w:val="none"/>
              </w:rPr>
            </w:pPr>
            <w:r>
              <w:rPr>
                <w:color w:val="auto"/>
                <w:kern w:val="0"/>
                <w:szCs w:val="21"/>
                <w:highlight w:val="none"/>
              </w:rPr>
              <w:t>59</w:t>
            </w:r>
          </w:p>
        </w:tc>
        <w:tc>
          <w:tcPr>
            <w:tcW w:w="405" w:type="pct"/>
            <w:shd w:val="clear" w:color="auto" w:fill="auto"/>
            <w:vAlign w:val="center"/>
          </w:tcPr>
          <w:p>
            <w:pPr>
              <w:spacing w:line="240" w:lineRule="exact"/>
              <w:jc w:val="center"/>
              <w:rPr>
                <w:color w:val="auto"/>
                <w:kern w:val="0"/>
                <w:szCs w:val="21"/>
                <w:highlight w:val="none"/>
              </w:rPr>
            </w:pPr>
            <w:r>
              <w:rPr>
                <w:color w:val="auto"/>
                <w:kern w:val="0"/>
                <w:szCs w:val="21"/>
                <w:highlight w:val="none"/>
              </w:rPr>
              <w:t>53</w:t>
            </w:r>
          </w:p>
        </w:tc>
        <w:tc>
          <w:tcPr>
            <w:tcW w:w="380" w:type="pct"/>
            <w:shd w:val="clear" w:color="auto" w:fill="auto"/>
            <w:vAlign w:val="center"/>
          </w:tcPr>
          <w:p>
            <w:pPr>
              <w:spacing w:line="240" w:lineRule="exact"/>
              <w:jc w:val="center"/>
              <w:rPr>
                <w:color w:val="auto"/>
                <w:kern w:val="0"/>
                <w:szCs w:val="21"/>
                <w:highlight w:val="none"/>
              </w:rPr>
            </w:pPr>
            <w:r>
              <w:rPr>
                <w:color w:val="auto"/>
                <w:kern w:val="0"/>
                <w:szCs w:val="21"/>
                <w:highlight w:val="none"/>
              </w:rPr>
              <w:t>49</w:t>
            </w:r>
          </w:p>
        </w:tc>
        <w:tc>
          <w:tcPr>
            <w:tcW w:w="401" w:type="pct"/>
            <w:shd w:val="clear" w:color="auto" w:fill="auto"/>
            <w:vAlign w:val="center"/>
          </w:tcPr>
          <w:p>
            <w:pPr>
              <w:spacing w:line="240" w:lineRule="exact"/>
              <w:jc w:val="center"/>
              <w:rPr>
                <w:color w:val="auto"/>
                <w:kern w:val="0"/>
                <w:szCs w:val="21"/>
                <w:highlight w:val="none"/>
              </w:rPr>
            </w:pPr>
            <w:r>
              <w:rPr>
                <w:color w:val="auto"/>
                <w:kern w:val="0"/>
                <w:szCs w:val="21"/>
                <w:highlight w:val="none"/>
              </w:rPr>
              <w:t>47</w:t>
            </w:r>
          </w:p>
        </w:tc>
        <w:tc>
          <w:tcPr>
            <w:tcW w:w="446" w:type="pct"/>
            <w:shd w:val="clear" w:color="auto" w:fill="auto"/>
            <w:vAlign w:val="center"/>
          </w:tcPr>
          <w:p>
            <w:pPr>
              <w:spacing w:line="240" w:lineRule="exact"/>
              <w:jc w:val="center"/>
              <w:rPr>
                <w:color w:val="auto"/>
                <w:kern w:val="0"/>
                <w:szCs w:val="21"/>
                <w:highlight w:val="none"/>
              </w:rPr>
            </w:pPr>
            <w:r>
              <w:rPr>
                <w:color w:val="auto"/>
                <w:kern w:val="0"/>
                <w:szCs w:val="21"/>
                <w:highlight w:val="none"/>
              </w:rPr>
              <w:t>45</w:t>
            </w:r>
          </w:p>
        </w:tc>
        <w:tc>
          <w:tcPr>
            <w:tcW w:w="498" w:type="pct"/>
            <w:shd w:val="clear" w:color="auto" w:fill="auto"/>
            <w:vAlign w:val="center"/>
          </w:tcPr>
          <w:p>
            <w:pPr>
              <w:spacing w:line="240" w:lineRule="exact"/>
              <w:jc w:val="center"/>
              <w:rPr>
                <w:color w:val="auto"/>
                <w:kern w:val="0"/>
                <w:szCs w:val="21"/>
                <w:highlight w:val="none"/>
              </w:rPr>
            </w:pPr>
            <w:r>
              <w:rPr>
                <w:color w:val="auto"/>
                <w:kern w:val="0"/>
                <w:szCs w:val="21"/>
                <w:highlight w:val="none"/>
              </w:rPr>
              <w:t>39</w:t>
            </w:r>
          </w:p>
        </w:tc>
        <w:tc>
          <w:tcPr>
            <w:tcW w:w="449" w:type="pct"/>
            <w:shd w:val="clear" w:color="auto" w:fill="auto"/>
            <w:vAlign w:val="center"/>
          </w:tcPr>
          <w:p>
            <w:pPr>
              <w:spacing w:line="240" w:lineRule="exact"/>
              <w:jc w:val="center"/>
              <w:rPr>
                <w:color w:val="auto"/>
                <w:kern w:val="0"/>
                <w:szCs w:val="21"/>
                <w:highlight w:val="none"/>
              </w:rPr>
            </w:pPr>
            <w:r>
              <w:rPr>
                <w:color w:val="auto"/>
                <w:kern w:val="0"/>
                <w:szCs w:val="21"/>
                <w:highlight w:val="none"/>
              </w:rPr>
              <w:t>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7" w:type="pct"/>
            <w:shd w:val="clear" w:color="auto" w:fill="auto"/>
            <w:vAlign w:val="center"/>
          </w:tcPr>
          <w:p>
            <w:pPr>
              <w:spacing w:line="240" w:lineRule="exact"/>
              <w:jc w:val="center"/>
              <w:rPr>
                <w:color w:val="auto"/>
                <w:kern w:val="0"/>
                <w:szCs w:val="21"/>
                <w:highlight w:val="none"/>
              </w:rPr>
            </w:pPr>
            <w:r>
              <w:rPr>
                <w:color w:val="auto"/>
                <w:kern w:val="0"/>
                <w:szCs w:val="21"/>
                <w:highlight w:val="none"/>
              </w:rPr>
              <w:t>4</w:t>
            </w:r>
          </w:p>
        </w:tc>
        <w:tc>
          <w:tcPr>
            <w:tcW w:w="756" w:type="pct"/>
            <w:shd w:val="clear" w:color="auto" w:fill="auto"/>
            <w:vAlign w:val="center"/>
          </w:tcPr>
          <w:p>
            <w:pPr>
              <w:spacing w:line="240" w:lineRule="exact"/>
              <w:jc w:val="center"/>
              <w:rPr>
                <w:color w:val="auto"/>
                <w:kern w:val="0"/>
                <w:szCs w:val="21"/>
                <w:highlight w:val="none"/>
              </w:rPr>
            </w:pPr>
            <w:r>
              <w:rPr>
                <w:color w:val="auto"/>
                <w:kern w:val="0"/>
                <w:szCs w:val="21"/>
                <w:highlight w:val="none"/>
              </w:rPr>
              <w:t>装载机</w:t>
            </w:r>
          </w:p>
        </w:tc>
        <w:tc>
          <w:tcPr>
            <w:tcW w:w="820" w:type="pct"/>
            <w:shd w:val="clear" w:color="auto" w:fill="auto"/>
            <w:vAlign w:val="center"/>
          </w:tcPr>
          <w:p>
            <w:pPr>
              <w:spacing w:line="240" w:lineRule="exact"/>
              <w:jc w:val="center"/>
              <w:rPr>
                <w:color w:val="auto"/>
                <w:kern w:val="0"/>
                <w:szCs w:val="21"/>
                <w:highlight w:val="none"/>
              </w:rPr>
            </w:pPr>
            <w:r>
              <w:rPr>
                <w:color w:val="auto"/>
                <w:kern w:val="0"/>
                <w:szCs w:val="21"/>
                <w:highlight w:val="none"/>
              </w:rPr>
              <w:t>85</w:t>
            </w:r>
          </w:p>
        </w:tc>
        <w:tc>
          <w:tcPr>
            <w:tcW w:w="449" w:type="pct"/>
            <w:shd w:val="clear" w:color="auto" w:fill="auto"/>
            <w:vAlign w:val="center"/>
          </w:tcPr>
          <w:p>
            <w:pPr>
              <w:spacing w:line="240" w:lineRule="exact"/>
              <w:jc w:val="center"/>
              <w:rPr>
                <w:color w:val="auto"/>
                <w:kern w:val="0"/>
                <w:szCs w:val="21"/>
                <w:highlight w:val="none"/>
              </w:rPr>
            </w:pPr>
            <w:r>
              <w:rPr>
                <w:color w:val="auto"/>
                <w:kern w:val="0"/>
                <w:szCs w:val="21"/>
                <w:highlight w:val="none"/>
              </w:rPr>
              <w:t>59</w:t>
            </w:r>
          </w:p>
        </w:tc>
        <w:tc>
          <w:tcPr>
            <w:tcW w:w="405" w:type="pct"/>
            <w:shd w:val="clear" w:color="auto" w:fill="auto"/>
            <w:vAlign w:val="center"/>
          </w:tcPr>
          <w:p>
            <w:pPr>
              <w:spacing w:line="240" w:lineRule="exact"/>
              <w:jc w:val="center"/>
              <w:rPr>
                <w:color w:val="auto"/>
                <w:kern w:val="0"/>
                <w:szCs w:val="21"/>
                <w:highlight w:val="none"/>
              </w:rPr>
            </w:pPr>
            <w:r>
              <w:rPr>
                <w:color w:val="auto"/>
                <w:kern w:val="0"/>
                <w:szCs w:val="21"/>
                <w:highlight w:val="none"/>
              </w:rPr>
              <w:t>53</w:t>
            </w:r>
          </w:p>
        </w:tc>
        <w:tc>
          <w:tcPr>
            <w:tcW w:w="380" w:type="pct"/>
            <w:shd w:val="clear" w:color="auto" w:fill="auto"/>
            <w:vAlign w:val="center"/>
          </w:tcPr>
          <w:p>
            <w:pPr>
              <w:spacing w:line="240" w:lineRule="exact"/>
              <w:jc w:val="center"/>
              <w:rPr>
                <w:color w:val="auto"/>
                <w:kern w:val="0"/>
                <w:szCs w:val="21"/>
                <w:highlight w:val="none"/>
              </w:rPr>
            </w:pPr>
            <w:r>
              <w:rPr>
                <w:color w:val="auto"/>
                <w:kern w:val="0"/>
                <w:szCs w:val="21"/>
                <w:highlight w:val="none"/>
              </w:rPr>
              <w:t>49</w:t>
            </w:r>
          </w:p>
        </w:tc>
        <w:tc>
          <w:tcPr>
            <w:tcW w:w="401" w:type="pct"/>
            <w:shd w:val="clear" w:color="auto" w:fill="auto"/>
            <w:vAlign w:val="center"/>
          </w:tcPr>
          <w:p>
            <w:pPr>
              <w:spacing w:line="240" w:lineRule="exact"/>
              <w:jc w:val="center"/>
              <w:rPr>
                <w:color w:val="auto"/>
                <w:kern w:val="0"/>
                <w:szCs w:val="21"/>
                <w:highlight w:val="none"/>
              </w:rPr>
            </w:pPr>
            <w:r>
              <w:rPr>
                <w:color w:val="auto"/>
                <w:kern w:val="0"/>
                <w:szCs w:val="21"/>
                <w:highlight w:val="none"/>
              </w:rPr>
              <w:t>47</w:t>
            </w:r>
          </w:p>
        </w:tc>
        <w:tc>
          <w:tcPr>
            <w:tcW w:w="446" w:type="pct"/>
            <w:shd w:val="clear" w:color="auto" w:fill="auto"/>
            <w:vAlign w:val="center"/>
          </w:tcPr>
          <w:p>
            <w:pPr>
              <w:spacing w:line="240" w:lineRule="exact"/>
              <w:jc w:val="center"/>
              <w:rPr>
                <w:color w:val="auto"/>
                <w:kern w:val="0"/>
                <w:szCs w:val="21"/>
                <w:highlight w:val="none"/>
              </w:rPr>
            </w:pPr>
            <w:r>
              <w:rPr>
                <w:color w:val="auto"/>
                <w:kern w:val="0"/>
                <w:szCs w:val="21"/>
                <w:highlight w:val="none"/>
              </w:rPr>
              <w:t>45</w:t>
            </w:r>
          </w:p>
        </w:tc>
        <w:tc>
          <w:tcPr>
            <w:tcW w:w="498" w:type="pct"/>
            <w:shd w:val="clear" w:color="auto" w:fill="auto"/>
            <w:vAlign w:val="center"/>
          </w:tcPr>
          <w:p>
            <w:pPr>
              <w:spacing w:line="240" w:lineRule="exact"/>
              <w:jc w:val="center"/>
              <w:rPr>
                <w:color w:val="auto"/>
                <w:kern w:val="0"/>
                <w:szCs w:val="21"/>
                <w:highlight w:val="none"/>
              </w:rPr>
            </w:pPr>
            <w:r>
              <w:rPr>
                <w:color w:val="auto"/>
                <w:kern w:val="0"/>
                <w:szCs w:val="21"/>
                <w:highlight w:val="none"/>
              </w:rPr>
              <w:t>39</w:t>
            </w:r>
          </w:p>
        </w:tc>
        <w:tc>
          <w:tcPr>
            <w:tcW w:w="449" w:type="pct"/>
            <w:shd w:val="clear" w:color="auto" w:fill="auto"/>
            <w:vAlign w:val="center"/>
          </w:tcPr>
          <w:p>
            <w:pPr>
              <w:spacing w:line="240" w:lineRule="exact"/>
              <w:jc w:val="center"/>
              <w:rPr>
                <w:color w:val="auto"/>
                <w:kern w:val="0"/>
                <w:szCs w:val="21"/>
                <w:highlight w:val="none"/>
              </w:rPr>
            </w:pPr>
            <w:r>
              <w:rPr>
                <w:color w:val="auto"/>
                <w:kern w:val="0"/>
                <w:szCs w:val="21"/>
                <w:highlight w:val="none"/>
              </w:rPr>
              <w:t>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7" w:type="pct"/>
            <w:shd w:val="clear" w:color="auto" w:fill="auto"/>
            <w:vAlign w:val="center"/>
          </w:tcPr>
          <w:p>
            <w:pPr>
              <w:spacing w:line="240" w:lineRule="exact"/>
              <w:jc w:val="center"/>
              <w:rPr>
                <w:color w:val="auto"/>
                <w:kern w:val="0"/>
                <w:szCs w:val="21"/>
                <w:highlight w:val="none"/>
              </w:rPr>
            </w:pPr>
            <w:r>
              <w:rPr>
                <w:color w:val="auto"/>
                <w:kern w:val="0"/>
                <w:szCs w:val="21"/>
                <w:highlight w:val="none"/>
              </w:rPr>
              <w:t>5</w:t>
            </w:r>
          </w:p>
        </w:tc>
        <w:tc>
          <w:tcPr>
            <w:tcW w:w="756" w:type="pct"/>
            <w:shd w:val="clear" w:color="auto" w:fill="auto"/>
            <w:vAlign w:val="center"/>
          </w:tcPr>
          <w:p>
            <w:pPr>
              <w:spacing w:line="240" w:lineRule="exact"/>
              <w:jc w:val="center"/>
              <w:rPr>
                <w:color w:val="auto"/>
                <w:kern w:val="0"/>
                <w:szCs w:val="21"/>
                <w:highlight w:val="none"/>
              </w:rPr>
            </w:pPr>
            <w:r>
              <w:rPr>
                <w:color w:val="auto"/>
                <w:kern w:val="0"/>
                <w:szCs w:val="21"/>
                <w:highlight w:val="none"/>
              </w:rPr>
              <w:t>卷扬机</w:t>
            </w:r>
          </w:p>
        </w:tc>
        <w:tc>
          <w:tcPr>
            <w:tcW w:w="820" w:type="pct"/>
            <w:shd w:val="clear" w:color="auto" w:fill="auto"/>
            <w:vAlign w:val="center"/>
          </w:tcPr>
          <w:p>
            <w:pPr>
              <w:spacing w:line="240" w:lineRule="exact"/>
              <w:jc w:val="center"/>
              <w:rPr>
                <w:color w:val="auto"/>
                <w:kern w:val="0"/>
                <w:szCs w:val="21"/>
                <w:highlight w:val="none"/>
              </w:rPr>
            </w:pPr>
            <w:r>
              <w:rPr>
                <w:color w:val="auto"/>
                <w:kern w:val="0"/>
                <w:szCs w:val="21"/>
                <w:highlight w:val="none"/>
              </w:rPr>
              <w:t>97</w:t>
            </w:r>
          </w:p>
        </w:tc>
        <w:tc>
          <w:tcPr>
            <w:tcW w:w="449" w:type="pct"/>
            <w:shd w:val="clear" w:color="auto" w:fill="auto"/>
            <w:vAlign w:val="center"/>
          </w:tcPr>
          <w:p>
            <w:pPr>
              <w:spacing w:line="240" w:lineRule="exact"/>
              <w:jc w:val="center"/>
              <w:rPr>
                <w:color w:val="auto"/>
                <w:kern w:val="0"/>
                <w:szCs w:val="21"/>
                <w:highlight w:val="none"/>
              </w:rPr>
            </w:pPr>
            <w:r>
              <w:rPr>
                <w:color w:val="auto"/>
                <w:kern w:val="0"/>
                <w:szCs w:val="21"/>
                <w:highlight w:val="none"/>
              </w:rPr>
              <w:t>71</w:t>
            </w:r>
          </w:p>
        </w:tc>
        <w:tc>
          <w:tcPr>
            <w:tcW w:w="405" w:type="pct"/>
            <w:shd w:val="clear" w:color="auto" w:fill="auto"/>
            <w:vAlign w:val="center"/>
          </w:tcPr>
          <w:p>
            <w:pPr>
              <w:spacing w:line="240" w:lineRule="exact"/>
              <w:jc w:val="center"/>
              <w:rPr>
                <w:color w:val="auto"/>
                <w:kern w:val="0"/>
                <w:szCs w:val="21"/>
                <w:highlight w:val="none"/>
              </w:rPr>
            </w:pPr>
            <w:r>
              <w:rPr>
                <w:color w:val="auto"/>
                <w:kern w:val="0"/>
                <w:szCs w:val="21"/>
                <w:highlight w:val="none"/>
              </w:rPr>
              <w:t>64</w:t>
            </w:r>
          </w:p>
        </w:tc>
        <w:tc>
          <w:tcPr>
            <w:tcW w:w="380" w:type="pct"/>
            <w:shd w:val="clear" w:color="auto" w:fill="auto"/>
            <w:vAlign w:val="center"/>
          </w:tcPr>
          <w:p>
            <w:pPr>
              <w:spacing w:line="240" w:lineRule="exact"/>
              <w:jc w:val="center"/>
              <w:rPr>
                <w:color w:val="auto"/>
                <w:kern w:val="0"/>
                <w:szCs w:val="21"/>
                <w:highlight w:val="none"/>
              </w:rPr>
            </w:pPr>
            <w:r>
              <w:rPr>
                <w:color w:val="auto"/>
                <w:kern w:val="0"/>
                <w:szCs w:val="21"/>
                <w:highlight w:val="none"/>
              </w:rPr>
              <w:t>61</w:t>
            </w:r>
          </w:p>
        </w:tc>
        <w:tc>
          <w:tcPr>
            <w:tcW w:w="401" w:type="pct"/>
            <w:shd w:val="clear" w:color="auto" w:fill="auto"/>
            <w:vAlign w:val="center"/>
          </w:tcPr>
          <w:p>
            <w:pPr>
              <w:spacing w:line="240" w:lineRule="exact"/>
              <w:jc w:val="center"/>
              <w:rPr>
                <w:color w:val="auto"/>
                <w:kern w:val="0"/>
                <w:szCs w:val="21"/>
                <w:highlight w:val="none"/>
              </w:rPr>
            </w:pPr>
            <w:r>
              <w:rPr>
                <w:color w:val="auto"/>
                <w:kern w:val="0"/>
                <w:szCs w:val="21"/>
                <w:highlight w:val="none"/>
              </w:rPr>
              <w:t>59</w:t>
            </w:r>
          </w:p>
        </w:tc>
        <w:tc>
          <w:tcPr>
            <w:tcW w:w="446" w:type="pct"/>
            <w:shd w:val="clear" w:color="auto" w:fill="auto"/>
            <w:vAlign w:val="center"/>
          </w:tcPr>
          <w:p>
            <w:pPr>
              <w:spacing w:line="240" w:lineRule="exact"/>
              <w:jc w:val="center"/>
              <w:rPr>
                <w:color w:val="auto"/>
                <w:kern w:val="0"/>
                <w:szCs w:val="21"/>
                <w:highlight w:val="none"/>
              </w:rPr>
            </w:pPr>
            <w:r>
              <w:rPr>
                <w:color w:val="auto"/>
                <w:kern w:val="0"/>
                <w:szCs w:val="21"/>
                <w:highlight w:val="none"/>
              </w:rPr>
              <w:t>57</w:t>
            </w:r>
          </w:p>
        </w:tc>
        <w:tc>
          <w:tcPr>
            <w:tcW w:w="498" w:type="pct"/>
            <w:shd w:val="clear" w:color="auto" w:fill="auto"/>
            <w:vAlign w:val="center"/>
          </w:tcPr>
          <w:p>
            <w:pPr>
              <w:spacing w:line="240" w:lineRule="exact"/>
              <w:jc w:val="center"/>
              <w:rPr>
                <w:color w:val="auto"/>
                <w:kern w:val="0"/>
                <w:szCs w:val="21"/>
                <w:highlight w:val="none"/>
              </w:rPr>
            </w:pPr>
            <w:r>
              <w:rPr>
                <w:color w:val="auto"/>
                <w:kern w:val="0"/>
                <w:szCs w:val="21"/>
                <w:highlight w:val="none"/>
              </w:rPr>
              <w:t>51</w:t>
            </w:r>
          </w:p>
        </w:tc>
        <w:tc>
          <w:tcPr>
            <w:tcW w:w="449" w:type="pct"/>
            <w:shd w:val="clear" w:color="auto" w:fill="auto"/>
            <w:vAlign w:val="center"/>
          </w:tcPr>
          <w:p>
            <w:pPr>
              <w:spacing w:line="240" w:lineRule="exact"/>
              <w:jc w:val="center"/>
              <w:rPr>
                <w:color w:val="auto"/>
                <w:kern w:val="0"/>
                <w:szCs w:val="21"/>
                <w:highlight w:val="none"/>
              </w:rPr>
            </w:pPr>
            <w:r>
              <w:rPr>
                <w:color w:val="auto"/>
                <w:kern w:val="0"/>
                <w:szCs w:val="21"/>
                <w:highlight w:val="none"/>
              </w:rPr>
              <w:t>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7" w:type="pct"/>
            <w:shd w:val="clear" w:color="auto" w:fill="auto"/>
            <w:vAlign w:val="center"/>
          </w:tcPr>
          <w:p>
            <w:pPr>
              <w:spacing w:line="240" w:lineRule="exact"/>
              <w:jc w:val="center"/>
              <w:rPr>
                <w:color w:val="auto"/>
                <w:kern w:val="0"/>
                <w:szCs w:val="21"/>
                <w:highlight w:val="none"/>
              </w:rPr>
            </w:pPr>
            <w:r>
              <w:rPr>
                <w:color w:val="auto"/>
                <w:kern w:val="0"/>
                <w:szCs w:val="21"/>
                <w:highlight w:val="none"/>
              </w:rPr>
              <w:t>6</w:t>
            </w:r>
          </w:p>
        </w:tc>
        <w:tc>
          <w:tcPr>
            <w:tcW w:w="756" w:type="pct"/>
            <w:shd w:val="clear" w:color="auto" w:fill="auto"/>
            <w:vAlign w:val="center"/>
          </w:tcPr>
          <w:p>
            <w:pPr>
              <w:spacing w:line="240" w:lineRule="exact"/>
              <w:jc w:val="center"/>
              <w:rPr>
                <w:color w:val="auto"/>
                <w:kern w:val="0"/>
                <w:szCs w:val="21"/>
                <w:highlight w:val="none"/>
              </w:rPr>
            </w:pPr>
            <w:r>
              <w:rPr>
                <w:color w:val="auto"/>
                <w:kern w:val="0"/>
                <w:szCs w:val="21"/>
                <w:highlight w:val="none"/>
              </w:rPr>
              <w:t>载重汽车</w:t>
            </w:r>
          </w:p>
        </w:tc>
        <w:tc>
          <w:tcPr>
            <w:tcW w:w="820" w:type="pct"/>
            <w:shd w:val="clear" w:color="auto" w:fill="auto"/>
            <w:vAlign w:val="center"/>
          </w:tcPr>
          <w:p>
            <w:pPr>
              <w:spacing w:line="240" w:lineRule="exact"/>
              <w:jc w:val="center"/>
              <w:rPr>
                <w:color w:val="auto"/>
                <w:kern w:val="0"/>
                <w:szCs w:val="21"/>
                <w:highlight w:val="none"/>
              </w:rPr>
            </w:pPr>
            <w:r>
              <w:rPr>
                <w:color w:val="auto"/>
                <w:kern w:val="0"/>
                <w:szCs w:val="21"/>
                <w:highlight w:val="none"/>
              </w:rPr>
              <w:t>83</w:t>
            </w:r>
          </w:p>
        </w:tc>
        <w:tc>
          <w:tcPr>
            <w:tcW w:w="449" w:type="pct"/>
            <w:shd w:val="clear" w:color="auto" w:fill="auto"/>
            <w:vAlign w:val="center"/>
          </w:tcPr>
          <w:p>
            <w:pPr>
              <w:spacing w:line="240" w:lineRule="exact"/>
              <w:jc w:val="center"/>
              <w:rPr>
                <w:color w:val="auto"/>
                <w:kern w:val="0"/>
                <w:szCs w:val="21"/>
                <w:highlight w:val="none"/>
              </w:rPr>
            </w:pPr>
            <w:r>
              <w:rPr>
                <w:color w:val="auto"/>
                <w:kern w:val="0"/>
                <w:szCs w:val="21"/>
                <w:highlight w:val="none"/>
              </w:rPr>
              <w:t>57</w:t>
            </w:r>
          </w:p>
        </w:tc>
        <w:tc>
          <w:tcPr>
            <w:tcW w:w="405" w:type="pct"/>
            <w:shd w:val="clear" w:color="auto" w:fill="auto"/>
            <w:vAlign w:val="center"/>
          </w:tcPr>
          <w:p>
            <w:pPr>
              <w:spacing w:line="240" w:lineRule="exact"/>
              <w:jc w:val="center"/>
              <w:rPr>
                <w:color w:val="auto"/>
                <w:kern w:val="0"/>
                <w:szCs w:val="21"/>
                <w:highlight w:val="none"/>
              </w:rPr>
            </w:pPr>
            <w:r>
              <w:rPr>
                <w:color w:val="auto"/>
                <w:kern w:val="0"/>
                <w:szCs w:val="21"/>
                <w:highlight w:val="none"/>
              </w:rPr>
              <w:t>51</w:t>
            </w:r>
          </w:p>
        </w:tc>
        <w:tc>
          <w:tcPr>
            <w:tcW w:w="380" w:type="pct"/>
            <w:shd w:val="clear" w:color="auto" w:fill="auto"/>
            <w:vAlign w:val="center"/>
          </w:tcPr>
          <w:p>
            <w:pPr>
              <w:spacing w:line="240" w:lineRule="exact"/>
              <w:jc w:val="center"/>
              <w:rPr>
                <w:color w:val="auto"/>
                <w:kern w:val="0"/>
                <w:szCs w:val="21"/>
                <w:highlight w:val="none"/>
              </w:rPr>
            </w:pPr>
            <w:r>
              <w:rPr>
                <w:color w:val="auto"/>
                <w:kern w:val="0"/>
                <w:szCs w:val="21"/>
                <w:highlight w:val="none"/>
              </w:rPr>
              <w:t>47</w:t>
            </w:r>
          </w:p>
        </w:tc>
        <w:tc>
          <w:tcPr>
            <w:tcW w:w="401" w:type="pct"/>
            <w:shd w:val="clear" w:color="auto" w:fill="auto"/>
            <w:vAlign w:val="center"/>
          </w:tcPr>
          <w:p>
            <w:pPr>
              <w:spacing w:line="240" w:lineRule="exact"/>
              <w:jc w:val="center"/>
              <w:rPr>
                <w:color w:val="auto"/>
                <w:kern w:val="0"/>
                <w:szCs w:val="21"/>
                <w:highlight w:val="none"/>
              </w:rPr>
            </w:pPr>
            <w:r>
              <w:rPr>
                <w:color w:val="auto"/>
                <w:kern w:val="0"/>
                <w:szCs w:val="21"/>
                <w:highlight w:val="none"/>
              </w:rPr>
              <w:t>45</w:t>
            </w:r>
          </w:p>
        </w:tc>
        <w:tc>
          <w:tcPr>
            <w:tcW w:w="446" w:type="pct"/>
            <w:shd w:val="clear" w:color="auto" w:fill="auto"/>
            <w:vAlign w:val="center"/>
          </w:tcPr>
          <w:p>
            <w:pPr>
              <w:spacing w:line="240" w:lineRule="exact"/>
              <w:jc w:val="center"/>
              <w:rPr>
                <w:color w:val="auto"/>
                <w:kern w:val="0"/>
                <w:szCs w:val="21"/>
                <w:highlight w:val="none"/>
              </w:rPr>
            </w:pPr>
            <w:r>
              <w:rPr>
                <w:color w:val="auto"/>
                <w:kern w:val="0"/>
                <w:szCs w:val="21"/>
                <w:highlight w:val="none"/>
              </w:rPr>
              <w:t>43</w:t>
            </w:r>
          </w:p>
        </w:tc>
        <w:tc>
          <w:tcPr>
            <w:tcW w:w="498" w:type="pct"/>
            <w:shd w:val="clear" w:color="auto" w:fill="auto"/>
            <w:vAlign w:val="center"/>
          </w:tcPr>
          <w:p>
            <w:pPr>
              <w:spacing w:line="240" w:lineRule="exact"/>
              <w:jc w:val="center"/>
              <w:rPr>
                <w:color w:val="auto"/>
                <w:kern w:val="0"/>
                <w:szCs w:val="21"/>
                <w:highlight w:val="none"/>
              </w:rPr>
            </w:pPr>
            <w:r>
              <w:rPr>
                <w:color w:val="auto"/>
                <w:kern w:val="0"/>
                <w:szCs w:val="21"/>
                <w:highlight w:val="none"/>
              </w:rPr>
              <w:t>37</w:t>
            </w:r>
          </w:p>
        </w:tc>
        <w:tc>
          <w:tcPr>
            <w:tcW w:w="449" w:type="pct"/>
            <w:shd w:val="clear" w:color="auto" w:fill="auto"/>
            <w:vAlign w:val="center"/>
          </w:tcPr>
          <w:p>
            <w:pPr>
              <w:spacing w:line="240" w:lineRule="exact"/>
              <w:jc w:val="center"/>
              <w:rPr>
                <w:color w:val="auto"/>
                <w:kern w:val="0"/>
                <w:szCs w:val="21"/>
                <w:highlight w:val="none"/>
              </w:rPr>
            </w:pPr>
            <w:r>
              <w:rPr>
                <w:color w:val="auto"/>
                <w:kern w:val="0"/>
                <w:szCs w:val="21"/>
                <w:highlight w:val="none"/>
              </w:rPr>
              <w:t>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7" w:type="pct"/>
            <w:shd w:val="clear" w:color="auto" w:fill="auto"/>
            <w:vAlign w:val="center"/>
          </w:tcPr>
          <w:p>
            <w:pPr>
              <w:spacing w:line="240" w:lineRule="exact"/>
              <w:jc w:val="center"/>
              <w:rPr>
                <w:color w:val="auto"/>
                <w:kern w:val="0"/>
                <w:szCs w:val="21"/>
                <w:highlight w:val="none"/>
              </w:rPr>
            </w:pPr>
            <w:r>
              <w:rPr>
                <w:color w:val="auto"/>
                <w:kern w:val="0"/>
                <w:szCs w:val="21"/>
                <w:highlight w:val="none"/>
              </w:rPr>
              <w:t>7</w:t>
            </w:r>
          </w:p>
        </w:tc>
        <w:tc>
          <w:tcPr>
            <w:tcW w:w="756" w:type="pct"/>
            <w:shd w:val="clear" w:color="auto" w:fill="auto"/>
            <w:vAlign w:val="center"/>
          </w:tcPr>
          <w:p>
            <w:pPr>
              <w:spacing w:line="240" w:lineRule="exact"/>
              <w:jc w:val="center"/>
              <w:rPr>
                <w:color w:val="auto"/>
                <w:kern w:val="0"/>
                <w:szCs w:val="21"/>
                <w:highlight w:val="none"/>
              </w:rPr>
            </w:pPr>
            <w:r>
              <w:rPr>
                <w:color w:val="auto"/>
                <w:kern w:val="0"/>
                <w:szCs w:val="21"/>
                <w:highlight w:val="none"/>
              </w:rPr>
              <w:t>打桩机</w:t>
            </w:r>
          </w:p>
        </w:tc>
        <w:tc>
          <w:tcPr>
            <w:tcW w:w="820" w:type="pct"/>
            <w:shd w:val="clear" w:color="auto" w:fill="auto"/>
            <w:vAlign w:val="center"/>
          </w:tcPr>
          <w:p>
            <w:pPr>
              <w:spacing w:line="240" w:lineRule="exact"/>
              <w:jc w:val="center"/>
              <w:rPr>
                <w:color w:val="auto"/>
                <w:kern w:val="0"/>
                <w:szCs w:val="21"/>
                <w:highlight w:val="none"/>
              </w:rPr>
            </w:pPr>
            <w:r>
              <w:rPr>
                <w:color w:val="auto"/>
                <w:kern w:val="0"/>
                <w:szCs w:val="21"/>
                <w:highlight w:val="none"/>
              </w:rPr>
              <w:t>110</w:t>
            </w:r>
          </w:p>
        </w:tc>
        <w:tc>
          <w:tcPr>
            <w:tcW w:w="449" w:type="pct"/>
            <w:shd w:val="clear" w:color="auto" w:fill="auto"/>
            <w:vAlign w:val="center"/>
          </w:tcPr>
          <w:p>
            <w:pPr>
              <w:spacing w:line="240" w:lineRule="exact"/>
              <w:jc w:val="center"/>
              <w:rPr>
                <w:color w:val="auto"/>
                <w:kern w:val="0"/>
                <w:szCs w:val="21"/>
                <w:highlight w:val="none"/>
              </w:rPr>
            </w:pPr>
            <w:r>
              <w:rPr>
                <w:color w:val="auto"/>
                <w:kern w:val="0"/>
                <w:szCs w:val="21"/>
                <w:highlight w:val="none"/>
              </w:rPr>
              <w:t>84</w:t>
            </w:r>
          </w:p>
        </w:tc>
        <w:tc>
          <w:tcPr>
            <w:tcW w:w="405" w:type="pct"/>
            <w:shd w:val="clear" w:color="auto" w:fill="auto"/>
            <w:vAlign w:val="center"/>
          </w:tcPr>
          <w:p>
            <w:pPr>
              <w:spacing w:line="240" w:lineRule="exact"/>
              <w:jc w:val="center"/>
              <w:rPr>
                <w:color w:val="auto"/>
                <w:kern w:val="0"/>
                <w:szCs w:val="21"/>
                <w:highlight w:val="none"/>
              </w:rPr>
            </w:pPr>
            <w:r>
              <w:rPr>
                <w:color w:val="auto"/>
                <w:kern w:val="0"/>
                <w:szCs w:val="21"/>
                <w:highlight w:val="none"/>
              </w:rPr>
              <w:t>78</w:t>
            </w:r>
          </w:p>
        </w:tc>
        <w:tc>
          <w:tcPr>
            <w:tcW w:w="380" w:type="pct"/>
            <w:shd w:val="clear" w:color="auto" w:fill="auto"/>
            <w:vAlign w:val="center"/>
          </w:tcPr>
          <w:p>
            <w:pPr>
              <w:spacing w:line="240" w:lineRule="exact"/>
              <w:jc w:val="center"/>
              <w:rPr>
                <w:color w:val="auto"/>
                <w:kern w:val="0"/>
                <w:szCs w:val="21"/>
                <w:highlight w:val="none"/>
              </w:rPr>
            </w:pPr>
            <w:r>
              <w:rPr>
                <w:color w:val="auto"/>
                <w:kern w:val="0"/>
                <w:szCs w:val="21"/>
                <w:highlight w:val="none"/>
              </w:rPr>
              <w:t>74</w:t>
            </w:r>
          </w:p>
        </w:tc>
        <w:tc>
          <w:tcPr>
            <w:tcW w:w="401" w:type="pct"/>
            <w:shd w:val="clear" w:color="auto" w:fill="auto"/>
            <w:vAlign w:val="center"/>
          </w:tcPr>
          <w:p>
            <w:pPr>
              <w:spacing w:line="240" w:lineRule="exact"/>
              <w:jc w:val="center"/>
              <w:rPr>
                <w:color w:val="auto"/>
                <w:kern w:val="0"/>
                <w:szCs w:val="21"/>
                <w:highlight w:val="none"/>
              </w:rPr>
            </w:pPr>
            <w:r>
              <w:rPr>
                <w:color w:val="auto"/>
                <w:kern w:val="0"/>
                <w:szCs w:val="21"/>
                <w:highlight w:val="none"/>
              </w:rPr>
              <w:t>72</w:t>
            </w:r>
          </w:p>
        </w:tc>
        <w:tc>
          <w:tcPr>
            <w:tcW w:w="446" w:type="pct"/>
            <w:shd w:val="clear" w:color="auto" w:fill="auto"/>
            <w:vAlign w:val="center"/>
          </w:tcPr>
          <w:p>
            <w:pPr>
              <w:spacing w:line="240" w:lineRule="exact"/>
              <w:jc w:val="center"/>
              <w:rPr>
                <w:color w:val="auto"/>
                <w:kern w:val="0"/>
                <w:szCs w:val="21"/>
                <w:highlight w:val="none"/>
              </w:rPr>
            </w:pPr>
            <w:r>
              <w:rPr>
                <w:color w:val="auto"/>
                <w:kern w:val="0"/>
                <w:szCs w:val="21"/>
                <w:highlight w:val="none"/>
              </w:rPr>
              <w:t>70</w:t>
            </w:r>
          </w:p>
        </w:tc>
        <w:tc>
          <w:tcPr>
            <w:tcW w:w="498" w:type="pct"/>
            <w:shd w:val="clear" w:color="auto" w:fill="auto"/>
            <w:vAlign w:val="center"/>
          </w:tcPr>
          <w:p>
            <w:pPr>
              <w:spacing w:line="240" w:lineRule="exact"/>
              <w:jc w:val="center"/>
              <w:rPr>
                <w:color w:val="auto"/>
                <w:kern w:val="0"/>
                <w:szCs w:val="21"/>
                <w:highlight w:val="none"/>
              </w:rPr>
            </w:pPr>
            <w:r>
              <w:rPr>
                <w:color w:val="auto"/>
                <w:kern w:val="0"/>
                <w:szCs w:val="21"/>
                <w:highlight w:val="none"/>
              </w:rPr>
              <w:t>64</w:t>
            </w:r>
          </w:p>
        </w:tc>
        <w:tc>
          <w:tcPr>
            <w:tcW w:w="449" w:type="pct"/>
            <w:shd w:val="clear" w:color="auto" w:fill="auto"/>
            <w:vAlign w:val="center"/>
          </w:tcPr>
          <w:p>
            <w:pPr>
              <w:spacing w:line="240" w:lineRule="exact"/>
              <w:jc w:val="center"/>
              <w:rPr>
                <w:color w:val="auto"/>
                <w:kern w:val="0"/>
                <w:szCs w:val="21"/>
                <w:highlight w:val="none"/>
              </w:rPr>
            </w:pPr>
            <w:r>
              <w:rPr>
                <w:color w:val="auto"/>
                <w:kern w:val="0"/>
                <w:szCs w:val="21"/>
                <w:highlight w:val="none"/>
              </w:rPr>
              <w:t>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7" w:type="pct"/>
            <w:shd w:val="clear" w:color="auto" w:fill="auto"/>
            <w:vAlign w:val="center"/>
          </w:tcPr>
          <w:p>
            <w:pPr>
              <w:spacing w:line="240" w:lineRule="exact"/>
              <w:jc w:val="center"/>
              <w:rPr>
                <w:color w:val="auto"/>
                <w:kern w:val="0"/>
                <w:szCs w:val="21"/>
                <w:highlight w:val="none"/>
              </w:rPr>
            </w:pPr>
            <w:r>
              <w:rPr>
                <w:color w:val="auto"/>
                <w:kern w:val="0"/>
                <w:szCs w:val="21"/>
                <w:highlight w:val="none"/>
              </w:rPr>
              <w:t>8</w:t>
            </w:r>
          </w:p>
        </w:tc>
        <w:tc>
          <w:tcPr>
            <w:tcW w:w="756" w:type="pct"/>
            <w:shd w:val="clear" w:color="auto" w:fill="auto"/>
            <w:vAlign w:val="center"/>
          </w:tcPr>
          <w:p>
            <w:pPr>
              <w:spacing w:line="240" w:lineRule="exact"/>
              <w:jc w:val="center"/>
              <w:rPr>
                <w:color w:val="auto"/>
                <w:kern w:val="0"/>
                <w:szCs w:val="21"/>
                <w:highlight w:val="none"/>
              </w:rPr>
            </w:pPr>
            <w:r>
              <w:rPr>
                <w:color w:val="auto"/>
                <w:kern w:val="0"/>
                <w:szCs w:val="21"/>
                <w:highlight w:val="none"/>
              </w:rPr>
              <w:t>震捣棒</w:t>
            </w:r>
          </w:p>
        </w:tc>
        <w:tc>
          <w:tcPr>
            <w:tcW w:w="820" w:type="pct"/>
            <w:shd w:val="clear" w:color="auto" w:fill="auto"/>
            <w:vAlign w:val="center"/>
          </w:tcPr>
          <w:p>
            <w:pPr>
              <w:spacing w:line="240" w:lineRule="exact"/>
              <w:jc w:val="center"/>
              <w:rPr>
                <w:color w:val="auto"/>
                <w:kern w:val="0"/>
                <w:szCs w:val="21"/>
                <w:highlight w:val="none"/>
              </w:rPr>
            </w:pPr>
            <w:r>
              <w:rPr>
                <w:color w:val="auto"/>
                <w:kern w:val="0"/>
                <w:szCs w:val="21"/>
                <w:highlight w:val="none"/>
              </w:rPr>
              <w:t>105</w:t>
            </w:r>
          </w:p>
        </w:tc>
        <w:tc>
          <w:tcPr>
            <w:tcW w:w="449" w:type="pct"/>
            <w:shd w:val="clear" w:color="auto" w:fill="auto"/>
            <w:vAlign w:val="center"/>
          </w:tcPr>
          <w:p>
            <w:pPr>
              <w:spacing w:line="240" w:lineRule="exact"/>
              <w:jc w:val="center"/>
              <w:rPr>
                <w:color w:val="auto"/>
                <w:kern w:val="0"/>
                <w:szCs w:val="21"/>
                <w:highlight w:val="none"/>
              </w:rPr>
            </w:pPr>
            <w:r>
              <w:rPr>
                <w:color w:val="auto"/>
                <w:kern w:val="0"/>
                <w:szCs w:val="21"/>
                <w:highlight w:val="none"/>
              </w:rPr>
              <w:t>79</w:t>
            </w:r>
          </w:p>
        </w:tc>
        <w:tc>
          <w:tcPr>
            <w:tcW w:w="405" w:type="pct"/>
            <w:shd w:val="clear" w:color="auto" w:fill="auto"/>
            <w:vAlign w:val="center"/>
          </w:tcPr>
          <w:p>
            <w:pPr>
              <w:spacing w:line="240" w:lineRule="exact"/>
              <w:jc w:val="center"/>
              <w:rPr>
                <w:color w:val="auto"/>
                <w:kern w:val="0"/>
                <w:szCs w:val="21"/>
                <w:highlight w:val="none"/>
              </w:rPr>
            </w:pPr>
            <w:r>
              <w:rPr>
                <w:color w:val="auto"/>
                <w:kern w:val="0"/>
                <w:szCs w:val="21"/>
                <w:highlight w:val="none"/>
              </w:rPr>
              <w:t>73</w:t>
            </w:r>
          </w:p>
        </w:tc>
        <w:tc>
          <w:tcPr>
            <w:tcW w:w="380" w:type="pct"/>
            <w:shd w:val="clear" w:color="auto" w:fill="auto"/>
            <w:vAlign w:val="center"/>
          </w:tcPr>
          <w:p>
            <w:pPr>
              <w:spacing w:line="240" w:lineRule="exact"/>
              <w:jc w:val="center"/>
              <w:rPr>
                <w:color w:val="auto"/>
                <w:kern w:val="0"/>
                <w:szCs w:val="21"/>
                <w:highlight w:val="none"/>
              </w:rPr>
            </w:pPr>
            <w:r>
              <w:rPr>
                <w:color w:val="auto"/>
                <w:kern w:val="0"/>
                <w:szCs w:val="21"/>
                <w:highlight w:val="none"/>
              </w:rPr>
              <w:t>69</w:t>
            </w:r>
          </w:p>
        </w:tc>
        <w:tc>
          <w:tcPr>
            <w:tcW w:w="401" w:type="pct"/>
            <w:shd w:val="clear" w:color="auto" w:fill="auto"/>
            <w:vAlign w:val="center"/>
          </w:tcPr>
          <w:p>
            <w:pPr>
              <w:spacing w:line="240" w:lineRule="exact"/>
              <w:jc w:val="center"/>
              <w:rPr>
                <w:color w:val="auto"/>
                <w:kern w:val="0"/>
                <w:szCs w:val="21"/>
                <w:highlight w:val="none"/>
              </w:rPr>
            </w:pPr>
            <w:r>
              <w:rPr>
                <w:color w:val="auto"/>
                <w:kern w:val="0"/>
                <w:szCs w:val="21"/>
                <w:highlight w:val="none"/>
              </w:rPr>
              <w:t>67</w:t>
            </w:r>
          </w:p>
        </w:tc>
        <w:tc>
          <w:tcPr>
            <w:tcW w:w="446" w:type="pct"/>
            <w:shd w:val="clear" w:color="auto" w:fill="auto"/>
            <w:vAlign w:val="center"/>
          </w:tcPr>
          <w:p>
            <w:pPr>
              <w:spacing w:line="240" w:lineRule="exact"/>
              <w:jc w:val="center"/>
              <w:rPr>
                <w:color w:val="auto"/>
                <w:kern w:val="0"/>
                <w:szCs w:val="21"/>
                <w:highlight w:val="none"/>
              </w:rPr>
            </w:pPr>
            <w:r>
              <w:rPr>
                <w:color w:val="auto"/>
                <w:kern w:val="0"/>
                <w:szCs w:val="21"/>
                <w:highlight w:val="none"/>
              </w:rPr>
              <w:t>65</w:t>
            </w:r>
          </w:p>
        </w:tc>
        <w:tc>
          <w:tcPr>
            <w:tcW w:w="498" w:type="pct"/>
            <w:shd w:val="clear" w:color="auto" w:fill="auto"/>
            <w:vAlign w:val="center"/>
          </w:tcPr>
          <w:p>
            <w:pPr>
              <w:spacing w:line="240" w:lineRule="exact"/>
              <w:jc w:val="center"/>
              <w:rPr>
                <w:color w:val="auto"/>
                <w:kern w:val="0"/>
                <w:szCs w:val="21"/>
                <w:highlight w:val="none"/>
              </w:rPr>
            </w:pPr>
            <w:r>
              <w:rPr>
                <w:color w:val="auto"/>
                <w:kern w:val="0"/>
                <w:szCs w:val="21"/>
                <w:highlight w:val="none"/>
              </w:rPr>
              <w:t>59</w:t>
            </w:r>
          </w:p>
        </w:tc>
        <w:tc>
          <w:tcPr>
            <w:tcW w:w="449" w:type="pct"/>
            <w:shd w:val="clear" w:color="auto" w:fill="auto"/>
            <w:vAlign w:val="center"/>
          </w:tcPr>
          <w:p>
            <w:pPr>
              <w:spacing w:line="240" w:lineRule="exact"/>
              <w:jc w:val="center"/>
              <w:rPr>
                <w:color w:val="auto"/>
                <w:kern w:val="0"/>
                <w:szCs w:val="21"/>
                <w:highlight w:val="none"/>
              </w:rPr>
            </w:pPr>
            <w:r>
              <w:rPr>
                <w:color w:val="auto"/>
                <w:kern w:val="0"/>
                <w:szCs w:val="21"/>
                <w:highlight w:val="none"/>
              </w:rPr>
              <w:t>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7" w:type="pct"/>
            <w:shd w:val="clear" w:color="auto" w:fill="auto"/>
            <w:vAlign w:val="center"/>
          </w:tcPr>
          <w:p>
            <w:pPr>
              <w:spacing w:line="240" w:lineRule="exact"/>
              <w:jc w:val="center"/>
              <w:rPr>
                <w:color w:val="auto"/>
                <w:kern w:val="0"/>
                <w:szCs w:val="21"/>
                <w:highlight w:val="none"/>
              </w:rPr>
            </w:pPr>
            <w:r>
              <w:rPr>
                <w:color w:val="auto"/>
                <w:kern w:val="0"/>
                <w:szCs w:val="21"/>
                <w:highlight w:val="none"/>
              </w:rPr>
              <w:t>9</w:t>
            </w:r>
          </w:p>
        </w:tc>
        <w:tc>
          <w:tcPr>
            <w:tcW w:w="756" w:type="pct"/>
            <w:shd w:val="clear" w:color="auto" w:fill="auto"/>
            <w:vAlign w:val="center"/>
          </w:tcPr>
          <w:p>
            <w:pPr>
              <w:spacing w:line="240" w:lineRule="exact"/>
              <w:jc w:val="center"/>
              <w:rPr>
                <w:color w:val="auto"/>
                <w:kern w:val="0"/>
                <w:szCs w:val="21"/>
                <w:highlight w:val="none"/>
              </w:rPr>
            </w:pPr>
            <w:r>
              <w:rPr>
                <w:color w:val="auto"/>
                <w:kern w:val="0"/>
                <w:szCs w:val="21"/>
                <w:highlight w:val="none"/>
              </w:rPr>
              <w:t>混凝土泵</w:t>
            </w:r>
          </w:p>
        </w:tc>
        <w:tc>
          <w:tcPr>
            <w:tcW w:w="820" w:type="pct"/>
            <w:shd w:val="clear" w:color="auto" w:fill="auto"/>
            <w:vAlign w:val="center"/>
          </w:tcPr>
          <w:p>
            <w:pPr>
              <w:spacing w:line="240" w:lineRule="exact"/>
              <w:jc w:val="center"/>
              <w:rPr>
                <w:color w:val="auto"/>
                <w:kern w:val="0"/>
                <w:szCs w:val="21"/>
                <w:highlight w:val="none"/>
              </w:rPr>
            </w:pPr>
            <w:r>
              <w:rPr>
                <w:color w:val="auto"/>
                <w:kern w:val="0"/>
                <w:szCs w:val="21"/>
                <w:highlight w:val="none"/>
              </w:rPr>
              <w:t>85</w:t>
            </w:r>
          </w:p>
        </w:tc>
        <w:tc>
          <w:tcPr>
            <w:tcW w:w="449" w:type="pct"/>
            <w:shd w:val="clear" w:color="auto" w:fill="auto"/>
            <w:vAlign w:val="center"/>
          </w:tcPr>
          <w:p>
            <w:pPr>
              <w:spacing w:line="240" w:lineRule="exact"/>
              <w:jc w:val="center"/>
              <w:rPr>
                <w:color w:val="auto"/>
                <w:kern w:val="0"/>
                <w:szCs w:val="21"/>
                <w:highlight w:val="none"/>
              </w:rPr>
            </w:pPr>
            <w:r>
              <w:rPr>
                <w:color w:val="auto"/>
                <w:kern w:val="0"/>
                <w:szCs w:val="21"/>
                <w:highlight w:val="none"/>
              </w:rPr>
              <w:t>59</w:t>
            </w:r>
          </w:p>
        </w:tc>
        <w:tc>
          <w:tcPr>
            <w:tcW w:w="405" w:type="pct"/>
            <w:shd w:val="clear" w:color="auto" w:fill="auto"/>
            <w:vAlign w:val="center"/>
          </w:tcPr>
          <w:p>
            <w:pPr>
              <w:spacing w:line="240" w:lineRule="exact"/>
              <w:jc w:val="center"/>
              <w:rPr>
                <w:color w:val="auto"/>
                <w:kern w:val="0"/>
                <w:szCs w:val="21"/>
                <w:highlight w:val="none"/>
              </w:rPr>
            </w:pPr>
            <w:r>
              <w:rPr>
                <w:color w:val="auto"/>
                <w:kern w:val="0"/>
                <w:szCs w:val="21"/>
                <w:highlight w:val="none"/>
              </w:rPr>
              <w:t>53</w:t>
            </w:r>
          </w:p>
        </w:tc>
        <w:tc>
          <w:tcPr>
            <w:tcW w:w="380" w:type="pct"/>
            <w:shd w:val="clear" w:color="auto" w:fill="auto"/>
            <w:vAlign w:val="center"/>
          </w:tcPr>
          <w:p>
            <w:pPr>
              <w:spacing w:line="240" w:lineRule="exact"/>
              <w:jc w:val="center"/>
              <w:rPr>
                <w:color w:val="auto"/>
                <w:kern w:val="0"/>
                <w:szCs w:val="21"/>
                <w:highlight w:val="none"/>
              </w:rPr>
            </w:pPr>
            <w:r>
              <w:rPr>
                <w:color w:val="auto"/>
                <w:kern w:val="0"/>
                <w:szCs w:val="21"/>
                <w:highlight w:val="none"/>
              </w:rPr>
              <w:t>49</w:t>
            </w:r>
          </w:p>
        </w:tc>
        <w:tc>
          <w:tcPr>
            <w:tcW w:w="401" w:type="pct"/>
            <w:shd w:val="clear" w:color="auto" w:fill="auto"/>
            <w:vAlign w:val="center"/>
          </w:tcPr>
          <w:p>
            <w:pPr>
              <w:spacing w:line="240" w:lineRule="exact"/>
              <w:jc w:val="center"/>
              <w:rPr>
                <w:color w:val="auto"/>
                <w:kern w:val="0"/>
                <w:szCs w:val="21"/>
                <w:highlight w:val="none"/>
              </w:rPr>
            </w:pPr>
            <w:r>
              <w:rPr>
                <w:color w:val="auto"/>
                <w:kern w:val="0"/>
                <w:szCs w:val="21"/>
                <w:highlight w:val="none"/>
              </w:rPr>
              <w:t>47</w:t>
            </w:r>
          </w:p>
        </w:tc>
        <w:tc>
          <w:tcPr>
            <w:tcW w:w="446" w:type="pct"/>
            <w:shd w:val="clear" w:color="auto" w:fill="auto"/>
            <w:vAlign w:val="center"/>
          </w:tcPr>
          <w:p>
            <w:pPr>
              <w:spacing w:line="240" w:lineRule="exact"/>
              <w:jc w:val="center"/>
              <w:rPr>
                <w:color w:val="auto"/>
                <w:kern w:val="0"/>
                <w:szCs w:val="21"/>
                <w:highlight w:val="none"/>
              </w:rPr>
            </w:pPr>
            <w:r>
              <w:rPr>
                <w:color w:val="auto"/>
                <w:kern w:val="0"/>
                <w:szCs w:val="21"/>
                <w:highlight w:val="none"/>
              </w:rPr>
              <w:t>45</w:t>
            </w:r>
          </w:p>
        </w:tc>
        <w:tc>
          <w:tcPr>
            <w:tcW w:w="498" w:type="pct"/>
            <w:shd w:val="clear" w:color="auto" w:fill="auto"/>
            <w:vAlign w:val="center"/>
          </w:tcPr>
          <w:p>
            <w:pPr>
              <w:spacing w:line="240" w:lineRule="exact"/>
              <w:jc w:val="center"/>
              <w:rPr>
                <w:color w:val="auto"/>
                <w:kern w:val="0"/>
                <w:szCs w:val="21"/>
                <w:highlight w:val="none"/>
              </w:rPr>
            </w:pPr>
            <w:r>
              <w:rPr>
                <w:color w:val="auto"/>
                <w:kern w:val="0"/>
                <w:szCs w:val="21"/>
                <w:highlight w:val="none"/>
              </w:rPr>
              <w:t>39</w:t>
            </w:r>
          </w:p>
        </w:tc>
        <w:tc>
          <w:tcPr>
            <w:tcW w:w="449" w:type="pct"/>
            <w:shd w:val="clear" w:color="auto" w:fill="auto"/>
            <w:vAlign w:val="center"/>
          </w:tcPr>
          <w:p>
            <w:pPr>
              <w:spacing w:line="240" w:lineRule="exact"/>
              <w:jc w:val="center"/>
              <w:rPr>
                <w:color w:val="auto"/>
                <w:kern w:val="0"/>
                <w:szCs w:val="21"/>
                <w:highlight w:val="none"/>
              </w:rPr>
            </w:pPr>
            <w:r>
              <w:rPr>
                <w:color w:val="auto"/>
                <w:kern w:val="0"/>
                <w:szCs w:val="21"/>
                <w:highlight w:val="none"/>
              </w:rPr>
              <w:t>35</w:t>
            </w:r>
          </w:p>
        </w:tc>
      </w:tr>
    </w:tbl>
    <w:p>
      <w:pPr>
        <w:pStyle w:val="99"/>
        <w:ind w:firstLine="480"/>
        <w:rPr>
          <w:color w:val="auto"/>
          <w:highlight w:val="none"/>
        </w:rPr>
      </w:pPr>
      <w:r>
        <w:rPr>
          <w:color w:val="auto"/>
          <w:highlight w:val="none"/>
        </w:rPr>
        <w:t>拟建项目采用机械化施工，持续时间较短，另外施工机械和设备以昼间施工为主。从表4.8-2中可以看出，在不计房屋、树木、空气等的影响下，距施工场地边界100m处，其最大影响声级可达70dB(A)，距施工场地边界300m处，其最大影响声级可达60dB(A)，基本符合建筑施工场界昼间噪声值。一般施工现场均为多台机械同时作业，它们的声级相互叠加，根据以上常用施工机械的噪声声压级，多台机械同时作业的声压级叠加值将增加1~5dB(A)。若考虑房屋、树木等的减噪作用，按减噪15dB(A)考虑，则施工场地两侧100m处可达到建筑施工厂界昼间噪声限值。厂址附近最近村庄距离施工场地的最近距离是</w:t>
      </w:r>
      <w:r>
        <w:rPr>
          <w:rFonts w:hint="eastAsia"/>
          <w:color w:val="auto"/>
          <w:sz w:val="24"/>
          <w:highlight w:val="none"/>
        </w:rPr>
        <w:t>生产车间</w:t>
      </w:r>
      <w:r>
        <w:rPr>
          <w:rFonts w:hint="eastAsia"/>
          <w:color w:val="auto"/>
          <w:sz w:val="24"/>
          <w:highlight w:val="none"/>
          <w:lang w:val="en-US" w:eastAsia="zh-CN"/>
        </w:rPr>
        <w:t>东侧</w:t>
      </w:r>
      <w:r>
        <w:rPr>
          <w:rFonts w:hint="eastAsia"/>
          <w:color w:val="auto"/>
          <w:sz w:val="24"/>
          <w:highlight w:val="none"/>
        </w:rPr>
        <w:t>约120m</w:t>
      </w:r>
      <w:r>
        <w:rPr>
          <w:rFonts w:hint="eastAsia"/>
          <w:color w:val="auto"/>
          <w:sz w:val="24"/>
          <w:highlight w:val="none"/>
          <w:lang w:val="en-US" w:eastAsia="zh-CN"/>
        </w:rPr>
        <w:t>的</w:t>
      </w:r>
      <w:r>
        <w:rPr>
          <w:rFonts w:hint="eastAsia"/>
          <w:color w:val="auto"/>
          <w:sz w:val="24"/>
          <w:highlight w:val="none"/>
        </w:rPr>
        <w:t>大官庄村</w:t>
      </w:r>
      <w:r>
        <w:rPr>
          <w:color w:val="auto"/>
          <w:highlight w:val="none"/>
        </w:rPr>
        <w:t>，施工噪声对村庄产生的影响较小，但在施工时应需要加强噪声管理，将噪声扰民降到最低。</w:t>
      </w:r>
    </w:p>
    <w:p>
      <w:pPr>
        <w:pStyle w:val="101"/>
        <w:spacing w:before="78"/>
        <w:rPr>
          <w:rFonts w:ascii="Times New Roman" w:hAnsi="Times New Roman"/>
          <w:color w:val="auto"/>
          <w:highlight w:val="none"/>
        </w:rPr>
      </w:pPr>
      <w:r>
        <w:rPr>
          <w:rFonts w:ascii="Times New Roman" w:hAnsi="Times New Roman"/>
          <w:color w:val="auto"/>
          <w:highlight w:val="none"/>
        </w:rPr>
        <w:t>4.8.2施工大气环境影响分析</w:t>
      </w:r>
    </w:p>
    <w:p>
      <w:pPr>
        <w:pStyle w:val="99"/>
        <w:ind w:firstLine="480"/>
        <w:rPr>
          <w:color w:val="auto"/>
          <w:szCs w:val="24"/>
          <w:highlight w:val="none"/>
        </w:rPr>
      </w:pPr>
      <w:r>
        <w:rPr>
          <w:color w:val="auto"/>
          <w:szCs w:val="24"/>
          <w:highlight w:val="none"/>
        </w:rPr>
        <w:t>施工期间将产生扬尘，如车辆装载过多运输时散落的泥土、车轮粘满泥土导致运输公路路面的污染，另外工程施工中土方处置不当、乱丢乱放也将产生大量固体垃圾。</w:t>
      </w:r>
    </w:p>
    <w:p>
      <w:pPr>
        <w:pStyle w:val="99"/>
        <w:ind w:firstLine="480"/>
        <w:rPr>
          <w:color w:val="auto"/>
          <w:szCs w:val="24"/>
          <w:highlight w:val="none"/>
        </w:rPr>
      </w:pPr>
      <w:r>
        <w:rPr>
          <w:color w:val="auto"/>
          <w:szCs w:val="24"/>
          <w:highlight w:val="none"/>
        </w:rPr>
        <w:t>这些废物会造成晴天尘土飞扬、雨天则满地泥泞，严重影响土地利用和交通运输，因此施工中必须注意施工道路散落物的处置。其直接影响是产生扬尘，施工中运输量增加也会增加沿路的扬尘量，另外露天堆放的土方也产生扬尘。扬尘使大气中悬浮微粒含量骤增，并随风迁移到其他地方，严重影响附近居民和过往行人的呼吸健康，也影响市容和景观。运输扬尘一般在尘源道路两侧30m的范围，扬尘因路而异，土路比水泥路TSP高2-3倍。各类施工机械运行中排放尾气，主要污染物为CO、NOx、HC，由于污染源较分散，且每天排放的量相对较少，因此，对区域大气环境影响较小。施工现场生活炉灶排放废气，主要污染物有TSP、NOx、SO</w:t>
      </w:r>
      <w:r>
        <w:rPr>
          <w:color w:val="auto"/>
          <w:sz w:val="16"/>
          <w:szCs w:val="16"/>
          <w:highlight w:val="none"/>
        </w:rPr>
        <w:t>2</w:t>
      </w:r>
      <w:r>
        <w:rPr>
          <w:color w:val="auto"/>
          <w:szCs w:val="24"/>
          <w:highlight w:val="none"/>
        </w:rPr>
        <w:t>，由于生活炉灶多为小型炉灶，且一般为临时设置，废气排放具有间断性，因此对大气环境影响较小。</w:t>
      </w:r>
    </w:p>
    <w:p>
      <w:pPr>
        <w:pStyle w:val="101"/>
        <w:spacing w:before="78"/>
        <w:rPr>
          <w:rFonts w:ascii="Times New Roman" w:hAnsi="Times New Roman"/>
          <w:color w:val="auto"/>
          <w:highlight w:val="none"/>
        </w:rPr>
      </w:pPr>
      <w:r>
        <w:rPr>
          <w:rFonts w:ascii="Times New Roman" w:hAnsi="Times New Roman"/>
          <w:color w:val="auto"/>
          <w:highlight w:val="none"/>
        </w:rPr>
        <w:t>4.8.3施工期废水排放分析</w:t>
      </w:r>
    </w:p>
    <w:p>
      <w:pPr>
        <w:pStyle w:val="99"/>
        <w:ind w:firstLine="480"/>
        <w:rPr>
          <w:color w:val="auto"/>
          <w:szCs w:val="24"/>
          <w:highlight w:val="none"/>
        </w:rPr>
      </w:pPr>
      <w:r>
        <w:rPr>
          <w:color w:val="auto"/>
          <w:szCs w:val="24"/>
          <w:highlight w:val="none"/>
        </w:rPr>
        <w:t>施工期废水主要是施工现场工人生活区排放的生活污水，施工活动中排放的各类生产废水等等。生活污水主要污染物是悬浮物、BOD</w:t>
      </w:r>
      <w:r>
        <w:rPr>
          <w:color w:val="auto"/>
          <w:sz w:val="16"/>
          <w:szCs w:val="16"/>
          <w:highlight w:val="none"/>
        </w:rPr>
        <w:t>5</w:t>
      </w:r>
      <w:r>
        <w:rPr>
          <w:color w:val="auto"/>
          <w:szCs w:val="24"/>
          <w:highlight w:val="none"/>
        </w:rPr>
        <w:t>等；生产废水包括清洗车辆、机械设备等废水，主要污染物是悬浮物、石油类等。施工区采用防渗旱厕，定期由环卫部门清运，并严格进行管理，同时，注意节约用水，减少污水的产生量。施工中生产废水的主要污染因子为SS，设置沉淀池，处理后回用不外排，对周围环境产生影响较小。因为本工程施工范围有限，不会产生严重的水土流失现象，该项目对水环境的影响有限。</w:t>
      </w:r>
    </w:p>
    <w:p>
      <w:pPr>
        <w:pStyle w:val="101"/>
        <w:spacing w:before="78"/>
        <w:rPr>
          <w:rFonts w:ascii="Times New Roman" w:hAnsi="Times New Roman"/>
          <w:color w:val="auto"/>
          <w:highlight w:val="none"/>
        </w:rPr>
      </w:pPr>
      <w:r>
        <w:rPr>
          <w:rFonts w:ascii="Times New Roman" w:hAnsi="Times New Roman"/>
          <w:color w:val="auto"/>
          <w:highlight w:val="none"/>
        </w:rPr>
        <w:t>4.8.4施工固体废物环境影响分析</w:t>
      </w:r>
    </w:p>
    <w:p>
      <w:pPr>
        <w:pStyle w:val="99"/>
        <w:ind w:firstLine="480"/>
        <w:rPr>
          <w:color w:val="auto"/>
          <w:szCs w:val="24"/>
          <w:highlight w:val="none"/>
        </w:rPr>
      </w:pPr>
      <w:r>
        <w:rPr>
          <w:color w:val="auto"/>
          <w:szCs w:val="24"/>
          <w:highlight w:val="none"/>
        </w:rPr>
        <w:t>施工期间产生的固体废弃物主要为废弃的碎砖、石、冲洗残渣、各类建材的包装箱、袋和生活垃圾等，以及施工场地拆迁和装修产生的建筑垃圾。施工期间对废弃的碎砖石、残渣、建筑垃圾等基本就地处置，作填筑地基用；包装物也基本上回收利用或销售给废品收购站。因此，上述废弃物不会对周围环境产生较大影响。</w:t>
      </w:r>
    </w:p>
    <w:p>
      <w:pPr>
        <w:pStyle w:val="99"/>
        <w:ind w:firstLine="480"/>
        <w:rPr>
          <w:color w:val="auto"/>
          <w:szCs w:val="24"/>
          <w:highlight w:val="none"/>
        </w:rPr>
      </w:pPr>
      <w:r>
        <w:rPr>
          <w:color w:val="auto"/>
          <w:szCs w:val="24"/>
          <w:highlight w:val="none"/>
        </w:rPr>
        <w:t>综上分析，由于本项目施工期较短，各类污染物的产生量较小，在采取相应的防治措施后，对周围环境的影响很小，并会随施工期的结束而消失。</w:t>
      </w:r>
    </w:p>
    <w:p>
      <w:pPr>
        <w:pStyle w:val="101"/>
        <w:spacing w:before="78"/>
        <w:rPr>
          <w:rFonts w:ascii="Times New Roman" w:hAnsi="Times New Roman"/>
          <w:color w:val="auto"/>
          <w:highlight w:val="none"/>
        </w:rPr>
      </w:pPr>
      <w:r>
        <w:rPr>
          <w:rFonts w:ascii="Times New Roman" w:hAnsi="Times New Roman"/>
          <w:color w:val="auto"/>
          <w:highlight w:val="none"/>
        </w:rPr>
        <w:t>4.8.5施工土地占用及对土壤植被的影响</w:t>
      </w:r>
    </w:p>
    <w:p>
      <w:pPr>
        <w:pStyle w:val="99"/>
        <w:ind w:firstLine="480"/>
        <w:rPr>
          <w:color w:val="auto"/>
          <w:szCs w:val="24"/>
          <w:highlight w:val="none"/>
        </w:rPr>
      </w:pPr>
      <w:r>
        <w:rPr>
          <w:color w:val="auto"/>
          <w:szCs w:val="24"/>
          <w:highlight w:val="none"/>
        </w:rPr>
        <w:t>拟建现状厂址</w:t>
      </w:r>
      <w:r>
        <w:rPr>
          <w:rFonts w:hint="eastAsia"/>
          <w:color w:val="auto"/>
          <w:szCs w:val="24"/>
          <w:highlight w:val="none"/>
        </w:rPr>
        <w:t>内现有闲置厂房，项目建设</w:t>
      </w:r>
      <w:r>
        <w:rPr>
          <w:color w:val="auto"/>
          <w:szCs w:val="24"/>
          <w:highlight w:val="none"/>
        </w:rPr>
        <w:t>对土壤植被的破坏很小，不会对区域生态环境造成影响。</w:t>
      </w:r>
    </w:p>
    <w:p>
      <w:pPr>
        <w:pStyle w:val="101"/>
        <w:spacing w:before="78"/>
        <w:rPr>
          <w:rFonts w:ascii="Times New Roman" w:hAnsi="Times New Roman"/>
          <w:color w:val="auto"/>
          <w:highlight w:val="none"/>
        </w:rPr>
      </w:pPr>
      <w:r>
        <w:rPr>
          <w:rFonts w:ascii="Times New Roman" w:hAnsi="Times New Roman"/>
          <w:color w:val="auto"/>
          <w:highlight w:val="none"/>
        </w:rPr>
        <w:t>4.8.7对交通的影响</w:t>
      </w:r>
    </w:p>
    <w:p>
      <w:pPr>
        <w:pStyle w:val="99"/>
        <w:ind w:firstLine="480"/>
        <w:rPr>
          <w:color w:val="auto"/>
          <w:szCs w:val="24"/>
          <w:highlight w:val="none"/>
        </w:rPr>
      </w:pPr>
      <w:r>
        <w:rPr>
          <w:color w:val="auto"/>
          <w:szCs w:val="24"/>
          <w:highlight w:val="none"/>
        </w:rPr>
        <w:t>施工期间主要交通影响是因为运输量的增加而导致的公路负荷增加。但这些影响都是暂时的，随着施工的结束，交通影响也随之消失。</w:t>
      </w:r>
    </w:p>
    <w:p>
      <w:pPr>
        <w:pStyle w:val="101"/>
        <w:spacing w:before="78"/>
        <w:rPr>
          <w:rFonts w:ascii="Times New Roman" w:hAnsi="Times New Roman"/>
          <w:color w:val="auto"/>
          <w:highlight w:val="none"/>
        </w:rPr>
      </w:pPr>
      <w:r>
        <w:rPr>
          <w:rFonts w:ascii="Times New Roman" w:hAnsi="Times New Roman"/>
          <w:color w:val="auto"/>
          <w:highlight w:val="none"/>
        </w:rPr>
        <w:t>4.8.8施工期环境管理与环境监理</w:t>
      </w:r>
    </w:p>
    <w:p>
      <w:pPr>
        <w:pStyle w:val="99"/>
        <w:ind w:firstLine="480"/>
        <w:rPr>
          <w:color w:val="auto"/>
          <w:szCs w:val="24"/>
          <w:highlight w:val="none"/>
        </w:rPr>
      </w:pPr>
      <w:r>
        <w:rPr>
          <w:color w:val="auto"/>
          <w:szCs w:val="24"/>
          <w:highlight w:val="none"/>
        </w:rPr>
        <w:t>(1) 项目占地与建设期施工应高度重视对生态环境的影响，项目建设施工用地严格限定在征地与规划临时用地范围内，严禁超范围用地。</w:t>
      </w:r>
    </w:p>
    <w:p>
      <w:pPr>
        <w:pStyle w:val="99"/>
        <w:ind w:firstLine="480"/>
        <w:rPr>
          <w:color w:val="auto"/>
          <w:szCs w:val="24"/>
          <w:highlight w:val="none"/>
        </w:rPr>
      </w:pPr>
      <w:r>
        <w:rPr>
          <w:color w:val="auto"/>
          <w:szCs w:val="24"/>
          <w:highlight w:val="none"/>
        </w:rPr>
        <w:t>(2) 项目建设发包标书中应有环境工程的施工要求，并列入招标合同中，合同中明确施工单位施工过程中的环境保护责任。施工单位必须具备相应资质，承包商具有保护环境的责任，对施工中造成的环境污染，负责临时防护及治理。</w:t>
      </w:r>
    </w:p>
    <w:p>
      <w:pPr>
        <w:pStyle w:val="99"/>
        <w:ind w:firstLine="480"/>
        <w:rPr>
          <w:color w:val="auto"/>
          <w:szCs w:val="24"/>
          <w:highlight w:val="none"/>
        </w:rPr>
      </w:pPr>
      <w:r>
        <w:rPr>
          <w:color w:val="auto"/>
          <w:szCs w:val="24"/>
          <w:highlight w:val="none"/>
        </w:rPr>
        <w:t>(4) 项目建设必须严格执行“三同时”制度与竣工验收制度。</w:t>
      </w:r>
    </w:p>
    <w:p>
      <w:pPr>
        <w:pStyle w:val="99"/>
        <w:ind w:firstLine="480"/>
        <w:rPr>
          <w:color w:val="auto"/>
          <w:highlight w:val="none"/>
        </w:rPr>
      </w:pPr>
      <w:r>
        <w:rPr>
          <w:color w:val="auto"/>
          <w:szCs w:val="24"/>
          <w:highlight w:val="none"/>
        </w:rPr>
        <w:t>(5) 拟建项目环境保护工程投资将纳入主体工程建设概算，并按照基本建设程序和资金需求安排，进行统一管理和使用，保证“三同时”要求的实现。</w:t>
      </w: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sectPr>
          <w:headerReference r:id="rId15" w:type="default"/>
          <w:headerReference r:id="rId16" w:type="even"/>
          <w:pgSz w:w="11906" w:h="16838"/>
          <w:pgMar w:top="1418" w:right="1418" w:bottom="1418" w:left="1701" w:header="851" w:footer="992" w:gutter="0"/>
          <w:pgBorders>
            <w:top w:val="none" w:sz="0" w:space="0"/>
            <w:left w:val="none" w:sz="0" w:space="0"/>
            <w:bottom w:val="none" w:sz="0" w:space="0"/>
            <w:right w:val="none" w:sz="0" w:space="0"/>
          </w:pgBorders>
          <w:cols w:space="425" w:num="1"/>
          <w:docGrid w:type="lines" w:linePitch="312" w:charSpace="0"/>
        </w:sectPr>
      </w:pPr>
    </w:p>
    <w:p>
      <w:pPr>
        <w:pStyle w:val="98"/>
        <w:spacing w:before="156"/>
        <w:rPr>
          <w:rFonts w:ascii="Times New Roman" w:hAnsi="Times New Roman"/>
          <w:color w:val="auto"/>
          <w:highlight w:val="none"/>
        </w:rPr>
      </w:pPr>
      <w:bookmarkStart w:id="189" w:name="_Toc66281294"/>
      <w:bookmarkStart w:id="190" w:name="_Toc24907"/>
      <w:bookmarkStart w:id="191" w:name="_Toc54732752"/>
      <w:r>
        <w:rPr>
          <w:rFonts w:ascii="Times New Roman" w:hAnsi="Times New Roman"/>
          <w:color w:val="auto"/>
          <w:highlight w:val="none"/>
        </w:rPr>
        <w:t>5.环境风险评价</w:t>
      </w:r>
      <w:bookmarkEnd w:id="189"/>
      <w:bookmarkEnd w:id="190"/>
      <w:bookmarkEnd w:id="191"/>
    </w:p>
    <w:p>
      <w:pPr>
        <w:pStyle w:val="99"/>
        <w:ind w:firstLine="480"/>
        <w:rPr>
          <w:color w:val="auto"/>
          <w:highlight w:val="none"/>
        </w:rPr>
      </w:pPr>
      <w:r>
        <w:rPr>
          <w:color w:val="auto"/>
          <w:highlight w:val="none"/>
        </w:rPr>
        <w:t>环境风险是指突发性事故造成的重大环境污染事件，其特点是危害大、影响范围广、发生概率具有很大的不确定性。环境风险评价是对建设项目建设和运行期间发生的可预测突发性事件或事故（一般不包括人为破坏及自然灾害）引起有毒有害、易燃易爆等物质泄漏，或突发事件产生的新的有毒有害物质，所造成的对人身安全与环境的影响和损害进行评估，提出防范、应急与减缓措施，以使建设项目事故率、损失和环境影响达到可接受水平。</w:t>
      </w:r>
    </w:p>
    <w:p>
      <w:pPr>
        <w:pStyle w:val="99"/>
        <w:ind w:firstLine="480"/>
        <w:rPr>
          <w:color w:val="auto"/>
          <w:highlight w:val="none"/>
        </w:rPr>
      </w:pPr>
      <w:r>
        <w:rPr>
          <w:color w:val="auto"/>
          <w:highlight w:val="none"/>
        </w:rPr>
        <w:t>本项目环境风险评价按照《建设项目环境风险评价技术导则》</w:t>
      </w:r>
      <w:r>
        <w:rPr>
          <w:rFonts w:hint="eastAsia"/>
          <w:color w:val="auto"/>
          <w:highlight w:val="none"/>
        </w:rPr>
        <w:t>(</w:t>
      </w:r>
      <w:r>
        <w:rPr>
          <w:color w:val="auto"/>
          <w:highlight w:val="none"/>
        </w:rPr>
        <w:t>HJ169-2018</w:t>
      </w:r>
      <w:r>
        <w:rPr>
          <w:rFonts w:hint="eastAsia"/>
          <w:color w:val="auto"/>
          <w:highlight w:val="none"/>
        </w:rPr>
        <w:t>)</w:t>
      </w:r>
      <w:r>
        <w:rPr>
          <w:color w:val="auto"/>
          <w:highlight w:val="none"/>
        </w:rPr>
        <w:t>的基本流程开展工作。通过对拟建项目进行风险识别、源项分析和风险影响分析，提出减缓风险的防治措施和应急预案，为环境管理提供资料和依据，达到降低风险、减少危害、保护环境的目的。</w:t>
      </w:r>
    </w:p>
    <w:p>
      <w:pPr>
        <w:pStyle w:val="99"/>
        <w:ind w:firstLine="480"/>
        <w:rPr>
          <w:rStyle w:val="122"/>
          <w:rFonts w:hint="default" w:ascii="Times New Roman" w:hAnsi="Times New Roman"/>
          <w:color w:val="auto"/>
          <w:highlight w:val="none"/>
        </w:rPr>
      </w:pPr>
      <w:r>
        <w:rPr>
          <w:color w:val="auto"/>
          <w:highlight w:val="none"/>
        </w:rPr>
        <w:t>本次评价将在风险物质识别的基础上，确定本项目的风险评价等级及影响范围，通过源项分析及泄露等的计算，确定本项目的最大可信事故和事故后的直接污染和次生/伴生污染对环境的影响，制定拟建项目的环境风险应急预案和事故风险防范措施。另外，项目建成后企业根据自身情况编制环境风险应急预案，并报枣庄市生态环境局</w:t>
      </w:r>
      <w:r>
        <w:rPr>
          <w:rFonts w:hint="eastAsia"/>
          <w:color w:val="auto"/>
          <w:highlight w:val="none"/>
        </w:rPr>
        <w:t>峄城</w:t>
      </w:r>
      <w:r>
        <w:rPr>
          <w:color w:val="auto"/>
          <w:highlight w:val="none"/>
        </w:rPr>
        <w:t>分局备案。</w:t>
      </w:r>
    </w:p>
    <w:p>
      <w:pPr>
        <w:pStyle w:val="100"/>
        <w:spacing w:before="156"/>
        <w:rPr>
          <w:rStyle w:val="122"/>
          <w:rFonts w:hint="default" w:ascii="Times New Roman" w:hAnsi="Times New Roman" w:eastAsia="黑体"/>
          <w:color w:val="auto"/>
          <w:sz w:val="28"/>
          <w:szCs w:val="32"/>
          <w:highlight w:val="none"/>
        </w:rPr>
      </w:pPr>
      <w:bookmarkStart w:id="192" w:name="_Toc11123"/>
      <w:bookmarkStart w:id="193" w:name="_Toc54732754"/>
      <w:bookmarkStart w:id="194" w:name="_Toc66281296"/>
      <w:r>
        <w:rPr>
          <w:rStyle w:val="122"/>
          <w:rFonts w:hint="default" w:ascii="Times New Roman" w:hAnsi="Times New Roman" w:eastAsia="黑体"/>
          <w:color w:val="auto"/>
          <w:sz w:val="28"/>
          <w:szCs w:val="32"/>
          <w:highlight w:val="none"/>
        </w:rPr>
        <w:t>5.1风险潜势与评价等级</w:t>
      </w:r>
      <w:bookmarkEnd w:id="192"/>
      <w:bookmarkEnd w:id="193"/>
      <w:bookmarkEnd w:id="194"/>
    </w:p>
    <w:p>
      <w:pPr>
        <w:keepNext/>
        <w:keepLines/>
        <w:spacing w:before="62" w:beforeLines="20" w:line="360" w:lineRule="auto"/>
        <w:outlineLvl w:val="3"/>
        <w:rPr>
          <w:rFonts w:eastAsia="黑体"/>
          <w:bCs/>
          <w:color w:val="auto"/>
          <w:sz w:val="24"/>
          <w:highlight w:val="none"/>
        </w:rPr>
      </w:pPr>
      <w:r>
        <w:rPr>
          <w:rFonts w:eastAsia="黑体"/>
          <w:bCs/>
          <w:color w:val="auto"/>
          <w:sz w:val="24"/>
          <w:highlight w:val="none"/>
        </w:rPr>
        <w:t>5.1.1</w:t>
      </w:r>
      <w:r>
        <w:rPr>
          <w:rFonts w:hint="eastAsia" w:eastAsia="黑体"/>
          <w:bCs/>
          <w:color w:val="auto"/>
          <w:sz w:val="24"/>
          <w:highlight w:val="none"/>
        </w:rPr>
        <w:t>环境风险潜势初判</w:t>
      </w:r>
    </w:p>
    <w:p>
      <w:pPr>
        <w:spacing w:line="360" w:lineRule="auto"/>
        <w:ind w:firstLine="480" w:firstLineChars="200"/>
        <w:rPr>
          <w:color w:val="auto"/>
          <w:sz w:val="24"/>
          <w:highlight w:val="none"/>
        </w:rPr>
      </w:pPr>
      <w:r>
        <w:rPr>
          <w:rFonts w:hint="eastAsia"/>
          <w:color w:val="auto"/>
          <w:sz w:val="24"/>
          <w:highlight w:val="none"/>
        </w:rPr>
        <w:t>计算所涉及的每种危险物质在厂界内的最大存在总量与其在附录B中对应临界量的比值Q，在不同厂区的同一种物质，按其在厂界内的最大存在总量计算。</w:t>
      </w:r>
    </w:p>
    <w:p>
      <w:pPr>
        <w:spacing w:line="360" w:lineRule="auto"/>
        <w:ind w:firstLine="480" w:firstLineChars="200"/>
        <w:rPr>
          <w:color w:val="auto"/>
          <w:sz w:val="24"/>
          <w:highlight w:val="none"/>
        </w:rPr>
      </w:pPr>
      <w:r>
        <w:rPr>
          <w:rFonts w:hint="eastAsia"/>
          <w:color w:val="auto"/>
          <w:sz w:val="24"/>
          <w:highlight w:val="none"/>
        </w:rPr>
        <w:t>当只涉及一种危险物质时，计算该物质的总量与其临界量比值，即为Q。</w:t>
      </w:r>
    </w:p>
    <w:p>
      <w:pPr>
        <w:spacing w:line="360" w:lineRule="auto"/>
        <w:ind w:firstLine="480" w:firstLineChars="200"/>
        <w:rPr>
          <w:color w:val="auto"/>
          <w:sz w:val="24"/>
          <w:highlight w:val="none"/>
        </w:rPr>
      </w:pPr>
      <w:r>
        <w:rPr>
          <w:rFonts w:hint="eastAsia"/>
          <w:color w:val="auto"/>
          <w:sz w:val="24"/>
          <w:highlight w:val="none"/>
        </w:rPr>
        <w:t>当存在多种危险物质时，则技式(C.1)计算物质总量与其临界量比值(Q)：</w:t>
      </w:r>
    </w:p>
    <w:p>
      <w:pPr>
        <w:spacing w:line="360" w:lineRule="auto"/>
        <w:ind w:firstLine="480" w:firstLineChars="200"/>
        <w:rPr>
          <w:color w:val="auto"/>
          <w:sz w:val="24"/>
          <w:highlight w:val="none"/>
        </w:rPr>
      </w:pPr>
      <w:r>
        <w:rPr>
          <w:rFonts w:hint="eastAsia"/>
          <w:color w:val="auto"/>
          <w:sz w:val="24"/>
          <w:highlight w:val="none"/>
        </w:rPr>
        <w:t>式中：q</w:t>
      </w:r>
      <w:r>
        <w:rPr>
          <w:rFonts w:hint="eastAsia"/>
          <w:color w:val="auto"/>
          <w:sz w:val="24"/>
          <w:highlight w:val="none"/>
          <w:vertAlign w:val="subscript"/>
        </w:rPr>
        <w:t>1</w:t>
      </w:r>
      <w:r>
        <w:rPr>
          <w:rFonts w:hint="eastAsia"/>
          <w:color w:val="auto"/>
          <w:sz w:val="24"/>
          <w:highlight w:val="none"/>
        </w:rPr>
        <w:t>，q</w:t>
      </w:r>
      <w:r>
        <w:rPr>
          <w:rFonts w:hint="eastAsia"/>
          <w:color w:val="auto"/>
          <w:sz w:val="24"/>
          <w:highlight w:val="none"/>
          <w:vertAlign w:val="subscript"/>
        </w:rPr>
        <w:t>2</w:t>
      </w:r>
      <w:r>
        <w:rPr>
          <w:rFonts w:hint="eastAsia"/>
          <w:color w:val="auto"/>
          <w:sz w:val="24"/>
          <w:highlight w:val="none"/>
        </w:rPr>
        <w:t>……，q</w:t>
      </w:r>
      <w:r>
        <w:rPr>
          <w:rFonts w:hint="eastAsia"/>
          <w:color w:val="auto"/>
          <w:sz w:val="24"/>
          <w:highlight w:val="none"/>
          <w:vertAlign w:val="subscript"/>
        </w:rPr>
        <w:t>n</w:t>
      </w:r>
      <w:r>
        <w:rPr>
          <w:rFonts w:hint="eastAsia"/>
          <w:color w:val="auto"/>
          <w:sz w:val="24"/>
          <w:highlight w:val="none"/>
        </w:rPr>
        <w:t>——每种危险物质最大存在总量，t。</w:t>
      </w:r>
    </w:p>
    <w:p>
      <w:pPr>
        <w:spacing w:line="360" w:lineRule="auto"/>
        <w:ind w:firstLine="480" w:firstLineChars="200"/>
        <w:rPr>
          <w:color w:val="auto"/>
          <w:sz w:val="24"/>
          <w:highlight w:val="none"/>
        </w:rPr>
      </w:pPr>
      <w:r>
        <w:rPr>
          <w:rFonts w:hint="eastAsia"/>
          <w:color w:val="auto"/>
          <w:sz w:val="24"/>
          <w:highlight w:val="none"/>
        </w:rPr>
        <w:t>Q</w:t>
      </w:r>
      <w:r>
        <w:rPr>
          <w:rFonts w:hint="eastAsia"/>
          <w:color w:val="auto"/>
          <w:sz w:val="24"/>
          <w:highlight w:val="none"/>
          <w:vertAlign w:val="subscript"/>
        </w:rPr>
        <w:t>1</w:t>
      </w:r>
      <w:r>
        <w:rPr>
          <w:rFonts w:hint="eastAsia"/>
          <w:color w:val="auto"/>
          <w:sz w:val="24"/>
          <w:highlight w:val="none"/>
        </w:rPr>
        <w:t>，Q</w:t>
      </w:r>
      <w:r>
        <w:rPr>
          <w:rFonts w:hint="eastAsia"/>
          <w:color w:val="auto"/>
          <w:sz w:val="24"/>
          <w:highlight w:val="none"/>
          <w:vertAlign w:val="subscript"/>
        </w:rPr>
        <w:t>2</w:t>
      </w:r>
      <w:r>
        <w:rPr>
          <w:rFonts w:hint="eastAsia"/>
          <w:color w:val="auto"/>
          <w:sz w:val="24"/>
          <w:highlight w:val="none"/>
        </w:rPr>
        <w:t>……Q</w:t>
      </w:r>
      <w:r>
        <w:rPr>
          <w:rFonts w:hint="eastAsia"/>
          <w:color w:val="auto"/>
          <w:sz w:val="24"/>
          <w:highlight w:val="none"/>
          <w:vertAlign w:val="subscript"/>
        </w:rPr>
        <w:t>n</w:t>
      </w:r>
      <w:r>
        <w:rPr>
          <w:rFonts w:hint="eastAsia"/>
          <w:color w:val="auto"/>
          <w:sz w:val="24"/>
          <w:highlight w:val="none"/>
        </w:rPr>
        <w:t>——每种危险物质的临界量，t。</w:t>
      </w:r>
    </w:p>
    <w:p>
      <w:pPr>
        <w:spacing w:line="360" w:lineRule="auto"/>
        <w:ind w:firstLine="480" w:firstLineChars="200"/>
        <w:rPr>
          <w:color w:val="auto"/>
          <w:sz w:val="24"/>
          <w:highlight w:val="none"/>
        </w:rPr>
      </w:pPr>
      <w:r>
        <w:rPr>
          <w:rFonts w:hint="eastAsia"/>
          <w:color w:val="auto"/>
          <w:sz w:val="24"/>
          <w:highlight w:val="none"/>
        </w:rPr>
        <w:t>当Q&lt;1时，该项目环境风险潜势为I。</w:t>
      </w:r>
    </w:p>
    <w:p>
      <w:pPr>
        <w:spacing w:line="360" w:lineRule="auto"/>
        <w:ind w:firstLine="480" w:firstLineChars="200"/>
        <w:rPr>
          <w:color w:val="auto"/>
          <w:sz w:val="24"/>
          <w:highlight w:val="none"/>
        </w:rPr>
      </w:pPr>
      <w:r>
        <w:rPr>
          <w:rFonts w:hint="eastAsia"/>
          <w:color w:val="auto"/>
          <w:sz w:val="24"/>
          <w:highlight w:val="none"/>
        </w:rPr>
        <w:t>当Q≥1时，将Q值划分为：(I)1≤Q&lt;10；(2)10≤Q&lt;100；(3)Q≥100。</w:t>
      </w:r>
    </w:p>
    <w:p>
      <w:pPr>
        <w:spacing w:line="360" w:lineRule="auto"/>
        <w:ind w:firstLine="480" w:firstLineChars="200"/>
        <w:rPr>
          <w:color w:val="auto"/>
          <w:sz w:val="24"/>
          <w:highlight w:val="none"/>
        </w:rPr>
      </w:pPr>
      <w:r>
        <w:rPr>
          <w:color w:val="auto"/>
          <w:sz w:val="24"/>
          <w:highlight w:val="none"/>
        </w:rPr>
        <w:t>根据《建设项目环境风险评价技术导则》(HJ169-2018)附录B，本公司涉及的突发环境事件风险物质主要有</w:t>
      </w:r>
      <w:r>
        <w:rPr>
          <w:rFonts w:hint="eastAsia"/>
          <w:color w:val="auto"/>
          <w:sz w:val="24"/>
          <w:highlight w:val="none"/>
        </w:rPr>
        <w:t>废矿物油等</w:t>
      </w:r>
      <w:r>
        <w:rPr>
          <w:rStyle w:val="122"/>
          <w:rFonts w:hint="default" w:ascii="Times New Roman" w:hAnsi="Times New Roman"/>
          <w:color w:val="auto"/>
          <w:highlight w:val="none"/>
        </w:rPr>
        <w:t>油类物质</w:t>
      </w:r>
      <w:r>
        <w:rPr>
          <w:color w:val="auto"/>
          <w:sz w:val="24"/>
          <w:highlight w:val="none"/>
        </w:rPr>
        <w:t>，其他原辅材料和产品不在附表B中，不属于风险物质，重大危险源判定情况见表5.</w:t>
      </w:r>
      <w:r>
        <w:rPr>
          <w:rFonts w:hint="eastAsia"/>
          <w:color w:val="auto"/>
          <w:sz w:val="24"/>
          <w:highlight w:val="none"/>
          <w:lang w:val="en-US" w:eastAsia="zh-CN"/>
        </w:rPr>
        <w:t>1</w:t>
      </w:r>
      <w:r>
        <w:rPr>
          <w:color w:val="auto"/>
          <w:sz w:val="24"/>
          <w:highlight w:val="none"/>
        </w:rPr>
        <w:t>-1。</w:t>
      </w:r>
    </w:p>
    <w:p>
      <w:pPr>
        <w:spacing w:line="360" w:lineRule="auto"/>
        <w:ind w:firstLine="480" w:firstLineChars="200"/>
        <w:jc w:val="center"/>
        <w:rPr>
          <w:rFonts w:eastAsia="黑体"/>
          <w:color w:val="auto"/>
          <w:sz w:val="24"/>
          <w:highlight w:val="none"/>
        </w:rPr>
      </w:pPr>
      <w:r>
        <w:rPr>
          <w:rFonts w:eastAsia="黑体"/>
          <w:color w:val="auto"/>
          <w:sz w:val="24"/>
          <w:highlight w:val="none"/>
        </w:rPr>
        <w:t>表5.</w:t>
      </w:r>
      <w:r>
        <w:rPr>
          <w:rFonts w:hint="eastAsia" w:eastAsia="黑体"/>
          <w:color w:val="auto"/>
          <w:sz w:val="24"/>
          <w:highlight w:val="none"/>
          <w:lang w:val="en-US" w:eastAsia="zh-CN"/>
        </w:rPr>
        <w:t>1</w:t>
      </w:r>
      <w:r>
        <w:rPr>
          <w:rFonts w:eastAsia="黑体"/>
          <w:color w:val="auto"/>
          <w:sz w:val="24"/>
          <w:highlight w:val="none"/>
        </w:rPr>
        <w:t>-1  本项目Q值确定情况一览表（Q）</w:t>
      </w:r>
    </w:p>
    <w:tbl>
      <w:tblPr>
        <w:tblStyle w:val="59"/>
        <w:tblW w:w="9003"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98"/>
        <w:gridCol w:w="1585"/>
        <w:gridCol w:w="1678"/>
        <w:gridCol w:w="1925"/>
        <w:gridCol w:w="1925"/>
        <w:gridCol w:w="119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8" w:type="dxa"/>
            <w:tcBorders>
              <w:top w:val="single" w:color="auto" w:sz="12" w:space="0"/>
              <w:left w:val="nil"/>
              <w:bottom w:val="single" w:color="auto" w:sz="6" w:space="0"/>
              <w:right w:val="single" w:color="auto" w:sz="6" w:space="0"/>
            </w:tcBorders>
            <w:vAlign w:val="center"/>
          </w:tcPr>
          <w:p>
            <w:pPr>
              <w:snapToGrid w:val="0"/>
              <w:spacing w:line="240" w:lineRule="exact"/>
              <w:jc w:val="center"/>
              <w:rPr>
                <w:color w:val="auto"/>
                <w:szCs w:val="21"/>
                <w:highlight w:val="none"/>
              </w:rPr>
            </w:pPr>
            <w:r>
              <w:rPr>
                <w:color w:val="auto"/>
                <w:szCs w:val="21"/>
                <w:highlight w:val="none"/>
              </w:rPr>
              <w:t>序号</w:t>
            </w:r>
          </w:p>
        </w:tc>
        <w:tc>
          <w:tcPr>
            <w:tcW w:w="1585" w:type="dxa"/>
            <w:tcBorders>
              <w:top w:val="single" w:color="auto" w:sz="12" w:space="0"/>
              <w:left w:val="single" w:color="auto" w:sz="6" w:space="0"/>
              <w:bottom w:val="single" w:color="auto" w:sz="6" w:space="0"/>
              <w:right w:val="single" w:color="auto" w:sz="6" w:space="0"/>
            </w:tcBorders>
            <w:vAlign w:val="center"/>
          </w:tcPr>
          <w:p>
            <w:pPr>
              <w:snapToGrid w:val="0"/>
              <w:spacing w:line="240" w:lineRule="exact"/>
              <w:jc w:val="center"/>
              <w:rPr>
                <w:color w:val="auto"/>
                <w:szCs w:val="21"/>
                <w:highlight w:val="none"/>
              </w:rPr>
            </w:pPr>
            <w:r>
              <w:rPr>
                <w:color w:val="auto"/>
                <w:szCs w:val="21"/>
                <w:highlight w:val="none"/>
              </w:rPr>
              <w:t>危险物质名称</w:t>
            </w:r>
          </w:p>
        </w:tc>
        <w:tc>
          <w:tcPr>
            <w:tcW w:w="1678" w:type="dxa"/>
            <w:tcBorders>
              <w:top w:val="single" w:color="auto" w:sz="12" w:space="0"/>
              <w:left w:val="single" w:color="auto" w:sz="6" w:space="0"/>
              <w:bottom w:val="single" w:color="auto" w:sz="6" w:space="0"/>
              <w:right w:val="single" w:color="auto" w:sz="6" w:space="0"/>
            </w:tcBorders>
            <w:vAlign w:val="center"/>
          </w:tcPr>
          <w:p>
            <w:pPr>
              <w:snapToGrid w:val="0"/>
              <w:spacing w:line="240" w:lineRule="exact"/>
              <w:jc w:val="center"/>
              <w:rPr>
                <w:color w:val="auto"/>
                <w:szCs w:val="21"/>
                <w:highlight w:val="none"/>
              </w:rPr>
            </w:pPr>
            <w:r>
              <w:rPr>
                <w:color w:val="auto"/>
                <w:szCs w:val="21"/>
                <w:highlight w:val="none"/>
              </w:rPr>
              <w:t>CAS号</w:t>
            </w:r>
          </w:p>
        </w:tc>
        <w:tc>
          <w:tcPr>
            <w:tcW w:w="1925" w:type="dxa"/>
            <w:tcBorders>
              <w:top w:val="single" w:color="auto" w:sz="12" w:space="0"/>
              <w:left w:val="single" w:color="auto" w:sz="6" w:space="0"/>
              <w:bottom w:val="single" w:color="auto" w:sz="6" w:space="0"/>
              <w:right w:val="single" w:color="auto" w:sz="6" w:space="0"/>
            </w:tcBorders>
            <w:vAlign w:val="center"/>
          </w:tcPr>
          <w:p>
            <w:pPr>
              <w:snapToGrid w:val="0"/>
              <w:spacing w:line="240" w:lineRule="exact"/>
              <w:jc w:val="center"/>
              <w:rPr>
                <w:color w:val="auto"/>
                <w:szCs w:val="21"/>
                <w:highlight w:val="none"/>
              </w:rPr>
            </w:pPr>
            <w:r>
              <w:rPr>
                <w:color w:val="auto"/>
                <w:szCs w:val="21"/>
                <w:highlight w:val="none"/>
              </w:rPr>
              <w:t>最大存在总量q</w:t>
            </w:r>
            <w:r>
              <w:rPr>
                <w:color w:val="auto"/>
                <w:szCs w:val="21"/>
                <w:highlight w:val="none"/>
                <w:vertAlign w:val="subscript"/>
              </w:rPr>
              <w:t>n</w:t>
            </w:r>
            <w:r>
              <w:rPr>
                <w:color w:val="auto"/>
                <w:szCs w:val="21"/>
                <w:highlight w:val="none"/>
              </w:rPr>
              <w:t>/t</w:t>
            </w:r>
          </w:p>
        </w:tc>
        <w:tc>
          <w:tcPr>
            <w:tcW w:w="1925" w:type="dxa"/>
            <w:tcBorders>
              <w:top w:val="single" w:color="auto" w:sz="12" w:space="0"/>
              <w:left w:val="single" w:color="auto" w:sz="6" w:space="0"/>
              <w:bottom w:val="single" w:color="auto" w:sz="6" w:space="0"/>
              <w:right w:val="single" w:color="auto" w:sz="6" w:space="0"/>
            </w:tcBorders>
            <w:vAlign w:val="center"/>
          </w:tcPr>
          <w:p>
            <w:pPr>
              <w:snapToGrid w:val="0"/>
              <w:spacing w:line="240" w:lineRule="exact"/>
              <w:jc w:val="center"/>
              <w:rPr>
                <w:color w:val="auto"/>
                <w:szCs w:val="21"/>
                <w:highlight w:val="none"/>
              </w:rPr>
            </w:pPr>
            <w:r>
              <w:rPr>
                <w:color w:val="auto"/>
                <w:szCs w:val="21"/>
                <w:highlight w:val="none"/>
              </w:rPr>
              <w:t>临界量Q</w:t>
            </w:r>
            <w:r>
              <w:rPr>
                <w:color w:val="auto"/>
                <w:szCs w:val="21"/>
                <w:highlight w:val="none"/>
                <w:vertAlign w:val="subscript"/>
              </w:rPr>
              <w:t>n</w:t>
            </w:r>
            <w:r>
              <w:rPr>
                <w:color w:val="auto"/>
                <w:szCs w:val="21"/>
                <w:highlight w:val="none"/>
              </w:rPr>
              <w:t>/t</w:t>
            </w:r>
          </w:p>
        </w:tc>
        <w:tc>
          <w:tcPr>
            <w:tcW w:w="1192" w:type="dxa"/>
            <w:tcBorders>
              <w:top w:val="single" w:color="auto" w:sz="12" w:space="0"/>
              <w:left w:val="single" w:color="auto" w:sz="6" w:space="0"/>
              <w:bottom w:val="single" w:color="auto" w:sz="6" w:space="0"/>
              <w:right w:val="nil"/>
            </w:tcBorders>
            <w:vAlign w:val="center"/>
          </w:tcPr>
          <w:p>
            <w:pPr>
              <w:snapToGrid w:val="0"/>
              <w:spacing w:line="240" w:lineRule="exact"/>
              <w:jc w:val="center"/>
              <w:rPr>
                <w:color w:val="auto"/>
                <w:szCs w:val="21"/>
                <w:highlight w:val="none"/>
                <w:vertAlign w:val="subscript"/>
              </w:rPr>
            </w:pPr>
            <w:r>
              <w:rPr>
                <w:color w:val="auto"/>
                <w:szCs w:val="21"/>
                <w:highlight w:val="none"/>
              </w:rPr>
              <w:t>该物质的Q值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8" w:type="dxa"/>
            <w:tcBorders>
              <w:top w:val="single" w:color="auto" w:sz="6" w:space="0"/>
              <w:left w:val="nil"/>
              <w:bottom w:val="single" w:color="auto" w:sz="6" w:space="0"/>
              <w:right w:val="single" w:color="auto" w:sz="6" w:space="0"/>
            </w:tcBorders>
            <w:vAlign w:val="center"/>
          </w:tcPr>
          <w:p>
            <w:pPr>
              <w:snapToGrid w:val="0"/>
              <w:spacing w:line="240" w:lineRule="exact"/>
              <w:jc w:val="center"/>
              <w:rPr>
                <w:color w:val="auto"/>
                <w:szCs w:val="21"/>
                <w:highlight w:val="none"/>
              </w:rPr>
            </w:pPr>
            <w:r>
              <w:rPr>
                <w:color w:val="auto"/>
                <w:szCs w:val="21"/>
                <w:highlight w:val="none"/>
              </w:rPr>
              <w:t>3</w:t>
            </w:r>
          </w:p>
        </w:tc>
        <w:tc>
          <w:tcPr>
            <w:tcW w:w="1585" w:type="dxa"/>
            <w:tcBorders>
              <w:top w:val="single" w:color="auto" w:sz="6" w:space="0"/>
              <w:left w:val="single" w:color="auto" w:sz="6" w:space="0"/>
              <w:bottom w:val="single" w:color="auto" w:sz="6" w:space="0"/>
              <w:right w:val="single" w:color="auto" w:sz="6" w:space="0"/>
            </w:tcBorders>
            <w:vAlign w:val="center"/>
          </w:tcPr>
          <w:p>
            <w:pPr>
              <w:snapToGrid w:val="0"/>
              <w:spacing w:line="240" w:lineRule="exact"/>
              <w:jc w:val="center"/>
              <w:rPr>
                <w:color w:val="auto"/>
                <w:kern w:val="16"/>
                <w:szCs w:val="21"/>
                <w:highlight w:val="none"/>
              </w:rPr>
            </w:pPr>
            <w:r>
              <w:rPr>
                <w:rFonts w:hint="eastAsia"/>
                <w:color w:val="auto"/>
                <w:kern w:val="16"/>
                <w:szCs w:val="21"/>
                <w:highlight w:val="none"/>
              </w:rPr>
              <w:t>油类物质</w:t>
            </w:r>
          </w:p>
        </w:tc>
        <w:tc>
          <w:tcPr>
            <w:tcW w:w="1678" w:type="dxa"/>
            <w:tcBorders>
              <w:top w:val="single" w:color="auto" w:sz="6" w:space="0"/>
              <w:left w:val="single" w:color="auto" w:sz="6" w:space="0"/>
              <w:bottom w:val="single" w:color="auto" w:sz="6" w:space="0"/>
              <w:right w:val="single" w:color="auto" w:sz="6" w:space="0"/>
            </w:tcBorders>
            <w:vAlign w:val="center"/>
          </w:tcPr>
          <w:p>
            <w:pPr>
              <w:snapToGrid w:val="0"/>
              <w:spacing w:line="240" w:lineRule="exact"/>
              <w:jc w:val="center"/>
              <w:rPr>
                <w:color w:val="auto"/>
                <w:kern w:val="16"/>
                <w:szCs w:val="21"/>
                <w:highlight w:val="none"/>
              </w:rPr>
            </w:pPr>
            <w:r>
              <w:rPr>
                <w:rFonts w:hint="eastAsia"/>
                <w:color w:val="auto"/>
                <w:kern w:val="16"/>
                <w:szCs w:val="21"/>
                <w:highlight w:val="none"/>
              </w:rPr>
              <w:t>/</w:t>
            </w:r>
          </w:p>
        </w:tc>
        <w:tc>
          <w:tcPr>
            <w:tcW w:w="1925" w:type="dxa"/>
            <w:tcBorders>
              <w:top w:val="single" w:color="auto" w:sz="6" w:space="0"/>
              <w:left w:val="single" w:color="auto" w:sz="6" w:space="0"/>
              <w:bottom w:val="single" w:color="auto" w:sz="6" w:space="0"/>
              <w:right w:val="single" w:color="auto" w:sz="6" w:space="0"/>
            </w:tcBorders>
            <w:vAlign w:val="center"/>
          </w:tcPr>
          <w:p>
            <w:pPr>
              <w:snapToGrid w:val="0"/>
              <w:spacing w:line="240" w:lineRule="exact"/>
              <w:jc w:val="center"/>
              <w:rPr>
                <w:color w:val="auto"/>
                <w:kern w:val="16"/>
                <w:szCs w:val="21"/>
                <w:highlight w:val="none"/>
              </w:rPr>
            </w:pPr>
            <w:r>
              <w:rPr>
                <w:rFonts w:hint="eastAsia"/>
                <w:color w:val="auto"/>
                <w:kern w:val="16"/>
                <w:szCs w:val="21"/>
                <w:highlight w:val="none"/>
              </w:rPr>
              <w:t>0</w:t>
            </w:r>
            <w:r>
              <w:rPr>
                <w:color w:val="auto"/>
                <w:kern w:val="16"/>
                <w:szCs w:val="21"/>
                <w:highlight w:val="none"/>
              </w:rPr>
              <w:t>.05</w:t>
            </w:r>
          </w:p>
        </w:tc>
        <w:tc>
          <w:tcPr>
            <w:tcW w:w="1925" w:type="dxa"/>
            <w:tcBorders>
              <w:top w:val="single" w:color="auto" w:sz="6" w:space="0"/>
              <w:left w:val="single" w:color="auto" w:sz="6" w:space="0"/>
              <w:bottom w:val="single" w:color="auto" w:sz="6" w:space="0"/>
              <w:right w:val="single" w:color="auto" w:sz="6" w:space="0"/>
            </w:tcBorders>
            <w:vAlign w:val="center"/>
          </w:tcPr>
          <w:p>
            <w:pPr>
              <w:snapToGrid w:val="0"/>
              <w:spacing w:line="240" w:lineRule="exact"/>
              <w:jc w:val="center"/>
              <w:rPr>
                <w:color w:val="auto"/>
                <w:kern w:val="16"/>
                <w:szCs w:val="21"/>
                <w:highlight w:val="none"/>
              </w:rPr>
            </w:pPr>
            <w:r>
              <w:rPr>
                <w:rFonts w:hint="eastAsia"/>
                <w:color w:val="auto"/>
                <w:kern w:val="16"/>
                <w:szCs w:val="21"/>
                <w:highlight w:val="none"/>
              </w:rPr>
              <w:t>2</w:t>
            </w:r>
            <w:r>
              <w:rPr>
                <w:color w:val="auto"/>
                <w:kern w:val="16"/>
                <w:szCs w:val="21"/>
                <w:highlight w:val="none"/>
              </w:rPr>
              <w:t>500</w:t>
            </w:r>
          </w:p>
        </w:tc>
        <w:tc>
          <w:tcPr>
            <w:tcW w:w="1192" w:type="dxa"/>
            <w:tcBorders>
              <w:top w:val="single" w:color="auto" w:sz="6" w:space="0"/>
              <w:left w:val="single" w:color="auto" w:sz="6" w:space="0"/>
              <w:bottom w:val="single" w:color="auto" w:sz="6" w:space="0"/>
              <w:right w:val="nil"/>
            </w:tcBorders>
            <w:vAlign w:val="center"/>
          </w:tcPr>
          <w:p>
            <w:pPr>
              <w:snapToGrid w:val="0"/>
              <w:spacing w:line="240" w:lineRule="exact"/>
              <w:jc w:val="center"/>
              <w:rPr>
                <w:color w:val="auto"/>
                <w:kern w:val="16"/>
                <w:szCs w:val="21"/>
                <w:highlight w:val="none"/>
              </w:rPr>
            </w:pPr>
            <w:r>
              <w:rPr>
                <w:rFonts w:hint="eastAsia"/>
                <w:color w:val="auto"/>
                <w:kern w:val="16"/>
                <w:szCs w:val="21"/>
                <w:highlight w:val="none"/>
              </w:rPr>
              <w:t>0</w:t>
            </w:r>
            <w:r>
              <w:rPr>
                <w:color w:val="auto"/>
                <w:kern w:val="16"/>
                <w:szCs w:val="21"/>
                <w:highlight w:val="none"/>
              </w:rPr>
              <w:t>.00002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11" w:type="dxa"/>
            <w:gridSpan w:val="5"/>
            <w:tcBorders>
              <w:top w:val="single" w:color="auto" w:sz="6" w:space="0"/>
              <w:left w:val="nil"/>
              <w:bottom w:val="single" w:color="auto" w:sz="12" w:space="0"/>
              <w:right w:val="single" w:color="auto" w:sz="6" w:space="0"/>
            </w:tcBorders>
            <w:vAlign w:val="center"/>
          </w:tcPr>
          <w:p>
            <w:pPr>
              <w:snapToGrid w:val="0"/>
              <w:spacing w:line="240" w:lineRule="exact"/>
              <w:jc w:val="center"/>
              <w:rPr>
                <w:color w:val="auto"/>
                <w:szCs w:val="21"/>
                <w:highlight w:val="none"/>
              </w:rPr>
            </w:pPr>
            <w:r>
              <w:rPr>
                <w:color w:val="auto"/>
                <w:szCs w:val="21"/>
                <w:highlight w:val="none"/>
              </w:rPr>
              <w:t>项目Q值∑</w:t>
            </w:r>
          </w:p>
        </w:tc>
        <w:tc>
          <w:tcPr>
            <w:tcW w:w="1192" w:type="dxa"/>
            <w:tcBorders>
              <w:top w:val="single" w:color="auto" w:sz="6" w:space="0"/>
              <w:left w:val="single" w:color="auto" w:sz="6" w:space="0"/>
              <w:bottom w:val="single" w:color="auto" w:sz="12" w:space="0"/>
              <w:right w:val="nil"/>
            </w:tcBorders>
            <w:vAlign w:val="center"/>
          </w:tcPr>
          <w:p>
            <w:pPr>
              <w:snapToGrid w:val="0"/>
              <w:spacing w:line="240" w:lineRule="exact"/>
              <w:jc w:val="center"/>
              <w:rPr>
                <w:color w:val="auto"/>
                <w:szCs w:val="21"/>
                <w:highlight w:val="none"/>
              </w:rPr>
            </w:pPr>
            <w:r>
              <w:rPr>
                <w:rFonts w:hint="eastAsia"/>
                <w:color w:val="auto"/>
                <w:kern w:val="16"/>
                <w:szCs w:val="21"/>
                <w:highlight w:val="none"/>
              </w:rPr>
              <w:t>0</w:t>
            </w:r>
            <w:r>
              <w:rPr>
                <w:color w:val="auto"/>
                <w:kern w:val="16"/>
                <w:szCs w:val="21"/>
                <w:highlight w:val="none"/>
              </w:rPr>
              <w:t>.00002</w:t>
            </w:r>
          </w:p>
        </w:tc>
      </w:tr>
    </w:tbl>
    <w:p>
      <w:pPr>
        <w:pStyle w:val="99"/>
        <w:ind w:firstLine="480"/>
        <w:rPr>
          <w:color w:val="auto"/>
          <w:highlight w:val="none"/>
        </w:rPr>
      </w:pPr>
      <w:r>
        <w:rPr>
          <w:rFonts w:hint="eastAsia"/>
          <w:color w:val="auto"/>
          <w:highlight w:val="none"/>
        </w:rPr>
        <w:t>由上表可知，企业危险物质数量与临界量比值∑Q=</w:t>
      </w:r>
      <w:r>
        <w:rPr>
          <w:rFonts w:hint="eastAsia"/>
          <w:color w:val="auto"/>
          <w:kern w:val="16"/>
          <w:szCs w:val="21"/>
          <w:highlight w:val="none"/>
        </w:rPr>
        <w:t>0</w:t>
      </w:r>
      <w:r>
        <w:rPr>
          <w:color w:val="auto"/>
          <w:kern w:val="16"/>
          <w:szCs w:val="21"/>
          <w:highlight w:val="none"/>
        </w:rPr>
        <w:t>.00002</w:t>
      </w:r>
      <w:r>
        <w:rPr>
          <w:rFonts w:hint="eastAsia"/>
          <w:color w:val="auto"/>
          <w:highlight w:val="none"/>
        </w:rPr>
        <w:t>。</w:t>
      </w:r>
    </w:p>
    <w:p>
      <w:pPr>
        <w:pStyle w:val="99"/>
        <w:ind w:firstLine="480"/>
        <w:rPr>
          <w:color w:val="auto"/>
          <w:highlight w:val="none"/>
        </w:rPr>
      </w:pPr>
      <w:r>
        <w:rPr>
          <w:rFonts w:hint="eastAsia"/>
          <w:color w:val="auto"/>
          <w:highlight w:val="none"/>
        </w:rPr>
        <w:t>因∑Q&lt;1，则据此判定项目环境风险潜势为I。</w:t>
      </w:r>
    </w:p>
    <w:p>
      <w:pPr>
        <w:keepNext/>
        <w:keepLines/>
        <w:spacing w:before="62" w:beforeLines="20" w:line="360" w:lineRule="auto"/>
        <w:outlineLvl w:val="3"/>
        <w:rPr>
          <w:rFonts w:eastAsia="黑体"/>
          <w:bCs/>
          <w:color w:val="auto"/>
          <w:sz w:val="24"/>
          <w:highlight w:val="none"/>
        </w:rPr>
      </w:pPr>
      <w:r>
        <w:rPr>
          <w:rFonts w:eastAsia="黑体"/>
          <w:bCs/>
          <w:color w:val="auto"/>
          <w:sz w:val="24"/>
          <w:highlight w:val="none"/>
        </w:rPr>
        <w:t>5.</w:t>
      </w:r>
      <w:r>
        <w:rPr>
          <w:rFonts w:hint="eastAsia" w:eastAsia="黑体"/>
          <w:bCs/>
          <w:color w:val="auto"/>
          <w:sz w:val="24"/>
          <w:highlight w:val="none"/>
        </w:rPr>
        <w:t>1</w:t>
      </w:r>
      <w:r>
        <w:rPr>
          <w:rFonts w:eastAsia="黑体"/>
          <w:bCs/>
          <w:color w:val="auto"/>
          <w:sz w:val="24"/>
          <w:highlight w:val="none"/>
        </w:rPr>
        <w:t>.</w:t>
      </w:r>
      <w:r>
        <w:rPr>
          <w:rFonts w:hint="eastAsia" w:eastAsia="黑体"/>
          <w:bCs/>
          <w:color w:val="auto"/>
          <w:sz w:val="24"/>
          <w:highlight w:val="none"/>
        </w:rPr>
        <w:t>2</w:t>
      </w:r>
      <w:r>
        <w:rPr>
          <w:rFonts w:eastAsia="黑体"/>
          <w:bCs/>
          <w:color w:val="auto"/>
          <w:sz w:val="24"/>
          <w:highlight w:val="none"/>
        </w:rPr>
        <w:t xml:space="preserve"> 评价等级及评价范围</w:t>
      </w:r>
    </w:p>
    <w:p>
      <w:pPr>
        <w:pStyle w:val="99"/>
        <w:ind w:firstLine="480"/>
        <w:rPr>
          <w:color w:val="auto"/>
          <w:highlight w:val="none"/>
        </w:rPr>
      </w:pPr>
      <w:r>
        <w:rPr>
          <w:rFonts w:hint="eastAsia"/>
          <w:color w:val="auto"/>
          <w:highlight w:val="none"/>
        </w:rPr>
        <w:t>环境风险评价工作等级划分为一级、二级、三级。风险潜势为Ⅳ及以上，进行一级评价；风险潜势为Ⅲ，进行二级评价；风险潜势为Ⅱ，进行三级评价；风险潜势为Ⅰ，开展简单分析。</w:t>
      </w:r>
    </w:p>
    <w:p>
      <w:pPr>
        <w:pStyle w:val="99"/>
        <w:ind w:firstLine="480"/>
        <w:rPr>
          <w:color w:val="auto"/>
          <w:highlight w:val="none"/>
        </w:rPr>
      </w:pPr>
      <w:r>
        <w:rPr>
          <w:rFonts w:hint="eastAsia"/>
          <w:color w:val="auto"/>
          <w:highlight w:val="none"/>
        </w:rPr>
        <w:t>项目风险潜势为Ⅰ，评价等级为简单分析。</w:t>
      </w:r>
    </w:p>
    <w:p>
      <w:pPr>
        <w:pStyle w:val="99"/>
        <w:ind w:firstLine="480"/>
        <w:rPr>
          <w:color w:val="auto"/>
          <w:highlight w:val="none"/>
        </w:rPr>
      </w:pPr>
      <w:r>
        <w:rPr>
          <w:rFonts w:hint="eastAsia"/>
          <w:color w:val="auto"/>
          <w:highlight w:val="none"/>
        </w:rPr>
        <w:t>根据《建设项目环境风险评价技术导则》(</w:t>
      </w:r>
      <w:r>
        <w:rPr>
          <w:color w:val="auto"/>
          <w:highlight w:val="none"/>
        </w:rPr>
        <w:t>HJ169-2018</w:t>
      </w:r>
      <w:r>
        <w:rPr>
          <w:rFonts w:hint="eastAsia"/>
          <w:color w:val="auto"/>
          <w:highlight w:val="none"/>
        </w:rPr>
        <w:t>)的规定，大气环境风险评价范围：对于简单分析无评价范围要求，结合厂区周边环境敏感目标分布情况，风险评价范围同大气环境影响评价范围；地表水环境风险评价范围：覆盖污染影响所及水域；地下水环境风险评价范围：同地下水环境影响评价范围。</w:t>
      </w:r>
    </w:p>
    <w:p>
      <w:pPr>
        <w:pStyle w:val="100"/>
        <w:spacing w:before="156"/>
        <w:rPr>
          <w:rStyle w:val="122"/>
          <w:rFonts w:hint="default" w:ascii="Times New Roman" w:hAnsi="Times New Roman" w:eastAsia="黑体"/>
          <w:color w:val="auto"/>
          <w:sz w:val="28"/>
          <w:szCs w:val="32"/>
          <w:highlight w:val="none"/>
        </w:rPr>
      </w:pPr>
      <w:bookmarkStart w:id="195" w:name="_Toc66281297"/>
      <w:bookmarkStart w:id="196" w:name="_Toc10918"/>
      <w:bookmarkStart w:id="197" w:name="_Toc54732755"/>
      <w:r>
        <w:rPr>
          <w:rStyle w:val="122"/>
          <w:rFonts w:hint="default" w:ascii="Times New Roman" w:hAnsi="Times New Roman" w:eastAsia="黑体"/>
          <w:color w:val="auto"/>
          <w:sz w:val="28"/>
          <w:szCs w:val="32"/>
          <w:highlight w:val="none"/>
        </w:rPr>
        <w:t>5.</w:t>
      </w:r>
      <w:r>
        <w:rPr>
          <w:rStyle w:val="122"/>
          <w:rFonts w:ascii="Times New Roman" w:hAnsi="Times New Roman"/>
          <w:color w:val="auto"/>
          <w:sz w:val="28"/>
          <w:szCs w:val="32"/>
          <w:highlight w:val="none"/>
        </w:rPr>
        <w:t>2</w:t>
      </w:r>
      <w:r>
        <w:rPr>
          <w:rStyle w:val="122"/>
          <w:rFonts w:hint="default" w:ascii="Times New Roman" w:hAnsi="Times New Roman" w:eastAsia="黑体"/>
          <w:color w:val="auto"/>
          <w:sz w:val="28"/>
          <w:szCs w:val="32"/>
          <w:highlight w:val="none"/>
        </w:rPr>
        <w:t>风险识别</w:t>
      </w:r>
      <w:bookmarkEnd w:id="195"/>
      <w:bookmarkEnd w:id="196"/>
      <w:bookmarkEnd w:id="197"/>
    </w:p>
    <w:p>
      <w:pPr>
        <w:pStyle w:val="99"/>
        <w:ind w:firstLine="480"/>
        <w:rPr>
          <w:color w:val="auto"/>
          <w:highlight w:val="none"/>
        </w:rPr>
      </w:pPr>
      <w:r>
        <w:rPr>
          <w:rFonts w:hint="eastAsia"/>
          <w:color w:val="auto"/>
          <w:highlight w:val="none"/>
        </w:rPr>
        <w:t>风险识别内容包括物质危险性识别、生产系统危险性识别及危险物质向环境转移的途径识别。</w:t>
      </w:r>
    </w:p>
    <w:p>
      <w:pPr>
        <w:pStyle w:val="99"/>
        <w:ind w:firstLine="480"/>
        <w:rPr>
          <w:color w:val="auto"/>
          <w:highlight w:val="none"/>
        </w:rPr>
      </w:pPr>
      <w:r>
        <w:rPr>
          <w:rFonts w:hint="eastAsia"/>
          <w:color w:val="auto"/>
          <w:highlight w:val="none"/>
        </w:rPr>
        <w:t>物质风险识别范围：包括主要原材料及辅助材料、燃料、中间产品、副产品、最终产品、污染物、火灾和爆炸伴生/次生物等。</w:t>
      </w:r>
    </w:p>
    <w:p>
      <w:pPr>
        <w:pStyle w:val="99"/>
        <w:ind w:firstLine="480"/>
        <w:rPr>
          <w:color w:val="auto"/>
          <w:highlight w:val="none"/>
        </w:rPr>
      </w:pPr>
      <w:r>
        <w:rPr>
          <w:rFonts w:hint="eastAsia"/>
          <w:color w:val="auto"/>
          <w:highlight w:val="none"/>
        </w:rPr>
        <w:t>生产设施风险识别范围：包括主要生产装置、储运系统、公用工程和辅助生产设施，以及环境保护设施等。</w:t>
      </w:r>
    </w:p>
    <w:p>
      <w:pPr>
        <w:pStyle w:val="99"/>
        <w:ind w:firstLine="480"/>
        <w:rPr>
          <w:color w:val="auto"/>
          <w:highlight w:val="none"/>
        </w:rPr>
      </w:pPr>
      <w:r>
        <w:rPr>
          <w:rFonts w:hint="eastAsia"/>
          <w:color w:val="auto"/>
          <w:highlight w:val="none"/>
        </w:rPr>
        <w:t>危险物质向环境转移的途径识别：包括分析危险物质特性及可能的环境风险类型，识别危险物质影响环境的途径，分析可能影响的环境敏感目标。</w:t>
      </w:r>
    </w:p>
    <w:p>
      <w:pPr>
        <w:pStyle w:val="99"/>
        <w:ind w:firstLine="0" w:firstLineChars="0"/>
        <w:rPr>
          <w:color w:val="auto"/>
          <w:highlight w:val="none"/>
        </w:rPr>
      </w:pPr>
      <w:r>
        <w:rPr>
          <w:color w:val="auto"/>
          <w:highlight w:val="none"/>
        </w:rPr>
        <w:drawing>
          <wp:inline distT="0" distB="0" distL="114300" distR="114300">
            <wp:extent cx="5414645" cy="3208020"/>
            <wp:effectExtent l="0" t="0" r="8255" b="508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55"/>
                    <a:stretch>
                      <a:fillRect/>
                    </a:stretch>
                  </pic:blipFill>
                  <pic:spPr>
                    <a:xfrm>
                      <a:off x="0" y="0"/>
                      <a:ext cx="5414645" cy="3208020"/>
                    </a:xfrm>
                    <a:prstGeom prst="rect">
                      <a:avLst/>
                    </a:prstGeom>
                    <a:noFill/>
                    <a:ln>
                      <a:noFill/>
                    </a:ln>
                  </pic:spPr>
                </pic:pic>
              </a:graphicData>
            </a:graphic>
          </wp:inline>
        </w:drawing>
      </w:r>
    </w:p>
    <w:p>
      <w:pPr>
        <w:pStyle w:val="103"/>
        <w:rPr>
          <w:rFonts w:ascii="Times New Roman" w:hAnsi="Times New Roman"/>
          <w:color w:val="auto"/>
          <w:highlight w:val="none"/>
        </w:rPr>
      </w:pPr>
      <w:r>
        <w:rPr>
          <w:rFonts w:ascii="Times New Roman" w:hAnsi="Times New Roman"/>
          <w:color w:val="auto"/>
          <w:highlight w:val="none"/>
        </w:rPr>
        <w:t>图5.</w:t>
      </w:r>
      <w:r>
        <w:rPr>
          <w:rFonts w:hint="eastAsia" w:ascii="Times New Roman" w:hAnsi="Times New Roman"/>
          <w:color w:val="auto"/>
          <w:highlight w:val="none"/>
        </w:rPr>
        <w:t>2</w:t>
      </w:r>
      <w:r>
        <w:rPr>
          <w:rFonts w:ascii="Times New Roman" w:hAnsi="Times New Roman"/>
          <w:color w:val="auto"/>
          <w:highlight w:val="none"/>
        </w:rPr>
        <w:t>-1  项目风险识别流程图</w:t>
      </w:r>
    </w:p>
    <w:p>
      <w:pPr>
        <w:pStyle w:val="101"/>
        <w:spacing w:before="78"/>
        <w:rPr>
          <w:color w:val="auto"/>
          <w:highlight w:val="none"/>
        </w:rPr>
      </w:pPr>
      <w:bookmarkStart w:id="198" w:name="_Toc2372"/>
      <w:r>
        <w:rPr>
          <w:rFonts w:hint="eastAsia"/>
          <w:color w:val="auto"/>
          <w:highlight w:val="none"/>
        </w:rPr>
        <w:t>5.2.1物质危险性识别</w:t>
      </w:r>
      <w:bookmarkEnd w:id="198"/>
    </w:p>
    <w:p>
      <w:pPr>
        <w:pStyle w:val="99"/>
        <w:ind w:firstLine="480"/>
        <w:rPr>
          <w:color w:val="auto"/>
          <w:highlight w:val="none"/>
        </w:rPr>
      </w:pPr>
      <w:r>
        <w:rPr>
          <w:color w:val="auto"/>
          <w:highlight w:val="none"/>
        </w:rPr>
        <w:t>从企业生产全过程识别环境风险物质，包括原辅材料、能源、中间体、产品等，对企业的环境风险物质进行识别。</w:t>
      </w:r>
      <w:r>
        <w:rPr>
          <w:rFonts w:hint="eastAsia"/>
          <w:color w:val="auto"/>
          <w:highlight w:val="none"/>
        </w:rPr>
        <w:t>拟建项目原材料及产品为聚乙烯颗粒、废聚乙烯破碎料、废聚丙烯破碎料、聚丙烯颗粒、给水管、中空壁缠绕管、双壁波纹管、污水配件、下脚料及不合格产品、废矿物油等，</w:t>
      </w:r>
      <w:r>
        <w:rPr>
          <w:color w:val="auto"/>
          <w:highlight w:val="none"/>
        </w:rPr>
        <w:t>根据《建设项目环境风险评价技术导则》（HJ169-2018）中附录B中规定的突发环境事件风险物质可知，</w:t>
      </w:r>
      <w:r>
        <w:rPr>
          <w:rFonts w:hint="eastAsia"/>
          <w:color w:val="auto"/>
          <w:highlight w:val="none"/>
        </w:rPr>
        <w:t>本项目属于危险物质的有：废矿物油类物质</w:t>
      </w:r>
      <w:r>
        <w:rPr>
          <w:color w:val="auto"/>
          <w:highlight w:val="none"/>
        </w:rPr>
        <w:t>，风险物质识别结果表详见表</w:t>
      </w:r>
      <w:r>
        <w:rPr>
          <w:rFonts w:hint="eastAsia"/>
          <w:color w:val="auto"/>
          <w:highlight w:val="none"/>
        </w:rPr>
        <w:t>5.2-1，理化性质见表5.2-2</w:t>
      </w:r>
      <w:r>
        <w:rPr>
          <w:color w:val="auto"/>
          <w:highlight w:val="none"/>
        </w:rPr>
        <w:t>。</w:t>
      </w:r>
    </w:p>
    <w:p>
      <w:pPr>
        <w:spacing w:line="360" w:lineRule="auto"/>
        <w:ind w:firstLine="480" w:firstLineChars="200"/>
        <w:jc w:val="center"/>
        <w:rPr>
          <w:rFonts w:eastAsia="黑体"/>
          <w:color w:val="auto"/>
          <w:sz w:val="24"/>
          <w:highlight w:val="none"/>
        </w:rPr>
      </w:pPr>
      <w:r>
        <w:rPr>
          <w:rFonts w:eastAsia="黑体"/>
          <w:color w:val="auto"/>
          <w:sz w:val="24"/>
          <w:highlight w:val="none"/>
        </w:rPr>
        <w:t xml:space="preserve">表5.2-1  </w:t>
      </w:r>
      <w:r>
        <w:rPr>
          <w:rFonts w:hint="eastAsia" w:eastAsia="黑体"/>
          <w:color w:val="auto"/>
          <w:sz w:val="24"/>
          <w:highlight w:val="none"/>
        </w:rPr>
        <w:t>项目涉及物料危险性识别</w:t>
      </w:r>
    </w:p>
    <w:tbl>
      <w:tblPr>
        <w:tblStyle w:val="59"/>
        <w:tblW w:w="9003"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98"/>
        <w:gridCol w:w="1585"/>
        <w:gridCol w:w="1678"/>
        <w:gridCol w:w="1925"/>
        <w:gridCol w:w="1925"/>
        <w:gridCol w:w="119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8" w:type="dxa"/>
            <w:vAlign w:val="center"/>
          </w:tcPr>
          <w:p>
            <w:pPr>
              <w:snapToGrid w:val="0"/>
              <w:spacing w:line="240" w:lineRule="exact"/>
              <w:jc w:val="center"/>
              <w:rPr>
                <w:color w:val="auto"/>
                <w:szCs w:val="21"/>
                <w:highlight w:val="none"/>
              </w:rPr>
            </w:pPr>
            <w:r>
              <w:rPr>
                <w:color w:val="auto"/>
                <w:szCs w:val="21"/>
                <w:highlight w:val="none"/>
              </w:rPr>
              <w:t>序号</w:t>
            </w:r>
          </w:p>
        </w:tc>
        <w:tc>
          <w:tcPr>
            <w:tcW w:w="1585" w:type="dxa"/>
            <w:vAlign w:val="center"/>
          </w:tcPr>
          <w:p>
            <w:pPr>
              <w:snapToGrid w:val="0"/>
              <w:spacing w:line="240" w:lineRule="exact"/>
              <w:jc w:val="center"/>
              <w:rPr>
                <w:color w:val="auto"/>
                <w:szCs w:val="21"/>
                <w:highlight w:val="none"/>
              </w:rPr>
            </w:pPr>
            <w:r>
              <w:rPr>
                <w:rFonts w:hint="eastAsia"/>
                <w:color w:val="auto"/>
                <w:szCs w:val="21"/>
                <w:highlight w:val="none"/>
              </w:rPr>
              <w:t>物料名称</w:t>
            </w:r>
          </w:p>
        </w:tc>
        <w:tc>
          <w:tcPr>
            <w:tcW w:w="1678" w:type="dxa"/>
            <w:vAlign w:val="center"/>
          </w:tcPr>
          <w:p>
            <w:pPr>
              <w:snapToGrid w:val="0"/>
              <w:spacing w:line="240" w:lineRule="exact"/>
              <w:jc w:val="center"/>
              <w:rPr>
                <w:color w:val="auto"/>
                <w:szCs w:val="21"/>
                <w:highlight w:val="none"/>
              </w:rPr>
            </w:pPr>
            <w:r>
              <w:rPr>
                <w:rFonts w:hint="eastAsia"/>
                <w:color w:val="auto"/>
                <w:szCs w:val="21"/>
                <w:highlight w:val="none"/>
              </w:rPr>
              <w:t>CAS号</w:t>
            </w:r>
          </w:p>
        </w:tc>
        <w:tc>
          <w:tcPr>
            <w:tcW w:w="1925" w:type="dxa"/>
            <w:vAlign w:val="center"/>
          </w:tcPr>
          <w:p>
            <w:pPr>
              <w:snapToGrid w:val="0"/>
              <w:spacing w:line="240" w:lineRule="exact"/>
              <w:jc w:val="center"/>
              <w:rPr>
                <w:color w:val="auto"/>
                <w:szCs w:val="21"/>
                <w:highlight w:val="none"/>
              </w:rPr>
            </w:pPr>
            <w:r>
              <w:rPr>
                <w:rFonts w:hint="eastAsia"/>
                <w:color w:val="auto"/>
                <w:szCs w:val="21"/>
                <w:highlight w:val="none"/>
              </w:rPr>
              <w:t>危险类别</w:t>
            </w:r>
          </w:p>
        </w:tc>
        <w:tc>
          <w:tcPr>
            <w:tcW w:w="1925" w:type="dxa"/>
            <w:vAlign w:val="center"/>
          </w:tcPr>
          <w:p>
            <w:pPr>
              <w:snapToGrid w:val="0"/>
              <w:spacing w:line="240" w:lineRule="exact"/>
              <w:jc w:val="center"/>
              <w:rPr>
                <w:color w:val="auto"/>
                <w:szCs w:val="21"/>
                <w:highlight w:val="none"/>
              </w:rPr>
            </w:pPr>
            <w:r>
              <w:rPr>
                <w:rFonts w:hint="eastAsia"/>
                <w:color w:val="auto"/>
                <w:szCs w:val="21"/>
                <w:highlight w:val="none"/>
              </w:rPr>
              <w:t>临界量</w:t>
            </w:r>
          </w:p>
        </w:tc>
        <w:tc>
          <w:tcPr>
            <w:tcW w:w="1192" w:type="dxa"/>
            <w:vAlign w:val="center"/>
          </w:tcPr>
          <w:p>
            <w:pPr>
              <w:snapToGrid w:val="0"/>
              <w:spacing w:line="240" w:lineRule="exact"/>
              <w:jc w:val="center"/>
              <w:rPr>
                <w:color w:val="auto"/>
                <w:szCs w:val="21"/>
                <w:highlight w:val="none"/>
              </w:rPr>
            </w:pPr>
            <w:r>
              <w:rPr>
                <w:rFonts w:hint="eastAsia"/>
                <w:color w:val="auto"/>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8" w:type="dxa"/>
            <w:vAlign w:val="center"/>
          </w:tcPr>
          <w:p>
            <w:pPr>
              <w:snapToGrid w:val="0"/>
              <w:spacing w:line="240" w:lineRule="exact"/>
              <w:jc w:val="center"/>
              <w:rPr>
                <w:color w:val="auto"/>
                <w:szCs w:val="21"/>
                <w:highlight w:val="none"/>
              </w:rPr>
            </w:pPr>
            <w:r>
              <w:rPr>
                <w:rFonts w:hint="eastAsia"/>
                <w:color w:val="auto"/>
                <w:szCs w:val="21"/>
                <w:highlight w:val="none"/>
              </w:rPr>
              <w:t>1</w:t>
            </w:r>
          </w:p>
        </w:tc>
        <w:tc>
          <w:tcPr>
            <w:tcW w:w="1585" w:type="dxa"/>
            <w:vAlign w:val="center"/>
          </w:tcPr>
          <w:p>
            <w:pPr>
              <w:pStyle w:val="105"/>
              <w:rPr>
                <w:color w:val="auto"/>
                <w:kern w:val="16"/>
                <w:szCs w:val="21"/>
                <w:highlight w:val="none"/>
              </w:rPr>
            </w:pPr>
            <w:r>
              <w:rPr>
                <w:rFonts w:hint="eastAsia"/>
                <w:color w:val="auto"/>
                <w:kern w:val="16"/>
                <w:szCs w:val="21"/>
                <w:highlight w:val="none"/>
              </w:rPr>
              <w:t>油类物质</w:t>
            </w:r>
          </w:p>
        </w:tc>
        <w:tc>
          <w:tcPr>
            <w:tcW w:w="1678" w:type="dxa"/>
            <w:vAlign w:val="center"/>
          </w:tcPr>
          <w:p>
            <w:pPr>
              <w:pStyle w:val="105"/>
              <w:rPr>
                <w:color w:val="auto"/>
                <w:kern w:val="16"/>
                <w:szCs w:val="21"/>
                <w:highlight w:val="none"/>
              </w:rPr>
            </w:pPr>
            <w:r>
              <w:rPr>
                <w:rFonts w:hint="eastAsia"/>
                <w:color w:val="auto"/>
                <w:kern w:val="16"/>
                <w:szCs w:val="21"/>
                <w:highlight w:val="none"/>
              </w:rPr>
              <w:t>/</w:t>
            </w:r>
          </w:p>
        </w:tc>
        <w:tc>
          <w:tcPr>
            <w:tcW w:w="1925" w:type="dxa"/>
            <w:vAlign w:val="center"/>
          </w:tcPr>
          <w:p>
            <w:pPr>
              <w:pStyle w:val="105"/>
              <w:rPr>
                <w:color w:val="auto"/>
                <w:kern w:val="16"/>
                <w:szCs w:val="21"/>
                <w:highlight w:val="none"/>
              </w:rPr>
            </w:pPr>
            <w:r>
              <w:rPr>
                <w:rFonts w:hint="eastAsia"/>
                <w:color w:val="auto"/>
                <w:kern w:val="16"/>
                <w:szCs w:val="21"/>
                <w:highlight w:val="none"/>
              </w:rPr>
              <w:t>易燃液体</w:t>
            </w:r>
          </w:p>
        </w:tc>
        <w:tc>
          <w:tcPr>
            <w:tcW w:w="1925" w:type="dxa"/>
            <w:vAlign w:val="center"/>
          </w:tcPr>
          <w:p>
            <w:pPr>
              <w:snapToGrid w:val="0"/>
              <w:spacing w:line="240" w:lineRule="exact"/>
              <w:jc w:val="center"/>
              <w:rPr>
                <w:color w:val="auto"/>
                <w:kern w:val="16"/>
                <w:szCs w:val="21"/>
                <w:highlight w:val="none"/>
              </w:rPr>
            </w:pPr>
            <w:r>
              <w:rPr>
                <w:rFonts w:hint="eastAsia"/>
                <w:color w:val="auto"/>
                <w:kern w:val="16"/>
                <w:szCs w:val="21"/>
                <w:highlight w:val="none"/>
              </w:rPr>
              <w:t>2</w:t>
            </w:r>
            <w:r>
              <w:rPr>
                <w:color w:val="auto"/>
                <w:kern w:val="16"/>
                <w:szCs w:val="21"/>
                <w:highlight w:val="none"/>
              </w:rPr>
              <w:t>500</w:t>
            </w:r>
            <w:r>
              <w:rPr>
                <w:rFonts w:hint="eastAsia"/>
                <w:color w:val="auto"/>
                <w:kern w:val="16"/>
                <w:szCs w:val="21"/>
                <w:highlight w:val="none"/>
              </w:rPr>
              <w:t>t</w:t>
            </w:r>
          </w:p>
        </w:tc>
        <w:tc>
          <w:tcPr>
            <w:tcW w:w="1192" w:type="dxa"/>
            <w:vAlign w:val="center"/>
          </w:tcPr>
          <w:p>
            <w:pPr>
              <w:snapToGrid w:val="0"/>
              <w:spacing w:line="240" w:lineRule="exact"/>
              <w:jc w:val="center"/>
              <w:rPr>
                <w:color w:val="auto"/>
                <w:kern w:val="16"/>
                <w:szCs w:val="21"/>
                <w:highlight w:val="none"/>
              </w:rPr>
            </w:pPr>
          </w:p>
        </w:tc>
      </w:tr>
    </w:tbl>
    <w:p>
      <w:pPr>
        <w:pStyle w:val="103"/>
        <w:ind w:left="1260" w:hanging="420"/>
        <w:rPr>
          <w:rFonts w:ascii="Times New Roman" w:hAnsi="Times New Roman"/>
          <w:color w:val="auto"/>
          <w:highlight w:val="none"/>
        </w:rPr>
      </w:pPr>
      <w:r>
        <w:rPr>
          <w:rFonts w:ascii="Times New Roman" w:hAnsi="Times New Roman"/>
          <w:color w:val="auto"/>
          <w:highlight w:val="none"/>
        </w:rPr>
        <w:t>表5.</w:t>
      </w:r>
      <w:r>
        <w:rPr>
          <w:rFonts w:hint="eastAsia" w:ascii="Times New Roman" w:hAnsi="Times New Roman"/>
          <w:color w:val="auto"/>
          <w:highlight w:val="none"/>
        </w:rPr>
        <w:t>2</w:t>
      </w:r>
      <w:r>
        <w:rPr>
          <w:rFonts w:ascii="Times New Roman" w:hAnsi="Times New Roman"/>
          <w:color w:val="auto"/>
          <w:highlight w:val="none"/>
        </w:rPr>
        <w:t xml:space="preserve">-2   </w:t>
      </w:r>
      <w:r>
        <w:rPr>
          <w:rFonts w:hint="eastAsia" w:ascii="Times New Roman" w:hAnsi="Times New Roman"/>
          <w:color w:val="auto"/>
          <w:highlight w:val="none"/>
        </w:rPr>
        <w:t>矿物油理化性质、危险特性及应急防范措施一览表</w:t>
      </w:r>
    </w:p>
    <w:tbl>
      <w:tblPr>
        <w:tblStyle w:val="59"/>
        <w:tblW w:w="9248" w:type="dxa"/>
        <w:tblInd w:w="2"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245"/>
        <w:gridCol w:w="2605"/>
        <w:gridCol w:w="1708"/>
        <w:gridCol w:w="369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50" w:hRule="atLeast"/>
        </w:trPr>
        <w:tc>
          <w:tcPr>
            <w:tcW w:w="1245" w:type="dxa"/>
            <w:shd w:val="clear" w:color="auto" w:fill="auto"/>
            <w:tcMar>
              <w:left w:w="57" w:type="dxa"/>
              <w:right w:w="57" w:type="dxa"/>
            </w:tcMar>
            <w:vAlign w:val="center"/>
          </w:tcPr>
          <w:p>
            <w:pPr>
              <w:pStyle w:val="105"/>
              <w:rPr>
                <w:rFonts w:ascii="宋体" w:hAnsi="宋体" w:cs="宋体"/>
                <w:color w:val="auto"/>
                <w:highlight w:val="none"/>
                <w:lang w:eastAsia="en-US"/>
              </w:rPr>
            </w:pPr>
            <w:r>
              <w:rPr>
                <w:rFonts w:eastAsia="Times New Roman"/>
                <w:color w:val="auto"/>
                <w:highlight w:val="none"/>
                <w:lang w:eastAsia="en-US"/>
              </w:rPr>
              <w:t>CAS</w:t>
            </w:r>
            <w:r>
              <w:rPr>
                <w:rFonts w:ascii="宋体" w:hAnsi="宋体" w:cs="宋体"/>
                <w:color w:val="auto"/>
                <w:spacing w:val="2"/>
                <w:highlight w:val="none"/>
                <w:lang w:eastAsia="en-US"/>
              </w:rPr>
              <w:t>号</w:t>
            </w:r>
          </w:p>
        </w:tc>
        <w:tc>
          <w:tcPr>
            <w:tcW w:w="2605" w:type="dxa"/>
            <w:shd w:val="clear" w:color="auto" w:fill="auto"/>
            <w:tcMar>
              <w:left w:w="57" w:type="dxa"/>
              <w:right w:w="57" w:type="dxa"/>
            </w:tcMar>
            <w:vAlign w:val="center"/>
          </w:tcPr>
          <w:p>
            <w:pPr>
              <w:pStyle w:val="105"/>
              <w:rPr>
                <w:rFonts w:eastAsia="Times New Roman"/>
                <w:color w:val="auto"/>
                <w:highlight w:val="none"/>
                <w:lang w:eastAsia="en-US"/>
              </w:rPr>
            </w:pPr>
            <w:r>
              <w:rPr>
                <w:rFonts w:eastAsia="Times New Roman"/>
                <w:color w:val="auto"/>
                <w:spacing w:val="-2"/>
                <w:highlight w:val="none"/>
                <w:lang w:eastAsia="en-US"/>
              </w:rPr>
              <w:t>804</w:t>
            </w:r>
            <w:r>
              <w:rPr>
                <w:rFonts w:eastAsia="Times New Roman"/>
                <w:color w:val="auto"/>
                <w:spacing w:val="-1"/>
                <w:highlight w:val="none"/>
                <w:lang w:eastAsia="en-US"/>
              </w:rPr>
              <w:t>2-47-5</w:t>
            </w:r>
          </w:p>
        </w:tc>
        <w:tc>
          <w:tcPr>
            <w:tcW w:w="1708" w:type="dxa"/>
            <w:shd w:val="clear" w:color="auto" w:fill="auto"/>
            <w:tcMar>
              <w:left w:w="57" w:type="dxa"/>
              <w:right w:w="57" w:type="dxa"/>
            </w:tcMar>
            <w:vAlign w:val="center"/>
          </w:tcPr>
          <w:p>
            <w:pPr>
              <w:pStyle w:val="105"/>
              <w:rPr>
                <w:rFonts w:ascii="宋体" w:hAnsi="宋体" w:cs="宋体"/>
                <w:color w:val="auto"/>
                <w:highlight w:val="none"/>
                <w:lang w:eastAsia="en-US"/>
              </w:rPr>
            </w:pPr>
            <w:r>
              <w:rPr>
                <w:rFonts w:ascii="宋体" w:hAnsi="宋体" w:cs="宋体"/>
                <w:color w:val="auto"/>
                <w:spacing w:val="-7"/>
                <w:highlight w:val="none"/>
                <w:lang w:eastAsia="en-US"/>
              </w:rPr>
              <w:t>闪</w:t>
            </w:r>
            <w:r>
              <w:rPr>
                <w:rFonts w:ascii="宋体" w:hAnsi="宋体" w:cs="宋体"/>
                <w:color w:val="auto"/>
                <w:spacing w:val="-6"/>
                <w:highlight w:val="none"/>
                <w:lang w:eastAsia="en-US"/>
              </w:rPr>
              <w:t>点</w:t>
            </w:r>
          </w:p>
        </w:tc>
        <w:tc>
          <w:tcPr>
            <w:tcW w:w="3690" w:type="dxa"/>
            <w:shd w:val="clear" w:color="auto" w:fill="auto"/>
            <w:tcMar>
              <w:left w:w="57" w:type="dxa"/>
              <w:right w:w="57" w:type="dxa"/>
            </w:tcMar>
            <w:vAlign w:val="center"/>
          </w:tcPr>
          <w:p>
            <w:pPr>
              <w:pStyle w:val="105"/>
              <w:rPr>
                <w:rFonts w:eastAsia="Times New Roman"/>
                <w:color w:val="auto"/>
                <w:highlight w:val="none"/>
                <w:lang w:eastAsia="en-US"/>
              </w:rPr>
            </w:pPr>
            <w:r>
              <w:rPr>
                <w:rFonts w:eastAsia="Times New Roman"/>
                <w:color w:val="auto"/>
                <w:spacing w:val="-1"/>
                <w:highlight w:val="none"/>
                <w:lang w:eastAsia="en-US"/>
              </w:rPr>
              <w:t>&gt;56</w:t>
            </w:r>
            <w:r>
              <w:rPr>
                <w:rFonts w:ascii="宋体" w:hAnsi="宋体" w:cs="宋体"/>
                <w:color w:val="auto"/>
                <w:spacing w:val="-1"/>
                <w:highlight w:val="none"/>
                <w:lang w:eastAsia="en-US"/>
              </w:rPr>
              <w:t>°</w:t>
            </w:r>
            <w:r>
              <w:rPr>
                <w:rFonts w:eastAsia="Times New Roman"/>
                <w:color w:val="auto"/>
                <w:spacing w:val="-1"/>
                <w:highlight w:val="none"/>
                <w:lang w:eastAsia="en-US"/>
              </w:rPr>
              <w:t>C(</w:t>
            </w:r>
            <w:r>
              <w:rPr>
                <w:rFonts w:ascii="宋体" w:hAnsi="宋体" w:cs="宋体"/>
                <w:color w:val="auto"/>
                <w:spacing w:val="-1"/>
                <w:highlight w:val="none"/>
                <w:lang w:eastAsia="en-US"/>
              </w:rPr>
              <w:t>气压</w:t>
            </w:r>
            <w:r>
              <w:rPr>
                <w:rFonts w:eastAsia="Times New Roman"/>
                <w:color w:val="auto"/>
                <w:spacing w:val="-1"/>
                <w:highlight w:val="none"/>
                <w:lang w:eastAsia="en-US"/>
              </w:rPr>
              <w:t>101.325k</w:t>
            </w:r>
            <w:r>
              <w:rPr>
                <w:rFonts w:eastAsia="Times New Roman"/>
                <w:color w:val="auto"/>
                <w:highlight w:val="none"/>
                <w:lang w:eastAsia="en-US"/>
              </w:rPr>
              <w:t>Pa)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245" w:type="dxa"/>
            <w:shd w:val="clear" w:color="auto" w:fill="auto"/>
            <w:tcMar>
              <w:left w:w="57" w:type="dxa"/>
              <w:right w:w="57" w:type="dxa"/>
            </w:tcMar>
            <w:vAlign w:val="center"/>
          </w:tcPr>
          <w:p>
            <w:pPr>
              <w:pStyle w:val="105"/>
              <w:rPr>
                <w:rFonts w:ascii="宋体" w:hAnsi="宋体" w:cs="宋体"/>
                <w:color w:val="auto"/>
                <w:highlight w:val="none"/>
                <w:lang w:eastAsia="en-US"/>
              </w:rPr>
            </w:pPr>
            <w:r>
              <w:rPr>
                <w:rFonts w:ascii="宋体" w:hAnsi="宋体" w:cs="宋体"/>
                <w:color w:val="auto"/>
                <w:spacing w:val="-7"/>
                <w:highlight w:val="none"/>
                <w:lang w:eastAsia="en-US"/>
              </w:rPr>
              <w:t>中</w:t>
            </w:r>
            <w:r>
              <w:rPr>
                <w:rFonts w:ascii="宋体" w:hAnsi="宋体" w:cs="宋体"/>
                <w:color w:val="auto"/>
                <w:spacing w:val="-6"/>
                <w:highlight w:val="none"/>
                <w:lang w:eastAsia="en-US"/>
              </w:rPr>
              <w:t>文名称</w:t>
            </w:r>
          </w:p>
        </w:tc>
        <w:tc>
          <w:tcPr>
            <w:tcW w:w="2605" w:type="dxa"/>
            <w:shd w:val="clear" w:color="auto" w:fill="auto"/>
            <w:tcMar>
              <w:left w:w="57" w:type="dxa"/>
              <w:right w:w="57" w:type="dxa"/>
            </w:tcMar>
            <w:vAlign w:val="center"/>
          </w:tcPr>
          <w:p>
            <w:pPr>
              <w:pStyle w:val="105"/>
              <w:rPr>
                <w:rFonts w:ascii="宋体" w:hAnsi="宋体" w:cs="宋体"/>
                <w:color w:val="auto"/>
                <w:highlight w:val="none"/>
                <w:lang w:eastAsia="en-US"/>
              </w:rPr>
            </w:pPr>
            <w:r>
              <w:rPr>
                <w:rFonts w:ascii="宋体" w:hAnsi="宋体" w:cs="宋体"/>
                <w:color w:val="auto"/>
                <w:spacing w:val="-1"/>
                <w:highlight w:val="none"/>
                <w:lang w:eastAsia="en-US"/>
              </w:rPr>
              <w:t>矿物油</w:t>
            </w:r>
          </w:p>
        </w:tc>
        <w:tc>
          <w:tcPr>
            <w:tcW w:w="1708" w:type="dxa"/>
            <w:shd w:val="clear" w:color="auto" w:fill="auto"/>
            <w:tcMar>
              <w:left w:w="57" w:type="dxa"/>
              <w:right w:w="57" w:type="dxa"/>
            </w:tcMar>
            <w:vAlign w:val="center"/>
          </w:tcPr>
          <w:p>
            <w:pPr>
              <w:pStyle w:val="105"/>
              <w:rPr>
                <w:rFonts w:ascii="宋体" w:hAnsi="宋体" w:cs="宋体"/>
                <w:color w:val="auto"/>
                <w:highlight w:val="none"/>
                <w:lang w:eastAsia="en-US"/>
              </w:rPr>
            </w:pPr>
            <w:r>
              <w:rPr>
                <w:rFonts w:ascii="宋体" w:hAnsi="宋体" w:cs="宋体"/>
                <w:color w:val="auto"/>
                <w:spacing w:val="-2"/>
                <w:highlight w:val="none"/>
                <w:lang w:eastAsia="en-US"/>
              </w:rPr>
              <w:t>英文</w:t>
            </w:r>
            <w:r>
              <w:rPr>
                <w:rFonts w:ascii="宋体" w:hAnsi="宋体" w:cs="宋体"/>
                <w:color w:val="auto"/>
                <w:spacing w:val="-1"/>
                <w:highlight w:val="none"/>
                <w:lang w:eastAsia="en-US"/>
              </w:rPr>
              <w:t>名称</w:t>
            </w:r>
          </w:p>
        </w:tc>
        <w:tc>
          <w:tcPr>
            <w:tcW w:w="3690" w:type="dxa"/>
            <w:shd w:val="clear" w:color="auto" w:fill="auto"/>
            <w:tcMar>
              <w:left w:w="57" w:type="dxa"/>
              <w:right w:w="57" w:type="dxa"/>
            </w:tcMar>
            <w:vAlign w:val="center"/>
          </w:tcPr>
          <w:p>
            <w:pPr>
              <w:pStyle w:val="105"/>
              <w:rPr>
                <w:rFonts w:eastAsia="Times New Roman"/>
                <w:color w:val="auto"/>
                <w:highlight w:val="none"/>
                <w:lang w:eastAsia="en-US"/>
              </w:rPr>
            </w:pPr>
            <w:r>
              <w:rPr>
                <w:rFonts w:eastAsia="Times New Roman"/>
                <w:color w:val="auto"/>
                <w:spacing w:val="-1"/>
                <w:highlight w:val="none"/>
                <w:lang w:eastAsia="en-US"/>
              </w:rPr>
              <w:t>M</w:t>
            </w:r>
            <w:r>
              <w:rPr>
                <w:rFonts w:eastAsia="Times New Roman"/>
                <w:color w:val="auto"/>
                <w:highlight w:val="none"/>
                <w:lang w:eastAsia="en-US"/>
              </w:rPr>
              <w:t>ineraloil</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245" w:type="dxa"/>
            <w:shd w:val="clear" w:color="auto" w:fill="auto"/>
            <w:tcMar>
              <w:left w:w="57" w:type="dxa"/>
              <w:right w:w="57" w:type="dxa"/>
            </w:tcMar>
            <w:vAlign w:val="center"/>
          </w:tcPr>
          <w:p>
            <w:pPr>
              <w:pStyle w:val="105"/>
              <w:rPr>
                <w:rFonts w:ascii="宋体" w:hAnsi="宋体" w:cs="宋体"/>
                <w:color w:val="auto"/>
                <w:highlight w:val="none"/>
                <w:lang w:eastAsia="en-US"/>
              </w:rPr>
            </w:pPr>
            <w:r>
              <w:rPr>
                <w:rFonts w:ascii="宋体" w:hAnsi="宋体" w:cs="宋体"/>
                <w:color w:val="auto"/>
                <w:spacing w:val="-2"/>
                <w:highlight w:val="none"/>
                <w:lang w:eastAsia="en-US"/>
              </w:rPr>
              <w:t>分子</w:t>
            </w:r>
            <w:r>
              <w:rPr>
                <w:rFonts w:ascii="宋体" w:hAnsi="宋体" w:cs="宋体"/>
                <w:color w:val="auto"/>
                <w:spacing w:val="-1"/>
                <w:highlight w:val="none"/>
                <w:lang w:eastAsia="en-US"/>
              </w:rPr>
              <w:t>式</w:t>
            </w:r>
          </w:p>
        </w:tc>
        <w:tc>
          <w:tcPr>
            <w:tcW w:w="2605" w:type="dxa"/>
            <w:shd w:val="clear" w:color="auto" w:fill="auto"/>
            <w:tcMar>
              <w:left w:w="57" w:type="dxa"/>
              <w:right w:w="57" w:type="dxa"/>
            </w:tcMar>
            <w:vAlign w:val="center"/>
          </w:tcPr>
          <w:p>
            <w:pPr>
              <w:pStyle w:val="105"/>
              <w:rPr>
                <w:rFonts w:eastAsia="Times New Roman"/>
                <w:color w:val="auto"/>
                <w:highlight w:val="none"/>
                <w:lang w:eastAsia="en-US"/>
              </w:rPr>
            </w:pPr>
            <w:r>
              <w:rPr>
                <w:rFonts w:eastAsia="Times New Roman"/>
                <w:color w:val="auto"/>
                <w:spacing w:val="-1"/>
                <w:highlight w:val="none"/>
                <w:lang w:eastAsia="en-US"/>
              </w:rPr>
              <w:t>C14-C</w:t>
            </w:r>
            <w:r>
              <w:rPr>
                <w:rFonts w:eastAsia="Times New Roman"/>
                <w:color w:val="auto"/>
                <w:highlight w:val="none"/>
                <w:lang w:eastAsia="en-US"/>
              </w:rPr>
              <w:t>20(</w:t>
            </w:r>
            <w:r>
              <w:rPr>
                <w:rFonts w:ascii="宋体" w:hAnsi="宋体" w:cs="宋体"/>
                <w:color w:val="auto"/>
                <w:highlight w:val="none"/>
                <w:lang w:eastAsia="en-US"/>
              </w:rPr>
              <w:t>脂肪烃和环烃</w:t>
            </w:r>
            <w:r>
              <w:rPr>
                <w:rFonts w:eastAsia="Times New Roman"/>
                <w:color w:val="auto"/>
                <w:highlight w:val="none"/>
                <w:lang w:eastAsia="en-US"/>
              </w:rPr>
              <w:t>)</w:t>
            </w:r>
          </w:p>
        </w:tc>
        <w:tc>
          <w:tcPr>
            <w:tcW w:w="1708" w:type="dxa"/>
            <w:shd w:val="clear" w:color="auto" w:fill="auto"/>
            <w:tcMar>
              <w:left w:w="57" w:type="dxa"/>
              <w:right w:w="57" w:type="dxa"/>
            </w:tcMar>
            <w:vAlign w:val="center"/>
          </w:tcPr>
          <w:p>
            <w:pPr>
              <w:pStyle w:val="105"/>
              <w:rPr>
                <w:rFonts w:ascii="宋体" w:hAnsi="宋体" w:cs="宋体"/>
                <w:color w:val="auto"/>
                <w:highlight w:val="none"/>
                <w:lang w:eastAsia="en-US"/>
              </w:rPr>
            </w:pPr>
            <w:r>
              <w:rPr>
                <w:rFonts w:ascii="宋体" w:hAnsi="宋体" w:cs="宋体"/>
                <w:color w:val="auto"/>
                <w:spacing w:val="-2"/>
                <w:highlight w:val="none"/>
                <w:lang w:eastAsia="en-US"/>
              </w:rPr>
              <w:t>外观与性</w:t>
            </w:r>
            <w:r>
              <w:rPr>
                <w:rFonts w:ascii="宋体" w:hAnsi="宋体" w:cs="宋体"/>
                <w:color w:val="auto"/>
                <w:spacing w:val="-1"/>
                <w:highlight w:val="none"/>
                <w:lang w:eastAsia="en-US"/>
              </w:rPr>
              <w:t>状</w:t>
            </w:r>
          </w:p>
        </w:tc>
        <w:tc>
          <w:tcPr>
            <w:tcW w:w="3690" w:type="dxa"/>
            <w:shd w:val="clear" w:color="auto" w:fill="auto"/>
            <w:tcMar>
              <w:left w:w="57" w:type="dxa"/>
              <w:right w:w="57" w:type="dxa"/>
            </w:tcMar>
            <w:vAlign w:val="center"/>
          </w:tcPr>
          <w:p>
            <w:pPr>
              <w:pStyle w:val="105"/>
              <w:rPr>
                <w:rFonts w:ascii="宋体" w:hAnsi="宋体" w:cs="宋体"/>
                <w:color w:val="auto"/>
                <w:highlight w:val="none"/>
                <w:lang w:eastAsia="en-US"/>
              </w:rPr>
            </w:pPr>
            <w:r>
              <w:rPr>
                <w:rFonts w:ascii="宋体" w:hAnsi="宋体" w:cs="宋体"/>
                <w:color w:val="auto"/>
                <w:spacing w:val="-2"/>
                <w:highlight w:val="none"/>
                <w:lang w:eastAsia="en-US"/>
              </w:rPr>
              <w:t>无色液</w:t>
            </w:r>
            <w:r>
              <w:rPr>
                <w:rFonts w:ascii="宋体" w:hAnsi="宋体" w:cs="宋体"/>
                <w:color w:val="auto"/>
                <w:spacing w:val="-1"/>
                <w:highlight w:val="none"/>
                <w:lang w:eastAsia="en-US"/>
              </w:rPr>
              <w:t>体</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6" w:hRule="atLeast"/>
        </w:trPr>
        <w:tc>
          <w:tcPr>
            <w:tcW w:w="1245" w:type="dxa"/>
            <w:shd w:val="clear" w:color="auto" w:fill="auto"/>
            <w:tcMar>
              <w:left w:w="57" w:type="dxa"/>
              <w:right w:w="57" w:type="dxa"/>
            </w:tcMar>
            <w:vAlign w:val="center"/>
          </w:tcPr>
          <w:p>
            <w:pPr>
              <w:pStyle w:val="105"/>
              <w:rPr>
                <w:rFonts w:ascii="宋体" w:hAnsi="宋体" w:cs="宋体"/>
                <w:color w:val="auto"/>
                <w:highlight w:val="none"/>
                <w:lang w:eastAsia="en-US"/>
              </w:rPr>
            </w:pPr>
            <w:r>
              <w:rPr>
                <w:rFonts w:ascii="宋体" w:hAnsi="宋体" w:cs="宋体"/>
                <w:color w:val="auto"/>
                <w:spacing w:val="-2"/>
                <w:highlight w:val="none"/>
                <w:lang w:eastAsia="en-US"/>
              </w:rPr>
              <w:t>熔点</w:t>
            </w:r>
          </w:p>
        </w:tc>
        <w:tc>
          <w:tcPr>
            <w:tcW w:w="2605" w:type="dxa"/>
            <w:shd w:val="clear" w:color="auto" w:fill="auto"/>
            <w:tcMar>
              <w:left w:w="57" w:type="dxa"/>
              <w:right w:w="57" w:type="dxa"/>
            </w:tcMar>
            <w:vAlign w:val="center"/>
          </w:tcPr>
          <w:p>
            <w:pPr>
              <w:pStyle w:val="105"/>
              <w:rPr>
                <w:rFonts w:ascii="宋体" w:hAnsi="宋体" w:cs="宋体"/>
                <w:color w:val="auto"/>
                <w:highlight w:val="none"/>
                <w:lang w:eastAsia="en-US"/>
              </w:rPr>
            </w:pPr>
            <w:r>
              <w:rPr>
                <w:rFonts w:ascii="宋体" w:hAnsi="宋体" w:cs="宋体"/>
                <w:color w:val="auto"/>
                <w:spacing w:val="-2"/>
                <w:highlight w:val="none"/>
                <w:lang w:eastAsia="en-US"/>
              </w:rPr>
              <w:t>约</w:t>
            </w:r>
            <w:r>
              <w:rPr>
                <w:rFonts w:eastAsia="Times New Roman"/>
                <w:color w:val="auto"/>
                <w:spacing w:val="-1"/>
                <w:highlight w:val="none"/>
                <w:lang w:eastAsia="en-US"/>
              </w:rPr>
              <w:t>-15</w:t>
            </w:r>
            <w:r>
              <w:rPr>
                <w:rFonts w:ascii="宋体" w:hAnsi="宋体" w:cs="宋体"/>
                <w:color w:val="auto"/>
                <w:spacing w:val="-2"/>
                <w:highlight w:val="none"/>
                <w:lang w:eastAsia="en-US"/>
              </w:rPr>
              <w:t>°</w:t>
            </w:r>
            <w:r>
              <w:rPr>
                <w:rFonts w:eastAsia="Times New Roman"/>
                <w:color w:val="auto"/>
                <w:spacing w:val="-1"/>
                <w:highlight w:val="none"/>
                <w:lang w:eastAsia="en-US"/>
              </w:rPr>
              <w:t>C/1,013</w:t>
            </w:r>
            <w:r>
              <w:rPr>
                <w:rFonts w:ascii="宋体" w:hAnsi="宋体" w:cs="宋体"/>
                <w:color w:val="auto"/>
                <w:spacing w:val="-2"/>
                <w:highlight w:val="none"/>
                <w:lang w:eastAsia="en-US"/>
              </w:rPr>
              <w:t>百帕</w:t>
            </w:r>
          </w:p>
        </w:tc>
        <w:tc>
          <w:tcPr>
            <w:tcW w:w="1708" w:type="dxa"/>
            <w:shd w:val="clear" w:color="auto" w:fill="auto"/>
            <w:tcMar>
              <w:left w:w="57" w:type="dxa"/>
              <w:right w:w="57" w:type="dxa"/>
            </w:tcMar>
            <w:vAlign w:val="center"/>
          </w:tcPr>
          <w:p>
            <w:pPr>
              <w:pStyle w:val="105"/>
              <w:rPr>
                <w:rFonts w:ascii="宋体" w:hAnsi="宋体" w:cs="宋体"/>
                <w:color w:val="auto"/>
                <w:highlight w:val="none"/>
                <w:lang w:eastAsia="en-US"/>
              </w:rPr>
            </w:pPr>
            <w:r>
              <w:rPr>
                <w:rFonts w:ascii="宋体" w:hAnsi="宋体" w:cs="宋体"/>
                <w:color w:val="auto"/>
                <w:spacing w:val="-2"/>
                <w:highlight w:val="none"/>
                <w:lang w:eastAsia="en-US"/>
              </w:rPr>
              <w:t>溶解</w:t>
            </w:r>
            <w:r>
              <w:rPr>
                <w:rFonts w:ascii="宋体" w:hAnsi="宋体" w:cs="宋体"/>
                <w:color w:val="auto"/>
                <w:spacing w:val="-1"/>
                <w:highlight w:val="none"/>
                <w:lang w:eastAsia="en-US"/>
              </w:rPr>
              <w:t>性</w:t>
            </w:r>
          </w:p>
        </w:tc>
        <w:tc>
          <w:tcPr>
            <w:tcW w:w="3690" w:type="dxa"/>
            <w:shd w:val="clear" w:color="auto" w:fill="auto"/>
            <w:tcMar>
              <w:left w:w="57" w:type="dxa"/>
              <w:right w:w="57" w:type="dxa"/>
            </w:tcMar>
            <w:vAlign w:val="center"/>
          </w:tcPr>
          <w:p>
            <w:pPr>
              <w:pStyle w:val="105"/>
              <w:rPr>
                <w:rFonts w:ascii="宋体" w:hAnsi="宋体" w:cs="宋体"/>
                <w:color w:val="auto"/>
                <w:highlight w:val="none"/>
                <w:lang w:eastAsia="en-US"/>
              </w:rPr>
            </w:pPr>
            <w:r>
              <w:rPr>
                <w:rFonts w:ascii="宋体" w:hAnsi="宋体" w:cs="宋体"/>
                <w:color w:val="auto"/>
                <w:highlight w:val="none"/>
                <w:lang w:eastAsia="en-US"/>
              </w:rPr>
              <w:t>水溶性</w:t>
            </w:r>
            <w:r>
              <w:rPr>
                <w:rFonts w:ascii="宋体" w:hAnsi="宋体" w:cs="宋体"/>
                <w:color w:val="auto"/>
                <w:spacing w:val="-9"/>
                <w:highlight w:val="none"/>
                <w:lang w:eastAsia="en-US"/>
              </w:rPr>
              <w:t>：</w:t>
            </w:r>
            <w:r>
              <w:rPr>
                <w:rFonts w:ascii="宋体" w:hAnsi="宋体" w:cs="宋体"/>
                <w:color w:val="auto"/>
                <w:highlight w:val="none"/>
                <w:lang w:eastAsia="en-US"/>
              </w:rPr>
              <w:t>不溶</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245" w:type="dxa"/>
            <w:shd w:val="clear" w:color="auto" w:fill="auto"/>
            <w:tcMar>
              <w:left w:w="57" w:type="dxa"/>
              <w:right w:w="57" w:type="dxa"/>
            </w:tcMar>
            <w:vAlign w:val="center"/>
          </w:tcPr>
          <w:p>
            <w:pPr>
              <w:pStyle w:val="105"/>
              <w:rPr>
                <w:rFonts w:ascii="宋体" w:hAnsi="宋体" w:cs="宋体"/>
                <w:color w:val="auto"/>
                <w:highlight w:val="none"/>
                <w:lang w:eastAsia="en-US"/>
              </w:rPr>
            </w:pPr>
            <w:r>
              <w:rPr>
                <w:rFonts w:ascii="宋体" w:hAnsi="宋体" w:cs="宋体"/>
                <w:color w:val="auto"/>
                <w:spacing w:val="-2"/>
                <w:highlight w:val="none"/>
                <w:lang w:eastAsia="en-US"/>
              </w:rPr>
              <w:t>密度</w:t>
            </w:r>
          </w:p>
        </w:tc>
        <w:tc>
          <w:tcPr>
            <w:tcW w:w="2605" w:type="dxa"/>
            <w:shd w:val="clear" w:color="auto" w:fill="auto"/>
            <w:tcMar>
              <w:left w:w="57" w:type="dxa"/>
              <w:right w:w="57" w:type="dxa"/>
            </w:tcMar>
            <w:vAlign w:val="center"/>
          </w:tcPr>
          <w:p>
            <w:pPr>
              <w:pStyle w:val="105"/>
              <w:rPr>
                <w:rFonts w:eastAsia="Times New Roman"/>
                <w:color w:val="auto"/>
                <w:highlight w:val="none"/>
                <w:lang w:eastAsia="en-US"/>
              </w:rPr>
            </w:pPr>
            <w:r>
              <w:rPr>
                <w:rFonts w:eastAsia="Times New Roman"/>
                <w:color w:val="auto"/>
                <w:spacing w:val="-1"/>
                <w:highlight w:val="none"/>
                <w:lang w:eastAsia="en-US"/>
              </w:rPr>
              <w:t>0.838</w:t>
            </w:r>
            <w:r>
              <w:rPr>
                <w:rFonts w:eastAsia="Times New Roman"/>
                <w:color w:val="auto"/>
                <w:highlight w:val="none"/>
                <w:lang w:eastAsia="en-US"/>
              </w:rPr>
              <w:t>g/mL(25</w:t>
            </w:r>
            <w:r>
              <w:rPr>
                <w:rFonts w:ascii="宋体" w:hAnsi="宋体" w:cs="宋体"/>
                <w:color w:val="auto"/>
                <w:highlight w:val="none"/>
                <w:lang w:eastAsia="en-US"/>
              </w:rPr>
              <w:t>°</w:t>
            </w:r>
            <w:r>
              <w:rPr>
                <w:rFonts w:eastAsia="Times New Roman"/>
                <w:color w:val="auto"/>
                <w:highlight w:val="none"/>
                <w:lang w:eastAsia="en-US"/>
              </w:rPr>
              <w:t>C)</w:t>
            </w:r>
          </w:p>
        </w:tc>
        <w:tc>
          <w:tcPr>
            <w:tcW w:w="1708" w:type="dxa"/>
            <w:shd w:val="clear" w:color="auto" w:fill="auto"/>
            <w:tcMar>
              <w:left w:w="57" w:type="dxa"/>
              <w:right w:w="57" w:type="dxa"/>
            </w:tcMar>
            <w:vAlign w:val="center"/>
          </w:tcPr>
          <w:p>
            <w:pPr>
              <w:pStyle w:val="105"/>
              <w:rPr>
                <w:rFonts w:ascii="宋体" w:hAnsi="宋体" w:cs="宋体"/>
                <w:color w:val="auto"/>
                <w:highlight w:val="none"/>
                <w:lang w:eastAsia="en-US"/>
              </w:rPr>
            </w:pPr>
            <w:r>
              <w:rPr>
                <w:rFonts w:ascii="宋体" w:hAnsi="宋体" w:cs="宋体"/>
                <w:color w:val="auto"/>
                <w:spacing w:val="-2"/>
                <w:highlight w:val="none"/>
                <w:lang w:eastAsia="en-US"/>
              </w:rPr>
              <w:t>稳</w:t>
            </w:r>
            <w:r>
              <w:rPr>
                <w:rFonts w:ascii="宋体" w:hAnsi="宋体" w:cs="宋体"/>
                <w:color w:val="auto"/>
                <w:spacing w:val="-1"/>
                <w:highlight w:val="none"/>
                <w:lang w:eastAsia="en-US"/>
              </w:rPr>
              <w:t>定性</w:t>
            </w:r>
          </w:p>
        </w:tc>
        <w:tc>
          <w:tcPr>
            <w:tcW w:w="3690" w:type="dxa"/>
            <w:shd w:val="clear" w:color="auto" w:fill="auto"/>
            <w:tcMar>
              <w:left w:w="57" w:type="dxa"/>
              <w:right w:w="57" w:type="dxa"/>
            </w:tcMar>
            <w:vAlign w:val="center"/>
          </w:tcPr>
          <w:p>
            <w:pPr>
              <w:pStyle w:val="105"/>
              <w:rPr>
                <w:rFonts w:ascii="宋体" w:hAnsi="宋体" w:cs="宋体"/>
                <w:color w:val="auto"/>
                <w:highlight w:val="none"/>
                <w:lang w:eastAsia="en-US"/>
              </w:rPr>
            </w:pPr>
            <w:r>
              <w:rPr>
                <w:rFonts w:ascii="宋体" w:hAnsi="宋体" w:cs="宋体"/>
                <w:color w:val="auto"/>
                <w:spacing w:val="-2"/>
                <w:highlight w:val="none"/>
                <w:lang w:eastAsia="en-US"/>
              </w:rPr>
              <w:t>稳定</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3" w:hRule="atLeast"/>
        </w:trPr>
        <w:tc>
          <w:tcPr>
            <w:tcW w:w="1245" w:type="dxa"/>
            <w:shd w:val="clear" w:color="auto" w:fill="auto"/>
            <w:tcMar>
              <w:left w:w="57" w:type="dxa"/>
              <w:right w:w="57" w:type="dxa"/>
            </w:tcMar>
            <w:vAlign w:val="center"/>
          </w:tcPr>
          <w:p>
            <w:pPr>
              <w:pStyle w:val="105"/>
              <w:rPr>
                <w:rFonts w:ascii="宋体" w:hAnsi="宋体" w:cs="宋体"/>
                <w:color w:val="auto"/>
                <w:highlight w:val="none"/>
                <w:lang w:eastAsia="en-US"/>
              </w:rPr>
            </w:pPr>
            <w:r>
              <w:rPr>
                <w:rFonts w:ascii="宋体" w:hAnsi="宋体" w:cs="宋体"/>
                <w:color w:val="auto"/>
                <w:spacing w:val="-2"/>
                <w:highlight w:val="none"/>
                <w:lang w:eastAsia="en-US"/>
              </w:rPr>
              <w:t>危险标记</w:t>
            </w:r>
          </w:p>
        </w:tc>
        <w:tc>
          <w:tcPr>
            <w:tcW w:w="2605" w:type="dxa"/>
            <w:shd w:val="clear" w:color="auto" w:fill="auto"/>
            <w:tcMar>
              <w:left w:w="57" w:type="dxa"/>
              <w:right w:w="57" w:type="dxa"/>
            </w:tcMar>
            <w:vAlign w:val="center"/>
          </w:tcPr>
          <w:p>
            <w:pPr>
              <w:pStyle w:val="105"/>
              <w:rPr>
                <w:rFonts w:eastAsia="Times New Roman"/>
                <w:color w:val="auto"/>
                <w:highlight w:val="none"/>
                <w:lang w:eastAsia="en-US"/>
              </w:rPr>
            </w:pPr>
            <w:r>
              <w:rPr>
                <w:rFonts w:eastAsia="Times New Roman"/>
                <w:color w:val="auto"/>
                <w:spacing w:val="-1"/>
                <w:highlight w:val="none"/>
                <w:lang w:eastAsia="en-US"/>
              </w:rPr>
              <w:t>7(</w:t>
            </w:r>
            <w:r>
              <w:rPr>
                <w:rFonts w:ascii="宋体" w:hAnsi="宋体" w:cs="宋体"/>
                <w:color w:val="auto"/>
                <w:spacing w:val="-1"/>
                <w:highlight w:val="none"/>
                <w:lang w:eastAsia="en-US"/>
              </w:rPr>
              <w:t>易燃液</w:t>
            </w:r>
            <w:r>
              <w:rPr>
                <w:rFonts w:ascii="宋体" w:hAnsi="宋体" w:cs="宋体"/>
                <w:color w:val="auto"/>
                <w:highlight w:val="none"/>
                <w:lang w:eastAsia="en-US"/>
              </w:rPr>
              <w:t>体</w:t>
            </w:r>
            <w:r>
              <w:rPr>
                <w:rFonts w:eastAsia="Times New Roman"/>
                <w:color w:val="auto"/>
                <w:highlight w:val="none"/>
                <w:lang w:eastAsia="en-US"/>
              </w:rPr>
              <w:t>)</w:t>
            </w:r>
          </w:p>
        </w:tc>
        <w:tc>
          <w:tcPr>
            <w:tcW w:w="1708" w:type="dxa"/>
            <w:shd w:val="clear" w:color="auto" w:fill="auto"/>
            <w:tcMar>
              <w:left w:w="57" w:type="dxa"/>
              <w:right w:w="57" w:type="dxa"/>
            </w:tcMar>
            <w:vAlign w:val="center"/>
          </w:tcPr>
          <w:p>
            <w:pPr>
              <w:pStyle w:val="105"/>
              <w:rPr>
                <w:rFonts w:ascii="宋体" w:hAnsi="宋体" w:cs="宋体"/>
                <w:color w:val="auto"/>
                <w:highlight w:val="none"/>
                <w:lang w:eastAsia="en-US"/>
              </w:rPr>
            </w:pPr>
            <w:r>
              <w:rPr>
                <w:rFonts w:ascii="宋体" w:hAnsi="宋体" w:cs="宋体"/>
                <w:color w:val="auto"/>
                <w:spacing w:val="-2"/>
                <w:highlight w:val="none"/>
                <w:lang w:eastAsia="en-US"/>
              </w:rPr>
              <w:t>主要用</w:t>
            </w:r>
            <w:r>
              <w:rPr>
                <w:rFonts w:ascii="宋体" w:hAnsi="宋体" w:cs="宋体"/>
                <w:color w:val="auto"/>
                <w:spacing w:val="-1"/>
                <w:highlight w:val="none"/>
                <w:lang w:eastAsia="en-US"/>
              </w:rPr>
              <w:t>途</w:t>
            </w:r>
          </w:p>
        </w:tc>
        <w:tc>
          <w:tcPr>
            <w:tcW w:w="3690" w:type="dxa"/>
            <w:shd w:val="clear" w:color="auto" w:fill="auto"/>
            <w:tcMar>
              <w:left w:w="57" w:type="dxa"/>
              <w:right w:w="57" w:type="dxa"/>
            </w:tcMar>
            <w:vAlign w:val="center"/>
          </w:tcPr>
          <w:p>
            <w:pPr>
              <w:pStyle w:val="105"/>
              <w:rPr>
                <w:rFonts w:ascii="宋体" w:hAnsi="宋体" w:cs="宋体"/>
                <w:color w:val="auto"/>
                <w:highlight w:val="none"/>
              </w:rPr>
            </w:pPr>
            <w:r>
              <w:rPr>
                <w:rFonts w:ascii="宋体" w:hAnsi="宋体" w:cs="宋体"/>
                <w:color w:val="auto"/>
                <w:spacing w:val="-1"/>
                <w:highlight w:val="none"/>
              </w:rPr>
              <w:t>主要用作工业及</w:t>
            </w:r>
            <w:r>
              <w:rPr>
                <w:rFonts w:ascii="宋体" w:hAnsi="宋体" w:cs="宋体"/>
                <w:color w:val="auto"/>
                <w:highlight w:val="none"/>
              </w:rPr>
              <w:t>科研用途</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51" w:hRule="atLeast"/>
        </w:trPr>
        <w:tc>
          <w:tcPr>
            <w:tcW w:w="1245" w:type="dxa"/>
            <w:shd w:val="clear" w:color="auto" w:fill="auto"/>
            <w:tcMar>
              <w:left w:w="57" w:type="dxa"/>
              <w:right w:w="57" w:type="dxa"/>
            </w:tcMar>
            <w:vAlign w:val="center"/>
          </w:tcPr>
          <w:p>
            <w:pPr>
              <w:pStyle w:val="105"/>
              <w:rPr>
                <w:rFonts w:ascii="宋体" w:hAnsi="宋体" w:cs="宋体"/>
                <w:color w:val="auto"/>
                <w:highlight w:val="none"/>
                <w:lang w:eastAsia="en-US"/>
              </w:rPr>
            </w:pPr>
            <w:r>
              <w:rPr>
                <w:rFonts w:ascii="宋体" w:hAnsi="宋体" w:cs="宋体"/>
                <w:color w:val="auto"/>
                <w:spacing w:val="-2"/>
                <w:highlight w:val="none"/>
                <w:lang w:eastAsia="en-US"/>
              </w:rPr>
              <w:t>危险特性</w:t>
            </w:r>
          </w:p>
        </w:tc>
        <w:tc>
          <w:tcPr>
            <w:tcW w:w="8003" w:type="dxa"/>
            <w:gridSpan w:val="3"/>
            <w:shd w:val="clear" w:color="auto" w:fill="auto"/>
            <w:tcMar>
              <w:left w:w="57" w:type="dxa"/>
              <w:right w:w="57" w:type="dxa"/>
            </w:tcMar>
            <w:vAlign w:val="center"/>
          </w:tcPr>
          <w:p>
            <w:pPr>
              <w:pStyle w:val="105"/>
              <w:jc w:val="left"/>
              <w:rPr>
                <w:rFonts w:ascii="宋体" w:hAnsi="宋体" w:cs="宋体"/>
                <w:color w:val="auto"/>
                <w:highlight w:val="none"/>
              </w:rPr>
            </w:pPr>
            <w:r>
              <w:rPr>
                <w:rFonts w:ascii="宋体" w:hAnsi="宋体" w:cs="宋体"/>
                <w:color w:val="auto"/>
                <w:highlight w:val="none"/>
              </w:rPr>
              <w:t>危险特性</w:t>
            </w:r>
            <w:r>
              <w:rPr>
                <w:rFonts w:ascii="宋体" w:hAnsi="宋体" w:cs="宋体"/>
                <w:color w:val="auto"/>
                <w:spacing w:val="-5"/>
                <w:highlight w:val="none"/>
              </w:rPr>
              <w:t>：</w:t>
            </w:r>
            <w:r>
              <w:rPr>
                <w:rFonts w:ascii="宋体" w:hAnsi="宋体" w:cs="宋体"/>
                <w:color w:val="auto"/>
                <w:highlight w:val="none"/>
              </w:rPr>
              <w:t>燃烧时</w:t>
            </w:r>
            <w:r>
              <w:rPr>
                <w:rFonts w:ascii="宋体" w:hAnsi="宋体" w:cs="宋体"/>
                <w:color w:val="auto"/>
                <w:spacing w:val="-5"/>
                <w:highlight w:val="none"/>
              </w:rPr>
              <w:t>，</w:t>
            </w:r>
            <w:r>
              <w:rPr>
                <w:rFonts w:ascii="宋体" w:hAnsi="宋体" w:cs="宋体"/>
                <w:color w:val="auto"/>
                <w:highlight w:val="none"/>
              </w:rPr>
              <w:t>生成含有一氧化碳的有毒气体</w:t>
            </w:r>
            <w:r>
              <w:rPr>
                <w:rFonts w:ascii="宋体" w:hAnsi="宋体" w:cs="宋体"/>
                <w:color w:val="auto"/>
                <w:spacing w:val="-5"/>
                <w:highlight w:val="none"/>
              </w:rPr>
              <w:t>。</w:t>
            </w:r>
            <w:r>
              <w:rPr>
                <w:rFonts w:ascii="宋体" w:hAnsi="宋体" w:cs="宋体"/>
                <w:color w:val="auto"/>
                <w:highlight w:val="none"/>
              </w:rPr>
              <w:t>与强氧化剂发生反应</w:t>
            </w:r>
            <w:r>
              <w:rPr>
                <w:rFonts w:ascii="宋体" w:hAnsi="宋体" w:cs="宋体"/>
                <w:color w:val="auto"/>
                <w:spacing w:val="-5"/>
                <w:highlight w:val="none"/>
              </w:rPr>
              <w:t>。</w:t>
            </w:r>
          </w:p>
          <w:p>
            <w:pPr>
              <w:pStyle w:val="105"/>
              <w:jc w:val="left"/>
              <w:rPr>
                <w:rFonts w:ascii="宋体" w:hAnsi="宋体" w:cs="宋体"/>
                <w:color w:val="auto"/>
                <w:highlight w:val="none"/>
              </w:rPr>
            </w:pPr>
            <w:r>
              <w:rPr>
                <w:rFonts w:ascii="宋体" w:hAnsi="宋体" w:cs="宋体"/>
                <w:color w:val="auto"/>
                <w:highlight w:val="none"/>
              </w:rPr>
              <w:t>燃烧</w:t>
            </w:r>
            <w:r>
              <w:rPr>
                <w:rFonts w:eastAsia="Times New Roman"/>
                <w:color w:val="auto"/>
                <w:highlight w:val="none"/>
              </w:rPr>
              <w:t>(</w:t>
            </w:r>
            <w:r>
              <w:rPr>
                <w:rFonts w:ascii="宋体" w:hAnsi="宋体" w:cs="宋体"/>
                <w:color w:val="auto"/>
                <w:highlight w:val="none"/>
              </w:rPr>
              <w:t>分解</w:t>
            </w:r>
            <w:r>
              <w:rPr>
                <w:rFonts w:eastAsia="Times New Roman"/>
                <w:color w:val="auto"/>
                <w:highlight w:val="none"/>
              </w:rPr>
              <w:t>)</w:t>
            </w:r>
            <w:r>
              <w:rPr>
                <w:rFonts w:ascii="宋体" w:hAnsi="宋体" w:cs="宋体"/>
                <w:color w:val="auto"/>
                <w:highlight w:val="none"/>
              </w:rPr>
              <w:t>产物</w:t>
            </w:r>
            <w:r>
              <w:rPr>
                <w:rFonts w:ascii="宋体" w:hAnsi="宋体" w:cs="宋体"/>
                <w:color w:val="auto"/>
                <w:spacing w:val="-1"/>
                <w:highlight w:val="none"/>
              </w:rPr>
              <w:t>：</w:t>
            </w:r>
            <w:r>
              <w:rPr>
                <w:rFonts w:ascii="宋体" w:hAnsi="宋体" w:cs="宋体"/>
                <w:color w:val="auto"/>
                <w:highlight w:val="none"/>
              </w:rPr>
              <w:t>一氧化碳</w:t>
            </w:r>
            <w:r>
              <w:rPr>
                <w:rFonts w:ascii="宋体" w:hAnsi="宋体" w:cs="宋体"/>
                <w:color w:val="auto"/>
                <w:spacing w:val="-1"/>
                <w:highlight w:val="none"/>
              </w:rPr>
              <w:t>、</w:t>
            </w:r>
            <w:r>
              <w:rPr>
                <w:rFonts w:ascii="宋体" w:hAnsi="宋体" w:cs="宋体"/>
                <w:color w:val="auto"/>
                <w:highlight w:val="none"/>
              </w:rPr>
              <w:t>二氧化碳</w:t>
            </w:r>
            <w:r>
              <w:rPr>
                <w:rFonts w:ascii="宋体" w:hAnsi="宋体" w:cs="宋体"/>
                <w:color w:val="auto"/>
                <w:spacing w:val="-1"/>
                <w:highlight w:val="none"/>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638" w:hRule="atLeast"/>
        </w:trPr>
        <w:tc>
          <w:tcPr>
            <w:tcW w:w="1245" w:type="dxa"/>
            <w:shd w:val="clear" w:color="auto" w:fill="auto"/>
            <w:tcMar>
              <w:left w:w="57" w:type="dxa"/>
              <w:right w:w="57" w:type="dxa"/>
            </w:tcMar>
            <w:vAlign w:val="center"/>
          </w:tcPr>
          <w:p>
            <w:pPr>
              <w:pStyle w:val="105"/>
              <w:rPr>
                <w:rFonts w:ascii="宋体" w:hAnsi="宋体" w:cs="宋体"/>
                <w:color w:val="auto"/>
                <w:highlight w:val="none"/>
                <w:lang w:eastAsia="en-US"/>
              </w:rPr>
            </w:pPr>
            <w:r>
              <w:rPr>
                <w:rFonts w:ascii="宋体" w:hAnsi="宋体" w:cs="宋体"/>
                <w:color w:val="auto"/>
                <w:spacing w:val="-3"/>
                <w:highlight w:val="none"/>
                <w:lang w:eastAsia="en-US"/>
              </w:rPr>
              <w:t>泄漏</w:t>
            </w:r>
            <w:r>
              <w:rPr>
                <w:rFonts w:ascii="宋体" w:hAnsi="宋体" w:cs="宋体"/>
                <w:color w:val="auto"/>
                <w:spacing w:val="-2"/>
                <w:highlight w:val="none"/>
                <w:lang w:eastAsia="en-US"/>
              </w:rPr>
              <w:t>应急</w:t>
            </w:r>
            <w:r>
              <w:rPr>
                <w:rFonts w:ascii="宋体" w:hAnsi="宋体" w:cs="宋体"/>
                <w:color w:val="auto"/>
                <w:spacing w:val="-3"/>
                <w:highlight w:val="none"/>
                <w:lang w:eastAsia="en-US"/>
              </w:rPr>
              <w:t>处理</w:t>
            </w:r>
          </w:p>
        </w:tc>
        <w:tc>
          <w:tcPr>
            <w:tcW w:w="8003" w:type="dxa"/>
            <w:gridSpan w:val="3"/>
            <w:shd w:val="clear" w:color="auto" w:fill="auto"/>
            <w:tcMar>
              <w:left w:w="57" w:type="dxa"/>
              <w:right w:w="57" w:type="dxa"/>
            </w:tcMar>
            <w:vAlign w:val="center"/>
          </w:tcPr>
          <w:p>
            <w:pPr>
              <w:pStyle w:val="105"/>
              <w:jc w:val="left"/>
              <w:rPr>
                <w:rFonts w:ascii="宋体" w:hAnsi="宋体" w:cs="宋体"/>
                <w:color w:val="auto"/>
                <w:highlight w:val="none"/>
              </w:rPr>
            </w:pPr>
            <w:r>
              <w:rPr>
                <w:rFonts w:ascii="宋体" w:hAnsi="宋体" w:cs="宋体"/>
                <w:color w:val="auto"/>
                <w:highlight w:val="none"/>
              </w:rPr>
              <w:t>迅速撤离泄漏污染区人员至安全区</w:t>
            </w:r>
            <w:r>
              <w:rPr>
                <w:rFonts w:ascii="宋体" w:hAnsi="宋体" w:cs="宋体"/>
                <w:color w:val="auto"/>
                <w:spacing w:val="-1"/>
                <w:highlight w:val="none"/>
              </w:rPr>
              <w:t>，</w:t>
            </w:r>
            <w:r>
              <w:rPr>
                <w:rFonts w:ascii="宋体" w:hAnsi="宋体" w:cs="宋体"/>
                <w:color w:val="auto"/>
                <w:highlight w:val="none"/>
              </w:rPr>
              <w:t>并进行隔离，严格限制出入。切断火源。将泄漏液收集在有盖的容器中</w:t>
            </w:r>
            <w:r>
              <w:rPr>
                <w:rFonts w:ascii="宋体" w:hAnsi="宋体" w:cs="宋体"/>
                <w:color w:val="auto"/>
                <w:spacing w:val="-1"/>
                <w:highlight w:val="none"/>
              </w:rPr>
              <w:t>。</w:t>
            </w:r>
            <w:r>
              <w:rPr>
                <w:rFonts w:ascii="宋体" w:hAnsi="宋体" w:cs="宋体"/>
                <w:color w:val="auto"/>
                <w:highlight w:val="none"/>
              </w:rPr>
              <w:t>用砂土或惰性吸收剂吸收残液</w:t>
            </w:r>
            <w:r>
              <w:rPr>
                <w:rFonts w:ascii="宋体" w:hAnsi="宋体" w:cs="宋体"/>
                <w:color w:val="auto"/>
                <w:spacing w:val="-1"/>
                <w:highlight w:val="none"/>
              </w:rPr>
              <w:t>，</w:t>
            </w:r>
            <w:r>
              <w:rPr>
                <w:rFonts w:ascii="宋体" w:hAnsi="宋体" w:cs="宋体"/>
                <w:color w:val="auto"/>
                <w:highlight w:val="none"/>
              </w:rPr>
              <w:t>并转移到安全场所</w:t>
            </w:r>
            <w:r>
              <w:rPr>
                <w:rFonts w:ascii="宋体" w:hAnsi="宋体" w:cs="宋体"/>
                <w:color w:val="auto"/>
                <w:spacing w:val="-1"/>
                <w:highlight w:val="none"/>
              </w:rPr>
              <w:t>。</w:t>
            </w:r>
          </w:p>
          <w:p>
            <w:pPr>
              <w:pStyle w:val="105"/>
              <w:jc w:val="left"/>
              <w:rPr>
                <w:rFonts w:ascii="宋体" w:hAnsi="宋体" w:cs="宋体"/>
                <w:color w:val="auto"/>
                <w:highlight w:val="none"/>
              </w:rPr>
            </w:pPr>
            <w:r>
              <w:rPr>
                <w:rFonts w:ascii="宋体" w:hAnsi="宋体" w:cs="宋体"/>
                <w:color w:val="auto"/>
                <w:highlight w:val="none"/>
              </w:rPr>
              <w:t>小量泄漏：尽可能将泄漏液体收集在可密闭的容器中。用沙土、活性炭或其它惰性材料吸收</w:t>
            </w:r>
            <w:r>
              <w:rPr>
                <w:rFonts w:ascii="宋体" w:hAnsi="宋体" w:cs="宋体"/>
                <w:color w:val="auto"/>
                <w:spacing w:val="-1"/>
                <w:highlight w:val="none"/>
              </w:rPr>
              <w:t>，</w:t>
            </w:r>
            <w:r>
              <w:rPr>
                <w:rFonts w:ascii="宋体" w:hAnsi="宋体" w:cs="宋体"/>
                <w:color w:val="auto"/>
                <w:highlight w:val="none"/>
              </w:rPr>
              <w:t>并转移至安全场所</w:t>
            </w:r>
            <w:r>
              <w:rPr>
                <w:rFonts w:ascii="宋体" w:hAnsi="宋体" w:cs="宋体"/>
                <w:color w:val="auto"/>
                <w:spacing w:val="-1"/>
                <w:highlight w:val="none"/>
              </w:rPr>
              <w:t>。</w:t>
            </w:r>
            <w:r>
              <w:rPr>
                <w:rFonts w:ascii="宋体" w:hAnsi="宋体" w:cs="宋体"/>
                <w:color w:val="auto"/>
                <w:highlight w:val="none"/>
              </w:rPr>
              <w:t>禁止冲入下水道</w:t>
            </w:r>
            <w:r>
              <w:rPr>
                <w:rFonts w:ascii="宋体" w:hAnsi="宋体" w:cs="宋体"/>
                <w:color w:val="auto"/>
                <w:spacing w:val="-1"/>
                <w:highlight w:val="none"/>
              </w:rPr>
              <w:t>。</w:t>
            </w:r>
          </w:p>
          <w:p>
            <w:pPr>
              <w:pStyle w:val="105"/>
              <w:jc w:val="left"/>
              <w:rPr>
                <w:rFonts w:ascii="宋体" w:hAnsi="宋体" w:cs="宋体"/>
                <w:color w:val="auto"/>
                <w:highlight w:val="none"/>
              </w:rPr>
            </w:pPr>
            <w:r>
              <w:rPr>
                <w:rFonts w:ascii="宋体" w:hAnsi="宋体" w:cs="宋体"/>
                <w:color w:val="auto"/>
                <w:highlight w:val="none"/>
              </w:rPr>
              <w:t>大量泄漏：构筑围堤或挖坑收容。封闭排水管道。用泡沫覆盖，抑制蒸发。用防爆泵转移至槽车或专用收集器内</w:t>
            </w:r>
            <w:r>
              <w:rPr>
                <w:rFonts w:ascii="宋体" w:hAnsi="宋体" w:cs="宋体"/>
                <w:color w:val="auto"/>
                <w:spacing w:val="-9"/>
                <w:highlight w:val="none"/>
              </w:rPr>
              <w:t>，</w:t>
            </w:r>
            <w:r>
              <w:rPr>
                <w:rFonts w:ascii="宋体" w:hAnsi="宋体" w:cs="宋体"/>
                <w:color w:val="auto"/>
                <w:highlight w:val="none"/>
              </w:rPr>
              <w:t>回收或运至废物处理场所处置</w:t>
            </w:r>
            <w:r>
              <w:rPr>
                <w:rFonts w:ascii="宋体" w:hAnsi="宋体" w:cs="宋体"/>
                <w:color w:val="auto"/>
                <w:spacing w:val="-9"/>
                <w:highlight w:val="none"/>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365" w:hRule="atLeast"/>
        </w:trPr>
        <w:tc>
          <w:tcPr>
            <w:tcW w:w="1245" w:type="dxa"/>
            <w:shd w:val="clear" w:color="auto" w:fill="auto"/>
            <w:tcMar>
              <w:left w:w="57" w:type="dxa"/>
              <w:right w:w="57" w:type="dxa"/>
            </w:tcMar>
            <w:vAlign w:val="center"/>
          </w:tcPr>
          <w:p>
            <w:pPr>
              <w:pStyle w:val="105"/>
              <w:rPr>
                <w:rFonts w:ascii="宋体" w:hAnsi="宋体" w:cs="宋体"/>
                <w:color w:val="auto"/>
                <w:highlight w:val="none"/>
                <w:lang w:eastAsia="en-US"/>
              </w:rPr>
            </w:pPr>
            <w:r>
              <w:rPr>
                <w:rFonts w:ascii="宋体" w:hAnsi="宋体" w:cs="宋体"/>
                <w:color w:val="auto"/>
                <w:spacing w:val="-5"/>
                <w:highlight w:val="none"/>
                <w:lang w:eastAsia="en-US"/>
              </w:rPr>
              <w:t>防护</w:t>
            </w:r>
            <w:r>
              <w:rPr>
                <w:rFonts w:ascii="宋体" w:hAnsi="宋体" w:cs="宋体"/>
                <w:color w:val="auto"/>
                <w:spacing w:val="-4"/>
                <w:highlight w:val="none"/>
                <w:lang w:eastAsia="en-US"/>
              </w:rPr>
              <w:t>措施</w:t>
            </w:r>
          </w:p>
        </w:tc>
        <w:tc>
          <w:tcPr>
            <w:tcW w:w="8003" w:type="dxa"/>
            <w:gridSpan w:val="3"/>
            <w:shd w:val="clear" w:color="auto" w:fill="auto"/>
            <w:tcMar>
              <w:left w:w="57" w:type="dxa"/>
              <w:right w:w="57" w:type="dxa"/>
            </w:tcMar>
            <w:vAlign w:val="center"/>
          </w:tcPr>
          <w:p>
            <w:pPr>
              <w:pStyle w:val="105"/>
              <w:jc w:val="left"/>
              <w:rPr>
                <w:rFonts w:ascii="宋体" w:hAnsi="宋体" w:cs="宋体"/>
                <w:color w:val="auto"/>
                <w:highlight w:val="none"/>
              </w:rPr>
            </w:pPr>
            <w:r>
              <w:rPr>
                <w:rFonts w:ascii="宋体" w:hAnsi="宋体" w:cs="宋体"/>
                <w:color w:val="auto"/>
                <w:highlight w:val="none"/>
              </w:rPr>
              <w:t>呼吸系统防护</w:t>
            </w:r>
            <w:r>
              <w:rPr>
                <w:rFonts w:ascii="宋体" w:hAnsi="宋体" w:cs="宋体"/>
                <w:color w:val="auto"/>
                <w:spacing w:val="-53"/>
                <w:highlight w:val="none"/>
              </w:rPr>
              <w:t>：</w:t>
            </w:r>
            <w:r>
              <w:rPr>
                <w:rFonts w:ascii="宋体" w:hAnsi="宋体" w:cs="宋体"/>
                <w:color w:val="auto"/>
                <w:highlight w:val="none"/>
              </w:rPr>
              <w:t>空气中浓度超标时</w:t>
            </w:r>
            <w:r>
              <w:rPr>
                <w:rFonts w:ascii="宋体" w:hAnsi="宋体" w:cs="宋体"/>
                <w:color w:val="auto"/>
                <w:spacing w:val="-53"/>
                <w:highlight w:val="none"/>
              </w:rPr>
              <w:t>，</w:t>
            </w:r>
            <w:r>
              <w:rPr>
                <w:rFonts w:ascii="宋体" w:hAnsi="宋体" w:cs="宋体"/>
                <w:color w:val="auto"/>
                <w:highlight w:val="none"/>
              </w:rPr>
              <w:t>佩戴过滤式防毒面具（半面罩</w:t>
            </w:r>
            <w:r>
              <w:rPr>
                <w:rFonts w:ascii="宋体" w:hAnsi="宋体" w:cs="宋体"/>
                <w:color w:val="auto"/>
                <w:spacing w:val="-53"/>
                <w:highlight w:val="none"/>
              </w:rPr>
              <w:t>）</w:t>
            </w:r>
            <w:r>
              <w:rPr>
                <w:rFonts w:ascii="宋体" w:hAnsi="宋体" w:cs="宋体"/>
                <w:color w:val="auto"/>
                <w:spacing w:val="-52"/>
                <w:highlight w:val="none"/>
              </w:rPr>
              <w:t>。</w:t>
            </w:r>
            <w:r>
              <w:rPr>
                <w:rFonts w:ascii="宋体" w:hAnsi="宋体" w:cs="宋体"/>
                <w:color w:val="auto"/>
                <w:highlight w:val="none"/>
              </w:rPr>
              <w:t>紧急事态抢救或撤离时</w:t>
            </w:r>
            <w:r>
              <w:rPr>
                <w:rFonts w:ascii="宋体" w:hAnsi="宋体" w:cs="宋体"/>
                <w:color w:val="auto"/>
                <w:spacing w:val="-2"/>
                <w:highlight w:val="none"/>
              </w:rPr>
              <w:t>，</w:t>
            </w:r>
            <w:r>
              <w:rPr>
                <w:rFonts w:ascii="宋体" w:hAnsi="宋体" w:cs="宋体"/>
                <w:color w:val="auto"/>
                <w:highlight w:val="none"/>
              </w:rPr>
              <w:t>应该佩戴携气式呼吸器</w:t>
            </w:r>
            <w:r>
              <w:rPr>
                <w:rFonts w:ascii="宋体" w:hAnsi="宋体" w:cs="宋体"/>
                <w:color w:val="auto"/>
                <w:spacing w:val="-1"/>
                <w:highlight w:val="none"/>
              </w:rPr>
              <w:t>。</w:t>
            </w:r>
          </w:p>
          <w:p>
            <w:pPr>
              <w:pStyle w:val="105"/>
              <w:jc w:val="left"/>
              <w:rPr>
                <w:rFonts w:ascii="宋体" w:hAnsi="宋体" w:cs="宋体"/>
                <w:color w:val="auto"/>
                <w:highlight w:val="none"/>
              </w:rPr>
            </w:pPr>
            <w:r>
              <w:rPr>
                <w:rFonts w:ascii="宋体" w:hAnsi="宋体" w:cs="宋体"/>
                <w:color w:val="auto"/>
                <w:highlight w:val="none"/>
              </w:rPr>
              <w:t>手防护</w:t>
            </w:r>
            <w:r>
              <w:rPr>
                <w:rFonts w:ascii="宋体" w:hAnsi="宋体" w:cs="宋体"/>
                <w:color w:val="auto"/>
                <w:spacing w:val="-10"/>
                <w:highlight w:val="none"/>
              </w:rPr>
              <w:t>：</w:t>
            </w:r>
            <w:r>
              <w:rPr>
                <w:rFonts w:ascii="宋体" w:hAnsi="宋体" w:cs="宋体"/>
                <w:color w:val="auto"/>
                <w:highlight w:val="none"/>
              </w:rPr>
              <w:t>防护手套</w:t>
            </w:r>
            <w:r>
              <w:rPr>
                <w:rFonts w:ascii="宋体" w:hAnsi="宋体" w:cs="宋体"/>
                <w:color w:val="auto"/>
                <w:spacing w:val="-10"/>
                <w:highlight w:val="none"/>
              </w:rPr>
              <w:t>。</w:t>
            </w:r>
          </w:p>
          <w:p>
            <w:pPr>
              <w:pStyle w:val="105"/>
              <w:jc w:val="left"/>
              <w:rPr>
                <w:rFonts w:ascii="宋体" w:hAnsi="宋体" w:cs="宋体"/>
                <w:color w:val="auto"/>
                <w:highlight w:val="none"/>
              </w:rPr>
            </w:pPr>
            <w:r>
              <w:rPr>
                <w:rFonts w:ascii="宋体" w:hAnsi="宋体" w:cs="宋体"/>
                <w:color w:val="auto"/>
                <w:highlight w:val="none"/>
              </w:rPr>
              <w:t>眼睛防护</w:t>
            </w:r>
            <w:r>
              <w:rPr>
                <w:rFonts w:ascii="宋体" w:hAnsi="宋体" w:cs="宋体"/>
                <w:color w:val="auto"/>
                <w:spacing w:val="-9"/>
                <w:highlight w:val="none"/>
              </w:rPr>
              <w:t>：</w:t>
            </w:r>
            <w:r>
              <w:rPr>
                <w:rFonts w:ascii="宋体" w:hAnsi="宋体" w:cs="宋体"/>
                <w:color w:val="auto"/>
                <w:highlight w:val="none"/>
              </w:rPr>
              <w:t>安全眼镜</w:t>
            </w:r>
            <w:r>
              <w:rPr>
                <w:rFonts w:ascii="宋体" w:hAnsi="宋体" w:cs="宋体"/>
                <w:color w:val="auto"/>
                <w:spacing w:val="-9"/>
                <w:highlight w:val="none"/>
              </w:rPr>
              <w:t>。</w:t>
            </w:r>
          </w:p>
          <w:p>
            <w:pPr>
              <w:pStyle w:val="105"/>
              <w:jc w:val="left"/>
              <w:rPr>
                <w:rFonts w:ascii="宋体" w:hAnsi="宋体" w:cs="宋体"/>
                <w:color w:val="auto"/>
                <w:highlight w:val="none"/>
              </w:rPr>
            </w:pPr>
            <w:r>
              <w:rPr>
                <w:rFonts w:ascii="宋体" w:hAnsi="宋体" w:cs="宋体"/>
                <w:color w:val="auto"/>
                <w:highlight w:val="none"/>
              </w:rPr>
              <w:t>皮肤和身体防护</w:t>
            </w:r>
            <w:r>
              <w:rPr>
                <w:rFonts w:ascii="宋体" w:hAnsi="宋体" w:cs="宋体"/>
                <w:color w:val="auto"/>
                <w:spacing w:val="-11"/>
                <w:highlight w:val="none"/>
              </w:rPr>
              <w:t>：</w:t>
            </w:r>
            <w:r>
              <w:rPr>
                <w:rFonts w:ascii="宋体" w:hAnsi="宋体" w:cs="宋体"/>
                <w:color w:val="auto"/>
                <w:highlight w:val="none"/>
              </w:rPr>
              <w:t>穿防毒物渗透工作服</w:t>
            </w:r>
            <w:r>
              <w:rPr>
                <w:rFonts w:ascii="宋体" w:hAnsi="宋体" w:cs="宋体"/>
                <w:color w:val="auto"/>
                <w:spacing w:val="-11"/>
                <w:highlight w:val="none"/>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094" w:hRule="atLeast"/>
        </w:trPr>
        <w:tc>
          <w:tcPr>
            <w:tcW w:w="1245" w:type="dxa"/>
            <w:shd w:val="clear" w:color="auto" w:fill="auto"/>
            <w:tcMar>
              <w:left w:w="57" w:type="dxa"/>
              <w:right w:w="57" w:type="dxa"/>
            </w:tcMar>
            <w:vAlign w:val="center"/>
          </w:tcPr>
          <w:p>
            <w:pPr>
              <w:pStyle w:val="105"/>
              <w:rPr>
                <w:rFonts w:ascii="宋体" w:hAnsi="宋体" w:cs="宋体"/>
                <w:color w:val="auto"/>
                <w:highlight w:val="none"/>
                <w:lang w:eastAsia="en-US"/>
              </w:rPr>
            </w:pPr>
            <w:r>
              <w:rPr>
                <w:rFonts w:ascii="宋体" w:hAnsi="宋体" w:cs="宋体"/>
                <w:color w:val="auto"/>
                <w:spacing w:val="-3"/>
                <w:highlight w:val="none"/>
                <w:lang w:eastAsia="en-US"/>
              </w:rPr>
              <w:t>急救措施</w:t>
            </w:r>
          </w:p>
        </w:tc>
        <w:tc>
          <w:tcPr>
            <w:tcW w:w="8003" w:type="dxa"/>
            <w:gridSpan w:val="3"/>
            <w:shd w:val="clear" w:color="auto" w:fill="auto"/>
            <w:tcMar>
              <w:left w:w="57" w:type="dxa"/>
              <w:right w:w="57" w:type="dxa"/>
            </w:tcMar>
            <w:vAlign w:val="center"/>
          </w:tcPr>
          <w:p>
            <w:pPr>
              <w:pStyle w:val="105"/>
              <w:jc w:val="left"/>
              <w:rPr>
                <w:rFonts w:ascii="宋体" w:hAnsi="宋体" w:cs="宋体"/>
                <w:color w:val="auto"/>
                <w:highlight w:val="none"/>
              </w:rPr>
            </w:pPr>
            <w:r>
              <w:rPr>
                <w:rFonts w:ascii="宋体" w:hAnsi="宋体" w:cs="宋体"/>
                <w:color w:val="auto"/>
                <w:highlight w:val="none"/>
              </w:rPr>
              <w:t>吸入</w:t>
            </w:r>
            <w:r>
              <w:rPr>
                <w:rFonts w:ascii="宋体" w:hAnsi="宋体" w:cs="宋体"/>
                <w:color w:val="auto"/>
                <w:spacing w:val="-3"/>
                <w:highlight w:val="none"/>
              </w:rPr>
              <w:t>：</w:t>
            </w:r>
            <w:r>
              <w:rPr>
                <w:rFonts w:ascii="宋体" w:hAnsi="宋体" w:cs="宋体"/>
                <w:color w:val="auto"/>
                <w:highlight w:val="none"/>
              </w:rPr>
              <w:t>如果吸入</w:t>
            </w:r>
            <w:r>
              <w:rPr>
                <w:rFonts w:eastAsia="Times New Roman"/>
                <w:color w:val="auto"/>
                <w:highlight w:val="none"/>
              </w:rPr>
              <w:t>,</w:t>
            </w:r>
            <w:r>
              <w:rPr>
                <w:rFonts w:ascii="宋体" w:hAnsi="宋体" w:cs="宋体"/>
                <w:color w:val="auto"/>
                <w:highlight w:val="none"/>
              </w:rPr>
              <w:t>请将患者移到新鲜空气处</w:t>
            </w:r>
            <w:r>
              <w:rPr>
                <w:rFonts w:ascii="宋体" w:hAnsi="宋体" w:cs="宋体"/>
                <w:color w:val="auto"/>
                <w:spacing w:val="-3"/>
                <w:highlight w:val="none"/>
              </w:rPr>
              <w:t>。</w:t>
            </w:r>
            <w:r>
              <w:rPr>
                <w:rFonts w:ascii="宋体" w:hAnsi="宋体" w:cs="宋体"/>
                <w:color w:val="auto"/>
                <w:highlight w:val="none"/>
              </w:rPr>
              <w:t>如呼吸停止</w:t>
            </w:r>
            <w:r>
              <w:rPr>
                <w:rFonts w:ascii="宋体" w:hAnsi="宋体" w:cs="宋体"/>
                <w:color w:val="auto"/>
                <w:spacing w:val="-3"/>
                <w:highlight w:val="none"/>
              </w:rPr>
              <w:t>，</w:t>
            </w:r>
            <w:r>
              <w:rPr>
                <w:rFonts w:ascii="宋体" w:hAnsi="宋体" w:cs="宋体"/>
                <w:color w:val="auto"/>
                <w:highlight w:val="none"/>
              </w:rPr>
              <w:t>进行人工呼吸</w:t>
            </w:r>
            <w:r>
              <w:rPr>
                <w:rFonts w:ascii="宋体" w:hAnsi="宋体" w:cs="宋体"/>
                <w:color w:val="auto"/>
                <w:spacing w:val="-3"/>
                <w:highlight w:val="none"/>
              </w:rPr>
              <w:t>。</w:t>
            </w:r>
          </w:p>
          <w:p>
            <w:pPr>
              <w:pStyle w:val="105"/>
              <w:jc w:val="left"/>
              <w:rPr>
                <w:rFonts w:ascii="宋体" w:hAnsi="宋体" w:cs="宋体"/>
                <w:color w:val="auto"/>
                <w:highlight w:val="none"/>
              </w:rPr>
            </w:pPr>
            <w:r>
              <w:rPr>
                <w:rFonts w:ascii="宋体" w:hAnsi="宋体" w:cs="宋体"/>
                <w:color w:val="auto"/>
                <w:highlight w:val="none"/>
              </w:rPr>
              <w:t>皮肤接触</w:t>
            </w:r>
            <w:r>
              <w:rPr>
                <w:rFonts w:ascii="宋体" w:hAnsi="宋体" w:cs="宋体"/>
                <w:color w:val="auto"/>
                <w:spacing w:val="-11"/>
                <w:highlight w:val="none"/>
              </w:rPr>
              <w:t>：</w:t>
            </w:r>
            <w:r>
              <w:rPr>
                <w:rFonts w:ascii="宋体" w:hAnsi="宋体" w:cs="宋体"/>
                <w:color w:val="auto"/>
                <w:highlight w:val="none"/>
              </w:rPr>
              <w:t>用肥皂和大量的水冲洗</w:t>
            </w:r>
            <w:r>
              <w:rPr>
                <w:rFonts w:ascii="宋体" w:hAnsi="宋体" w:cs="宋体"/>
                <w:color w:val="auto"/>
                <w:spacing w:val="-11"/>
                <w:highlight w:val="none"/>
              </w:rPr>
              <w:t>。</w:t>
            </w:r>
          </w:p>
          <w:p>
            <w:pPr>
              <w:pStyle w:val="105"/>
              <w:jc w:val="left"/>
              <w:rPr>
                <w:rFonts w:ascii="宋体" w:hAnsi="宋体" w:cs="宋体"/>
                <w:color w:val="auto"/>
                <w:highlight w:val="none"/>
              </w:rPr>
            </w:pPr>
            <w:r>
              <w:rPr>
                <w:rFonts w:ascii="宋体" w:hAnsi="宋体" w:cs="宋体"/>
                <w:color w:val="auto"/>
                <w:highlight w:val="none"/>
              </w:rPr>
              <w:t>眼睛接触</w:t>
            </w:r>
            <w:r>
              <w:rPr>
                <w:rFonts w:ascii="宋体" w:hAnsi="宋体" w:cs="宋体"/>
                <w:color w:val="auto"/>
                <w:spacing w:val="-16"/>
                <w:highlight w:val="none"/>
              </w:rPr>
              <w:t>：</w:t>
            </w:r>
            <w:r>
              <w:rPr>
                <w:rFonts w:ascii="宋体" w:hAnsi="宋体" w:cs="宋体"/>
                <w:color w:val="auto"/>
                <w:highlight w:val="none"/>
              </w:rPr>
              <w:t>谨慎起见用水冲洗眼睛</w:t>
            </w:r>
            <w:r>
              <w:rPr>
                <w:rFonts w:ascii="宋体" w:hAnsi="宋体" w:cs="宋体"/>
                <w:color w:val="auto"/>
                <w:spacing w:val="-16"/>
                <w:highlight w:val="none"/>
              </w:rPr>
              <w:t>。</w:t>
            </w:r>
          </w:p>
          <w:p>
            <w:pPr>
              <w:pStyle w:val="105"/>
              <w:jc w:val="left"/>
              <w:rPr>
                <w:rFonts w:ascii="宋体" w:hAnsi="宋体" w:cs="宋体"/>
                <w:color w:val="auto"/>
                <w:highlight w:val="none"/>
              </w:rPr>
            </w:pPr>
            <w:r>
              <w:rPr>
                <w:rFonts w:ascii="宋体" w:hAnsi="宋体" w:cs="宋体"/>
                <w:color w:val="auto"/>
                <w:highlight w:val="none"/>
              </w:rPr>
              <w:t>食入</w:t>
            </w:r>
            <w:r>
              <w:rPr>
                <w:rFonts w:ascii="宋体" w:hAnsi="宋体" w:cs="宋体"/>
                <w:color w:val="auto"/>
                <w:spacing w:val="-1"/>
                <w:highlight w:val="none"/>
              </w:rPr>
              <w:t>：</w:t>
            </w:r>
            <w:r>
              <w:rPr>
                <w:rFonts w:ascii="宋体" w:hAnsi="宋体" w:cs="宋体"/>
                <w:color w:val="auto"/>
                <w:highlight w:val="none"/>
              </w:rPr>
              <w:t>切勿给失去知觉者喂食任何东西</w:t>
            </w:r>
            <w:r>
              <w:rPr>
                <w:rFonts w:ascii="宋体" w:hAnsi="宋体" w:cs="宋体"/>
                <w:color w:val="auto"/>
                <w:spacing w:val="-1"/>
                <w:highlight w:val="none"/>
              </w:rPr>
              <w:t>。</w:t>
            </w:r>
            <w:r>
              <w:rPr>
                <w:rFonts w:ascii="宋体" w:hAnsi="宋体" w:cs="宋体"/>
                <w:color w:val="auto"/>
                <w:highlight w:val="none"/>
              </w:rPr>
              <w:t>用水漱口</w:t>
            </w:r>
            <w:r>
              <w:rPr>
                <w:rFonts w:ascii="宋体" w:hAnsi="宋体" w:cs="宋体"/>
                <w:color w:val="auto"/>
                <w:spacing w:val="-1"/>
                <w:highlight w:val="none"/>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827" w:hRule="atLeast"/>
        </w:trPr>
        <w:tc>
          <w:tcPr>
            <w:tcW w:w="1245" w:type="dxa"/>
            <w:shd w:val="clear" w:color="auto" w:fill="auto"/>
            <w:tcMar>
              <w:left w:w="57" w:type="dxa"/>
              <w:right w:w="57" w:type="dxa"/>
            </w:tcMar>
            <w:vAlign w:val="center"/>
          </w:tcPr>
          <w:p>
            <w:pPr>
              <w:pStyle w:val="105"/>
              <w:rPr>
                <w:rFonts w:ascii="宋体" w:hAnsi="宋体" w:cs="宋体"/>
                <w:color w:val="auto"/>
                <w:highlight w:val="none"/>
                <w:lang w:eastAsia="en-US"/>
              </w:rPr>
            </w:pPr>
            <w:r>
              <w:rPr>
                <w:rFonts w:ascii="宋体" w:hAnsi="宋体" w:cs="宋体"/>
                <w:color w:val="auto"/>
                <w:spacing w:val="-3"/>
                <w:highlight w:val="none"/>
                <w:lang w:eastAsia="en-US"/>
              </w:rPr>
              <w:t>灭</w:t>
            </w:r>
            <w:r>
              <w:rPr>
                <w:rFonts w:ascii="宋体" w:hAnsi="宋体" w:cs="宋体"/>
                <w:color w:val="auto"/>
                <w:spacing w:val="-2"/>
                <w:highlight w:val="none"/>
                <w:lang w:eastAsia="en-US"/>
              </w:rPr>
              <w:t>火方法</w:t>
            </w:r>
          </w:p>
        </w:tc>
        <w:tc>
          <w:tcPr>
            <w:tcW w:w="8003" w:type="dxa"/>
            <w:gridSpan w:val="3"/>
            <w:shd w:val="clear" w:color="auto" w:fill="auto"/>
            <w:tcMar>
              <w:left w:w="57" w:type="dxa"/>
              <w:right w:w="57" w:type="dxa"/>
            </w:tcMar>
            <w:vAlign w:val="center"/>
          </w:tcPr>
          <w:p>
            <w:pPr>
              <w:pStyle w:val="105"/>
              <w:jc w:val="left"/>
              <w:rPr>
                <w:rFonts w:ascii="宋体" w:hAnsi="宋体" w:cs="宋体"/>
                <w:color w:val="auto"/>
                <w:highlight w:val="none"/>
              </w:rPr>
            </w:pPr>
            <w:r>
              <w:rPr>
                <w:rFonts w:ascii="宋体" w:hAnsi="宋体" w:cs="宋体"/>
                <w:color w:val="auto"/>
                <w:highlight w:val="none"/>
              </w:rPr>
              <w:t>灭火方法：用水雾、干粉、泡沫或二氧化碳灭火剂灭火。避免使用直流水灭火，直流水可能导致可燃性液体的飞溅</w:t>
            </w:r>
            <w:r>
              <w:rPr>
                <w:rFonts w:ascii="宋体" w:hAnsi="宋体" w:cs="宋体"/>
                <w:color w:val="auto"/>
                <w:spacing w:val="-11"/>
                <w:highlight w:val="none"/>
              </w:rPr>
              <w:t>，</w:t>
            </w:r>
            <w:r>
              <w:rPr>
                <w:rFonts w:ascii="宋体" w:hAnsi="宋体" w:cs="宋体"/>
                <w:color w:val="auto"/>
                <w:highlight w:val="none"/>
              </w:rPr>
              <w:t>使火势扩散</w:t>
            </w:r>
            <w:r>
              <w:rPr>
                <w:rFonts w:ascii="宋体" w:hAnsi="宋体" w:cs="宋体"/>
                <w:color w:val="auto"/>
                <w:spacing w:val="-10"/>
                <w:highlight w:val="none"/>
              </w:rPr>
              <w:t>。</w:t>
            </w:r>
          </w:p>
          <w:p>
            <w:pPr>
              <w:pStyle w:val="105"/>
              <w:jc w:val="left"/>
              <w:rPr>
                <w:rFonts w:ascii="宋体" w:hAnsi="宋体" w:cs="宋体"/>
                <w:color w:val="auto"/>
                <w:highlight w:val="none"/>
              </w:rPr>
            </w:pPr>
            <w:r>
              <w:rPr>
                <w:rFonts w:ascii="宋体" w:hAnsi="宋体" w:cs="宋体"/>
                <w:color w:val="auto"/>
                <w:highlight w:val="none"/>
              </w:rPr>
              <w:t>灭火剂</w:t>
            </w:r>
            <w:r>
              <w:rPr>
                <w:rFonts w:ascii="宋体" w:hAnsi="宋体" w:cs="宋体"/>
                <w:color w:val="auto"/>
                <w:spacing w:val="-5"/>
                <w:highlight w:val="none"/>
              </w:rPr>
              <w:t>：</w:t>
            </w:r>
            <w:r>
              <w:rPr>
                <w:rFonts w:ascii="宋体" w:hAnsi="宋体" w:cs="宋体"/>
                <w:color w:val="auto"/>
                <w:highlight w:val="none"/>
              </w:rPr>
              <w:t>雾状水</w:t>
            </w:r>
            <w:r>
              <w:rPr>
                <w:rFonts w:ascii="宋体" w:hAnsi="宋体" w:cs="宋体"/>
                <w:color w:val="auto"/>
                <w:spacing w:val="-5"/>
                <w:highlight w:val="none"/>
              </w:rPr>
              <w:t>，</w:t>
            </w:r>
            <w:r>
              <w:rPr>
                <w:rFonts w:ascii="宋体" w:hAnsi="宋体" w:cs="宋体"/>
                <w:color w:val="auto"/>
                <w:highlight w:val="none"/>
              </w:rPr>
              <w:t>泡沫</w:t>
            </w:r>
            <w:r>
              <w:rPr>
                <w:rFonts w:ascii="宋体" w:hAnsi="宋体" w:cs="宋体"/>
                <w:color w:val="auto"/>
                <w:spacing w:val="-4"/>
                <w:highlight w:val="none"/>
              </w:rPr>
              <w:t>，</w:t>
            </w:r>
            <w:r>
              <w:rPr>
                <w:rFonts w:ascii="宋体" w:hAnsi="宋体" w:cs="宋体"/>
                <w:color w:val="auto"/>
                <w:highlight w:val="none"/>
              </w:rPr>
              <w:t>干粉</w:t>
            </w:r>
            <w:r>
              <w:rPr>
                <w:rFonts w:ascii="宋体" w:hAnsi="宋体" w:cs="宋体"/>
                <w:color w:val="auto"/>
                <w:spacing w:val="-4"/>
                <w:highlight w:val="none"/>
              </w:rPr>
              <w:t>，</w:t>
            </w:r>
            <w:r>
              <w:rPr>
                <w:rFonts w:ascii="宋体" w:hAnsi="宋体" w:cs="宋体"/>
                <w:color w:val="auto"/>
                <w:highlight w:val="none"/>
              </w:rPr>
              <w:t>二氧化碳</w:t>
            </w:r>
            <w:r>
              <w:rPr>
                <w:rFonts w:ascii="宋体" w:hAnsi="宋体" w:cs="宋体"/>
                <w:color w:val="auto"/>
                <w:spacing w:val="-4"/>
                <w:highlight w:val="none"/>
              </w:rPr>
              <w:t>，</w:t>
            </w:r>
            <w:r>
              <w:rPr>
                <w:rFonts w:ascii="宋体" w:hAnsi="宋体" w:cs="宋体"/>
                <w:color w:val="auto"/>
                <w:highlight w:val="none"/>
              </w:rPr>
              <w:t>干砂</w:t>
            </w:r>
            <w:r>
              <w:rPr>
                <w:rFonts w:ascii="宋体" w:hAnsi="宋体" w:cs="宋体"/>
                <w:color w:val="auto"/>
                <w:spacing w:val="-4"/>
                <w:highlight w:val="none"/>
              </w:rPr>
              <w:t>。</w:t>
            </w:r>
          </w:p>
        </w:tc>
      </w:tr>
    </w:tbl>
    <w:p>
      <w:pPr>
        <w:pStyle w:val="101"/>
        <w:spacing w:before="78"/>
        <w:rPr>
          <w:color w:val="auto"/>
          <w:highlight w:val="none"/>
        </w:rPr>
      </w:pPr>
      <w:bookmarkStart w:id="199" w:name="_Toc4837"/>
      <w:r>
        <w:rPr>
          <w:rFonts w:hint="eastAsia"/>
          <w:color w:val="auto"/>
          <w:highlight w:val="none"/>
        </w:rPr>
        <w:t>5.2.2生产系统危险性识别</w:t>
      </w:r>
      <w:bookmarkEnd w:id="199"/>
    </w:p>
    <w:p>
      <w:pPr>
        <w:pStyle w:val="99"/>
        <w:ind w:firstLine="480"/>
        <w:rPr>
          <w:color w:val="auto"/>
          <w:highlight w:val="none"/>
        </w:rPr>
      </w:pPr>
      <w:r>
        <w:rPr>
          <w:color w:val="auto"/>
          <w:highlight w:val="none"/>
        </w:rPr>
        <w:t>主要通过项目工艺流程和平面布置功能区别，识别危险单元，并按照危险单元分析风险源的危险性、存在条件和转化为事故的触发因素。项目存在的危险单元主要为</w:t>
      </w:r>
      <w:r>
        <w:rPr>
          <w:rFonts w:hint="eastAsia"/>
          <w:color w:val="auto"/>
          <w:highlight w:val="none"/>
        </w:rPr>
        <w:t>危废暂存间</w:t>
      </w:r>
      <w:r>
        <w:rPr>
          <w:color w:val="auto"/>
          <w:highlight w:val="none"/>
        </w:rPr>
        <w:t>。根据各危险单元内存在的风险物质，引发风险事故的触发因素主要是由于管理不善、管道腐蚀出现泄漏，导致的火灾、爆炸事故。可能发生的危险结果识别表详见表5.</w:t>
      </w:r>
      <w:r>
        <w:rPr>
          <w:rFonts w:hint="eastAsia"/>
          <w:color w:val="auto"/>
          <w:highlight w:val="none"/>
        </w:rPr>
        <w:t>2</w:t>
      </w:r>
      <w:r>
        <w:rPr>
          <w:color w:val="auto"/>
          <w:highlight w:val="none"/>
        </w:rPr>
        <w:t>-</w:t>
      </w:r>
      <w:r>
        <w:rPr>
          <w:rFonts w:hint="eastAsia"/>
          <w:color w:val="auto"/>
          <w:highlight w:val="none"/>
        </w:rPr>
        <w:t>3</w:t>
      </w:r>
      <w:r>
        <w:rPr>
          <w:color w:val="auto"/>
          <w:highlight w:val="none"/>
        </w:rPr>
        <w:t>。</w:t>
      </w:r>
    </w:p>
    <w:p>
      <w:pPr>
        <w:pStyle w:val="103"/>
        <w:rPr>
          <w:rFonts w:ascii="Times New Roman" w:hAnsi="Times New Roman"/>
          <w:color w:val="auto"/>
          <w:highlight w:val="none"/>
        </w:rPr>
      </w:pPr>
      <w:r>
        <w:rPr>
          <w:rFonts w:ascii="Times New Roman" w:hAnsi="Times New Roman"/>
          <w:color w:val="auto"/>
          <w:highlight w:val="none"/>
        </w:rPr>
        <w:t>图5.</w:t>
      </w:r>
      <w:r>
        <w:rPr>
          <w:rFonts w:hint="eastAsia" w:ascii="Times New Roman" w:hAnsi="Times New Roman"/>
          <w:color w:val="auto"/>
          <w:highlight w:val="none"/>
        </w:rPr>
        <w:t>2</w:t>
      </w:r>
      <w:r>
        <w:rPr>
          <w:rFonts w:ascii="Times New Roman" w:hAnsi="Times New Roman"/>
          <w:color w:val="auto"/>
          <w:highlight w:val="none"/>
        </w:rPr>
        <w:t>-</w:t>
      </w:r>
      <w:r>
        <w:rPr>
          <w:rFonts w:hint="eastAsia" w:ascii="Times New Roman" w:hAnsi="Times New Roman"/>
          <w:color w:val="auto"/>
          <w:highlight w:val="none"/>
        </w:rPr>
        <w:t>3</w:t>
      </w:r>
      <w:r>
        <w:rPr>
          <w:rFonts w:ascii="Times New Roman" w:hAnsi="Times New Roman"/>
          <w:color w:val="auto"/>
          <w:highlight w:val="none"/>
        </w:rPr>
        <w:t xml:space="preserve">  项目生产系统危险识别结果表</w:t>
      </w:r>
    </w:p>
    <w:tbl>
      <w:tblPr>
        <w:tblStyle w:val="5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10"/>
        <w:gridCol w:w="1792"/>
        <w:gridCol w:w="1800"/>
        <w:gridCol w:w="1800"/>
        <w:gridCol w:w="18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0" w:type="dxa"/>
            <w:vAlign w:val="center"/>
          </w:tcPr>
          <w:p>
            <w:pPr>
              <w:pStyle w:val="105"/>
              <w:rPr>
                <w:color w:val="auto"/>
                <w:highlight w:val="none"/>
              </w:rPr>
            </w:pPr>
            <w:r>
              <w:rPr>
                <w:color w:val="auto"/>
                <w:highlight w:val="none"/>
              </w:rPr>
              <w:t>危险单元</w:t>
            </w:r>
          </w:p>
        </w:tc>
        <w:tc>
          <w:tcPr>
            <w:tcW w:w="1792" w:type="dxa"/>
            <w:vAlign w:val="center"/>
          </w:tcPr>
          <w:p>
            <w:pPr>
              <w:pStyle w:val="105"/>
              <w:rPr>
                <w:color w:val="auto"/>
                <w:highlight w:val="none"/>
              </w:rPr>
            </w:pPr>
            <w:r>
              <w:rPr>
                <w:color w:val="auto"/>
                <w:highlight w:val="none"/>
              </w:rPr>
              <w:t>危险因子</w:t>
            </w:r>
          </w:p>
        </w:tc>
        <w:tc>
          <w:tcPr>
            <w:tcW w:w="1800" w:type="dxa"/>
            <w:vAlign w:val="center"/>
          </w:tcPr>
          <w:p>
            <w:pPr>
              <w:pStyle w:val="105"/>
              <w:rPr>
                <w:color w:val="auto"/>
                <w:highlight w:val="none"/>
              </w:rPr>
            </w:pPr>
            <w:r>
              <w:rPr>
                <w:color w:val="auto"/>
                <w:highlight w:val="none"/>
              </w:rPr>
              <w:t>火灾</w:t>
            </w:r>
          </w:p>
        </w:tc>
        <w:tc>
          <w:tcPr>
            <w:tcW w:w="1800" w:type="dxa"/>
            <w:vAlign w:val="center"/>
          </w:tcPr>
          <w:p>
            <w:pPr>
              <w:pStyle w:val="105"/>
              <w:rPr>
                <w:color w:val="auto"/>
                <w:highlight w:val="none"/>
              </w:rPr>
            </w:pPr>
            <w:r>
              <w:rPr>
                <w:color w:val="auto"/>
                <w:highlight w:val="none"/>
              </w:rPr>
              <w:t>爆炸</w:t>
            </w:r>
          </w:p>
        </w:tc>
        <w:tc>
          <w:tcPr>
            <w:tcW w:w="1800" w:type="dxa"/>
            <w:vAlign w:val="center"/>
          </w:tcPr>
          <w:p>
            <w:pPr>
              <w:pStyle w:val="105"/>
              <w:rPr>
                <w:color w:val="auto"/>
                <w:highlight w:val="none"/>
              </w:rPr>
            </w:pPr>
            <w:r>
              <w:rPr>
                <w:color w:val="auto"/>
                <w:highlight w:val="none"/>
              </w:rPr>
              <w:t>泄漏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810" w:type="dxa"/>
            <w:vAlign w:val="center"/>
          </w:tcPr>
          <w:p>
            <w:pPr>
              <w:pStyle w:val="105"/>
              <w:rPr>
                <w:color w:val="auto"/>
                <w:highlight w:val="none"/>
              </w:rPr>
            </w:pPr>
            <w:r>
              <w:rPr>
                <w:rFonts w:hint="eastAsia"/>
                <w:color w:val="auto"/>
                <w:highlight w:val="none"/>
              </w:rPr>
              <w:t>危废暂存间</w:t>
            </w:r>
          </w:p>
        </w:tc>
        <w:tc>
          <w:tcPr>
            <w:tcW w:w="1792" w:type="dxa"/>
            <w:vAlign w:val="center"/>
          </w:tcPr>
          <w:p>
            <w:pPr>
              <w:pStyle w:val="105"/>
              <w:rPr>
                <w:color w:val="auto"/>
                <w:highlight w:val="none"/>
              </w:rPr>
            </w:pPr>
            <w:r>
              <w:rPr>
                <w:rFonts w:hint="eastAsia"/>
                <w:color w:val="auto"/>
                <w:highlight w:val="none"/>
              </w:rPr>
              <w:t>废矿物油</w:t>
            </w:r>
          </w:p>
        </w:tc>
        <w:tc>
          <w:tcPr>
            <w:tcW w:w="1800" w:type="dxa"/>
            <w:vAlign w:val="center"/>
          </w:tcPr>
          <w:p>
            <w:pPr>
              <w:pStyle w:val="105"/>
              <w:rPr>
                <w:color w:val="auto"/>
                <w:highlight w:val="none"/>
              </w:rPr>
            </w:pPr>
            <w:r>
              <w:rPr>
                <w:color w:val="auto"/>
                <w:highlight w:val="none"/>
              </w:rPr>
              <w:t>√</w:t>
            </w:r>
          </w:p>
        </w:tc>
        <w:tc>
          <w:tcPr>
            <w:tcW w:w="1800" w:type="dxa"/>
            <w:vAlign w:val="center"/>
          </w:tcPr>
          <w:p>
            <w:pPr>
              <w:pStyle w:val="105"/>
              <w:rPr>
                <w:color w:val="auto"/>
                <w:highlight w:val="none"/>
              </w:rPr>
            </w:pPr>
            <w:r>
              <w:rPr>
                <w:color w:val="auto"/>
                <w:highlight w:val="none"/>
              </w:rPr>
              <w:t>√</w:t>
            </w:r>
          </w:p>
        </w:tc>
        <w:tc>
          <w:tcPr>
            <w:tcW w:w="1800" w:type="dxa"/>
            <w:vAlign w:val="center"/>
          </w:tcPr>
          <w:p>
            <w:pPr>
              <w:pStyle w:val="105"/>
              <w:rPr>
                <w:color w:val="auto"/>
                <w:highlight w:val="none"/>
              </w:rPr>
            </w:pPr>
            <w:r>
              <w:rPr>
                <w:color w:val="auto"/>
                <w:highlight w:val="none"/>
              </w:rPr>
              <w:t>√</w:t>
            </w:r>
          </w:p>
        </w:tc>
      </w:tr>
    </w:tbl>
    <w:p>
      <w:pPr>
        <w:pStyle w:val="101"/>
        <w:spacing w:before="78"/>
        <w:rPr>
          <w:color w:val="auto"/>
          <w:highlight w:val="none"/>
        </w:rPr>
      </w:pPr>
      <w:bookmarkStart w:id="200" w:name="_Toc11320"/>
      <w:r>
        <w:rPr>
          <w:rFonts w:hint="eastAsia"/>
          <w:color w:val="auto"/>
          <w:highlight w:val="none"/>
        </w:rPr>
        <w:t>5.2.3转移途径识别</w:t>
      </w:r>
      <w:bookmarkEnd w:id="200"/>
    </w:p>
    <w:p>
      <w:pPr>
        <w:pStyle w:val="102"/>
        <w:ind w:firstLine="480"/>
        <w:rPr>
          <w:color w:val="auto"/>
          <w:szCs w:val="24"/>
          <w:highlight w:val="none"/>
        </w:rPr>
      </w:pPr>
      <w:r>
        <w:rPr>
          <w:color w:val="auto"/>
          <w:szCs w:val="24"/>
          <w:highlight w:val="none"/>
        </w:rPr>
        <w:t>根据前面识别结果，项目事故的风险通常为泄漏、火灾、爆炸三种类型，事故风险都可能引发环境风险，根据危险物质及危险装置的识别结果，可以分析出风险的伴生事故以及环境事故、危险物质进入环境的途径，其中风险伴生/次生危险性分析详见表5.</w:t>
      </w:r>
      <w:r>
        <w:rPr>
          <w:rFonts w:hint="eastAsia"/>
          <w:color w:val="auto"/>
          <w:szCs w:val="24"/>
          <w:highlight w:val="none"/>
        </w:rPr>
        <w:t>2</w:t>
      </w:r>
      <w:r>
        <w:rPr>
          <w:color w:val="auto"/>
          <w:szCs w:val="24"/>
          <w:highlight w:val="none"/>
        </w:rPr>
        <w:t>-</w:t>
      </w:r>
      <w:r>
        <w:rPr>
          <w:rFonts w:hint="eastAsia"/>
          <w:color w:val="auto"/>
          <w:szCs w:val="24"/>
          <w:highlight w:val="none"/>
        </w:rPr>
        <w:t>4</w:t>
      </w:r>
      <w:r>
        <w:rPr>
          <w:color w:val="auto"/>
          <w:szCs w:val="24"/>
          <w:highlight w:val="none"/>
        </w:rPr>
        <w:t>，风险识别途径详见表5.</w:t>
      </w:r>
      <w:r>
        <w:rPr>
          <w:rFonts w:hint="eastAsia"/>
          <w:color w:val="auto"/>
          <w:szCs w:val="24"/>
          <w:highlight w:val="none"/>
        </w:rPr>
        <w:t>2</w:t>
      </w:r>
      <w:r>
        <w:rPr>
          <w:color w:val="auto"/>
          <w:szCs w:val="24"/>
          <w:highlight w:val="none"/>
        </w:rPr>
        <w:t>-</w:t>
      </w:r>
      <w:r>
        <w:rPr>
          <w:rFonts w:hint="eastAsia"/>
          <w:color w:val="auto"/>
          <w:szCs w:val="24"/>
          <w:highlight w:val="none"/>
        </w:rPr>
        <w:t>5</w:t>
      </w:r>
      <w:r>
        <w:rPr>
          <w:color w:val="auto"/>
          <w:szCs w:val="24"/>
          <w:highlight w:val="none"/>
        </w:rPr>
        <w:t>。</w:t>
      </w:r>
    </w:p>
    <w:p>
      <w:pPr>
        <w:pStyle w:val="103"/>
        <w:rPr>
          <w:rFonts w:ascii="Times New Roman" w:hAnsi="Times New Roman"/>
          <w:color w:val="auto"/>
          <w:highlight w:val="none"/>
        </w:rPr>
      </w:pPr>
      <w:r>
        <w:rPr>
          <w:rFonts w:ascii="Times New Roman" w:hAnsi="Times New Roman"/>
          <w:color w:val="auto"/>
          <w:highlight w:val="none"/>
        </w:rPr>
        <w:t>表5.</w:t>
      </w:r>
      <w:r>
        <w:rPr>
          <w:rFonts w:hint="eastAsia" w:ascii="Times New Roman" w:hAnsi="Times New Roman"/>
          <w:color w:val="auto"/>
          <w:highlight w:val="none"/>
        </w:rPr>
        <w:t>2</w:t>
      </w:r>
      <w:r>
        <w:rPr>
          <w:rFonts w:ascii="Times New Roman" w:hAnsi="Times New Roman"/>
          <w:color w:val="auto"/>
          <w:highlight w:val="none"/>
        </w:rPr>
        <w:t>-</w:t>
      </w:r>
      <w:r>
        <w:rPr>
          <w:rFonts w:hint="eastAsia" w:ascii="Times New Roman" w:hAnsi="Times New Roman"/>
          <w:color w:val="auto"/>
          <w:highlight w:val="none"/>
        </w:rPr>
        <w:t>4</w:t>
      </w:r>
      <w:r>
        <w:rPr>
          <w:rFonts w:ascii="Times New Roman" w:hAnsi="Times New Roman"/>
          <w:color w:val="auto"/>
          <w:highlight w:val="none"/>
        </w:rPr>
        <w:t xml:space="preserve">  事故过程中伴生/次生危险性分析</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88"/>
        <w:gridCol w:w="61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4" w:type="pct"/>
            <w:tcMar>
              <w:top w:w="28" w:type="dxa"/>
              <w:bottom w:w="28" w:type="dxa"/>
            </w:tcMar>
            <w:vAlign w:val="center"/>
          </w:tcPr>
          <w:p>
            <w:pPr>
              <w:jc w:val="center"/>
              <w:rPr>
                <w:color w:val="auto"/>
                <w:szCs w:val="21"/>
                <w:highlight w:val="none"/>
              </w:rPr>
            </w:pPr>
            <w:r>
              <w:rPr>
                <w:color w:val="auto"/>
                <w:szCs w:val="21"/>
                <w:highlight w:val="none"/>
              </w:rPr>
              <w:t>伴生/次生事故类型</w:t>
            </w:r>
          </w:p>
        </w:tc>
        <w:tc>
          <w:tcPr>
            <w:tcW w:w="3396" w:type="pct"/>
            <w:tcMar>
              <w:top w:w="28" w:type="dxa"/>
              <w:bottom w:w="28" w:type="dxa"/>
            </w:tcMar>
            <w:vAlign w:val="center"/>
          </w:tcPr>
          <w:p>
            <w:pPr>
              <w:jc w:val="center"/>
              <w:rPr>
                <w:color w:val="auto"/>
                <w:szCs w:val="21"/>
                <w:highlight w:val="none"/>
              </w:rPr>
            </w:pPr>
            <w:r>
              <w:rPr>
                <w:color w:val="auto"/>
                <w:szCs w:val="21"/>
                <w:highlight w:val="none"/>
              </w:rPr>
              <w:t>危险性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4" w:type="pct"/>
            <w:tcMar>
              <w:top w:w="28" w:type="dxa"/>
              <w:bottom w:w="28" w:type="dxa"/>
            </w:tcMar>
            <w:vAlign w:val="center"/>
          </w:tcPr>
          <w:p>
            <w:pPr>
              <w:jc w:val="center"/>
              <w:rPr>
                <w:color w:val="auto"/>
                <w:szCs w:val="21"/>
                <w:highlight w:val="none"/>
              </w:rPr>
            </w:pPr>
            <w:r>
              <w:rPr>
                <w:color w:val="auto"/>
                <w:szCs w:val="21"/>
                <w:highlight w:val="none"/>
              </w:rPr>
              <w:t>火灾事故伴生消防废水</w:t>
            </w:r>
          </w:p>
        </w:tc>
        <w:tc>
          <w:tcPr>
            <w:tcW w:w="3396" w:type="pct"/>
            <w:tcMar>
              <w:top w:w="28" w:type="dxa"/>
              <w:bottom w:w="28" w:type="dxa"/>
            </w:tcMar>
            <w:vAlign w:val="center"/>
          </w:tcPr>
          <w:p>
            <w:pPr>
              <w:pStyle w:val="105"/>
              <w:rPr>
                <w:color w:val="auto"/>
                <w:szCs w:val="21"/>
                <w:highlight w:val="none"/>
              </w:rPr>
            </w:pPr>
            <w:r>
              <w:rPr>
                <w:rStyle w:val="122"/>
                <w:rFonts w:hint="default" w:ascii="Times New Roman" w:hAnsi="Times New Roman"/>
                <w:color w:val="auto"/>
                <w:sz w:val="21"/>
                <w:szCs w:val="21"/>
                <w:highlight w:val="none"/>
              </w:rPr>
              <w:t>消防废水会携带一定量的有害物质，不能及时得到有效收集和处置，将随雨排水系统进入外界水体，造成污染。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4" w:type="pct"/>
            <w:tcMar>
              <w:top w:w="28" w:type="dxa"/>
              <w:bottom w:w="28" w:type="dxa"/>
            </w:tcMar>
            <w:vAlign w:val="center"/>
          </w:tcPr>
          <w:p>
            <w:pPr>
              <w:jc w:val="center"/>
              <w:rPr>
                <w:color w:val="auto"/>
                <w:szCs w:val="21"/>
                <w:highlight w:val="none"/>
              </w:rPr>
            </w:pPr>
            <w:r>
              <w:rPr>
                <w:color w:val="auto"/>
                <w:szCs w:val="21"/>
                <w:highlight w:val="none"/>
              </w:rPr>
              <w:t>火灾事故产生的烟气</w:t>
            </w:r>
          </w:p>
        </w:tc>
        <w:tc>
          <w:tcPr>
            <w:tcW w:w="3396" w:type="pct"/>
            <w:tcMar>
              <w:top w:w="28" w:type="dxa"/>
              <w:bottom w:w="28" w:type="dxa"/>
            </w:tcMar>
            <w:vAlign w:val="center"/>
          </w:tcPr>
          <w:p>
            <w:pPr>
              <w:pStyle w:val="105"/>
              <w:rPr>
                <w:color w:val="auto"/>
                <w:szCs w:val="21"/>
                <w:highlight w:val="none"/>
              </w:rPr>
            </w:pPr>
            <w:r>
              <w:rPr>
                <w:color w:val="auto"/>
                <w:szCs w:val="21"/>
                <w:highlight w:val="none"/>
              </w:rPr>
              <w:t>火灾事故产生的烟气</w:t>
            </w:r>
            <w:r>
              <w:rPr>
                <w:rStyle w:val="122"/>
                <w:rFonts w:hint="default" w:ascii="Times New Roman" w:hAnsi="Times New Roman"/>
                <w:color w:val="auto"/>
                <w:sz w:val="21"/>
                <w:szCs w:val="21"/>
                <w:highlight w:val="none"/>
              </w:rPr>
              <w:t>进入环境，对环境空气造成危害。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4" w:type="pct"/>
            <w:tcMar>
              <w:top w:w="28" w:type="dxa"/>
              <w:bottom w:w="28" w:type="dxa"/>
            </w:tcMar>
            <w:vAlign w:val="center"/>
          </w:tcPr>
          <w:p>
            <w:pPr>
              <w:jc w:val="center"/>
              <w:rPr>
                <w:color w:val="auto"/>
                <w:szCs w:val="21"/>
                <w:highlight w:val="none"/>
              </w:rPr>
            </w:pPr>
            <w:r>
              <w:rPr>
                <w:color w:val="auto"/>
                <w:szCs w:val="21"/>
                <w:highlight w:val="none"/>
              </w:rPr>
              <w:t>爆炸次生危害</w:t>
            </w:r>
          </w:p>
        </w:tc>
        <w:tc>
          <w:tcPr>
            <w:tcW w:w="3396" w:type="pct"/>
            <w:tcMar>
              <w:top w:w="28" w:type="dxa"/>
              <w:bottom w:w="28" w:type="dxa"/>
            </w:tcMar>
            <w:vAlign w:val="center"/>
          </w:tcPr>
          <w:p>
            <w:pPr>
              <w:pStyle w:val="105"/>
              <w:rPr>
                <w:color w:val="auto"/>
                <w:szCs w:val="21"/>
                <w:highlight w:val="none"/>
              </w:rPr>
            </w:pPr>
            <w:r>
              <w:rPr>
                <w:rStyle w:val="122"/>
                <w:rFonts w:hint="default" w:ascii="Times New Roman" w:hAnsi="Times New Roman"/>
                <w:color w:val="auto"/>
                <w:sz w:val="21"/>
                <w:szCs w:val="21"/>
                <w:highlight w:val="none"/>
              </w:rPr>
              <w:t>爆炸产生</w:t>
            </w:r>
            <w:r>
              <w:rPr>
                <w:rStyle w:val="139"/>
                <w:rFonts w:ascii="Times New Roman" w:hAnsi="Times New Roman"/>
                <w:color w:val="auto"/>
                <w:sz w:val="21"/>
                <w:szCs w:val="21"/>
                <w:highlight w:val="none"/>
              </w:rPr>
              <w:t>CO</w:t>
            </w:r>
            <w:r>
              <w:rPr>
                <w:rStyle w:val="122"/>
                <w:rFonts w:hint="default" w:ascii="Times New Roman" w:hAnsi="Times New Roman"/>
                <w:color w:val="auto"/>
                <w:sz w:val="21"/>
                <w:szCs w:val="21"/>
                <w:highlight w:val="none"/>
              </w:rPr>
              <w:t>，也有部分杂质气体飞溅散发进入大气造成局部大气环境污染。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4" w:type="pct"/>
            <w:tcMar>
              <w:top w:w="28" w:type="dxa"/>
              <w:bottom w:w="28" w:type="dxa"/>
            </w:tcMar>
            <w:vAlign w:val="center"/>
          </w:tcPr>
          <w:p>
            <w:pPr>
              <w:jc w:val="center"/>
              <w:rPr>
                <w:color w:val="auto"/>
                <w:szCs w:val="21"/>
                <w:highlight w:val="none"/>
              </w:rPr>
            </w:pPr>
            <w:r>
              <w:rPr>
                <w:color w:val="auto"/>
                <w:szCs w:val="21"/>
                <w:highlight w:val="none"/>
              </w:rPr>
              <w:t>泄漏事故伴生/次生</w:t>
            </w:r>
          </w:p>
        </w:tc>
        <w:tc>
          <w:tcPr>
            <w:tcW w:w="3396" w:type="pct"/>
            <w:tcMar>
              <w:top w:w="28" w:type="dxa"/>
              <w:bottom w:w="28" w:type="dxa"/>
            </w:tcMar>
            <w:vAlign w:val="center"/>
          </w:tcPr>
          <w:p>
            <w:pPr>
              <w:pStyle w:val="105"/>
              <w:rPr>
                <w:color w:val="auto"/>
                <w:szCs w:val="21"/>
                <w:highlight w:val="none"/>
              </w:rPr>
            </w:pPr>
            <w:r>
              <w:rPr>
                <w:rStyle w:val="122"/>
                <w:rFonts w:ascii="Times New Roman" w:hAnsi="Times New Roman"/>
                <w:color w:val="auto"/>
                <w:sz w:val="21"/>
                <w:szCs w:val="21"/>
                <w:highlight w:val="none"/>
              </w:rPr>
              <w:t>危废暂存间废矿物油</w:t>
            </w:r>
            <w:r>
              <w:rPr>
                <w:rStyle w:val="122"/>
                <w:rFonts w:hint="default" w:ascii="Times New Roman" w:hAnsi="Times New Roman"/>
                <w:color w:val="auto"/>
                <w:sz w:val="21"/>
                <w:szCs w:val="21"/>
                <w:highlight w:val="none"/>
              </w:rPr>
              <w:t>发生泄漏，泄漏出来的物质进入水体和土壤，造成环境污染事故。</w:t>
            </w:r>
          </w:p>
        </w:tc>
      </w:tr>
    </w:tbl>
    <w:p>
      <w:pPr>
        <w:pStyle w:val="103"/>
        <w:rPr>
          <w:rFonts w:ascii="Times New Roman" w:hAnsi="Times New Roman"/>
          <w:color w:val="auto"/>
          <w:highlight w:val="none"/>
        </w:rPr>
      </w:pPr>
      <w:r>
        <w:rPr>
          <w:rFonts w:ascii="Times New Roman" w:hAnsi="Times New Roman"/>
          <w:color w:val="auto"/>
          <w:highlight w:val="none"/>
        </w:rPr>
        <w:t>表5.</w:t>
      </w:r>
      <w:r>
        <w:rPr>
          <w:rFonts w:hint="eastAsia" w:ascii="Times New Roman" w:hAnsi="Times New Roman"/>
          <w:color w:val="auto"/>
          <w:highlight w:val="none"/>
        </w:rPr>
        <w:t>2</w:t>
      </w:r>
      <w:r>
        <w:rPr>
          <w:rFonts w:ascii="Times New Roman" w:hAnsi="Times New Roman"/>
          <w:color w:val="auto"/>
          <w:highlight w:val="none"/>
        </w:rPr>
        <w:t>-</w:t>
      </w:r>
      <w:r>
        <w:rPr>
          <w:rFonts w:hint="eastAsia" w:ascii="Times New Roman" w:hAnsi="Times New Roman"/>
          <w:color w:val="auto"/>
          <w:highlight w:val="none"/>
        </w:rPr>
        <w:t>5</w:t>
      </w:r>
      <w:r>
        <w:rPr>
          <w:rFonts w:ascii="Times New Roman" w:hAnsi="Times New Roman"/>
          <w:color w:val="auto"/>
          <w:highlight w:val="none"/>
        </w:rPr>
        <w:t xml:space="preserve">  项目转移途径识别表</w:t>
      </w:r>
    </w:p>
    <w:tbl>
      <w:tblPr>
        <w:tblStyle w:val="5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3646"/>
        <w:gridCol w:w="1587"/>
        <w:gridCol w:w="26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9" w:type="pct"/>
            <w:vAlign w:val="center"/>
          </w:tcPr>
          <w:p>
            <w:pPr>
              <w:pStyle w:val="105"/>
              <w:rPr>
                <w:color w:val="auto"/>
                <w:szCs w:val="21"/>
                <w:highlight w:val="none"/>
              </w:rPr>
            </w:pPr>
            <w:r>
              <w:rPr>
                <w:color w:val="auto"/>
                <w:szCs w:val="21"/>
                <w:highlight w:val="none"/>
              </w:rPr>
              <w:t>事故类型</w:t>
            </w:r>
          </w:p>
        </w:tc>
        <w:tc>
          <w:tcPr>
            <w:tcW w:w="2024" w:type="pct"/>
            <w:vAlign w:val="center"/>
          </w:tcPr>
          <w:p>
            <w:pPr>
              <w:pStyle w:val="105"/>
              <w:rPr>
                <w:color w:val="auto"/>
                <w:szCs w:val="21"/>
                <w:highlight w:val="none"/>
              </w:rPr>
            </w:pPr>
            <w:r>
              <w:rPr>
                <w:color w:val="auto"/>
                <w:szCs w:val="21"/>
                <w:highlight w:val="none"/>
              </w:rPr>
              <w:t>伴生/次生事故</w:t>
            </w:r>
          </w:p>
        </w:tc>
        <w:tc>
          <w:tcPr>
            <w:tcW w:w="881" w:type="pct"/>
            <w:vAlign w:val="center"/>
          </w:tcPr>
          <w:p>
            <w:pPr>
              <w:pStyle w:val="105"/>
              <w:rPr>
                <w:color w:val="auto"/>
                <w:szCs w:val="21"/>
                <w:highlight w:val="none"/>
              </w:rPr>
            </w:pPr>
            <w:r>
              <w:rPr>
                <w:color w:val="auto"/>
                <w:szCs w:val="21"/>
                <w:highlight w:val="none"/>
              </w:rPr>
              <w:t>风险途径</w:t>
            </w:r>
          </w:p>
        </w:tc>
        <w:tc>
          <w:tcPr>
            <w:tcW w:w="1464" w:type="pct"/>
            <w:vAlign w:val="center"/>
          </w:tcPr>
          <w:p>
            <w:pPr>
              <w:pStyle w:val="105"/>
              <w:rPr>
                <w:color w:val="auto"/>
                <w:szCs w:val="21"/>
                <w:highlight w:val="none"/>
              </w:rPr>
            </w:pPr>
            <w:r>
              <w:rPr>
                <w:color w:val="auto"/>
                <w:szCs w:val="21"/>
                <w:highlight w:val="none"/>
              </w:rPr>
              <w:t>伴生事故风险途径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9" w:type="pct"/>
            <w:vAlign w:val="center"/>
          </w:tcPr>
          <w:p>
            <w:pPr>
              <w:pStyle w:val="105"/>
              <w:rPr>
                <w:color w:val="auto"/>
                <w:szCs w:val="21"/>
                <w:highlight w:val="none"/>
              </w:rPr>
            </w:pPr>
            <w:r>
              <w:rPr>
                <w:color w:val="auto"/>
                <w:szCs w:val="21"/>
                <w:highlight w:val="none"/>
              </w:rPr>
              <w:t>火灾</w:t>
            </w:r>
          </w:p>
        </w:tc>
        <w:tc>
          <w:tcPr>
            <w:tcW w:w="2024" w:type="pct"/>
            <w:vAlign w:val="center"/>
          </w:tcPr>
          <w:p>
            <w:pPr>
              <w:pStyle w:val="105"/>
              <w:jc w:val="left"/>
              <w:rPr>
                <w:rStyle w:val="123"/>
                <w:color w:val="auto"/>
                <w:sz w:val="21"/>
                <w:szCs w:val="21"/>
                <w:highlight w:val="none"/>
              </w:rPr>
            </w:pPr>
            <w:r>
              <w:rPr>
                <w:rStyle w:val="122"/>
                <w:rFonts w:hint="default" w:ascii="Times New Roman" w:hAnsi="Times New Roman"/>
                <w:color w:val="auto"/>
                <w:sz w:val="21"/>
                <w:szCs w:val="21"/>
                <w:highlight w:val="none"/>
              </w:rPr>
              <w:t>1</w:t>
            </w:r>
            <w:r>
              <w:rPr>
                <w:rStyle w:val="123"/>
                <w:color w:val="auto"/>
                <w:sz w:val="21"/>
                <w:szCs w:val="21"/>
                <w:highlight w:val="none"/>
              </w:rPr>
              <w:t>、物质泄漏和流失发生不希望的化学反应生成的剧毒物质或产生爆炸；</w:t>
            </w:r>
          </w:p>
          <w:p>
            <w:pPr>
              <w:pStyle w:val="105"/>
              <w:jc w:val="left"/>
              <w:rPr>
                <w:rStyle w:val="123"/>
                <w:color w:val="auto"/>
                <w:sz w:val="21"/>
                <w:szCs w:val="21"/>
                <w:highlight w:val="none"/>
              </w:rPr>
            </w:pPr>
            <w:r>
              <w:rPr>
                <w:rStyle w:val="122"/>
                <w:rFonts w:hint="default" w:ascii="Times New Roman" w:hAnsi="Times New Roman"/>
                <w:color w:val="auto"/>
                <w:sz w:val="21"/>
                <w:szCs w:val="21"/>
                <w:highlight w:val="none"/>
              </w:rPr>
              <w:t>2</w:t>
            </w:r>
            <w:r>
              <w:rPr>
                <w:rStyle w:val="123"/>
                <w:color w:val="auto"/>
                <w:sz w:val="21"/>
                <w:szCs w:val="21"/>
                <w:highlight w:val="none"/>
              </w:rPr>
              <w:t>、有毒物料进入排水系统或大气系统；</w:t>
            </w:r>
          </w:p>
          <w:p>
            <w:pPr>
              <w:pStyle w:val="105"/>
              <w:jc w:val="left"/>
              <w:rPr>
                <w:color w:val="auto"/>
                <w:szCs w:val="21"/>
                <w:highlight w:val="none"/>
              </w:rPr>
            </w:pPr>
            <w:r>
              <w:rPr>
                <w:rStyle w:val="122"/>
                <w:rFonts w:hint="default" w:ascii="Times New Roman" w:hAnsi="Times New Roman"/>
                <w:color w:val="auto"/>
                <w:sz w:val="21"/>
                <w:szCs w:val="21"/>
                <w:highlight w:val="none"/>
              </w:rPr>
              <w:t>3</w:t>
            </w:r>
            <w:r>
              <w:rPr>
                <w:rStyle w:val="123"/>
                <w:color w:val="auto"/>
                <w:sz w:val="21"/>
                <w:szCs w:val="21"/>
                <w:highlight w:val="none"/>
              </w:rPr>
              <w:t>、导致其他装置的火灾</w:t>
            </w:r>
          </w:p>
        </w:tc>
        <w:tc>
          <w:tcPr>
            <w:tcW w:w="881" w:type="pct"/>
            <w:vAlign w:val="center"/>
          </w:tcPr>
          <w:p>
            <w:pPr>
              <w:jc w:val="center"/>
              <w:rPr>
                <w:bCs/>
                <w:snapToGrid w:val="0"/>
                <w:color w:val="auto"/>
                <w:szCs w:val="21"/>
                <w:highlight w:val="none"/>
              </w:rPr>
            </w:pPr>
            <w:r>
              <w:rPr>
                <w:bCs/>
                <w:snapToGrid w:val="0"/>
                <w:color w:val="auto"/>
                <w:szCs w:val="21"/>
                <w:highlight w:val="none"/>
              </w:rPr>
              <w:t>热辐射：空气</w:t>
            </w:r>
          </w:p>
          <w:p>
            <w:pPr>
              <w:pStyle w:val="105"/>
              <w:rPr>
                <w:color w:val="auto"/>
                <w:szCs w:val="21"/>
                <w:highlight w:val="none"/>
              </w:rPr>
            </w:pPr>
            <w:r>
              <w:rPr>
                <w:bCs/>
                <w:snapToGrid w:val="0"/>
                <w:color w:val="auto"/>
                <w:szCs w:val="21"/>
                <w:highlight w:val="none"/>
              </w:rPr>
              <w:t>浓烟：空气</w:t>
            </w:r>
          </w:p>
        </w:tc>
        <w:tc>
          <w:tcPr>
            <w:tcW w:w="1464" w:type="pct"/>
            <w:vAlign w:val="center"/>
          </w:tcPr>
          <w:p>
            <w:pPr>
              <w:jc w:val="center"/>
              <w:rPr>
                <w:bCs/>
                <w:snapToGrid w:val="0"/>
                <w:color w:val="auto"/>
                <w:szCs w:val="21"/>
                <w:highlight w:val="none"/>
              </w:rPr>
            </w:pPr>
            <w:r>
              <w:rPr>
                <w:bCs/>
                <w:snapToGrid w:val="0"/>
                <w:color w:val="auto"/>
                <w:szCs w:val="21"/>
                <w:highlight w:val="none"/>
              </w:rPr>
              <w:t>热辐射：空气；浓烟：空气</w:t>
            </w:r>
          </w:p>
          <w:p>
            <w:pPr>
              <w:jc w:val="center"/>
              <w:rPr>
                <w:bCs/>
                <w:snapToGrid w:val="0"/>
                <w:color w:val="auto"/>
                <w:szCs w:val="21"/>
                <w:highlight w:val="none"/>
              </w:rPr>
            </w:pPr>
            <w:r>
              <w:rPr>
                <w:bCs/>
                <w:snapToGrid w:val="0"/>
                <w:color w:val="auto"/>
                <w:szCs w:val="21"/>
                <w:highlight w:val="none"/>
              </w:rPr>
              <w:t>剧毒物质：空气或排水系统；爆炸风险途径相同</w:t>
            </w:r>
          </w:p>
          <w:p>
            <w:pPr>
              <w:pStyle w:val="105"/>
              <w:rPr>
                <w:color w:val="auto"/>
                <w:szCs w:val="21"/>
                <w:highlight w:val="none"/>
              </w:rPr>
            </w:pPr>
            <w:r>
              <w:rPr>
                <w:bCs/>
                <w:snapToGrid w:val="0"/>
                <w:color w:val="auto"/>
                <w:szCs w:val="21"/>
                <w:highlight w:val="none"/>
              </w:rPr>
              <w:t>有毒物质：排水系统或空气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9" w:type="pct"/>
            <w:vAlign w:val="center"/>
          </w:tcPr>
          <w:p>
            <w:pPr>
              <w:pStyle w:val="105"/>
              <w:rPr>
                <w:color w:val="auto"/>
                <w:szCs w:val="21"/>
                <w:highlight w:val="none"/>
              </w:rPr>
            </w:pPr>
            <w:r>
              <w:rPr>
                <w:color w:val="auto"/>
                <w:szCs w:val="21"/>
                <w:highlight w:val="none"/>
              </w:rPr>
              <w:t>爆炸</w:t>
            </w:r>
          </w:p>
        </w:tc>
        <w:tc>
          <w:tcPr>
            <w:tcW w:w="2024" w:type="pct"/>
            <w:vAlign w:val="center"/>
          </w:tcPr>
          <w:p>
            <w:pPr>
              <w:pStyle w:val="105"/>
              <w:jc w:val="left"/>
              <w:rPr>
                <w:color w:val="auto"/>
                <w:sz w:val="24"/>
                <w:szCs w:val="24"/>
                <w:highlight w:val="none"/>
              </w:rPr>
            </w:pPr>
            <w:r>
              <w:rPr>
                <w:rStyle w:val="122"/>
                <w:rFonts w:hint="default" w:ascii="Times New Roman" w:hAnsi="Times New Roman"/>
                <w:color w:val="auto"/>
                <w:sz w:val="21"/>
                <w:szCs w:val="21"/>
                <w:highlight w:val="none"/>
              </w:rPr>
              <w:t>1</w:t>
            </w:r>
            <w:r>
              <w:rPr>
                <w:rStyle w:val="123"/>
                <w:color w:val="auto"/>
                <w:sz w:val="21"/>
                <w:szCs w:val="21"/>
                <w:highlight w:val="none"/>
              </w:rPr>
              <w:t>、物料泄漏和流失发生不希望的化学放映生产剧毒物质或产生爆炸；</w:t>
            </w:r>
          </w:p>
          <w:p>
            <w:pPr>
              <w:pStyle w:val="105"/>
              <w:jc w:val="left"/>
              <w:rPr>
                <w:color w:val="auto"/>
                <w:szCs w:val="21"/>
                <w:highlight w:val="none"/>
              </w:rPr>
            </w:pPr>
            <w:r>
              <w:rPr>
                <w:rStyle w:val="122"/>
                <w:rFonts w:hint="default" w:ascii="Times New Roman" w:hAnsi="Times New Roman"/>
                <w:color w:val="auto"/>
                <w:sz w:val="21"/>
                <w:szCs w:val="21"/>
                <w:highlight w:val="none"/>
              </w:rPr>
              <w:t>2</w:t>
            </w:r>
            <w:r>
              <w:rPr>
                <w:rStyle w:val="123"/>
                <w:color w:val="auto"/>
                <w:sz w:val="21"/>
                <w:szCs w:val="21"/>
                <w:highlight w:val="none"/>
              </w:rPr>
              <w:t>、有毒物料进入排水系统或大气系统</w:t>
            </w:r>
          </w:p>
          <w:p>
            <w:pPr>
              <w:pStyle w:val="105"/>
              <w:jc w:val="left"/>
              <w:rPr>
                <w:color w:val="auto"/>
                <w:szCs w:val="21"/>
                <w:highlight w:val="none"/>
              </w:rPr>
            </w:pPr>
            <w:r>
              <w:rPr>
                <w:rStyle w:val="122"/>
                <w:rFonts w:hint="default" w:ascii="Times New Roman" w:hAnsi="Times New Roman"/>
                <w:color w:val="auto"/>
                <w:sz w:val="21"/>
                <w:szCs w:val="21"/>
                <w:highlight w:val="none"/>
              </w:rPr>
              <w:t>3</w:t>
            </w:r>
            <w:r>
              <w:rPr>
                <w:rStyle w:val="123"/>
                <w:color w:val="auto"/>
                <w:sz w:val="21"/>
                <w:szCs w:val="21"/>
                <w:highlight w:val="none"/>
              </w:rPr>
              <w:t>、其他装置的火灾</w:t>
            </w:r>
          </w:p>
        </w:tc>
        <w:tc>
          <w:tcPr>
            <w:tcW w:w="881" w:type="pct"/>
            <w:vAlign w:val="center"/>
          </w:tcPr>
          <w:p>
            <w:pPr>
              <w:jc w:val="center"/>
              <w:rPr>
                <w:bCs/>
                <w:snapToGrid w:val="0"/>
                <w:color w:val="auto"/>
                <w:szCs w:val="21"/>
                <w:highlight w:val="none"/>
              </w:rPr>
            </w:pPr>
            <w:r>
              <w:rPr>
                <w:bCs/>
                <w:snapToGrid w:val="0"/>
                <w:color w:val="auto"/>
                <w:szCs w:val="21"/>
                <w:highlight w:val="none"/>
              </w:rPr>
              <w:t>爆炸超压：空气</w:t>
            </w:r>
          </w:p>
          <w:p>
            <w:pPr>
              <w:jc w:val="center"/>
              <w:rPr>
                <w:bCs/>
                <w:snapToGrid w:val="0"/>
                <w:color w:val="auto"/>
                <w:szCs w:val="21"/>
                <w:highlight w:val="none"/>
              </w:rPr>
            </w:pPr>
            <w:r>
              <w:rPr>
                <w:bCs/>
                <w:snapToGrid w:val="0"/>
                <w:color w:val="auto"/>
                <w:szCs w:val="21"/>
                <w:highlight w:val="none"/>
              </w:rPr>
              <w:t>冲击波：空气</w:t>
            </w:r>
          </w:p>
          <w:p>
            <w:pPr>
              <w:pStyle w:val="105"/>
              <w:rPr>
                <w:color w:val="auto"/>
                <w:szCs w:val="21"/>
                <w:highlight w:val="none"/>
              </w:rPr>
            </w:pPr>
            <w:r>
              <w:rPr>
                <w:bCs/>
                <w:snapToGrid w:val="0"/>
                <w:color w:val="auto"/>
                <w:szCs w:val="21"/>
                <w:highlight w:val="none"/>
              </w:rPr>
              <w:t>碎片冲击：空气</w:t>
            </w:r>
          </w:p>
        </w:tc>
        <w:tc>
          <w:tcPr>
            <w:tcW w:w="1464" w:type="pct"/>
            <w:vAlign w:val="center"/>
          </w:tcPr>
          <w:p>
            <w:pPr>
              <w:jc w:val="center"/>
              <w:rPr>
                <w:bCs/>
                <w:snapToGrid w:val="0"/>
                <w:color w:val="auto"/>
                <w:szCs w:val="21"/>
                <w:highlight w:val="none"/>
              </w:rPr>
            </w:pPr>
            <w:r>
              <w:rPr>
                <w:bCs/>
                <w:snapToGrid w:val="0"/>
                <w:color w:val="auto"/>
                <w:szCs w:val="21"/>
                <w:highlight w:val="none"/>
              </w:rPr>
              <w:t>爆炸风险途径相同</w:t>
            </w:r>
          </w:p>
          <w:p>
            <w:pPr>
              <w:jc w:val="center"/>
              <w:rPr>
                <w:bCs/>
                <w:snapToGrid w:val="0"/>
                <w:color w:val="auto"/>
                <w:szCs w:val="21"/>
                <w:highlight w:val="none"/>
              </w:rPr>
            </w:pPr>
            <w:r>
              <w:rPr>
                <w:bCs/>
                <w:snapToGrid w:val="0"/>
                <w:color w:val="auto"/>
                <w:szCs w:val="21"/>
                <w:highlight w:val="none"/>
              </w:rPr>
              <w:t>剧毒物质：空气或排水系统；爆炸风险途径相同</w:t>
            </w:r>
          </w:p>
          <w:p>
            <w:pPr>
              <w:pStyle w:val="105"/>
              <w:rPr>
                <w:color w:val="auto"/>
                <w:szCs w:val="21"/>
                <w:highlight w:val="none"/>
              </w:rPr>
            </w:pPr>
            <w:r>
              <w:rPr>
                <w:bCs/>
                <w:snapToGrid w:val="0"/>
                <w:color w:val="auto"/>
                <w:szCs w:val="21"/>
                <w:highlight w:val="none"/>
              </w:rPr>
              <w:t>有毒物质：排水系统或空气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9" w:type="pct"/>
            <w:vAlign w:val="center"/>
          </w:tcPr>
          <w:p>
            <w:pPr>
              <w:pStyle w:val="105"/>
              <w:rPr>
                <w:color w:val="auto"/>
                <w:szCs w:val="21"/>
                <w:highlight w:val="none"/>
              </w:rPr>
            </w:pPr>
            <w:r>
              <w:rPr>
                <w:color w:val="auto"/>
                <w:szCs w:val="21"/>
                <w:highlight w:val="none"/>
              </w:rPr>
              <w:t>有害液体物料泄漏</w:t>
            </w:r>
          </w:p>
        </w:tc>
        <w:tc>
          <w:tcPr>
            <w:tcW w:w="2024" w:type="pct"/>
            <w:vAlign w:val="center"/>
          </w:tcPr>
          <w:p>
            <w:pPr>
              <w:pStyle w:val="105"/>
              <w:jc w:val="left"/>
              <w:rPr>
                <w:color w:val="auto"/>
                <w:szCs w:val="21"/>
                <w:highlight w:val="none"/>
              </w:rPr>
            </w:pPr>
            <w:r>
              <w:rPr>
                <w:rStyle w:val="122"/>
                <w:rFonts w:hint="default" w:ascii="Times New Roman" w:hAnsi="Times New Roman"/>
                <w:color w:val="auto"/>
                <w:sz w:val="21"/>
                <w:szCs w:val="21"/>
                <w:highlight w:val="none"/>
              </w:rPr>
              <w:t>有机物蒸汽逸散；引起火灾爆炸</w:t>
            </w:r>
          </w:p>
        </w:tc>
        <w:tc>
          <w:tcPr>
            <w:tcW w:w="881" w:type="pct"/>
            <w:vAlign w:val="center"/>
          </w:tcPr>
          <w:p>
            <w:pPr>
              <w:pStyle w:val="105"/>
              <w:rPr>
                <w:color w:val="auto"/>
                <w:szCs w:val="21"/>
                <w:highlight w:val="none"/>
              </w:rPr>
            </w:pPr>
            <w:r>
              <w:rPr>
                <w:bCs/>
                <w:snapToGrid w:val="0"/>
                <w:color w:val="auto"/>
                <w:szCs w:val="21"/>
                <w:highlight w:val="none"/>
              </w:rPr>
              <w:t>排水系统</w:t>
            </w:r>
          </w:p>
        </w:tc>
        <w:tc>
          <w:tcPr>
            <w:tcW w:w="1464" w:type="pct"/>
            <w:vAlign w:val="center"/>
          </w:tcPr>
          <w:p>
            <w:pPr>
              <w:jc w:val="center"/>
              <w:rPr>
                <w:bCs/>
                <w:snapToGrid w:val="0"/>
                <w:color w:val="auto"/>
                <w:szCs w:val="21"/>
                <w:highlight w:val="none"/>
              </w:rPr>
            </w:pPr>
            <w:r>
              <w:rPr>
                <w:bCs/>
                <w:snapToGrid w:val="0"/>
                <w:color w:val="auto"/>
                <w:szCs w:val="21"/>
                <w:highlight w:val="none"/>
              </w:rPr>
              <w:t>通过空气扩散</w:t>
            </w:r>
          </w:p>
          <w:p>
            <w:pPr>
              <w:pStyle w:val="105"/>
              <w:rPr>
                <w:color w:val="auto"/>
                <w:szCs w:val="21"/>
                <w:highlight w:val="none"/>
              </w:rPr>
            </w:pPr>
            <w:r>
              <w:rPr>
                <w:bCs/>
                <w:snapToGrid w:val="0"/>
                <w:color w:val="auto"/>
                <w:szCs w:val="21"/>
                <w:highlight w:val="none"/>
              </w:rPr>
              <w:t>火灾爆炸风险途径相同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9" w:type="pct"/>
            <w:vAlign w:val="center"/>
          </w:tcPr>
          <w:p>
            <w:pPr>
              <w:pStyle w:val="105"/>
              <w:rPr>
                <w:color w:val="auto"/>
                <w:szCs w:val="21"/>
                <w:highlight w:val="none"/>
              </w:rPr>
            </w:pPr>
            <w:r>
              <w:rPr>
                <w:color w:val="auto"/>
                <w:szCs w:val="21"/>
                <w:highlight w:val="none"/>
              </w:rPr>
              <w:t>有害气体物料泄漏</w:t>
            </w:r>
          </w:p>
        </w:tc>
        <w:tc>
          <w:tcPr>
            <w:tcW w:w="2024" w:type="pct"/>
            <w:vAlign w:val="center"/>
          </w:tcPr>
          <w:p>
            <w:pPr>
              <w:pStyle w:val="105"/>
              <w:jc w:val="left"/>
              <w:rPr>
                <w:color w:val="auto"/>
                <w:szCs w:val="21"/>
                <w:highlight w:val="none"/>
              </w:rPr>
            </w:pPr>
            <w:r>
              <w:rPr>
                <w:rStyle w:val="122"/>
                <w:rFonts w:hint="default" w:ascii="Times New Roman" w:hAnsi="Times New Roman"/>
                <w:color w:val="auto"/>
                <w:sz w:val="21"/>
                <w:szCs w:val="21"/>
                <w:highlight w:val="none"/>
              </w:rPr>
              <w:t>引起火灾爆炸</w:t>
            </w:r>
          </w:p>
        </w:tc>
        <w:tc>
          <w:tcPr>
            <w:tcW w:w="881" w:type="pct"/>
            <w:vAlign w:val="center"/>
          </w:tcPr>
          <w:p>
            <w:pPr>
              <w:pStyle w:val="105"/>
              <w:rPr>
                <w:color w:val="auto"/>
                <w:szCs w:val="21"/>
                <w:highlight w:val="none"/>
              </w:rPr>
            </w:pPr>
            <w:r>
              <w:rPr>
                <w:bCs/>
                <w:snapToGrid w:val="0"/>
                <w:color w:val="auto"/>
                <w:szCs w:val="21"/>
                <w:highlight w:val="none"/>
              </w:rPr>
              <w:t>空气</w:t>
            </w:r>
          </w:p>
        </w:tc>
        <w:tc>
          <w:tcPr>
            <w:tcW w:w="1464" w:type="pct"/>
            <w:vAlign w:val="center"/>
          </w:tcPr>
          <w:p>
            <w:pPr>
              <w:pStyle w:val="105"/>
              <w:rPr>
                <w:color w:val="auto"/>
                <w:szCs w:val="21"/>
                <w:highlight w:val="none"/>
              </w:rPr>
            </w:pPr>
            <w:r>
              <w:rPr>
                <w:bCs/>
                <w:snapToGrid w:val="0"/>
                <w:color w:val="auto"/>
                <w:szCs w:val="21"/>
                <w:highlight w:val="none"/>
              </w:rPr>
              <w:t>火灾爆炸风险途径相同</w:t>
            </w:r>
          </w:p>
        </w:tc>
      </w:tr>
    </w:tbl>
    <w:p>
      <w:pPr>
        <w:pStyle w:val="101"/>
        <w:spacing w:before="78"/>
        <w:rPr>
          <w:color w:val="auto"/>
          <w:highlight w:val="none"/>
        </w:rPr>
      </w:pPr>
      <w:bookmarkStart w:id="201" w:name="_Toc8205"/>
      <w:r>
        <w:rPr>
          <w:rFonts w:hint="eastAsia"/>
          <w:color w:val="auto"/>
          <w:highlight w:val="none"/>
        </w:rPr>
        <w:t>5.2.4风险识别结果</w:t>
      </w:r>
      <w:bookmarkEnd w:id="201"/>
    </w:p>
    <w:p>
      <w:pPr>
        <w:pStyle w:val="102"/>
        <w:ind w:firstLine="480"/>
        <w:rPr>
          <w:color w:val="auto"/>
          <w:szCs w:val="24"/>
          <w:highlight w:val="none"/>
        </w:rPr>
      </w:pPr>
      <w:r>
        <w:rPr>
          <w:color w:val="auto"/>
          <w:szCs w:val="24"/>
          <w:highlight w:val="none"/>
        </w:rPr>
        <w:t>项目危险单元主要为</w:t>
      </w:r>
      <w:r>
        <w:rPr>
          <w:rFonts w:hint="eastAsia"/>
          <w:color w:val="auto"/>
          <w:szCs w:val="24"/>
          <w:highlight w:val="none"/>
        </w:rPr>
        <w:t>生产车间、危废暂存间</w:t>
      </w:r>
      <w:r>
        <w:rPr>
          <w:color w:val="auto"/>
          <w:szCs w:val="24"/>
          <w:highlight w:val="none"/>
        </w:rPr>
        <w:t>等，主要危险物质包括</w:t>
      </w:r>
      <w:r>
        <w:rPr>
          <w:rFonts w:hint="eastAsia"/>
          <w:color w:val="auto"/>
          <w:szCs w:val="24"/>
          <w:highlight w:val="none"/>
        </w:rPr>
        <w:t>废矿物油泄露</w:t>
      </w:r>
      <w:r>
        <w:rPr>
          <w:color w:val="auto"/>
          <w:szCs w:val="24"/>
          <w:highlight w:val="none"/>
        </w:rPr>
        <w:t>等，风险类型主要为泄露，以及火灾、爆炸等引发的伴生/次生污染物排放，环境影响途径其中泄露主要是通过地下水、大气等造成周围地表水和大气的影响，火灾和爆炸主要通过大气对周围大气环境造成影响，项目环境风险识别结果见下表。</w:t>
      </w:r>
    </w:p>
    <w:p>
      <w:pPr>
        <w:pStyle w:val="103"/>
        <w:rPr>
          <w:rFonts w:ascii="Times New Roman" w:hAnsi="Times New Roman"/>
          <w:color w:val="auto"/>
          <w:highlight w:val="none"/>
        </w:rPr>
      </w:pPr>
      <w:r>
        <w:rPr>
          <w:rFonts w:ascii="Times New Roman" w:hAnsi="Times New Roman"/>
          <w:bCs/>
          <w:snapToGrid w:val="0"/>
          <w:color w:val="auto"/>
          <w:szCs w:val="24"/>
          <w:highlight w:val="none"/>
        </w:rPr>
        <w:t>表5.</w:t>
      </w:r>
      <w:r>
        <w:rPr>
          <w:rFonts w:hint="eastAsia" w:ascii="Times New Roman" w:hAnsi="Times New Roman"/>
          <w:bCs/>
          <w:snapToGrid w:val="0"/>
          <w:color w:val="auto"/>
          <w:szCs w:val="24"/>
          <w:highlight w:val="none"/>
          <w:lang w:val="en-US" w:eastAsia="zh-CN"/>
        </w:rPr>
        <w:t>2</w:t>
      </w:r>
      <w:r>
        <w:rPr>
          <w:rFonts w:ascii="Times New Roman" w:hAnsi="Times New Roman"/>
          <w:bCs/>
          <w:snapToGrid w:val="0"/>
          <w:color w:val="auto"/>
          <w:szCs w:val="24"/>
          <w:highlight w:val="none"/>
        </w:rPr>
        <w:t>-</w:t>
      </w:r>
      <w:r>
        <w:rPr>
          <w:rFonts w:hint="eastAsia" w:ascii="Times New Roman" w:hAnsi="Times New Roman"/>
          <w:bCs/>
          <w:snapToGrid w:val="0"/>
          <w:color w:val="auto"/>
          <w:szCs w:val="24"/>
          <w:highlight w:val="none"/>
        </w:rPr>
        <w:t>6</w:t>
      </w:r>
      <w:r>
        <w:rPr>
          <w:rFonts w:ascii="Times New Roman" w:hAnsi="Times New Roman"/>
          <w:bCs/>
          <w:snapToGrid w:val="0"/>
          <w:color w:val="auto"/>
          <w:szCs w:val="24"/>
          <w:highlight w:val="none"/>
        </w:rPr>
        <w:t xml:space="preserve">  </w:t>
      </w:r>
      <w:r>
        <w:rPr>
          <w:rFonts w:ascii="Times New Roman" w:hAnsi="Times New Roman"/>
          <w:color w:val="auto"/>
          <w:highlight w:val="none"/>
        </w:rPr>
        <w:t>建设项目环境风险识别结果表</w:t>
      </w:r>
    </w:p>
    <w:tbl>
      <w:tblPr>
        <w:tblStyle w:val="59"/>
        <w:tblW w:w="900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9"/>
        <w:gridCol w:w="1134"/>
        <w:gridCol w:w="1134"/>
        <w:gridCol w:w="1276"/>
        <w:gridCol w:w="1559"/>
        <w:gridCol w:w="1701"/>
        <w:gridCol w:w="16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dxa"/>
            <w:tcBorders>
              <w:tl2br w:val="nil"/>
              <w:tr2bl w:val="nil"/>
            </w:tcBorders>
            <w:tcMar>
              <w:left w:w="28" w:type="dxa"/>
              <w:right w:w="28" w:type="dxa"/>
            </w:tcMar>
            <w:vAlign w:val="center"/>
          </w:tcPr>
          <w:p>
            <w:pPr>
              <w:pStyle w:val="105"/>
              <w:rPr>
                <w:color w:val="auto"/>
                <w:highlight w:val="none"/>
              </w:rPr>
            </w:pPr>
            <w:r>
              <w:rPr>
                <w:color w:val="auto"/>
                <w:highlight w:val="none"/>
              </w:rPr>
              <w:t>序号</w:t>
            </w:r>
          </w:p>
        </w:tc>
        <w:tc>
          <w:tcPr>
            <w:tcW w:w="1134" w:type="dxa"/>
            <w:tcBorders>
              <w:tl2br w:val="nil"/>
              <w:tr2bl w:val="nil"/>
            </w:tcBorders>
            <w:tcMar>
              <w:left w:w="28" w:type="dxa"/>
              <w:right w:w="28" w:type="dxa"/>
            </w:tcMar>
            <w:vAlign w:val="center"/>
          </w:tcPr>
          <w:p>
            <w:pPr>
              <w:pStyle w:val="105"/>
              <w:rPr>
                <w:color w:val="auto"/>
                <w:highlight w:val="none"/>
              </w:rPr>
            </w:pPr>
            <w:r>
              <w:rPr>
                <w:color w:val="auto"/>
                <w:highlight w:val="none"/>
              </w:rPr>
              <w:t>风险源</w:t>
            </w:r>
          </w:p>
        </w:tc>
        <w:tc>
          <w:tcPr>
            <w:tcW w:w="1134" w:type="dxa"/>
            <w:tcBorders>
              <w:tl2br w:val="nil"/>
              <w:tr2bl w:val="nil"/>
            </w:tcBorders>
            <w:tcMar>
              <w:left w:w="28" w:type="dxa"/>
              <w:right w:w="28" w:type="dxa"/>
            </w:tcMar>
            <w:vAlign w:val="center"/>
          </w:tcPr>
          <w:p>
            <w:pPr>
              <w:pStyle w:val="105"/>
              <w:rPr>
                <w:color w:val="auto"/>
                <w:highlight w:val="none"/>
              </w:rPr>
            </w:pPr>
            <w:r>
              <w:rPr>
                <w:color w:val="auto"/>
                <w:highlight w:val="none"/>
              </w:rPr>
              <w:t>主要危险物质</w:t>
            </w:r>
          </w:p>
        </w:tc>
        <w:tc>
          <w:tcPr>
            <w:tcW w:w="1276" w:type="dxa"/>
            <w:tcBorders>
              <w:tl2br w:val="nil"/>
              <w:tr2bl w:val="nil"/>
            </w:tcBorders>
            <w:tcMar>
              <w:left w:w="28" w:type="dxa"/>
              <w:right w:w="28" w:type="dxa"/>
            </w:tcMar>
            <w:vAlign w:val="center"/>
          </w:tcPr>
          <w:p>
            <w:pPr>
              <w:pStyle w:val="105"/>
              <w:rPr>
                <w:color w:val="auto"/>
                <w:highlight w:val="none"/>
              </w:rPr>
            </w:pPr>
            <w:r>
              <w:rPr>
                <w:color w:val="auto"/>
                <w:highlight w:val="none"/>
              </w:rPr>
              <w:t>环境风险类型</w:t>
            </w:r>
          </w:p>
        </w:tc>
        <w:tc>
          <w:tcPr>
            <w:tcW w:w="1559" w:type="dxa"/>
            <w:tcBorders>
              <w:tl2br w:val="nil"/>
              <w:tr2bl w:val="nil"/>
            </w:tcBorders>
            <w:tcMar>
              <w:left w:w="28" w:type="dxa"/>
              <w:right w:w="28" w:type="dxa"/>
            </w:tcMar>
            <w:vAlign w:val="center"/>
          </w:tcPr>
          <w:p>
            <w:pPr>
              <w:pStyle w:val="105"/>
              <w:rPr>
                <w:color w:val="auto"/>
                <w:highlight w:val="none"/>
              </w:rPr>
            </w:pPr>
            <w:r>
              <w:rPr>
                <w:color w:val="auto"/>
                <w:highlight w:val="none"/>
              </w:rPr>
              <w:t>环境影响途径</w:t>
            </w:r>
          </w:p>
        </w:tc>
        <w:tc>
          <w:tcPr>
            <w:tcW w:w="1701" w:type="dxa"/>
            <w:tcBorders>
              <w:tl2br w:val="nil"/>
              <w:tr2bl w:val="nil"/>
            </w:tcBorders>
            <w:tcMar>
              <w:left w:w="28" w:type="dxa"/>
              <w:right w:w="28" w:type="dxa"/>
            </w:tcMar>
            <w:vAlign w:val="center"/>
          </w:tcPr>
          <w:p>
            <w:pPr>
              <w:pStyle w:val="105"/>
              <w:rPr>
                <w:color w:val="auto"/>
                <w:highlight w:val="none"/>
              </w:rPr>
            </w:pPr>
            <w:r>
              <w:rPr>
                <w:color w:val="auto"/>
                <w:highlight w:val="none"/>
              </w:rPr>
              <w:t>可能受影响的环境敏感目标</w:t>
            </w:r>
          </w:p>
        </w:tc>
        <w:tc>
          <w:tcPr>
            <w:tcW w:w="1609" w:type="dxa"/>
            <w:tcBorders>
              <w:tl2br w:val="nil"/>
              <w:tr2bl w:val="nil"/>
            </w:tcBorders>
            <w:tcMar>
              <w:left w:w="28" w:type="dxa"/>
              <w:right w:w="28" w:type="dxa"/>
            </w:tcMar>
            <w:vAlign w:val="center"/>
          </w:tcPr>
          <w:p>
            <w:pPr>
              <w:pStyle w:val="105"/>
              <w:rPr>
                <w:color w:val="auto"/>
                <w:highlight w:val="none"/>
              </w:rPr>
            </w:pPr>
            <w:r>
              <w:rPr>
                <w:color w:val="auto"/>
                <w:highlight w:val="none"/>
              </w:rPr>
              <w:t>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dxa"/>
            <w:tcBorders>
              <w:tl2br w:val="nil"/>
              <w:tr2bl w:val="nil"/>
            </w:tcBorders>
            <w:tcMar>
              <w:left w:w="28" w:type="dxa"/>
              <w:right w:w="28" w:type="dxa"/>
            </w:tcMar>
            <w:vAlign w:val="center"/>
          </w:tcPr>
          <w:p>
            <w:pPr>
              <w:pStyle w:val="105"/>
              <w:rPr>
                <w:color w:val="auto"/>
                <w:highlight w:val="none"/>
              </w:rPr>
            </w:pPr>
            <w:r>
              <w:rPr>
                <w:color w:val="auto"/>
                <w:highlight w:val="none"/>
              </w:rPr>
              <w:t>1</w:t>
            </w:r>
          </w:p>
        </w:tc>
        <w:tc>
          <w:tcPr>
            <w:tcW w:w="1134" w:type="dxa"/>
            <w:tcBorders>
              <w:tl2br w:val="nil"/>
              <w:tr2bl w:val="nil"/>
            </w:tcBorders>
            <w:tcMar>
              <w:left w:w="28" w:type="dxa"/>
              <w:right w:w="28" w:type="dxa"/>
            </w:tcMar>
            <w:vAlign w:val="center"/>
          </w:tcPr>
          <w:p>
            <w:pPr>
              <w:pStyle w:val="105"/>
              <w:rPr>
                <w:color w:val="auto"/>
                <w:highlight w:val="none"/>
              </w:rPr>
            </w:pPr>
            <w:r>
              <w:rPr>
                <w:rFonts w:hint="eastAsia"/>
                <w:color w:val="auto"/>
                <w:highlight w:val="none"/>
              </w:rPr>
              <w:t>生产车间</w:t>
            </w:r>
          </w:p>
        </w:tc>
        <w:tc>
          <w:tcPr>
            <w:tcW w:w="1134" w:type="dxa"/>
            <w:tcBorders>
              <w:tl2br w:val="nil"/>
              <w:tr2bl w:val="nil"/>
            </w:tcBorders>
            <w:tcMar>
              <w:left w:w="28" w:type="dxa"/>
              <w:right w:w="28" w:type="dxa"/>
            </w:tcMar>
            <w:vAlign w:val="center"/>
          </w:tcPr>
          <w:p>
            <w:pPr>
              <w:pStyle w:val="105"/>
              <w:rPr>
                <w:color w:val="auto"/>
                <w:highlight w:val="none"/>
              </w:rPr>
            </w:pPr>
            <w:r>
              <w:rPr>
                <w:rFonts w:hint="eastAsia"/>
                <w:color w:val="auto"/>
                <w:highlight w:val="none"/>
              </w:rPr>
              <w:t>塑料颗粒、塑料管道</w:t>
            </w:r>
          </w:p>
        </w:tc>
        <w:tc>
          <w:tcPr>
            <w:tcW w:w="1276" w:type="dxa"/>
            <w:tcBorders>
              <w:tl2br w:val="nil"/>
              <w:tr2bl w:val="nil"/>
            </w:tcBorders>
            <w:tcMar>
              <w:left w:w="28" w:type="dxa"/>
              <w:right w:w="28" w:type="dxa"/>
            </w:tcMar>
            <w:vAlign w:val="center"/>
          </w:tcPr>
          <w:p>
            <w:pPr>
              <w:pStyle w:val="105"/>
              <w:rPr>
                <w:color w:val="auto"/>
                <w:highlight w:val="none"/>
              </w:rPr>
            </w:pPr>
            <w:r>
              <w:rPr>
                <w:color w:val="auto"/>
                <w:highlight w:val="none"/>
              </w:rPr>
              <w:t>火灾</w:t>
            </w:r>
          </w:p>
        </w:tc>
        <w:tc>
          <w:tcPr>
            <w:tcW w:w="1559" w:type="dxa"/>
            <w:tcBorders>
              <w:tl2br w:val="nil"/>
              <w:tr2bl w:val="nil"/>
            </w:tcBorders>
            <w:tcMar>
              <w:left w:w="28" w:type="dxa"/>
              <w:right w:w="28" w:type="dxa"/>
            </w:tcMar>
            <w:vAlign w:val="center"/>
          </w:tcPr>
          <w:p>
            <w:pPr>
              <w:pStyle w:val="105"/>
              <w:rPr>
                <w:color w:val="auto"/>
                <w:highlight w:val="none"/>
              </w:rPr>
            </w:pPr>
            <w:r>
              <w:rPr>
                <w:color w:val="auto"/>
                <w:highlight w:val="none"/>
              </w:rPr>
              <w:t>环境空气、地表水、地下水</w:t>
            </w:r>
          </w:p>
        </w:tc>
        <w:tc>
          <w:tcPr>
            <w:tcW w:w="1701" w:type="dxa"/>
            <w:tcBorders>
              <w:tl2br w:val="nil"/>
              <w:tr2bl w:val="nil"/>
            </w:tcBorders>
            <w:tcMar>
              <w:left w:w="28" w:type="dxa"/>
              <w:right w:w="28" w:type="dxa"/>
            </w:tcMar>
            <w:vAlign w:val="center"/>
          </w:tcPr>
          <w:p>
            <w:pPr>
              <w:pStyle w:val="105"/>
              <w:rPr>
                <w:color w:val="auto"/>
                <w:highlight w:val="none"/>
              </w:rPr>
            </w:pPr>
            <w:r>
              <w:rPr>
                <w:color w:val="auto"/>
                <w:kern w:val="0"/>
                <w:szCs w:val="21"/>
                <w:highlight w:val="none"/>
                <w:lang w:val="zh-CN"/>
              </w:rPr>
              <w:t>周边环境空气、地表水、周边敏感目标</w:t>
            </w:r>
          </w:p>
        </w:tc>
        <w:tc>
          <w:tcPr>
            <w:tcW w:w="1609" w:type="dxa"/>
            <w:tcBorders>
              <w:tl2br w:val="nil"/>
              <w:tr2bl w:val="nil"/>
            </w:tcBorders>
            <w:tcMar>
              <w:left w:w="28" w:type="dxa"/>
              <w:right w:w="28" w:type="dxa"/>
            </w:tcMar>
            <w:vAlign w:val="center"/>
          </w:tcPr>
          <w:p>
            <w:pPr>
              <w:pStyle w:val="105"/>
              <w:rPr>
                <w:color w:val="auto"/>
                <w:highlight w:val="none"/>
              </w:rPr>
            </w:pPr>
            <w:r>
              <w:rPr>
                <w:color w:val="auto"/>
                <w:highlight w:val="none"/>
              </w:rPr>
              <w:t>VOCs、一氧化碳、二氧化碳等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dxa"/>
            <w:tcBorders>
              <w:tl2br w:val="nil"/>
              <w:tr2bl w:val="nil"/>
            </w:tcBorders>
            <w:tcMar>
              <w:left w:w="28" w:type="dxa"/>
              <w:right w:w="28" w:type="dxa"/>
            </w:tcMar>
            <w:vAlign w:val="center"/>
          </w:tcPr>
          <w:p>
            <w:pPr>
              <w:pStyle w:val="105"/>
              <w:rPr>
                <w:color w:val="auto"/>
                <w:highlight w:val="none"/>
              </w:rPr>
            </w:pPr>
            <w:r>
              <w:rPr>
                <w:color w:val="auto"/>
                <w:highlight w:val="none"/>
              </w:rPr>
              <w:t>2</w:t>
            </w:r>
          </w:p>
        </w:tc>
        <w:tc>
          <w:tcPr>
            <w:tcW w:w="1134" w:type="dxa"/>
            <w:tcBorders>
              <w:tl2br w:val="nil"/>
              <w:tr2bl w:val="nil"/>
            </w:tcBorders>
            <w:tcMar>
              <w:left w:w="28" w:type="dxa"/>
              <w:right w:w="28" w:type="dxa"/>
            </w:tcMar>
            <w:vAlign w:val="center"/>
          </w:tcPr>
          <w:p>
            <w:pPr>
              <w:pStyle w:val="105"/>
              <w:rPr>
                <w:color w:val="auto"/>
                <w:highlight w:val="none"/>
              </w:rPr>
            </w:pPr>
            <w:r>
              <w:rPr>
                <w:rFonts w:hint="eastAsia"/>
                <w:color w:val="auto"/>
                <w:highlight w:val="none"/>
              </w:rPr>
              <w:t>危废暂存间</w:t>
            </w:r>
          </w:p>
        </w:tc>
        <w:tc>
          <w:tcPr>
            <w:tcW w:w="1134" w:type="dxa"/>
            <w:tcBorders>
              <w:tl2br w:val="nil"/>
              <w:tr2bl w:val="nil"/>
            </w:tcBorders>
            <w:tcMar>
              <w:left w:w="28" w:type="dxa"/>
              <w:right w:w="28" w:type="dxa"/>
            </w:tcMar>
            <w:vAlign w:val="center"/>
          </w:tcPr>
          <w:p>
            <w:pPr>
              <w:pStyle w:val="105"/>
              <w:rPr>
                <w:color w:val="auto"/>
                <w:highlight w:val="none"/>
              </w:rPr>
            </w:pPr>
            <w:r>
              <w:rPr>
                <w:rFonts w:hint="eastAsia"/>
                <w:color w:val="auto"/>
                <w:highlight w:val="none"/>
              </w:rPr>
              <w:t>废油液</w:t>
            </w:r>
          </w:p>
        </w:tc>
        <w:tc>
          <w:tcPr>
            <w:tcW w:w="1276" w:type="dxa"/>
            <w:tcBorders>
              <w:tl2br w:val="nil"/>
              <w:tr2bl w:val="nil"/>
            </w:tcBorders>
            <w:tcMar>
              <w:left w:w="28" w:type="dxa"/>
              <w:right w:w="28" w:type="dxa"/>
            </w:tcMar>
            <w:vAlign w:val="center"/>
          </w:tcPr>
          <w:p>
            <w:pPr>
              <w:pStyle w:val="105"/>
              <w:rPr>
                <w:color w:val="auto"/>
                <w:highlight w:val="none"/>
              </w:rPr>
            </w:pPr>
            <w:r>
              <w:rPr>
                <w:color w:val="auto"/>
                <w:highlight w:val="none"/>
              </w:rPr>
              <w:t>泄漏、火灾爆炸</w:t>
            </w:r>
          </w:p>
        </w:tc>
        <w:tc>
          <w:tcPr>
            <w:tcW w:w="1559" w:type="dxa"/>
            <w:tcBorders>
              <w:tl2br w:val="nil"/>
              <w:tr2bl w:val="nil"/>
            </w:tcBorders>
            <w:tcMar>
              <w:left w:w="28" w:type="dxa"/>
              <w:right w:w="28" w:type="dxa"/>
            </w:tcMar>
            <w:vAlign w:val="center"/>
          </w:tcPr>
          <w:p>
            <w:pPr>
              <w:pStyle w:val="105"/>
              <w:rPr>
                <w:color w:val="auto"/>
                <w:highlight w:val="none"/>
              </w:rPr>
            </w:pPr>
            <w:r>
              <w:rPr>
                <w:color w:val="auto"/>
                <w:highlight w:val="none"/>
              </w:rPr>
              <w:t>环境空气、地表水、地下水</w:t>
            </w:r>
          </w:p>
        </w:tc>
        <w:tc>
          <w:tcPr>
            <w:tcW w:w="1701" w:type="dxa"/>
            <w:tcBorders>
              <w:tl2br w:val="nil"/>
              <w:tr2bl w:val="nil"/>
            </w:tcBorders>
            <w:tcMar>
              <w:left w:w="28" w:type="dxa"/>
              <w:right w:w="28" w:type="dxa"/>
            </w:tcMar>
            <w:vAlign w:val="center"/>
          </w:tcPr>
          <w:p>
            <w:pPr>
              <w:pStyle w:val="105"/>
              <w:rPr>
                <w:color w:val="auto"/>
                <w:highlight w:val="none"/>
              </w:rPr>
            </w:pPr>
            <w:r>
              <w:rPr>
                <w:color w:val="auto"/>
                <w:kern w:val="0"/>
                <w:szCs w:val="21"/>
                <w:highlight w:val="none"/>
                <w:lang w:val="zh-CN"/>
              </w:rPr>
              <w:t>周边环境空气、地表水、周边敏感目标</w:t>
            </w:r>
          </w:p>
        </w:tc>
        <w:tc>
          <w:tcPr>
            <w:tcW w:w="1609" w:type="dxa"/>
            <w:tcBorders>
              <w:tl2br w:val="nil"/>
              <w:tr2bl w:val="nil"/>
            </w:tcBorders>
            <w:tcMar>
              <w:left w:w="28" w:type="dxa"/>
              <w:right w:w="28" w:type="dxa"/>
            </w:tcMar>
            <w:vAlign w:val="center"/>
          </w:tcPr>
          <w:p>
            <w:pPr>
              <w:pStyle w:val="105"/>
              <w:rPr>
                <w:color w:val="auto"/>
                <w:highlight w:val="none"/>
              </w:rPr>
            </w:pPr>
            <w:r>
              <w:rPr>
                <w:color w:val="auto"/>
                <w:highlight w:val="none"/>
              </w:rPr>
              <w:t>VOCs、一氧化碳、二氧化碳等</w:t>
            </w:r>
          </w:p>
        </w:tc>
      </w:tr>
    </w:tbl>
    <w:p>
      <w:pPr>
        <w:pStyle w:val="100"/>
        <w:spacing w:before="156"/>
        <w:rPr>
          <w:color w:val="auto"/>
          <w:highlight w:val="none"/>
        </w:rPr>
      </w:pPr>
      <w:bookmarkStart w:id="202" w:name="_Toc20090"/>
      <w:r>
        <w:rPr>
          <w:rFonts w:hint="eastAsia"/>
          <w:color w:val="auto"/>
          <w:highlight w:val="none"/>
        </w:rPr>
        <w:t>5</w:t>
      </w:r>
      <w:r>
        <w:rPr>
          <w:color w:val="auto"/>
          <w:highlight w:val="none"/>
        </w:rPr>
        <w:t>.</w:t>
      </w:r>
      <w:r>
        <w:rPr>
          <w:rFonts w:hint="eastAsia"/>
          <w:color w:val="auto"/>
          <w:highlight w:val="none"/>
        </w:rPr>
        <w:t>3环境风险分析</w:t>
      </w:r>
      <w:bookmarkEnd w:id="202"/>
    </w:p>
    <w:p>
      <w:pPr>
        <w:pStyle w:val="99"/>
        <w:ind w:firstLine="480"/>
        <w:rPr>
          <w:color w:val="auto"/>
          <w:sz w:val="21"/>
          <w:highlight w:val="none"/>
        </w:rPr>
      </w:pPr>
      <w:r>
        <w:rPr>
          <w:color w:val="auto"/>
          <w:highlight w:val="none"/>
        </w:rPr>
        <w:t>1、大气环境风险</w:t>
      </w:r>
    </w:p>
    <w:p>
      <w:pPr>
        <w:pStyle w:val="99"/>
        <w:ind w:firstLine="480"/>
        <w:rPr>
          <w:color w:val="auto"/>
          <w:highlight w:val="none"/>
        </w:rPr>
      </w:pPr>
      <w:r>
        <w:rPr>
          <w:rFonts w:hint="eastAsia"/>
          <w:color w:val="auto"/>
          <w:highlight w:val="none"/>
        </w:rPr>
        <w:t>废矿物油</w:t>
      </w:r>
      <w:r>
        <w:rPr>
          <w:color w:val="auto"/>
          <w:highlight w:val="none"/>
        </w:rPr>
        <w:t>在一定条件下可能发生泄露、火灾爆炸事故，燃烧过程中的产生的有毒有害气体大气扩散，对周围人群及大气环境产生影响。事故伴生、次生污染物对大气环境的影响，事故排放时间越长，影响范围越大，对环境质量和人体健康的危害越大；火灾或扩散事故停止后，随着时间的延长，污染物在环境中的浓度逐渐降低，但仍会在一定浓度范围内超出伤害阈浓度和最高允许浓度。为减小周围敏感目标处人身健康受到毒害影响，必须尽量缩短火灾事故和扩散的持续时间，并及时组织下风向人员迅速转移。</w:t>
      </w:r>
    </w:p>
    <w:p>
      <w:pPr>
        <w:pStyle w:val="99"/>
        <w:ind w:firstLine="480"/>
        <w:rPr>
          <w:color w:val="auto"/>
          <w:sz w:val="21"/>
          <w:highlight w:val="none"/>
        </w:rPr>
      </w:pPr>
      <w:r>
        <w:rPr>
          <w:color w:val="auto"/>
          <w:highlight w:val="none"/>
        </w:rPr>
        <w:t>现场处置人员应根据不同类型环境事件的特点，配备相应的专业防护装备，采取安全防护措施，防止火灾的危害。同时根据事发时当地的气象条件，告知群众应采取的安全防护措施，必要时疏散群众。从而减少火灾产生的大气污染物对人体的危害。</w:t>
      </w:r>
    </w:p>
    <w:p>
      <w:pPr>
        <w:pStyle w:val="99"/>
        <w:ind w:firstLine="480"/>
        <w:rPr>
          <w:color w:val="auto"/>
          <w:sz w:val="21"/>
          <w:highlight w:val="none"/>
        </w:rPr>
      </w:pPr>
      <w:r>
        <w:rPr>
          <w:color w:val="auto"/>
          <w:highlight w:val="none"/>
        </w:rPr>
        <w:t>2、水环境风险</w:t>
      </w:r>
    </w:p>
    <w:p>
      <w:pPr>
        <w:pStyle w:val="99"/>
        <w:ind w:firstLine="480"/>
        <w:rPr>
          <w:color w:val="auto"/>
          <w:sz w:val="21"/>
          <w:highlight w:val="none"/>
        </w:rPr>
      </w:pPr>
      <w:r>
        <w:rPr>
          <w:rFonts w:hint="eastAsia"/>
          <w:color w:val="auto"/>
          <w:highlight w:val="none"/>
        </w:rPr>
        <w:t>危险废物废矿物油发生泄露</w:t>
      </w:r>
      <w:r>
        <w:rPr>
          <w:color w:val="auto"/>
          <w:highlight w:val="none"/>
        </w:rPr>
        <w:t>事故，污染物可能通过下渗、地表径流、地下径流污染周围水环境。</w:t>
      </w:r>
      <w:r>
        <w:rPr>
          <w:rFonts w:hint="eastAsia"/>
          <w:color w:val="auto"/>
          <w:highlight w:val="none"/>
        </w:rPr>
        <w:t>车间内</w:t>
      </w:r>
      <w:r>
        <w:rPr>
          <w:color w:val="auto"/>
          <w:highlight w:val="none"/>
        </w:rPr>
        <w:t>发生火灾爆炸事故时产生的消防废水如不能完全收集，将会对周围地表水和地下水环境产生影响。</w:t>
      </w:r>
    </w:p>
    <w:p>
      <w:pPr>
        <w:pStyle w:val="99"/>
        <w:ind w:firstLine="480"/>
        <w:rPr>
          <w:color w:val="auto"/>
          <w:sz w:val="21"/>
          <w:highlight w:val="none"/>
        </w:rPr>
      </w:pPr>
      <w:r>
        <w:rPr>
          <w:color w:val="auto"/>
          <w:highlight w:val="none"/>
        </w:rPr>
        <w:t>拟建项目</w:t>
      </w:r>
      <w:r>
        <w:rPr>
          <w:rFonts w:hint="eastAsia"/>
          <w:color w:val="auto"/>
          <w:highlight w:val="none"/>
        </w:rPr>
        <w:t>在车间西侧</w:t>
      </w:r>
      <w:r>
        <w:rPr>
          <w:rFonts w:hint="eastAsia"/>
          <w:color w:val="auto"/>
          <w:highlight w:val="none"/>
          <w:lang w:val="en-US" w:eastAsia="zh-CN"/>
        </w:rPr>
        <w:t>利用</w:t>
      </w:r>
      <w:r>
        <w:rPr>
          <w:rFonts w:hint="eastAsia"/>
          <w:color w:val="auto"/>
          <w:highlight w:val="none"/>
        </w:rPr>
        <w:t>循环水池</w:t>
      </w:r>
      <w:r>
        <w:rPr>
          <w:rFonts w:hint="eastAsia"/>
          <w:color w:val="auto"/>
          <w:highlight w:val="none"/>
          <w:lang w:val="en-US" w:eastAsia="zh-CN"/>
        </w:rPr>
        <w:t>改造1座事故</w:t>
      </w:r>
      <w:r>
        <w:rPr>
          <w:rFonts w:hint="eastAsia"/>
          <w:color w:val="auto"/>
          <w:highlight w:val="none"/>
        </w:rPr>
        <w:t>水池作用，</w:t>
      </w:r>
      <w:r>
        <w:rPr>
          <w:color w:val="auto"/>
          <w:highlight w:val="none"/>
        </w:rPr>
        <w:t>容积约</w:t>
      </w:r>
      <w:r>
        <w:rPr>
          <w:rFonts w:hint="eastAsia"/>
          <w:color w:val="auto"/>
          <w:highlight w:val="none"/>
          <w:lang w:val="en-US" w:eastAsia="zh-CN"/>
        </w:rPr>
        <w:t>200</w:t>
      </w:r>
      <w:r>
        <w:rPr>
          <w:color w:val="auto"/>
          <w:highlight w:val="none"/>
        </w:rPr>
        <w:t>m</w:t>
      </w:r>
      <w:r>
        <w:rPr>
          <w:color w:val="auto"/>
          <w:highlight w:val="none"/>
          <w:vertAlign w:val="superscript"/>
        </w:rPr>
        <w:t>3</w:t>
      </w:r>
      <w:r>
        <w:rPr>
          <w:rFonts w:hint="eastAsia"/>
          <w:color w:val="auto"/>
          <w:highlight w:val="none"/>
        </w:rPr>
        <w:t>，</w:t>
      </w:r>
      <w:r>
        <w:rPr>
          <w:color w:val="auto"/>
          <w:highlight w:val="none"/>
        </w:rPr>
        <w:t>泄露废液、废水及消防废水通过废水收集系统进入厂区事故池，不直接外排。确保发生事故时，泄漏的废液、废水及灭火时产生的废水可完全被收集处理，不会通过渗透和地表径流污染地下水和地表水。</w:t>
      </w:r>
    </w:p>
    <w:p>
      <w:pPr>
        <w:pStyle w:val="99"/>
        <w:ind w:firstLine="480"/>
        <w:rPr>
          <w:color w:val="auto"/>
          <w:sz w:val="21"/>
          <w:highlight w:val="none"/>
        </w:rPr>
      </w:pPr>
      <w:r>
        <w:rPr>
          <w:color w:val="auto"/>
          <w:highlight w:val="none"/>
        </w:rPr>
        <w:t>综上所述，通过采取设置防渗地沟、事故水池、厂区围墙阻隔等三级防控系统，本工程事故废水不会直接流入厂区周围地表水，不易对地表水和地下水产生不利影响。</w:t>
      </w:r>
    </w:p>
    <w:p>
      <w:pPr>
        <w:pStyle w:val="99"/>
        <w:ind w:firstLine="480"/>
        <w:rPr>
          <w:color w:val="auto"/>
          <w:sz w:val="21"/>
          <w:highlight w:val="none"/>
        </w:rPr>
      </w:pPr>
      <w:r>
        <w:rPr>
          <w:color w:val="auto"/>
          <w:highlight w:val="none"/>
        </w:rPr>
        <w:t>3、土壤环境风险</w:t>
      </w:r>
    </w:p>
    <w:p>
      <w:pPr>
        <w:pStyle w:val="99"/>
        <w:ind w:firstLine="480"/>
        <w:rPr>
          <w:color w:val="auto"/>
          <w:highlight w:val="none"/>
        </w:rPr>
      </w:pPr>
      <w:r>
        <w:rPr>
          <w:color w:val="auto"/>
          <w:highlight w:val="none"/>
        </w:rPr>
        <w:t>泄漏的废液、污水及灭火时产生的废水中含有害物质会改变土壤的性质和土壤结构，并将对土壤中微生物的活动产生影响。这些有害成分的存在，不仅有碍植物根系的发育和生长，而且还会在植物有机体内积蓄，通过食物链危及人体健康。</w:t>
      </w:r>
    </w:p>
    <w:p>
      <w:pPr>
        <w:pStyle w:val="100"/>
        <w:spacing w:before="156"/>
        <w:rPr>
          <w:color w:val="auto"/>
          <w:highlight w:val="none"/>
        </w:rPr>
      </w:pPr>
      <w:bookmarkStart w:id="203" w:name="_Toc3944"/>
      <w:r>
        <w:rPr>
          <w:rFonts w:hint="eastAsia"/>
          <w:color w:val="auto"/>
          <w:highlight w:val="none"/>
        </w:rPr>
        <w:t>5</w:t>
      </w:r>
      <w:r>
        <w:rPr>
          <w:color w:val="auto"/>
          <w:highlight w:val="none"/>
        </w:rPr>
        <w:t>.</w:t>
      </w:r>
      <w:r>
        <w:rPr>
          <w:rFonts w:hint="eastAsia"/>
          <w:color w:val="auto"/>
          <w:highlight w:val="none"/>
        </w:rPr>
        <w:t>4环境风险防范措施</w:t>
      </w:r>
      <w:bookmarkEnd w:id="203"/>
    </w:p>
    <w:p>
      <w:pPr>
        <w:pStyle w:val="101"/>
        <w:spacing w:before="78"/>
        <w:rPr>
          <w:color w:val="auto"/>
          <w:highlight w:val="none"/>
        </w:rPr>
      </w:pPr>
      <w:bookmarkStart w:id="204" w:name="_Toc23534"/>
      <w:r>
        <w:rPr>
          <w:rFonts w:hint="eastAsia"/>
          <w:color w:val="auto"/>
          <w:highlight w:val="none"/>
        </w:rPr>
        <w:t>5.4.1大气环境风险防范措施</w:t>
      </w:r>
      <w:bookmarkEnd w:id="204"/>
    </w:p>
    <w:p>
      <w:pPr>
        <w:pStyle w:val="99"/>
        <w:ind w:firstLine="560"/>
        <w:rPr>
          <w:color w:val="auto"/>
          <w:highlight w:val="none"/>
        </w:rPr>
      </w:pPr>
      <w:r>
        <w:rPr>
          <w:color w:val="auto"/>
          <w:sz w:val="28"/>
          <w:szCs w:val="28"/>
          <w:highlight w:val="none"/>
        </w:rPr>
        <w:t>1</w:t>
      </w:r>
      <w:r>
        <w:rPr>
          <w:color w:val="auto"/>
          <w:highlight w:val="none"/>
        </w:rPr>
        <w:t>、消除和控制明火源：在原料区及生产区内，应有醒目的严禁烟火标志，严禁动火吸烟；进入危险区的机车，应停止抽风，关闭灰箱，其烟筒上装设火星熄灭器；进入危险区的机动车辆，其排气管应戴防火帽；进入危险区的人员，应按规定登记，严禁携带火柴、打火机等；使用气焊、电焊等时，必须按照规定办理动火批准手续，领取动火证，采取防护措施，确保安全无误后，方可动火作业。</w:t>
      </w:r>
    </w:p>
    <w:p>
      <w:pPr>
        <w:pStyle w:val="99"/>
        <w:ind w:firstLine="480"/>
        <w:rPr>
          <w:color w:val="auto"/>
          <w:sz w:val="21"/>
          <w:highlight w:val="none"/>
        </w:rPr>
      </w:pPr>
      <w:r>
        <w:rPr>
          <w:color w:val="auto"/>
          <w:highlight w:val="none"/>
        </w:rPr>
        <w:t>动火过程中，必须按规定办理动火批准手续，领取动火证，并消除物体和环境的危险状态。备好灭火器材，采取防护措施，确保安全无误后，方可动火作业。动火过程中，必须遵守安全技术规程。</w:t>
      </w:r>
    </w:p>
    <w:p>
      <w:pPr>
        <w:pStyle w:val="99"/>
        <w:ind w:firstLine="480"/>
        <w:rPr>
          <w:color w:val="auto"/>
          <w:sz w:val="21"/>
          <w:highlight w:val="none"/>
        </w:rPr>
      </w:pPr>
      <w:r>
        <w:rPr>
          <w:color w:val="auto"/>
          <w:highlight w:val="none"/>
        </w:rPr>
        <w:t>2、防止电气火花：采取有效措施防止电气线路和电气设施在开关断开、接触不良、短路、漏电时产生火花，防止静电放电火花；采取防雷接地措施，防止雷电放电火花。</w:t>
      </w:r>
    </w:p>
    <w:p>
      <w:pPr>
        <w:pStyle w:val="99"/>
        <w:ind w:firstLine="480"/>
        <w:rPr>
          <w:color w:val="auto"/>
          <w:highlight w:val="none"/>
        </w:rPr>
      </w:pPr>
      <w:r>
        <w:rPr>
          <w:color w:val="auto"/>
          <w:highlight w:val="none"/>
        </w:rPr>
        <w:t>3、原料区周围设置环形消防通道，原料区与周围构筑物设置一定的安全防护距离，以防火灾发生时火势蔓延。</w:t>
      </w:r>
    </w:p>
    <w:p>
      <w:pPr>
        <w:pStyle w:val="101"/>
        <w:spacing w:before="78"/>
        <w:rPr>
          <w:color w:val="auto"/>
          <w:highlight w:val="none"/>
        </w:rPr>
      </w:pPr>
      <w:r>
        <w:rPr>
          <w:rFonts w:hint="eastAsia"/>
          <w:color w:val="auto"/>
          <w:highlight w:val="none"/>
        </w:rPr>
        <w:t>5.4.2水环境风险防范措施</w:t>
      </w:r>
    </w:p>
    <w:p>
      <w:pPr>
        <w:pStyle w:val="112"/>
        <w:rPr>
          <w:color w:val="auto"/>
          <w:highlight w:val="none"/>
        </w:rPr>
      </w:pPr>
      <w:bookmarkStart w:id="205" w:name="_Toc7409"/>
      <w:r>
        <w:rPr>
          <w:color w:val="auto"/>
          <w:highlight w:val="none"/>
        </w:rPr>
        <w:t>5.</w:t>
      </w:r>
      <w:r>
        <w:rPr>
          <w:rFonts w:hint="eastAsia"/>
          <w:color w:val="auto"/>
          <w:highlight w:val="none"/>
        </w:rPr>
        <w:t>4</w:t>
      </w:r>
      <w:r>
        <w:rPr>
          <w:color w:val="auto"/>
          <w:highlight w:val="none"/>
        </w:rPr>
        <w:t>.</w:t>
      </w:r>
      <w:r>
        <w:rPr>
          <w:rFonts w:hint="eastAsia"/>
          <w:color w:val="auto"/>
          <w:highlight w:val="none"/>
        </w:rPr>
        <w:t>2</w:t>
      </w:r>
      <w:r>
        <w:rPr>
          <w:color w:val="auto"/>
          <w:highlight w:val="none"/>
        </w:rPr>
        <w:t>.1事故水池的确定原则及容积核算</w:t>
      </w:r>
      <w:bookmarkEnd w:id="205"/>
    </w:p>
    <w:p>
      <w:pPr>
        <w:pStyle w:val="99"/>
        <w:ind w:firstLine="480"/>
        <w:rPr>
          <w:color w:val="auto"/>
          <w:sz w:val="21"/>
          <w:highlight w:val="none"/>
        </w:rPr>
      </w:pPr>
      <w:r>
        <w:rPr>
          <w:color w:val="auto"/>
          <w:highlight w:val="none"/>
        </w:rPr>
        <w:t>1、事故池的作用</w:t>
      </w:r>
    </w:p>
    <w:p>
      <w:pPr>
        <w:pStyle w:val="99"/>
        <w:ind w:firstLine="480"/>
        <w:rPr>
          <w:color w:val="auto"/>
          <w:sz w:val="21"/>
          <w:highlight w:val="none"/>
        </w:rPr>
      </w:pPr>
      <w:r>
        <w:rPr>
          <w:color w:val="auto"/>
          <w:highlight w:val="none"/>
        </w:rPr>
        <w:t>（1）消防废水的转移：当车间火灾的情况下，通过消防泵对发生火灾建筑体进行消防；这时产生的消防废水主要为消防喷淋废水。消防废水经厂区污水管网引入事故水池内，委托外单位处。</w:t>
      </w:r>
    </w:p>
    <w:p>
      <w:pPr>
        <w:pStyle w:val="99"/>
        <w:ind w:firstLine="480"/>
        <w:rPr>
          <w:color w:val="auto"/>
          <w:sz w:val="21"/>
          <w:highlight w:val="none"/>
        </w:rPr>
      </w:pPr>
      <w:r>
        <w:rPr>
          <w:color w:val="auto"/>
          <w:highlight w:val="none"/>
        </w:rPr>
        <w:t>2、事故池容量的确定</w:t>
      </w:r>
    </w:p>
    <w:p>
      <w:pPr>
        <w:pStyle w:val="99"/>
        <w:ind w:firstLine="480"/>
        <w:rPr>
          <w:color w:val="auto"/>
          <w:sz w:val="21"/>
          <w:highlight w:val="none"/>
        </w:rPr>
      </w:pPr>
      <w:r>
        <w:rPr>
          <w:color w:val="auto"/>
          <w:highlight w:val="none"/>
        </w:rPr>
        <w:t>参考《化工建设项目环境保护设计规范》（GB50483-2009）规定的计算方法设置事故应急池，应急事故水池容量按下式计算：</w:t>
      </w:r>
    </w:p>
    <w:p>
      <w:pPr>
        <w:pStyle w:val="99"/>
        <w:ind w:firstLine="0" w:firstLineChars="0"/>
        <w:jc w:val="center"/>
        <w:rPr>
          <w:color w:val="auto"/>
          <w:sz w:val="16"/>
          <w:szCs w:val="16"/>
          <w:highlight w:val="none"/>
        </w:rPr>
      </w:pPr>
      <w:r>
        <w:rPr>
          <w:color w:val="auto"/>
          <w:highlight w:val="none"/>
        </w:rPr>
        <w:t>V=（V</w:t>
      </w:r>
      <w:r>
        <w:rPr>
          <w:color w:val="auto"/>
          <w:sz w:val="16"/>
          <w:szCs w:val="16"/>
          <w:highlight w:val="none"/>
        </w:rPr>
        <w:t>1</w:t>
      </w:r>
      <w:r>
        <w:rPr>
          <w:color w:val="auto"/>
          <w:highlight w:val="none"/>
        </w:rPr>
        <w:t>+V</w:t>
      </w:r>
      <w:r>
        <w:rPr>
          <w:color w:val="auto"/>
          <w:sz w:val="16"/>
          <w:szCs w:val="16"/>
          <w:highlight w:val="none"/>
        </w:rPr>
        <w:t>2</w:t>
      </w:r>
      <w:r>
        <w:rPr>
          <w:color w:val="auto"/>
          <w:highlight w:val="none"/>
        </w:rPr>
        <w:t>+V</w:t>
      </w:r>
      <w:r>
        <w:rPr>
          <w:color w:val="auto"/>
          <w:sz w:val="12"/>
          <w:szCs w:val="12"/>
          <w:highlight w:val="none"/>
        </w:rPr>
        <w:t>雨</w:t>
      </w:r>
      <w:r>
        <w:rPr>
          <w:color w:val="auto"/>
          <w:highlight w:val="none"/>
        </w:rPr>
        <w:t>）max-V</w:t>
      </w:r>
      <w:r>
        <w:rPr>
          <w:color w:val="auto"/>
          <w:sz w:val="16"/>
          <w:szCs w:val="16"/>
          <w:highlight w:val="none"/>
        </w:rPr>
        <w:t>3</w:t>
      </w:r>
    </w:p>
    <w:p>
      <w:pPr>
        <w:pStyle w:val="99"/>
        <w:ind w:firstLine="0" w:firstLineChars="0"/>
        <w:jc w:val="center"/>
        <w:rPr>
          <w:color w:val="auto"/>
          <w:sz w:val="12"/>
          <w:szCs w:val="12"/>
          <w:highlight w:val="none"/>
        </w:rPr>
      </w:pPr>
      <w:r>
        <w:rPr>
          <w:color w:val="auto"/>
          <w:highlight w:val="none"/>
        </w:rPr>
        <w:t>V</w:t>
      </w:r>
      <w:r>
        <w:rPr>
          <w:color w:val="auto"/>
          <w:sz w:val="16"/>
          <w:szCs w:val="16"/>
          <w:highlight w:val="none"/>
        </w:rPr>
        <w:t>2</w:t>
      </w:r>
      <w:r>
        <w:rPr>
          <w:color w:val="auto"/>
          <w:highlight w:val="none"/>
        </w:rPr>
        <w:t>=</w:t>
      </w:r>
      <w:r>
        <w:rPr>
          <w:color w:val="auto"/>
          <w:sz w:val="36"/>
          <w:szCs w:val="36"/>
          <w:highlight w:val="none"/>
        </w:rPr>
        <w:sym w:font="Symbol" w:char="F0E5"/>
      </w:r>
      <w:r>
        <w:rPr>
          <w:i/>
          <w:iCs/>
          <w:color w:val="auto"/>
          <w:highlight w:val="none"/>
        </w:rPr>
        <w:t>Q</w:t>
      </w:r>
      <w:r>
        <w:rPr>
          <w:color w:val="auto"/>
          <w:sz w:val="12"/>
          <w:szCs w:val="12"/>
          <w:highlight w:val="none"/>
        </w:rPr>
        <w:t>消</w:t>
      </w:r>
      <w:r>
        <w:rPr>
          <w:color w:val="auto"/>
          <w:highlight w:val="none"/>
        </w:rPr>
        <w:t>·t</w:t>
      </w:r>
      <w:r>
        <w:rPr>
          <w:color w:val="auto"/>
          <w:sz w:val="12"/>
          <w:szCs w:val="12"/>
          <w:highlight w:val="none"/>
        </w:rPr>
        <w:t>消</w:t>
      </w:r>
    </w:p>
    <w:p>
      <w:pPr>
        <w:pStyle w:val="99"/>
        <w:ind w:firstLine="0" w:firstLineChars="0"/>
        <w:jc w:val="center"/>
        <w:rPr>
          <w:color w:val="auto"/>
          <w:sz w:val="21"/>
          <w:highlight w:val="none"/>
        </w:rPr>
      </w:pPr>
      <w:r>
        <w:rPr>
          <w:color w:val="auto"/>
          <w:highlight w:val="none"/>
        </w:rPr>
        <w:t>V</w:t>
      </w:r>
      <w:r>
        <w:rPr>
          <w:color w:val="auto"/>
          <w:sz w:val="12"/>
          <w:szCs w:val="12"/>
          <w:highlight w:val="none"/>
        </w:rPr>
        <w:t>雨</w:t>
      </w:r>
      <w:r>
        <w:rPr>
          <w:color w:val="auto"/>
          <w:highlight w:val="none"/>
        </w:rPr>
        <w:t>=10q·f</w:t>
      </w:r>
    </w:p>
    <w:p>
      <w:pPr>
        <w:pStyle w:val="99"/>
        <w:ind w:firstLine="480"/>
        <w:rPr>
          <w:color w:val="auto"/>
          <w:sz w:val="21"/>
          <w:highlight w:val="none"/>
        </w:rPr>
      </w:pPr>
      <w:r>
        <w:rPr>
          <w:color w:val="auto"/>
          <w:highlight w:val="none"/>
        </w:rPr>
        <w:t>式中：（V</w:t>
      </w:r>
      <w:r>
        <w:rPr>
          <w:color w:val="auto"/>
          <w:sz w:val="16"/>
          <w:szCs w:val="16"/>
          <w:highlight w:val="none"/>
        </w:rPr>
        <w:t>1</w:t>
      </w:r>
      <w:r>
        <w:rPr>
          <w:color w:val="auto"/>
          <w:highlight w:val="none"/>
        </w:rPr>
        <w:t>+V</w:t>
      </w:r>
      <w:r>
        <w:rPr>
          <w:color w:val="auto"/>
          <w:sz w:val="16"/>
          <w:szCs w:val="16"/>
          <w:highlight w:val="none"/>
        </w:rPr>
        <w:t>2</w:t>
      </w:r>
      <w:r>
        <w:rPr>
          <w:color w:val="auto"/>
          <w:highlight w:val="none"/>
        </w:rPr>
        <w:t>+V</w:t>
      </w:r>
      <w:r>
        <w:rPr>
          <w:color w:val="auto"/>
          <w:sz w:val="12"/>
          <w:szCs w:val="12"/>
          <w:highlight w:val="none"/>
        </w:rPr>
        <w:t>雨</w:t>
      </w:r>
      <w:r>
        <w:rPr>
          <w:color w:val="auto"/>
          <w:highlight w:val="none"/>
        </w:rPr>
        <w:t>）max为应急事故废水最大计算量，m</w:t>
      </w:r>
      <w:r>
        <w:rPr>
          <w:color w:val="auto"/>
          <w:szCs w:val="24"/>
          <w:highlight w:val="none"/>
          <w:vertAlign w:val="superscript"/>
        </w:rPr>
        <w:t>3</w:t>
      </w:r>
      <w:r>
        <w:rPr>
          <w:color w:val="auto"/>
          <w:highlight w:val="none"/>
        </w:rPr>
        <w:t>。</w:t>
      </w:r>
    </w:p>
    <w:p>
      <w:pPr>
        <w:pStyle w:val="99"/>
        <w:ind w:firstLine="480"/>
        <w:rPr>
          <w:color w:val="auto"/>
          <w:sz w:val="21"/>
          <w:highlight w:val="none"/>
        </w:rPr>
      </w:pPr>
      <w:r>
        <w:rPr>
          <w:color w:val="auto"/>
          <w:highlight w:val="none"/>
        </w:rPr>
        <w:t>V</w:t>
      </w:r>
      <w:r>
        <w:rPr>
          <w:color w:val="auto"/>
          <w:sz w:val="16"/>
          <w:szCs w:val="16"/>
          <w:highlight w:val="none"/>
        </w:rPr>
        <w:t>1——</w:t>
      </w:r>
      <w:r>
        <w:rPr>
          <w:color w:val="auto"/>
          <w:highlight w:val="none"/>
        </w:rPr>
        <w:t>为一个最大容量的设备(装置)或贮罐的物料贮存量，m</w:t>
      </w:r>
      <w:r>
        <w:rPr>
          <w:color w:val="auto"/>
          <w:szCs w:val="24"/>
          <w:highlight w:val="none"/>
          <w:vertAlign w:val="superscript"/>
        </w:rPr>
        <w:t>3</w:t>
      </w:r>
      <w:r>
        <w:rPr>
          <w:color w:val="auto"/>
          <w:highlight w:val="none"/>
        </w:rPr>
        <w:t>。拟建项目不设置物料储罐，</w:t>
      </w:r>
      <w:r>
        <w:rPr>
          <w:rFonts w:hint="eastAsia"/>
          <w:color w:val="auto"/>
          <w:highlight w:val="none"/>
        </w:rPr>
        <w:t>废油液</w:t>
      </w:r>
      <w:r>
        <w:rPr>
          <w:color w:val="auto"/>
          <w:highlight w:val="none"/>
        </w:rPr>
        <w:t>采用桶装，包装容器最大容量约0.</w:t>
      </w:r>
      <w:r>
        <w:rPr>
          <w:rFonts w:hint="eastAsia"/>
          <w:color w:val="auto"/>
          <w:highlight w:val="none"/>
        </w:rPr>
        <w:t>05</w:t>
      </w:r>
      <w:r>
        <w:rPr>
          <w:color w:val="auto"/>
          <w:highlight w:val="none"/>
        </w:rPr>
        <w:t>m</w:t>
      </w:r>
      <w:r>
        <w:rPr>
          <w:color w:val="auto"/>
          <w:highlight w:val="none"/>
          <w:vertAlign w:val="superscript"/>
        </w:rPr>
        <w:t>3</w:t>
      </w:r>
      <w:r>
        <w:rPr>
          <w:color w:val="auto"/>
          <w:highlight w:val="none"/>
        </w:rPr>
        <w:t>，故此处V</w:t>
      </w:r>
      <w:r>
        <w:rPr>
          <w:color w:val="auto"/>
          <w:sz w:val="16"/>
          <w:szCs w:val="16"/>
          <w:highlight w:val="none"/>
        </w:rPr>
        <w:t>1</w:t>
      </w:r>
      <w:r>
        <w:rPr>
          <w:color w:val="auto"/>
          <w:highlight w:val="none"/>
        </w:rPr>
        <w:t>取0.</w:t>
      </w:r>
      <w:r>
        <w:rPr>
          <w:rFonts w:hint="eastAsia"/>
          <w:color w:val="auto"/>
          <w:highlight w:val="none"/>
        </w:rPr>
        <w:t>05</w:t>
      </w:r>
      <w:r>
        <w:rPr>
          <w:color w:val="auto"/>
          <w:highlight w:val="none"/>
        </w:rPr>
        <w:t>m</w:t>
      </w:r>
      <w:r>
        <w:rPr>
          <w:color w:val="auto"/>
          <w:highlight w:val="none"/>
          <w:vertAlign w:val="superscript"/>
        </w:rPr>
        <w:t>3</w:t>
      </w:r>
      <w:r>
        <w:rPr>
          <w:color w:val="auto"/>
          <w:highlight w:val="none"/>
        </w:rPr>
        <w:t>；</w:t>
      </w:r>
    </w:p>
    <w:p>
      <w:pPr>
        <w:pStyle w:val="99"/>
        <w:ind w:firstLine="480"/>
        <w:rPr>
          <w:color w:val="auto"/>
          <w:sz w:val="21"/>
          <w:highlight w:val="none"/>
        </w:rPr>
      </w:pPr>
      <w:r>
        <w:rPr>
          <w:color w:val="auto"/>
          <w:highlight w:val="none"/>
        </w:rPr>
        <w:t>V</w:t>
      </w:r>
      <w:r>
        <w:rPr>
          <w:color w:val="auto"/>
          <w:sz w:val="16"/>
          <w:szCs w:val="16"/>
          <w:highlight w:val="none"/>
        </w:rPr>
        <w:t>2——</w:t>
      </w:r>
      <w:r>
        <w:rPr>
          <w:color w:val="auto"/>
          <w:highlight w:val="none"/>
        </w:rPr>
        <w:t>为在装置区或贮罐区一旦发生火灾爆炸及泄漏时的最大消防用水量，m</w:t>
      </w:r>
      <w:r>
        <w:rPr>
          <w:color w:val="auto"/>
          <w:highlight w:val="none"/>
          <w:vertAlign w:val="superscript"/>
        </w:rPr>
        <w:t>3</w:t>
      </w:r>
      <w:r>
        <w:rPr>
          <w:color w:val="auto"/>
          <w:highlight w:val="none"/>
        </w:rPr>
        <w:t>；</w:t>
      </w:r>
      <w:r>
        <w:rPr>
          <w:color w:val="auto"/>
          <w:sz w:val="21"/>
          <w:highlight w:val="none"/>
        </w:rPr>
        <w:t xml:space="preserve"> </w:t>
      </w:r>
    </w:p>
    <w:p>
      <w:pPr>
        <w:pStyle w:val="99"/>
        <w:ind w:firstLine="480"/>
        <w:rPr>
          <w:color w:val="auto"/>
          <w:sz w:val="21"/>
          <w:highlight w:val="none"/>
        </w:rPr>
      </w:pPr>
      <w:r>
        <w:rPr>
          <w:color w:val="auto"/>
          <w:highlight w:val="none"/>
        </w:rPr>
        <w:t>Q</w:t>
      </w:r>
      <w:r>
        <w:rPr>
          <w:color w:val="auto"/>
          <w:sz w:val="12"/>
          <w:szCs w:val="12"/>
          <w:highlight w:val="none"/>
        </w:rPr>
        <w:t>消</w:t>
      </w:r>
      <w:r>
        <w:rPr>
          <w:color w:val="auto"/>
          <w:highlight w:val="none"/>
        </w:rPr>
        <w:t>——发生事故的储罐或装置的同时使用的消防设施给水流，m</w:t>
      </w:r>
      <w:r>
        <w:rPr>
          <w:color w:val="auto"/>
          <w:highlight w:val="none"/>
          <w:vertAlign w:val="superscript"/>
        </w:rPr>
        <w:t>3</w:t>
      </w:r>
      <w:r>
        <w:rPr>
          <w:color w:val="auto"/>
          <w:highlight w:val="none"/>
        </w:rPr>
        <w:t>/h。根据《消防给水及消火栓系统技术规范》（GB50974-2014），项目室外消火栓设计流量为35L/s，室内消火栓设计流量为20L/s。项目按照生产车间中消防用水量最大取值，项目消防用水量流量为</w:t>
      </w:r>
      <w:r>
        <w:rPr>
          <w:rFonts w:hint="eastAsia"/>
          <w:color w:val="auto"/>
          <w:highlight w:val="none"/>
          <w:lang w:val="en-US" w:eastAsia="zh-CN"/>
        </w:rPr>
        <w:t>3</w:t>
      </w:r>
      <w:r>
        <w:rPr>
          <w:color w:val="auto"/>
          <w:highlight w:val="none"/>
        </w:rPr>
        <w:t>5L/s；</w:t>
      </w:r>
    </w:p>
    <w:p>
      <w:pPr>
        <w:pStyle w:val="99"/>
        <w:ind w:firstLine="480"/>
        <w:rPr>
          <w:color w:val="auto"/>
          <w:sz w:val="21"/>
          <w:highlight w:val="none"/>
        </w:rPr>
      </w:pPr>
      <w:r>
        <w:rPr>
          <w:color w:val="auto"/>
          <w:highlight w:val="none"/>
        </w:rPr>
        <w:t>t</w:t>
      </w:r>
      <w:r>
        <w:rPr>
          <w:color w:val="auto"/>
          <w:sz w:val="12"/>
          <w:szCs w:val="12"/>
          <w:highlight w:val="none"/>
        </w:rPr>
        <w:t>消</w:t>
      </w:r>
      <w:r>
        <w:rPr>
          <w:color w:val="auto"/>
          <w:highlight w:val="none"/>
        </w:rPr>
        <w:t>——消防设施对应的设计消防历时h，取</w:t>
      </w:r>
      <w:r>
        <w:rPr>
          <w:rFonts w:hint="eastAsia"/>
          <w:color w:val="auto"/>
          <w:highlight w:val="none"/>
          <w:lang w:val="en-US" w:eastAsia="zh-CN"/>
        </w:rPr>
        <w:t>1</w:t>
      </w:r>
      <w:r>
        <w:rPr>
          <w:color w:val="auto"/>
          <w:highlight w:val="none"/>
        </w:rPr>
        <w:t>h；</w:t>
      </w:r>
    </w:p>
    <w:p>
      <w:pPr>
        <w:pStyle w:val="99"/>
        <w:ind w:firstLine="480"/>
        <w:rPr>
          <w:color w:val="auto"/>
          <w:sz w:val="21"/>
          <w:highlight w:val="none"/>
        </w:rPr>
      </w:pPr>
      <w:r>
        <w:rPr>
          <w:color w:val="auto"/>
          <w:highlight w:val="none"/>
        </w:rPr>
        <w:t>V</w:t>
      </w:r>
      <w:r>
        <w:rPr>
          <w:color w:val="auto"/>
          <w:sz w:val="12"/>
          <w:szCs w:val="12"/>
          <w:highlight w:val="none"/>
        </w:rPr>
        <w:t>雨</w:t>
      </w:r>
      <w:r>
        <w:rPr>
          <w:color w:val="auto"/>
          <w:highlight w:val="none"/>
        </w:rPr>
        <w:t>——发生事故时可能进入该废水收集系统的当地最大降雨量，应根据GB50014—2006有关规定确定，经计算为</w:t>
      </w:r>
      <w:r>
        <w:rPr>
          <w:rFonts w:hint="eastAsia"/>
          <w:color w:val="auto"/>
          <w:highlight w:val="none"/>
          <w:lang w:val="en-US" w:eastAsia="zh-CN"/>
        </w:rPr>
        <w:t>48</w:t>
      </w:r>
      <w:r>
        <w:rPr>
          <w:color w:val="auto"/>
          <w:highlight w:val="none"/>
        </w:rPr>
        <w:t>m</w:t>
      </w:r>
      <w:r>
        <w:rPr>
          <w:color w:val="auto"/>
          <w:highlight w:val="none"/>
          <w:vertAlign w:val="superscript"/>
        </w:rPr>
        <w:t>3</w:t>
      </w:r>
      <w:r>
        <w:rPr>
          <w:color w:val="auto"/>
          <w:highlight w:val="none"/>
        </w:rPr>
        <w:t>；</w:t>
      </w:r>
    </w:p>
    <w:p>
      <w:pPr>
        <w:pStyle w:val="99"/>
        <w:ind w:firstLine="480"/>
        <w:rPr>
          <w:color w:val="auto"/>
          <w:sz w:val="21"/>
          <w:highlight w:val="none"/>
        </w:rPr>
      </w:pPr>
      <w:r>
        <w:rPr>
          <w:color w:val="auto"/>
          <w:highlight w:val="none"/>
        </w:rPr>
        <w:t>f——必须进入事故废水收集系统的雨水汇水面积，项目最大生产单元占地面积约为</w:t>
      </w:r>
      <w:r>
        <w:rPr>
          <w:rFonts w:hint="eastAsia"/>
          <w:color w:val="auto"/>
          <w:highlight w:val="none"/>
          <w:lang w:val="en-US" w:eastAsia="zh-CN"/>
        </w:rPr>
        <w:t>4804m</w:t>
      </w:r>
      <w:r>
        <w:rPr>
          <w:rFonts w:hint="eastAsia"/>
          <w:color w:val="auto"/>
          <w:highlight w:val="none"/>
          <w:vertAlign w:val="superscript"/>
        </w:rPr>
        <w:t>2</w:t>
      </w:r>
      <w:r>
        <w:rPr>
          <w:color w:val="auto"/>
          <w:highlight w:val="none"/>
        </w:rPr>
        <w:t>；</w:t>
      </w:r>
    </w:p>
    <w:p>
      <w:pPr>
        <w:pStyle w:val="99"/>
        <w:ind w:firstLine="480"/>
        <w:rPr>
          <w:color w:val="auto"/>
          <w:sz w:val="21"/>
          <w:highlight w:val="none"/>
        </w:rPr>
      </w:pPr>
      <w:r>
        <w:rPr>
          <w:color w:val="auto"/>
          <w:highlight w:val="none"/>
        </w:rPr>
        <w:t>q——降雨强度(mm)，根据山东各地多年平均降雨强度（年降雨量/年降雨日数）一般在7~10mm雨日，其分布特点是由北向南递增。鲁中山区、鲁东南及半岛的东南沿海地区多在9.0～10.0mm/雨日（临沂、莒南最多为10.1、10.0），半岛的北部沿海地区一般在7.6～7.9mm/雨日（长岛最小7.1），其它地区基本在8.0～9.0mm/雨日之间。此处取10mm；</w:t>
      </w:r>
    </w:p>
    <w:p>
      <w:pPr>
        <w:pStyle w:val="99"/>
        <w:ind w:firstLine="480"/>
        <w:rPr>
          <w:color w:val="auto"/>
          <w:sz w:val="21"/>
          <w:highlight w:val="none"/>
        </w:rPr>
      </w:pPr>
      <w:r>
        <w:rPr>
          <w:color w:val="auto"/>
          <w:highlight w:val="none"/>
        </w:rPr>
        <w:t>V</w:t>
      </w:r>
      <w:r>
        <w:rPr>
          <w:color w:val="auto"/>
          <w:sz w:val="16"/>
          <w:szCs w:val="16"/>
          <w:highlight w:val="none"/>
        </w:rPr>
        <w:t>3</w:t>
      </w:r>
      <w:r>
        <w:rPr>
          <w:color w:val="auto"/>
          <w:highlight w:val="none"/>
        </w:rPr>
        <w:t>——事故废水收集系统的装置或罐区围堰、防火堤内净空容量与事故废水导排管道容量之和，m</w:t>
      </w:r>
      <w:r>
        <w:rPr>
          <w:color w:val="auto"/>
          <w:szCs w:val="24"/>
          <w:highlight w:val="none"/>
          <w:vertAlign w:val="superscript"/>
        </w:rPr>
        <w:t>3</w:t>
      </w:r>
      <w:r>
        <w:rPr>
          <w:color w:val="auto"/>
          <w:highlight w:val="none"/>
        </w:rPr>
        <w:t>。项目不设置其他可以转输到其他储存或处理设施，故此处为0。</w:t>
      </w:r>
    </w:p>
    <w:p>
      <w:pPr>
        <w:pStyle w:val="99"/>
        <w:ind w:firstLine="480"/>
        <w:rPr>
          <w:color w:val="auto"/>
          <w:highlight w:val="none"/>
        </w:rPr>
      </w:pPr>
      <w:r>
        <w:rPr>
          <w:color w:val="auto"/>
          <w:highlight w:val="none"/>
        </w:rPr>
        <w:t>经计算，应急事故废水最大量为</w:t>
      </w:r>
      <w:r>
        <w:rPr>
          <w:rFonts w:hint="eastAsia"/>
          <w:color w:val="auto"/>
          <w:highlight w:val="none"/>
          <w:lang w:val="en-US" w:eastAsia="zh-CN"/>
        </w:rPr>
        <w:t>174.05</w:t>
      </w:r>
      <w:r>
        <w:rPr>
          <w:color w:val="auto"/>
          <w:highlight w:val="none"/>
        </w:rPr>
        <w:t>m</w:t>
      </w:r>
      <w:r>
        <w:rPr>
          <w:color w:val="auto"/>
          <w:highlight w:val="none"/>
          <w:vertAlign w:val="superscript"/>
        </w:rPr>
        <w:t>3</w:t>
      </w:r>
      <w:r>
        <w:rPr>
          <w:color w:val="auto"/>
          <w:highlight w:val="none"/>
        </w:rPr>
        <w:t>，拟建项目</w:t>
      </w:r>
      <w:r>
        <w:rPr>
          <w:rFonts w:hint="eastAsia"/>
          <w:color w:val="auto"/>
          <w:highlight w:val="none"/>
        </w:rPr>
        <w:t>利用现有</w:t>
      </w:r>
      <w:r>
        <w:rPr>
          <w:rFonts w:hint="eastAsia"/>
          <w:color w:val="auto"/>
          <w:highlight w:val="none"/>
          <w:lang w:val="en-US" w:eastAsia="zh-CN"/>
        </w:rPr>
        <w:t>厂内</w:t>
      </w:r>
      <w:r>
        <w:rPr>
          <w:rFonts w:hint="eastAsia"/>
          <w:color w:val="auto"/>
          <w:highlight w:val="none"/>
        </w:rPr>
        <w:t>循环水池</w:t>
      </w:r>
      <w:r>
        <w:rPr>
          <w:rFonts w:hint="eastAsia"/>
          <w:color w:val="auto"/>
          <w:highlight w:val="none"/>
          <w:lang w:val="en-US" w:eastAsia="zh-CN"/>
        </w:rPr>
        <w:t>改造1处200m</w:t>
      </w:r>
      <w:r>
        <w:rPr>
          <w:rFonts w:hint="eastAsia"/>
          <w:color w:val="auto"/>
          <w:highlight w:val="none"/>
          <w:vertAlign w:val="superscript"/>
          <w:lang w:val="en-US" w:eastAsia="zh-CN"/>
        </w:rPr>
        <w:t>3</w:t>
      </w:r>
      <w:r>
        <w:rPr>
          <w:rFonts w:hint="eastAsia"/>
          <w:color w:val="auto"/>
          <w:highlight w:val="none"/>
          <w:lang w:val="en-US" w:eastAsia="zh-CN"/>
        </w:rPr>
        <w:t>的</w:t>
      </w:r>
      <w:r>
        <w:rPr>
          <w:rFonts w:hint="eastAsia"/>
          <w:color w:val="auto"/>
          <w:highlight w:val="none"/>
        </w:rPr>
        <w:t>事故水池</w:t>
      </w:r>
      <w:r>
        <w:rPr>
          <w:color w:val="auto"/>
          <w:highlight w:val="none"/>
        </w:rPr>
        <w:t>，可确保消防废水和生产区内前期雨水均收集至池内，事故水池位于厂区地势较低位置；另外，需设置事故废水自流导排系统。以上措施可以保证异常情况下生产污水的收集，避免出现水体污染事件。另外事故池要做好重点防渗措施，防止事故废水下渗污染地下水。</w:t>
      </w:r>
    </w:p>
    <w:p>
      <w:pPr>
        <w:pStyle w:val="112"/>
        <w:rPr>
          <w:color w:val="auto"/>
          <w:highlight w:val="none"/>
        </w:rPr>
      </w:pPr>
      <w:bookmarkStart w:id="206" w:name="_Toc19731"/>
      <w:r>
        <w:rPr>
          <w:color w:val="auto"/>
          <w:highlight w:val="none"/>
        </w:rPr>
        <w:t>5.</w:t>
      </w:r>
      <w:r>
        <w:rPr>
          <w:rFonts w:hint="eastAsia"/>
          <w:color w:val="auto"/>
          <w:highlight w:val="none"/>
        </w:rPr>
        <w:t>4</w:t>
      </w:r>
      <w:r>
        <w:rPr>
          <w:color w:val="auto"/>
          <w:highlight w:val="none"/>
        </w:rPr>
        <w:t>.2.2事故废水防控体系</w:t>
      </w:r>
      <w:bookmarkEnd w:id="206"/>
    </w:p>
    <w:p>
      <w:pPr>
        <w:pStyle w:val="99"/>
        <w:ind w:firstLine="480"/>
        <w:rPr>
          <w:color w:val="auto"/>
          <w:sz w:val="21"/>
          <w:highlight w:val="none"/>
        </w:rPr>
      </w:pPr>
      <w:r>
        <w:rPr>
          <w:color w:val="auto"/>
          <w:highlight w:val="none"/>
        </w:rPr>
        <w:t>1、一级防控措施</w:t>
      </w:r>
    </w:p>
    <w:p>
      <w:pPr>
        <w:pStyle w:val="99"/>
        <w:ind w:firstLine="480"/>
        <w:rPr>
          <w:color w:val="auto"/>
          <w:sz w:val="21"/>
          <w:highlight w:val="none"/>
        </w:rPr>
      </w:pPr>
      <w:r>
        <w:rPr>
          <w:color w:val="auto"/>
          <w:highlight w:val="none"/>
        </w:rPr>
        <w:t>项目</w:t>
      </w:r>
      <w:r>
        <w:rPr>
          <w:rFonts w:hint="eastAsia"/>
          <w:color w:val="auto"/>
          <w:highlight w:val="none"/>
        </w:rPr>
        <w:t>危废暂存间</w:t>
      </w:r>
      <w:r>
        <w:rPr>
          <w:color w:val="auto"/>
          <w:highlight w:val="none"/>
        </w:rPr>
        <w:t>易发生物料泄漏处设置有导流地槽和物料收集池，事故发生时装置区物料沿导流地槽，进入物料收集池，然后根据需要对收集物料进行回用或处理，以上作为企业以及防控措施可以有效防止少量物料泄漏事故造成环境污染。</w:t>
      </w:r>
    </w:p>
    <w:p>
      <w:pPr>
        <w:pStyle w:val="99"/>
        <w:ind w:firstLine="480"/>
        <w:rPr>
          <w:color w:val="auto"/>
          <w:sz w:val="21"/>
          <w:highlight w:val="none"/>
        </w:rPr>
      </w:pPr>
      <w:r>
        <w:rPr>
          <w:color w:val="auto"/>
          <w:highlight w:val="none"/>
        </w:rPr>
        <w:t>2、二级防控措施</w:t>
      </w:r>
    </w:p>
    <w:p>
      <w:pPr>
        <w:pStyle w:val="99"/>
        <w:ind w:firstLine="480"/>
        <w:rPr>
          <w:color w:val="auto"/>
          <w:sz w:val="21"/>
          <w:highlight w:val="none"/>
        </w:rPr>
      </w:pPr>
      <w:r>
        <w:rPr>
          <w:color w:val="auto"/>
          <w:highlight w:val="none"/>
        </w:rPr>
        <w:t>拟建项目建成后厂区设置总容积</w:t>
      </w:r>
      <w:r>
        <w:rPr>
          <w:rFonts w:hint="eastAsia"/>
          <w:color w:val="auto"/>
          <w:highlight w:val="none"/>
          <w:lang w:val="en-US" w:eastAsia="zh-CN"/>
        </w:rPr>
        <w:t>200</w:t>
      </w:r>
      <w:r>
        <w:rPr>
          <w:color w:val="auto"/>
          <w:highlight w:val="none"/>
        </w:rPr>
        <w:t>m</w:t>
      </w:r>
      <w:r>
        <w:rPr>
          <w:color w:val="auto"/>
          <w:highlight w:val="none"/>
          <w:vertAlign w:val="superscript"/>
        </w:rPr>
        <w:t>3</w:t>
      </w:r>
      <w:r>
        <w:rPr>
          <w:color w:val="auto"/>
          <w:highlight w:val="none"/>
        </w:rPr>
        <w:t>事故</w:t>
      </w:r>
      <w:r>
        <w:rPr>
          <w:rFonts w:hint="eastAsia"/>
          <w:color w:val="auto"/>
          <w:highlight w:val="none"/>
          <w:lang w:val="en-US" w:eastAsia="zh-CN"/>
        </w:rPr>
        <w:t>水</w:t>
      </w:r>
      <w:r>
        <w:rPr>
          <w:color w:val="auto"/>
          <w:highlight w:val="none"/>
        </w:rPr>
        <w:t>池，发生较大事故无法利用装置导流槽控制物料和污染消防水时，将事故污染水排入事故应急池。事故应急池应当采取防渗、防腐、防冻、防洪、抗浮、抗震等措施；事故应急池应当配备抽水设施，将事故应急池内的污水输送至罐车运至污水处理厂处理，防止污染物进入地表水水体。事故池按照临近装置区，总体考虑事故缓冲池平面布置。对厂区污水及雨水总排口设置切断措施，封堵污染料液在厂区围墙之内，防止事故情况下物料经雨水及污水管线进入地表水水体。事故水池与污水管道相连，发生事故时，首先关闭事故处理池外排阀门，保证事故状态下污染水不外排。</w:t>
      </w:r>
    </w:p>
    <w:p>
      <w:pPr>
        <w:pStyle w:val="99"/>
        <w:ind w:firstLine="480"/>
        <w:rPr>
          <w:color w:val="auto"/>
          <w:sz w:val="21"/>
          <w:highlight w:val="none"/>
        </w:rPr>
      </w:pPr>
      <w:r>
        <w:rPr>
          <w:color w:val="auto"/>
          <w:highlight w:val="none"/>
        </w:rPr>
        <w:t>事故废水收集处理过程说明：</w:t>
      </w:r>
    </w:p>
    <w:p>
      <w:pPr>
        <w:pStyle w:val="99"/>
        <w:ind w:firstLine="480"/>
        <w:rPr>
          <w:color w:val="auto"/>
          <w:sz w:val="21"/>
          <w:highlight w:val="none"/>
        </w:rPr>
      </w:pPr>
      <w:r>
        <w:rPr>
          <w:color w:val="auto"/>
          <w:highlight w:val="none"/>
        </w:rPr>
        <w:t>（1）装置区物料发生泄漏，泄漏液经事故废水导排管沟自流至事故应急水池</w:t>
      </w:r>
      <w:r>
        <w:rPr>
          <w:rFonts w:hint="eastAsia"/>
          <w:color w:val="auto"/>
          <w:highlight w:val="none"/>
        </w:rPr>
        <w:t>收集</w:t>
      </w:r>
      <w:r>
        <w:rPr>
          <w:color w:val="auto"/>
          <w:highlight w:val="none"/>
        </w:rPr>
        <w:t>。</w:t>
      </w:r>
    </w:p>
    <w:p>
      <w:pPr>
        <w:pStyle w:val="99"/>
        <w:ind w:firstLine="480"/>
        <w:rPr>
          <w:color w:val="auto"/>
          <w:sz w:val="21"/>
          <w:highlight w:val="none"/>
        </w:rPr>
      </w:pPr>
      <w:r>
        <w:rPr>
          <w:color w:val="auto"/>
          <w:highlight w:val="none"/>
        </w:rPr>
        <w:t>（2）当装置区物料泄漏遇明火发生火灾事故时，首先切断厂区雨水总排口，事故废水、消防水经过事故水导排系统进入厂区事故水池，事故时的雨污水收集于事故水池。事故处理结束后，首先对事故水池中的废水进行检测，确定废水水质情况。将有污染的废水通过罐车送至城镇污水处理厂处理。</w:t>
      </w:r>
    </w:p>
    <w:p>
      <w:pPr>
        <w:pStyle w:val="99"/>
        <w:ind w:firstLine="480"/>
        <w:rPr>
          <w:color w:val="auto"/>
          <w:highlight w:val="none"/>
        </w:rPr>
      </w:pPr>
      <w:r>
        <w:rPr>
          <w:color w:val="auto"/>
          <w:highlight w:val="none"/>
        </w:rPr>
        <w:t>只要做到事故状态下废水不外排，事故废水经妥善处理后达标后外排。综上所述，事故状态下废水不会对周围水体造成二次污染。</w:t>
      </w:r>
    </w:p>
    <w:p>
      <w:pPr>
        <w:pStyle w:val="101"/>
        <w:spacing w:before="78"/>
        <w:rPr>
          <w:rFonts w:ascii="Times New Roman" w:hAnsi="Times New Roman"/>
          <w:color w:val="auto"/>
          <w:sz w:val="21"/>
          <w:highlight w:val="none"/>
        </w:rPr>
      </w:pPr>
      <w:bookmarkStart w:id="207" w:name="_Toc139"/>
      <w:r>
        <w:rPr>
          <w:rFonts w:ascii="Times New Roman" w:hAnsi="Times New Roman"/>
          <w:color w:val="auto"/>
          <w:highlight w:val="none"/>
        </w:rPr>
        <w:t>5.</w:t>
      </w:r>
      <w:r>
        <w:rPr>
          <w:rFonts w:hint="eastAsia" w:ascii="Times New Roman" w:hAnsi="Times New Roman"/>
          <w:color w:val="auto"/>
          <w:highlight w:val="none"/>
        </w:rPr>
        <w:t>4</w:t>
      </w:r>
      <w:r>
        <w:rPr>
          <w:rFonts w:ascii="Times New Roman" w:hAnsi="Times New Roman"/>
          <w:color w:val="auto"/>
          <w:highlight w:val="none"/>
        </w:rPr>
        <w:t>.3地下水环境风险管理</w:t>
      </w:r>
      <w:bookmarkEnd w:id="207"/>
    </w:p>
    <w:p>
      <w:pPr>
        <w:pStyle w:val="99"/>
        <w:ind w:firstLine="480"/>
        <w:rPr>
          <w:color w:val="auto"/>
          <w:sz w:val="21"/>
          <w:highlight w:val="none"/>
        </w:rPr>
      </w:pPr>
      <w:r>
        <w:rPr>
          <w:color w:val="auto"/>
          <w:highlight w:val="none"/>
        </w:rPr>
        <w:t>地下水风险防范措施应采取源头控制和分区防渗措施，拟建项目应采取的防渗措施具体见第4章4.3地下水环境保护措施。在做好防渗工作的前提下，通过厂区内各设施合理布局、合理分配、各类其他污染物有效控制（如降雨、生活垃圾）、定期对污废水装置与防渗结构检查等工作，可防止除渗漏以外其他方面对地下水的污染，即便是事故状态下，只要防渗层未被破坏，均能有效控制污染源。为能及时发现隐蔽性的污水泄漏，通过在场址周边布设监控井，定期监测地下水质，可补充“源头控制、防渗”等措施的不足。结合场址区水文地质条件、污染物在含水层中的运移特征、生产装置位置，来确定监控井与厂区的位置关系，既能及时发现泄漏，有可作为地下水污染治理的抽水井。同时设置一处地下水监控井，加强对地下水水质的监控，及时发现事故并预警。地下水监控井设置见第4章4.3地下水环境保护措施。为了做好地下水环境保护与污染防治对策，尽最大努力避免和减轻地下水污染造成的损失，应制定地下水风险事故应急响应预案，成立应急指挥部，事故发生后及时采取措施。一旦掌握地下水环境污染征兆或发生地下水环境污染时，知情单位和个人要立即向当地政府或其地下水环境污染主管部门、责任单位报告有关情况。应急指挥部要根据预案要求，组织和指挥参与现场应急工作各部门的行动，组织专家组根据事件原因、性质、危害程度等调查原因，分析发展趋势，并提出下一步预防和防治措施，迅速控制或切断事件灾害链，对污水进行封闭、截流，将损失降到最低限度。应急工作结束时，应协调相关职能部门和单位，做好善后工作，防止出现事件“放大效应”和次生、衍生灾害，尽快恢复当地正常秩序。</w:t>
      </w:r>
    </w:p>
    <w:p>
      <w:pPr>
        <w:pStyle w:val="99"/>
        <w:ind w:firstLine="480"/>
        <w:rPr>
          <w:color w:val="auto"/>
          <w:sz w:val="21"/>
          <w:highlight w:val="none"/>
        </w:rPr>
      </w:pPr>
      <w:r>
        <w:rPr>
          <w:color w:val="auto"/>
          <w:highlight w:val="none"/>
        </w:rPr>
        <w:t>加强管理，加强思想教育，提高全体员工的环保意识；健全管理机制，对于可能发生泄漏的污染源进行认真排查、登记，建立健全定期巡检制度，及时发现，及时解决；建立从设计、施工、试运行、生产操作以及检修全过程健全的监管体系，确保设计水平、施工质量和运行操作等的正确实施。</w:t>
      </w:r>
    </w:p>
    <w:p>
      <w:pPr>
        <w:pStyle w:val="101"/>
        <w:spacing w:before="78"/>
        <w:rPr>
          <w:rFonts w:ascii="Times New Roman" w:hAnsi="Times New Roman"/>
          <w:color w:val="auto"/>
          <w:sz w:val="21"/>
          <w:highlight w:val="none"/>
        </w:rPr>
      </w:pPr>
      <w:bookmarkStart w:id="208" w:name="_Toc29441"/>
      <w:r>
        <w:rPr>
          <w:rFonts w:ascii="Times New Roman" w:hAnsi="Times New Roman"/>
          <w:color w:val="auto"/>
          <w:highlight w:val="none"/>
        </w:rPr>
        <w:t>5.</w:t>
      </w:r>
      <w:r>
        <w:rPr>
          <w:rFonts w:hint="eastAsia" w:ascii="Times New Roman" w:hAnsi="Times New Roman"/>
          <w:color w:val="auto"/>
          <w:highlight w:val="none"/>
        </w:rPr>
        <w:t>4</w:t>
      </w:r>
      <w:r>
        <w:rPr>
          <w:rFonts w:ascii="Times New Roman" w:hAnsi="Times New Roman"/>
          <w:color w:val="auto"/>
          <w:highlight w:val="none"/>
        </w:rPr>
        <w:t>.4应急体系及监测</w:t>
      </w:r>
      <w:bookmarkEnd w:id="208"/>
    </w:p>
    <w:p>
      <w:pPr>
        <w:pStyle w:val="112"/>
        <w:rPr>
          <w:color w:val="auto"/>
          <w:highlight w:val="none"/>
        </w:rPr>
      </w:pPr>
      <w:bookmarkStart w:id="209" w:name="_Toc11188"/>
      <w:r>
        <w:rPr>
          <w:color w:val="auto"/>
          <w:highlight w:val="none"/>
        </w:rPr>
        <w:t>5.</w:t>
      </w:r>
      <w:r>
        <w:rPr>
          <w:rFonts w:hint="eastAsia"/>
          <w:color w:val="auto"/>
          <w:highlight w:val="none"/>
        </w:rPr>
        <w:t>4</w:t>
      </w:r>
      <w:r>
        <w:rPr>
          <w:color w:val="auto"/>
          <w:highlight w:val="none"/>
        </w:rPr>
        <w:t>.4.1人员疏散及安置</w:t>
      </w:r>
      <w:bookmarkEnd w:id="209"/>
    </w:p>
    <w:p>
      <w:pPr>
        <w:pStyle w:val="99"/>
        <w:ind w:firstLine="480"/>
        <w:rPr>
          <w:color w:val="auto"/>
          <w:sz w:val="21"/>
          <w:highlight w:val="none"/>
        </w:rPr>
      </w:pPr>
      <w:r>
        <w:rPr>
          <w:color w:val="auto"/>
          <w:highlight w:val="none"/>
        </w:rPr>
        <w:t>项目厂区内发生事故时，发生事故区域内的人员在班长带领下迅速、有序地撤离危险区域，并到指定地点结合，从而避免人员伤亡。装置负责人在撤离前，利用最短的时间，关闭该领域内可能会引起更大事故的电源和管道阀门等。</w:t>
      </w:r>
    </w:p>
    <w:p>
      <w:pPr>
        <w:pStyle w:val="99"/>
        <w:ind w:firstLine="480"/>
        <w:rPr>
          <w:color w:val="auto"/>
          <w:sz w:val="21"/>
          <w:highlight w:val="none"/>
        </w:rPr>
      </w:pPr>
      <w:r>
        <w:rPr>
          <w:color w:val="auto"/>
          <w:highlight w:val="none"/>
        </w:rPr>
        <w:t>1、事故现场人员的撤离。</w:t>
      </w:r>
    </w:p>
    <w:p>
      <w:pPr>
        <w:pStyle w:val="99"/>
        <w:ind w:firstLine="480"/>
        <w:rPr>
          <w:color w:val="auto"/>
          <w:sz w:val="21"/>
          <w:highlight w:val="none"/>
        </w:rPr>
      </w:pPr>
      <w:r>
        <w:rPr>
          <w:color w:val="auto"/>
          <w:highlight w:val="none"/>
        </w:rPr>
        <w:t>事故发生后当班班长应组织本班人员有秩序地疏散到事故范围外的上风口安全地带，疏散顺序从最危险地段人员先开始，相互兼顾照应，并根据风向指明集合地点。集合后，厂区职工沿厂区道路向厂区外撤离，人员在安全地点集合，班组长负责清点本班人数，并向指挥部、主任报告人员情况。发现缺员，应报告所缺员工的姓名和事故前所处位置，立即派人进入灾区寻找失踪人员，提供急救。</w:t>
      </w:r>
    </w:p>
    <w:p>
      <w:pPr>
        <w:pStyle w:val="99"/>
        <w:ind w:firstLine="480"/>
        <w:rPr>
          <w:color w:val="auto"/>
          <w:sz w:val="21"/>
          <w:highlight w:val="none"/>
        </w:rPr>
      </w:pPr>
      <w:r>
        <w:rPr>
          <w:color w:val="auto"/>
          <w:highlight w:val="none"/>
        </w:rPr>
        <w:t>2、抢救人员在撤离前、撤离后的报告。</w:t>
      </w:r>
    </w:p>
    <w:p>
      <w:pPr>
        <w:pStyle w:val="99"/>
        <w:ind w:firstLine="480"/>
        <w:rPr>
          <w:color w:val="auto"/>
          <w:sz w:val="21"/>
          <w:highlight w:val="none"/>
        </w:rPr>
      </w:pPr>
      <w:r>
        <w:rPr>
          <w:color w:val="auto"/>
          <w:highlight w:val="none"/>
        </w:rPr>
        <w:t>负责抢险和救护的人员在接指挥部通知后，立即带上救护和防护装备赶赴现场，等候指令，听从指挥。由现场指挥分工，分批进入事发点进行抢险或救护。在进入事故点前，现场指挥必须向指挥部报告每批参加抢修（或救护）人员数量和名单并登记。</w:t>
      </w:r>
    </w:p>
    <w:p>
      <w:pPr>
        <w:pStyle w:val="99"/>
        <w:ind w:firstLine="480"/>
        <w:rPr>
          <w:color w:val="auto"/>
          <w:sz w:val="21"/>
          <w:highlight w:val="none"/>
        </w:rPr>
      </w:pPr>
      <w:r>
        <w:rPr>
          <w:color w:val="auto"/>
          <w:highlight w:val="none"/>
        </w:rPr>
        <w:t>抢修（或救护）队完成任务后，现场指挥向指挥部报告任务执行情况以及抢险（或救护）人员安全状况，申请下达撤离命令，指挥部根据事故控制情况，即时作出撤离或继续抢险（或救护）的决定。现场指挥若接撤离命令后，带领抢险（或救护人员）撤离事故点至安全地带，清点人员，向指挥部报告。</w:t>
      </w:r>
    </w:p>
    <w:p>
      <w:pPr>
        <w:pStyle w:val="99"/>
        <w:ind w:firstLine="480"/>
        <w:rPr>
          <w:color w:val="auto"/>
          <w:sz w:val="21"/>
          <w:highlight w:val="none"/>
        </w:rPr>
      </w:pPr>
      <w:r>
        <w:rPr>
          <w:color w:val="auto"/>
          <w:highlight w:val="none"/>
        </w:rPr>
        <w:t>3、周边区域的单位、社区人员的疏散。</w:t>
      </w:r>
    </w:p>
    <w:p>
      <w:pPr>
        <w:pStyle w:val="99"/>
        <w:ind w:firstLine="480"/>
        <w:rPr>
          <w:color w:val="auto"/>
          <w:sz w:val="21"/>
          <w:highlight w:val="none"/>
        </w:rPr>
      </w:pPr>
      <w:r>
        <w:rPr>
          <w:color w:val="auto"/>
          <w:highlight w:val="none"/>
        </w:rPr>
        <w:t>当事故危急周边单位、村庄（社区）时，由指挥部人员向政府以及周边单位书面发送警报。事态严重紧急时，通过指挥部直接联系政府以及周边单位负责人，由总指挥部亲自向政府或负责人发布消息，提出要求组织撤离疏散或者请求援助。在发布消息时，必须发布事态的缓急程度，提出撤离的具体方法、方式和路线。撤离方式有步行和车辆运输两种。撤离方法中应明确应采取的预防措施、注意事项、撤离方向和撤离距离。撤离必须是有组织性的。</w:t>
      </w:r>
    </w:p>
    <w:p>
      <w:pPr>
        <w:pStyle w:val="112"/>
        <w:rPr>
          <w:color w:val="auto"/>
          <w:highlight w:val="none"/>
        </w:rPr>
      </w:pPr>
      <w:bookmarkStart w:id="210" w:name="_Toc27975"/>
      <w:r>
        <w:rPr>
          <w:color w:val="auto"/>
          <w:highlight w:val="none"/>
        </w:rPr>
        <w:t>5.</w:t>
      </w:r>
      <w:r>
        <w:rPr>
          <w:rFonts w:hint="eastAsia"/>
          <w:color w:val="auto"/>
          <w:highlight w:val="none"/>
        </w:rPr>
        <w:t>4</w:t>
      </w:r>
      <w:r>
        <w:rPr>
          <w:color w:val="auto"/>
          <w:highlight w:val="none"/>
        </w:rPr>
        <w:t>.4.2应急物资</w:t>
      </w:r>
      <w:bookmarkEnd w:id="210"/>
    </w:p>
    <w:p>
      <w:pPr>
        <w:pStyle w:val="99"/>
        <w:ind w:firstLine="480"/>
        <w:rPr>
          <w:color w:val="auto"/>
          <w:sz w:val="21"/>
          <w:highlight w:val="none"/>
        </w:rPr>
      </w:pPr>
      <w:r>
        <w:rPr>
          <w:color w:val="auto"/>
          <w:highlight w:val="none"/>
        </w:rPr>
        <w:t>项目厂区需设置应急物资和防护装备、物资的储备，并应定期检查，保证其正常使用，突发环境事件应急物资见表5.</w:t>
      </w:r>
      <w:r>
        <w:rPr>
          <w:rFonts w:hint="eastAsia"/>
          <w:color w:val="auto"/>
          <w:highlight w:val="none"/>
        </w:rPr>
        <w:t>4</w:t>
      </w:r>
      <w:r>
        <w:rPr>
          <w:color w:val="auto"/>
          <w:highlight w:val="none"/>
        </w:rPr>
        <w:t>-1。</w:t>
      </w:r>
    </w:p>
    <w:p>
      <w:pPr>
        <w:pStyle w:val="103"/>
        <w:rPr>
          <w:rFonts w:ascii="Times New Roman" w:hAnsi="Times New Roman"/>
          <w:color w:val="auto"/>
          <w:highlight w:val="none"/>
        </w:rPr>
      </w:pPr>
      <w:r>
        <w:rPr>
          <w:rFonts w:ascii="Times New Roman" w:hAnsi="Times New Roman"/>
          <w:color w:val="auto"/>
          <w:highlight w:val="none"/>
        </w:rPr>
        <w:t>表5.</w:t>
      </w:r>
      <w:r>
        <w:rPr>
          <w:rFonts w:hint="eastAsia" w:ascii="Times New Roman" w:hAnsi="Times New Roman"/>
          <w:color w:val="auto"/>
          <w:highlight w:val="none"/>
        </w:rPr>
        <w:t>4</w:t>
      </w:r>
      <w:r>
        <w:rPr>
          <w:rFonts w:ascii="Times New Roman" w:hAnsi="Times New Roman"/>
          <w:color w:val="auto"/>
          <w:highlight w:val="none"/>
        </w:rPr>
        <w:t>-1 建议企业设置的应急救援物资配备情况表</w:t>
      </w:r>
    </w:p>
    <w:tbl>
      <w:tblPr>
        <w:tblStyle w:val="5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7"/>
        <w:gridCol w:w="3479"/>
        <w:gridCol w:w="1113"/>
        <w:gridCol w:w="30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4" w:type="pct"/>
            <w:vAlign w:val="center"/>
          </w:tcPr>
          <w:p>
            <w:pPr>
              <w:pStyle w:val="105"/>
              <w:rPr>
                <w:color w:val="auto"/>
                <w:szCs w:val="21"/>
                <w:highlight w:val="none"/>
              </w:rPr>
            </w:pPr>
            <w:r>
              <w:rPr>
                <w:color w:val="auto"/>
                <w:szCs w:val="21"/>
                <w:highlight w:val="none"/>
              </w:rPr>
              <w:t>序号</w:t>
            </w:r>
          </w:p>
        </w:tc>
        <w:tc>
          <w:tcPr>
            <w:tcW w:w="1932" w:type="pct"/>
            <w:vAlign w:val="center"/>
          </w:tcPr>
          <w:p>
            <w:pPr>
              <w:pStyle w:val="105"/>
              <w:rPr>
                <w:color w:val="auto"/>
                <w:szCs w:val="21"/>
                <w:highlight w:val="none"/>
              </w:rPr>
            </w:pPr>
            <w:r>
              <w:rPr>
                <w:color w:val="auto"/>
                <w:szCs w:val="21"/>
                <w:highlight w:val="none"/>
              </w:rPr>
              <w:t>名称</w:t>
            </w:r>
          </w:p>
        </w:tc>
        <w:tc>
          <w:tcPr>
            <w:tcW w:w="618" w:type="pct"/>
            <w:vAlign w:val="center"/>
          </w:tcPr>
          <w:p>
            <w:pPr>
              <w:pStyle w:val="105"/>
              <w:rPr>
                <w:color w:val="auto"/>
                <w:szCs w:val="21"/>
                <w:highlight w:val="none"/>
              </w:rPr>
            </w:pPr>
            <w:r>
              <w:rPr>
                <w:color w:val="auto"/>
                <w:szCs w:val="21"/>
                <w:highlight w:val="none"/>
              </w:rPr>
              <w:t>序号</w:t>
            </w:r>
          </w:p>
        </w:tc>
        <w:tc>
          <w:tcPr>
            <w:tcW w:w="1696" w:type="pct"/>
            <w:vAlign w:val="center"/>
          </w:tcPr>
          <w:p>
            <w:pPr>
              <w:pStyle w:val="105"/>
              <w:rPr>
                <w:color w:val="auto"/>
                <w:szCs w:val="21"/>
                <w:highlight w:val="none"/>
              </w:rPr>
            </w:pPr>
            <w:r>
              <w:rPr>
                <w:color w:val="auto"/>
                <w:szCs w:val="21"/>
                <w:highlight w:val="none"/>
              </w:rPr>
              <w:t>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4" w:type="pct"/>
            <w:vAlign w:val="center"/>
          </w:tcPr>
          <w:p>
            <w:pPr>
              <w:pStyle w:val="105"/>
              <w:rPr>
                <w:color w:val="auto"/>
                <w:szCs w:val="21"/>
                <w:highlight w:val="none"/>
              </w:rPr>
            </w:pPr>
            <w:r>
              <w:rPr>
                <w:color w:val="auto"/>
                <w:szCs w:val="21"/>
                <w:highlight w:val="none"/>
              </w:rPr>
              <w:t>1</w:t>
            </w:r>
          </w:p>
        </w:tc>
        <w:tc>
          <w:tcPr>
            <w:tcW w:w="1932" w:type="pct"/>
            <w:vAlign w:val="center"/>
          </w:tcPr>
          <w:p>
            <w:pPr>
              <w:pStyle w:val="105"/>
              <w:rPr>
                <w:color w:val="auto"/>
                <w:szCs w:val="21"/>
                <w:highlight w:val="none"/>
              </w:rPr>
            </w:pPr>
            <w:r>
              <w:rPr>
                <w:color w:val="auto"/>
                <w:szCs w:val="21"/>
                <w:highlight w:val="none"/>
              </w:rPr>
              <w:t>消防水池</w:t>
            </w:r>
          </w:p>
        </w:tc>
        <w:tc>
          <w:tcPr>
            <w:tcW w:w="618" w:type="pct"/>
            <w:vAlign w:val="center"/>
          </w:tcPr>
          <w:p>
            <w:pPr>
              <w:pStyle w:val="105"/>
              <w:rPr>
                <w:color w:val="auto"/>
                <w:szCs w:val="21"/>
                <w:highlight w:val="none"/>
              </w:rPr>
            </w:pPr>
            <w:r>
              <w:rPr>
                <w:color w:val="auto"/>
                <w:szCs w:val="21"/>
                <w:highlight w:val="none"/>
              </w:rPr>
              <w:t>7</w:t>
            </w:r>
          </w:p>
        </w:tc>
        <w:tc>
          <w:tcPr>
            <w:tcW w:w="1696" w:type="pct"/>
            <w:vAlign w:val="center"/>
          </w:tcPr>
          <w:p>
            <w:pPr>
              <w:pStyle w:val="105"/>
              <w:rPr>
                <w:color w:val="auto"/>
                <w:szCs w:val="21"/>
                <w:highlight w:val="none"/>
              </w:rPr>
            </w:pPr>
            <w:r>
              <w:rPr>
                <w:color w:val="auto"/>
                <w:szCs w:val="21"/>
                <w:highlight w:val="none"/>
              </w:rPr>
              <w:t>手机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4" w:type="pct"/>
            <w:vAlign w:val="center"/>
          </w:tcPr>
          <w:p>
            <w:pPr>
              <w:pStyle w:val="105"/>
              <w:rPr>
                <w:color w:val="auto"/>
                <w:szCs w:val="21"/>
                <w:highlight w:val="none"/>
              </w:rPr>
            </w:pPr>
            <w:r>
              <w:rPr>
                <w:color w:val="auto"/>
                <w:szCs w:val="21"/>
                <w:highlight w:val="none"/>
              </w:rPr>
              <w:t>2</w:t>
            </w:r>
          </w:p>
        </w:tc>
        <w:tc>
          <w:tcPr>
            <w:tcW w:w="1932" w:type="pct"/>
            <w:vAlign w:val="center"/>
          </w:tcPr>
          <w:p>
            <w:pPr>
              <w:pStyle w:val="105"/>
              <w:rPr>
                <w:color w:val="auto"/>
                <w:szCs w:val="21"/>
                <w:highlight w:val="none"/>
              </w:rPr>
            </w:pPr>
            <w:r>
              <w:rPr>
                <w:color w:val="auto"/>
                <w:szCs w:val="21"/>
                <w:highlight w:val="none"/>
              </w:rPr>
              <w:t>事故水池</w:t>
            </w:r>
          </w:p>
        </w:tc>
        <w:tc>
          <w:tcPr>
            <w:tcW w:w="618" w:type="pct"/>
            <w:vAlign w:val="center"/>
          </w:tcPr>
          <w:p>
            <w:pPr>
              <w:pStyle w:val="105"/>
              <w:rPr>
                <w:color w:val="auto"/>
                <w:szCs w:val="21"/>
                <w:highlight w:val="none"/>
              </w:rPr>
            </w:pPr>
            <w:r>
              <w:rPr>
                <w:color w:val="auto"/>
                <w:szCs w:val="21"/>
                <w:highlight w:val="none"/>
              </w:rPr>
              <w:t>8</w:t>
            </w:r>
          </w:p>
        </w:tc>
        <w:tc>
          <w:tcPr>
            <w:tcW w:w="1696" w:type="pct"/>
            <w:vAlign w:val="center"/>
          </w:tcPr>
          <w:p>
            <w:pPr>
              <w:pStyle w:val="105"/>
              <w:rPr>
                <w:color w:val="auto"/>
                <w:szCs w:val="21"/>
                <w:highlight w:val="none"/>
              </w:rPr>
            </w:pPr>
            <w:r>
              <w:rPr>
                <w:color w:val="auto"/>
                <w:szCs w:val="21"/>
                <w:highlight w:val="none"/>
              </w:rPr>
              <w:t>灭火器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4" w:type="pct"/>
            <w:vAlign w:val="center"/>
          </w:tcPr>
          <w:p>
            <w:pPr>
              <w:pStyle w:val="105"/>
              <w:rPr>
                <w:color w:val="auto"/>
                <w:szCs w:val="21"/>
                <w:highlight w:val="none"/>
              </w:rPr>
            </w:pPr>
            <w:r>
              <w:rPr>
                <w:color w:val="auto"/>
                <w:szCs w:val="21"/>
                <w:highlight w:val="none"/>
              </w:rPr>
              <w:t>3</w:t>
            </w:r>
          </w:p>
        </w:tc>
        <w:tc>
          <w:tcPr>
            <w:tcW w:w="1932" w:type="pct"/>
            <w:vAlign w:val="center"/>
          </w:tcPr>
          <w:p>
            <w:pPr>
              <w:pStyle w:val="105"/>
              <w:rPr>
                <w:color w:val="auto"/>
                <w:szCs w:val="21"/>
                <w:highlight w:val="none"/>
              </w:rPr>
            </w:pPr>
            <w:r>
              <w:rPr>
                <w:color w:val="auto"/>
                <w:szCs w:val="21"/>
                <w:highlight w:val="none"/>
              </w:rPr>
              <w:t>电子探头</w:t>
            </w:r>
          </w:p>
        </w:tc>
        <w:tc>
          <w:tcPr>
            <w:tcW w:w="618" w:type="pct"/>
            <w:vAlign w:val="center"/>
          </w:tcPr>
          <w:p>
            <w:pPr>
              <w:pStyle w:val="105"/>
              <w:rPr>
                <w:color w:val="auto"/>
                <w:szCs w:val="21"/>
                <w:highlight w:val="none"/>
              </w:rPr>
            </w:pPr>
            <w:r>
              <w:rPr>
                <w:color w:val="auto"/>
                <w:szCs w:val="21"/>
                <w:highlight w:val="none"/>
              </w:rPr>
              <w:t>9</w:t>
            </w:r>
          </w:p>
        </w:tc>
        <w:tc>
          <w:tcPr>
            <w:tcW w:w="1696" w:type="pct"/>
            <w:vAlign w:val="center"/>
          </w:tcPr>
          <w:p>
            <w:pPr>
              <w:pStyle w:val="105"/>
              <w:rPr>
                <w:color w:val="auto"/>
                <w:szCs w:val="21"/>
                <w:highlight w:val="none"/>
              </w:rPr>
            </w:pPr>
            <w:r>
              <w:rPr>
                <w:color w:val="auto"/>
                <w:szCs w:val="21"/>
                <w:highlight w:val="none"/>
              </w:rPr>
              <w:t>消防栓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4" w:type="pct"/>
            <w:vAlign w:val="center"/>
          </w:tcPr>
          <w:p>
            <w:pPr>
              <w:pStyle w:val="105"/>
              <w:rPr>
                <w:color w:val="auto"/>
                <w:szCs w:val="21"/>
                <w:highlight w:val="none"/>
              </w:rPr>
            </w:pPr>
            <w:r>
              <w:rPr>
                <w:color w:val="auto"/>
                <w:szCs w:val="21"/>
                <w:highlight w:val="none"/>
              </w:rPr>
              <w:t>4</w:t>
            </w:r>
          </w:p>
        </w:tc>
        <w:tc>
          <w:tcPr>
            <w:tcW w:w="1932" w:type="pct"/>
            <w:vAlign w:val="center"/>
          </w:tcPr>
          <w:p>
            <w:pPr>
              <w:pStyle w:val="105"/>
              <w:rPr>
                <w:color w:val="auto"/>
                <w:szCs w:val="21"/>
                <w:highlight w:val="none"/>
              </w:rPr>
            </w:pPr>
            <w:r>
              <w:rPr>
                <w:color w:val="auto"/>
                <w:szCs w:val="21"/>
                <w:highlight w:val="none"/>
              </w:rPr>
              <w:t>固定电话</w:t>
            </w:r>
          </w:p>
        </w:tc>
        <w:tc>
          <w:tcPr>
            <w:tcW w:w="618" w:type="pct"/>
            <w:vAlign w:val="center"/>
          </w:tcPr>
          <w:p>
            <w:pPr>
              <w:pStyle w:val="105"/>
              <w:rPr>
                <w:color w:val="auto"/>
                <w:szCs w:val="21"/>
                <w:highlight w:val="none"/>
              </w:rPr>
            </w:pPr>
            <w:r>
              <w:rPr>
                <w:color w:val="auto"/>
                <w:szCs w:val="21"/>
                <w:highlight w:val="none"/>
              </w:rPr>
              <w:t>10</w:t>
            </w:r>
          </w:p>
        </w:tc>
        <w:tc>
          <w:tcPr>
            <w:tcW w:w="1696" w:type="pct"/>
            <w:vAlign w:val="center"/>
          </w:tcPr>
          <w:p>
            <w:pPr>
              <w:pStyle w:val="105"/>
              <w:rPr>
                <w:color w:val="auto"/>
                <w:szCs w:val="21"/>
                <w:highlight w:val="none"/>
              </w:rPr>
            </w:pPr>
            <w:r>
              <w:rPr>
                <w:color w:val="auto"/>
                <w:szCs w:val="21"/>
                <w:highlight w:val="none"/>
              </w:rPr>
              <w:t>消防车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4" w:type="pct"/>
            <w:vAlign w:val="center"/>
          </w:tcPr>
          <w:p>
            <w:pPr>
              <w:pStyle w:val="105"/>
              <w:rPr>
                <w:color w:val="auto"/>
                <w:szCs w:val="21"/>
                <w:highlight w:val="none"/>
              </w:rPr>
            </w:pPr>
            <w:r>
              <w:rPr>
                <w:color w:val="auto"/>
                <w:szCs w:val="21"/>
                <w:highlight w:val="none"/>
              </w:rPr>
              <w:t>5</w:t>
            </w:r>
          </w:p>
        </w:tc>
        <w:tc>
          <w:tcPr>
            <w:tcW w:w="1932" w:type="pct"/>
            <w:vAlign w:val="center"/>
          </w:tcPr>
          <w:p>
            <w:pPr>
              <w:pStyle w:val="105"/>
              <w:rPr>
                <w:color w:val="auto"/>
                <w:szCs w:val="21"/>
                <w:highlight w:val="none"/>
              </w:rPr>
            </w:pPr>
            <w:r>
              <w:rPr>
                <w:color w:val="auto"/>
                <w:szCs w:val="21"/>
                <w:highlight w:val="none"/>
              </w:rPr>
              <w:t>对讲机</w:t>
            </w:r>
          </w:p>
        </w:tc>
        <w:tc>
          <w:tcPr>
            <w:tcW w:w="618" w:type="pct"/>
            <w:vAlign w:val="center"/>
          </w:tcPr>
          <w:p>
            <w:pPr>
              <w:pStyle w:val="105"/>
              <w:rPr>
                <w:color w:val="auto"/>
                <w:szCs w:val="21"/>
                <w:highlight w:val="none"/>
              </w:rPr>
            </w:pPr>
            <w:r>
              <w:rPr>
                <w:color w:val="auto"/>
                <w:szCs w:val="21"/>
                <w:highlight w:val="none"/>
              </w:rPr>
              <w:t>11</w:t>
            </w:r>
          </w:p>
        </w:tc>
        <w:tc>
          <w:tcPr>
            <w:tcW w:w="1696" w:type="pct"/>
            <w:vAlign w:val="center"/>
          </w:tcPr>
          <w:p>
            <w:pPr>
              <w:pStyle w:val="105"/>
              <w:rPr>
                <w:color w:val="auto"/>
                <w:szCs w:val="21"/>
                <w:highlight w:val="none"/>
              </w:rPr>
            </w:pPr>
            <w:r>
              <w:rPr>
                <w:color w:val="auto"/>
                <w:szCs w:val="21"/>
                <w:highlight w:val="none"/>
              </w:rPr>
              <w:t>正压式呼吸器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4" w:type="pct"/>
            <w:vAlign w:val="center"/>
          </w:tcPr>
          <w:p>
            <w:pPr>
              <w:pStyle w:val="105"/>
              <w:rPr>
                <w:color w:val="auto"/>
                <w:szCs w:val="21"/>
                <w:highlight w:val="none"/>
              </w:rPr>
            </w:pPr>
            <w:r>
              <w:rPr>
                <w:color w:val="auto"/>
                <w:szCs w:val="21"/>
                <w:highlight w:val="none"/>
              </w:rPr>
              <w:t>6</w:t>
            </w:r>
          </w:p>
        </w:tc>
        <w:tc>
          <w:tcPr>
            <w:tcW w:w="1932" w:type="pct"/>
            <w:vAlign w:val="center"/>
          </w:tcPr>
          <w:p>
            <w:pPr>
              <w:pStyle w:val="105"/>
              <w:rPr>
                <w:color w:val="auto"/>
                <w:szCs w:val="21"/>
                <w:highlight w:val="none"/>
              </w:rPr>
            </w:pPr>
            <w:r>
              <w:rPr>
                <w:color w:val="auto"/>
                <w:szCs w:val="21"/>
                <w:highlight w:val="none"/>
              </w:rPr>
              <w:t>监控系统</w:t>
            </w:r>
          </w:p>
        </w:tc>
        <w:tc>
          <w:tcPr>
            <w:tcW w:w="618" w:type="pct"/>
            <w:vAlign w:val="center"/>
          </w:tcPr>
          <w:p>
            <w:pPr>
              <w:pStyle w:val="105"/>
              <w:rPr>
                <w:color w:val="auto"/>
                <w:szCs w:val="21"/>
                <w:highlight w:val="none"/>
              </w:rPr>
            </w:pPr>
            <w:r>
              <w:rPr>
                <w:color w:val="auto"/>
                <w:szCs w:val="21"/>
                <w:highlight w:val="none"/>
              </w:rPr>
              <w:t>12</w:t>
            </w:r>
          </w:p>
        </w:tc>
        <w:tc>
          <w:tcPr>
            <w:tcW w:w="1696" w:type="pct"/>
            <w:vAlign w:val="center"/>
          </w:tcPr>
          <w:p>
            <w:pPr>
              <w:pStyle w:val="105"/>
              <w:rPr>
                <w:color w:val="auto"/>
                <w:szCs w:val="21"/>
                <w:highlight w:val="none"/>
              </w:rPr>
            </w:pPr>
            <w:r>
              <w:rPr>
                <w:color w:val="auto"/>
                <w:szCs w:val="21"/>
                <w:highlight w:val="none"/>
              </w:rPr>
              <w:t>应急药箱</w:t>
            </w:r>
          </w:p>
        </w:tc>
      </w:tr>
    </w:tbl>
    <w:p>
      <w:pPr>
        <w:pStyle w:val="112"/>
        <w:rPr>
          <w:color w:val="auto"/>
          <w:highlight w:val="none"/>
        </w:rPr>
      </w:pPr>
      <w:bookmarkStart w:id="211" w:name="_Toc20919"/>
      <w:r>
        <w:rPr>
          <w:color w:val="auto"/>
          <w:highlight w:val="none"/>
        </w:rPr>
        <w:t>5.</w:t>
      </w:r>
      <w:r>
        <w:rPr>
          <w:rFonts w:hint="eastAsia"/>
          <w:color w:val="auto"/>
          <w:highlight w:val="none"/>
        </w:rPr>
        <w:t>4</w:t>
      </w:r>
      <w:r>
        <w:rPr>
          <w:color w:val="auto"/>
          <w:highlight w:val="none"/>
        </w:rPr>
        <w:t>.4.3环境应急监测方案</w:t>
      </w:r>
      <w:bookmarkEnd w:id="211"/>
    </w:p>
    <w:p>
      <w:pPr>
        <w:pStyle w:val="99"/>
        <w:ind w:firstLine="480"/>
        <w:rPr>
          <w:color w:val="auto"/>
          <w:highlight w:val="none"/>
        </w:rPr>
      </w:pPr>
      <w:r>
        <w:rPr>
          <w:color w:val="auto"/>
          <w:highlight w:val="none"/>
        </w:rPr>
        <w:t>1、应急监测方案的确定</w:t>
      </w:r>
    </w:p>
    <w:p>
      <w:pPr>
        <w:pStyle w:val="99"/>
        <w:ind w:firstLine="480"/>
        <w:rPr>
          <w:color w:val="auto"/>
          <w:sz w:val="21"/>
          <w:highlight w:val="none"/>
        </w:rPr>
      </w:pPr>
      <w:r>
        <w:rPr>
          <w:color w:val="auto"/>
          <w:highlight w:val="none"/>
        </w:rPr>
        <w:t>厂区内一旦发生泄漏、火灾、爆炸事故后，需要及时迅速对厂区内外大气环境、水环境的进行监测，掌握第一手监测资料，上报应急指挥中心。</w:t>
      </w:r>
    </w:p>
    <w:p>
      <w:pPr>
        <w:pStyle w:val="99"/>
        <w:ind w:firstLine="480"/>
        <w:rPr>
          <w:color w:val="auto"/>
          <w:sz w:val="21"/>
          <w:highlight w:val="none"/>
        </w:rPr>
      </w:pPr>
      <w:r>
        <w:rPr>
          <w:color w:val="auto"/>
          <w:highlight w:val="none"/>
        </w:rPr>
        <w:t>（1）厂区内监测科接到环保事故信息后，根据接报的情况判断可能的污染物质，进行应急准备，并立即组织有关人员，委托开展监测。</w:t>
      </w:r>
    </w:p>
    <w:p>
      <w:pPr>
        <w:pStyle w:val="99"/>
        <w:ind w:firstLine="480"/>
        <w:rPr>
          <w:color w:val="auto"/>
          <w:sz w:val="21"/>
          <w:highlight w:val="none"/>
        </w:rPr>
      </w:pPr>
      <w:r>
        <w:rPr>
          <w:color w:val="auto"/>
          <w:highlight w:val="none"/>
        </w:rPr>
        <w:t>（2）环境监测人员应迅速到达事故现场，用小型、便携、简易、快速检测仪器或装置，在尽可能短的时间内了解下述内容：</w:t>
      </w:r>
    </w:p>
    <w:p>
      <w:pPr>
        <w:pStyle w:val="99"/>
        <w:ind w:firstLine="480"/>
        <w:rPr>
          <w:color w:val="auto"/>
          <w:sz w:val="21"/>
          <w:highlight w:val="none"/>
        </w:rPr>
      </w:pPr>
      <w:r>
        <w:rPr>
          <w:color w:val="auto"/>
          <w:highlight w:val="none"/>
        </w:rPr>
        <w:t>①污染物质种类；</w:t>
      </w:r>
    </w:p>
    <w:p>
      <w:pPr>
        <w:pStyle w:val="99"/>
        <w:ind w:firstLine="480"/>
        <w:rPr>
          <w:color w:val="auto"/>
          <w:sz w:val="21"/>
          <w:highlight w:val="none"/>
        </w:rPr>
      </w:pPr>
      <w:r>
        <w:rPr>
          <w:color w:val="auto"/>
          <w:highlight w:val="none"/>
        </w:rPr>
        <w:t>②污染物质的浓度；</w:t>
      </w:r>
    </w:p>
    <w:p>
      <w:pPr>
        <w:pStyle w:val="99"/>
        <w:ind w:firstLine="480"/>
        <w:rPr>
          <w:color w:val="auto"/>
          <w:sz w:val="21"/>
          <w:highlight w:val="none"/>
        </w:rPr>
      </w:pPr>
      <w:r>
        <w:rPr>
          <w:color w:val="auto"/>
          <w:highlight w:val="none"/>
        </w:rPr>
        <w:t>③污染的范围及其可能的危害等作出判断。实施应急监测是做好突发性环境污染事故处置、处理的前提和关键。</w:t>
      </w:r>
    </w:p>
    <w:p>
      <w:pPr>
        <w:pStyle w:val="99"/>
        <w:ind w:firstLine="480"/>
        <w:rPr>
          <w:color w:val="auto"/>
          <w:sz w:val="21"/>
          <w:highlight w:val="none"/>
        </w:rPr>
      </w:pPr>
      <w:r>
        <w:rPr>
          <w:color w:val="auto"/>
          <w:highlight w:val="none"/>
        </w:rPr>
        <w:t>（3）不能现场进行监测的项目，必须在最短时间内达到目的地采样，一般不超过10分钟，迅速送至实验室进行化验。</w:t>
      </w:r>
    </w:p>
    <w:p>
      <w:pPr>
        <w:pStyle w:val="99"/>
        <w:ind w:firstLine="480"/>
        <w:rPr>
          <w:color w:val="auto"/>
          <w:sz w:val="21"/>
          <w:highlight w:val="none"/>
        </w:rPr>
      </w:pPr>
      <w:r>
        <w:rPr>
          <w:color w:val="auto"/>
          <w:highlight w:val="none"/>
        </w:rPr>
        <w:t>（4）监测数据可用电话或书面的形式以最快速度上报应急指挥中心。</w:t>
      </w:r>
    </w:p>
    <w:p>
      <w:pPr>
        <w:pStyle w:val="99"/>
        <w:ind w:firstLine="480"/>
        <w:rPr>
          <w:color w:val="auto"/>
          <w:sz w:val="21"/>
          <w:highlight w:val="none"/>
        </w:rPr>
      </w:pPr>
      <w:r>
        <w:rPr>
          <w:color w:val="auto"/>
          <w:highlight w:val="none"/>
        </w:rPr>
        <w:t>（5）应急监测应做到当事故发生直到事故最终处理终结的全过程监测，其监测频次以满足较少损失和事故处理以及事故发生后的生产恢复的需求。厂区内发生事故后，事故发生时应急监测方案见表5.</w:t>
      </w:r>
      <w:r>
        <w:rPr>
          <w:rFonts w:hint="eastAsia"/>
          <w:color w:val="auto"/>
          <w:highlight w:val="none"/>
        </w:rPr>
        <w:t>4</w:t>
      </w:r>
      <w:r>
        <w:rPr>
          <w:color w:val="auto"/>
          <w:highlight w:val="none"/>
        </w:rPr>
        <w:t>-2。</w:t>
      </w:r>
    </w:p>
    <w:p>
      <w:pPr>
        <w:pStyle w:val="103"/>
        <w:rPr>
          <w:rFonts w:ascii="Times New Roman" w:hAnsi="Times New Roman"/>
          <w:color w:val="auto"/>
          <w:highlight w:val="none"/>
        </w:rPr>
      </w:pPr>
      <w:r>
        <w:rPr>
          <w:rFonts w:ascii="Times New Roman" w:hAnsi="Times New Roman"/>
          <w:color w:val="auto"/>
          <w:highlight w:val="none"/>
        </w:rPr>
        <w:t>表5.</w:t>
      </w:r>
      <w:r>
        <w:rPr>
          <w:rFonts w:hint="eastAsia" w:ascii="Times New Roman" w:hAnsi="Times New Roman"/>
          <w:color w:val="auto"/>
          <w:highlight w:val="none"/>
        </w:rPr>
        <w:t>4</w:t>
      </w:r>
      <w:r>
        <w:rPr>
          <w:rFonts w:ascii="Times New Roman" w:hAnsi="Times New Roman"/>
          <w:color w:val="auto"/>
          <w:highlight w:val="none"/>
        </w:rPr>
        <w:t>-2事故应急监测计划</w:t>
      </w:r>
    </w:p>
    <w:tbl>
      <w:tblPr>
        <w:tblStyle w:val="5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2087"/>
        <w:gridCol w:w="58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0" w:type="pct"/>
            <w:vAlign w:val="center"/>
          </w:tcPr>
          <w:p>
            <w:pPr>
              <w:pStyle w:val="105"/>
              <w:rPr>
                <w:color w:val="auto"/>
                <w:szCs w:val="21"/>
                <w:highlight w:val="none"/>
              </w:rPr>
            </w:pPr>
            <w:r>
              <w:rPr>
                <w:color w:val="auto"/>
                <w:szCs w:val="21"/>
                <w:highlight w:val="none"/>
              </w:rPr>
              <w:t>项目</w:t>
            </w:r>
          </w:p>
        </w:tc>
        <w:tc>
          <w:tcPr>
            <w:tcW w:w="4400" w:type="pct"/>
            <w:gridSpan w:val="2"/>
            <w:vAlign w:val="center"/>
          </w:tcPr>
          <w:p>
            <w:pPr>
              <w:pStyle w:val="105"/>
              <w:rPr>
                <w:color w:val="auto"/>
                <w:szCs w:val="21"/>
                <w:highlight w:val="none"/>
              </w:rPr>
            </w:pPr>
            <w:r>
              <w:rPr>
                <w:color w:val="auto"/>
                <w:szCs w:val="21"/>
                <w:highlight w:val="none"/>
              </w:rPr>
              <w:t>监测制度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0" w:type="pct"/>
            <w:vMerge w:val="restart"/>
            <w:vAlign w:val="center"/>
          </w:tcPr>
          <w:p>
            <w:pPr>
              <w:pStyle w:val="105"/>
              <w:rPr>
                <w:color w:val="auto"/>
                <w:szCs w:val="21"/>
                <w:highlight w:val="none"/>
              </w:rPr>
            </w:pPr>
            <w:r>
              <w:rPr>
                <w:color w:val="auto"/>
                <w:szCs w:val="21"/>
                <w:highlight w:val="none"/>
              </w:rPr>
              <w:t>大气应急监测</w:t>
            </w:r>
          </w:p>
        </w:tc>
        <w:tc>
          <w:tcPr>
            <w:tcW w:w="1159" w:type="pct"/>
            <w:vAlign w:val="center"/>
          </w:tcPr>
          <w:p>
            <w:pPr>
              <w:pStyle w:val="105"/>
              <w:rPr>
                <w:color w:val="auto"/>
                <w:szCs w:val="21"/>
                <w:highlight w:val="none"/>
              </w:rPr>
            </w:pPr>
            <w:r>
              <w:rPr>
                <w:color w:val="auto"/>
                <w:szCs w:val="21"/>
                <w:highlight w:val="none"/>
              </w:rPr>
              <w:t>监测因子</w:t>
            </w:r>
          </w:p>
        </w:tc>
        <w:tc>
          <w:tcPr>
            <w:tcW w:w="3241" w:type="pct"/>
            <w:vAlign w:val="center"/>
          </w:tcPr>
          <w:p>
            <w:pPr>
              <w:pStyle w:val="105"/>
              <w:rPr>
                <w:color w:val="auto"/>
                <w:szCs w:val="21"/>
                <w:highlight w:val="none"/>
              </w:rPr>
            </w:pPr>
            <w:r>
              <w:rPr>
                <w:color w:val="auto"/>
                <w:szCs w:val="21"/>
                <w:highlight w:val="none"/>
              </w:rPr>
              <w:t>CO、VOCs、颗粒物等，具体监测因子根据事故类型确定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0" w:type="pct"/>
            <w:vMerge w:val="continue"/>
            <w:vAlign w:val="center"/>
          </w:tcPr>
          <w:p>
            <w:pPr>
              <w:pStyle w:val="105"/>
              <w:rPr>
                <w:color w:val="auto"/>
                <w:szCs w:val="21"/>
                <w:highlight w:val="none"/>
              </w:rPr>
            </w:pPr>
          </w:p>
        </w:tc>
        <w:tc>
          <w:tcPr>
            <w:tcW w:w="1159" w:type="pct"/>
            <w:vAlign w:val="center"/>
          </w:tcPr>
          <w:p>
            <w:pPr>
              <w:pStyle w:val="105"/>
              <w:rPr>
                <w:color w:val="auto"/>
                <w:szCs w:val="21"/>
                <w:highlight w:val="none"/>
              </w:rPr>
            </w:pPr>
            <w:r>
              <w:rPr>
                <w:color w:val="auto"/>
                <w:szCs w:val="21"/>
                <w:highlight w:val="none"/>
              </w:rPr>
              <w:t>监测频率</w:t>
            </w:r>
          </w:p>
        </w:tc>
        <w:tc>
          <w:tcPr>
            <w:tcW w:w="3241" w:type="pct"/>
            <w:vAlign w:val="center"/>
          </w:tcPr>
          <w:p>
            <w:pPr>
              <w:pStyle w:val="105"/>
              <w:rPr>
                <w:color w:val="auto"/>
                <w:szCs w:val="21"/>
                <w:highlight w:val="none"/>
              </w:rPr>
            </w:pPr>
            <w:r>
              <w:rPr>
                <w:rStyle w:val="122"/>
                <w:rFonts w:hint="default" w:ascii="Times New Roman" w:hAnsi="Times New Roman"/>
                <w:color w:val="auto"/>
                <w:sz w:val="21"/>
                <w:szCs w:val="21"/>
                <w:highlight w:val="none"/>
              </w:rPr>
              <w:t>按照事故持续时间决定监测时间，事故发生及处理过程中进行随时监测，过后</w:t>
            </w:r>
            <w:r>
              <w:rPr>
                <w:rStyle w:val="139"/>
                <w:rFonts w:ascii="Times New Roman" w:hAnsi="Times New Roman"/>
                <w:color w:val="auto"/>
                <w:sz w:val="21"/>
                <w:szCs w:val="21"/>
                <w:highlight w:val="none"/>
              </w:rPr>
              <w:t>20</w:t>
            </w:r>
            <w:r>
              <w:rPr>
                <w:rStyle w:val="122"/>
                <w:rFonts w:hint="default" w:ascii="Times New Roman" w:hAnsi="Times New Roman"/>
                <w:color w:val="auto"/>
                <w:sz w:val="21"/>
                <w:szCs w:val="21"/>
                <w:highlight w:val="none"/>
              </w:rPr>
              <w:t>分钟一次直到应急结束。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0" w:type="pct"/>
            <w:vMerge w:val="continue"/>
            <w:vAlign w:val="center"/>
          </w:tcPr>
          <w:p>
            <w:pPr>
              <w:pStyle w:val="105"/>
              <w:rPr>
                <w:color w:val="auto"/>
                <w:szCs w:val="21"/>
                <w:highlight w:val="none"/>
              </w:rPr>
            </w:pPr>
          </w:p>
        </w:tc>
        <w:tc>
          <w:tcPr>
            <w:tcW w:w="1159" w:type="pct"/>
            <w:vAlign w:val="center"/>
          </w:tcPr>
          <w:p>
            <w:pPr>
              <w:pStyle w:val="105"/>
              <w:rPr>
                <w:color w:val="auto"/>
                <w:szCs w:val="21"/>
                <w:highlight w:val="none"/>
              </w:rPr>
            </w:pPr>
            <w:r>
              <w:rPr>
                <w:color w:val="auto"/>
                <w:szCs w:val="21"/>
                <w:highlight w:val="none"/>
              </w:rPr>
              <w:t>监测布点</w:t>
            </w:r>
          </w:p>
        </w:tc>
        <w:tc>
          <w:tcPr>
            <w:tcW w:w="3241" w:type="pct"/>
            <w:vAlign w:val="center"/>
          </w:tcPr>
          <w:p>
            <w:pPr>
              <w:pStyle w:val="105"/>
              <w:rPr>
                <w:color w:val="auto"/>
                <w:szCs w:val="21"/>
                <w:highlight w:val="none"/>
              </w:rPr>
            </w:pPr>
            <w:r>
              <w:rPr>
                <w:color w:val="auto"/>
                <w:szCs w:val="21"/>
                <w:highlight w:val="none"/>
              </w:rPr>
              <w:t>事故发生时厂区下风险敏感点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0" w:type="pct"/>
            <w:vMerge w:val="continue"/>
            <w:vAlign w:val="center"/>
          </w:tcPr>
          <w:p>
            <w:pPr>
              <w:pStyle w:val="105"/>
              <w:rPr>
                <w:color w:val="auto"/>
                <w:szCs w:val="21"/>
                <w:highlight w:val="none"/>
              </w:rPr>
            </w:pPr>
          </w:p>
        </w:tc>
        <w:tc>
          <w:tcPr>
            <w:tcW w:w="1159" w:type="pct"/>
            <w:vAlign w:val="center"/>
          </w:tcPr>
          <w:p>
            <w:pPr>
              <w:pStyle w:val="105"/>
              <w:rPr>
                <w:color w:val="auto"/>
                <w:szCs w:val="21"/>
                <w:highlight w:val="none"/>
              </w:rPr>
            </w:pPr>
            <w:r>
              <w:rPr>
                <w:color w:val="auto"/>
                <w:szCs w:val="21"/>
                <w:highlight w:val="none"/>
              </w:rPr>
              <w:t>采样分析、数据处理</w:t>
            </w:r>
          </w:p>
        </w:tc>
        <w:tc>
          <w:tcPr>
            <w:tcW w:w="3241" w:type="pct"/>
            <w:vAlign w:val="center"/>
          </w:tcPr>
          <w:p>
            <w:pPr>
              <w:pStyle w:val="105"/>
              <w:rPr>
                <w:color w:val="auto"/>
                <w:szCs w:val="21"/>
                <w:highlight w:val="none"/>
              </w:rPr>
            </w:pPr>
            <w:r>
              <w:rPr>
                <w:rStyle w:val="122"/>
                <w:rFonts w:hint="default" w:ascii="Times New Roman" w:hAnsi="Times New Roman"/>
                <w:color w:val="auto"/>
                <w:sz w:val="21"/>
                <w:szCs w:val="21"/>
                <w:highlight w:val="none"/>
              </w:rPr>
              <w:t>按照《空气和废气监测分析方法》、《环境监测技术规范》的有关规定进行。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0" w:type="pct"/>
            <w:vMerge w:val="restart"/>
            <w:vAlign w:val="center"/>
          </w:tcPr>
          <w:p>
            <w:pPr>
              <w:pStyle w:val="105"/>
              <w:rPr>
                <w:color w:val="auto"/>
                <w:szCs w:val="21"/>
                <w:highlight w:val="none"/>
              </w:rPr>
            </w:pPr>
            <w:r>
              <w:rPr>
                <w:color w:val="auto"/>
                <w:szCs w:val="21"/>
                <w:highlight w:val="none"/>
              </w:rPr>
              <w:t>水环境应急环境监测</w:t>
            </w:r>
          </w:p>
        </w:tc>
        <w:tc>
          <w:tcPr>
            <w:tcW w:w="1159" w:type="pct"/>
            <w:vAlign w:val="center"/>
          </w:tcPr>
          <w:p>
            <w:pPr>
              <w:pStyle w:val="105"/>
              <w:rPr>
                <w:color w:val="auto"/>
                <w:szCs w:val="21"/>
                <w:highlight w:val="none"/>
              </w:rPr>
            </w:pPr>
            <w:r>
              <w:rPr>
                <w:color w:val="auto"/>
                <w:szCs w:val="21"/>
                <w:highlight w:val="none"/>
              </w:rPr>
              <w:t>监测因子</w:t>
            </w:r>
          </w:p>
        </w:tc>
        <w:tc>
          <w:tcPr>
            <w:tcW w:w="3241" w:type="pct"/>
            <w:vAlign w:val="center"/>
          </w:tcPr>
          <w:p>
            <w:pPr>
              <w:pStyle w:val="105"/>
              <w:rPr>
                <w:color w:val="auto"/>
                <w:szCs w:val="21"/>
                <w:highlight w:val="none"/>
              </w:rPr>
            </w:pPr>
            <w:r>
              <w:rPr>
                <w:rStyle w:val="122"/>
                <w:rFonts w:hint="default" w:ascii="Times New Roman" w:hAnsi="Times New Roman"/>
                <w:color w:val="auto"/>
                <w:sz w:val="21"/>
                <w:szCs w:val="21"/>
                <w:highlight w:val="none"/>
              </w:rPr>
              <w:t>根据事故范围选择适当的监测因子，事故则选择</w:t>
            </w:r>
            <w:r>
              <w:rPr>
                <w:rStyle w:val="139"/>
                <w:rFonts w:ascii="Times New Roman" w:hAnsi="Times New Roman"/>
                <w:color w:val="auto"/>
                <w:sz w:val="21"/>
                <w:szCs w:val="21"/>
                <w:highlight w:val="none"/>
              </w:rPr>
              <w:t>pH</w:t>
            </w:r>
            <w:r>
              <w:rPr>
                <w:rStyle w:val="122"/>
                <w:rFonts w:hint="default" w:ascii="Times New Roman" w:hAnsi="Times New Roman"/>
                <w:color w:val="auto"/>
                <w:sz w:val="21"/>
                <w:szCs w:val="21"/>
                <w:highlight w:val="none"/>
              </w:rPr>
              <w:t>、</w:t>
            </w:r>
            <w:r>
              <w:rPr>
                <w:rStyle w:val="139"/>
                <w:rFonts w:ascii="Times New Roman" w:hAnsi="Times New Roman"/>
                <w:color w:val="auto"/>
                <w:sz w:val="21"/>
                <w:szCs w:val="21"/>
                <w:highlight w:val="none"/>
              </w:rPr>
              <w:t>COD</w:t>
            </w:r>
            <w:r>
              <w:rPr>
                <w:rStyle w:val="122"/>
                <w:rFonts w:hint="default" w:ascii="Times New Roman" w:hAnsi="Times New Roman"/>
                <w:color w:val="auto"/>
                <w:sz w:val="21"/>
                <w:szCs w:val="21"/>
                <w:highlight w:val="none"/>
              </w:rPr>
              <w:t>、氨氮等。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0" w:type="pct"/>
            <w:vMerge w:val="continue"/>
            <w:vAlign w:val="center"/>
          </w:tcPr>
          <w:p>
            <w:pPr>
              <w:pStyle w:val="105"/>
              <w:rPr>
                <w:color w:val="auto"/>
                <w:szCs w:val="21"/>
                <w:highlight w:val="none"/>
              </w:rPr>
            </w:pPr>
          </w:p>
        </w:tc>
        <w:tc>
          <w:tcPr>
            <w:tcW w:w="1159" w:type="pct"/>
            <w:vAlign w:val="center"/>
          </w:tcPr>
          <w:p>
            <w:pPr>
              <w:pStyle w:val="105"/>
              <w:rPr>
                <w:color w:val="auto"/>
                <w:szCs w:val="21"/>
                <w:highlight w:val="none"/>
              </w:rPr>
            </w:pPr>
            <w:r>
              <w:rPr>
                <w:color w:val="auto"/>
                <w:szCs w:val="21"/>
                <w:highlight w:val="none"/>
              </w:rPr>
              <w:t>监测频率</w:t>
            </w:r>
          </w:p>
        </w:tc>
        <w:tc>
          <w:tcPr>
            <w:tcW w:w="3241" w:type="pct"/>
            <w:vAlign w:val="center"/>
          </w:tcPr>
          <w:p>
            <w:pPr>
              <w:pStyle w:val="105"/>
              <w:rPr>
                <w:color w:val="auto"/>
                <w:szCs w:val="21"/>
                <w:highlight w:val="none"/>
              </w:rPr>
            </w:pPr>
            <w:r>
              <w:rPr>
                <w:rStyle w:val="122"/>
                <w:rFonts w:hint="default" w:ascii="Times New Roman" w:hAnsi="Times New Roman"/>
                <w:color w:val="auto"/>
                <w:sz w:val="21"/>
                <w:szCs w:val="21"/>
                <w:highlight w:val="none"/>
              </w:rPr>
              <w:t>根据事故废水的去向布点监测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0" w:type="pct"/>
            <w:vMerge w:val="continue"/>
            <w:vAlign w:val="center"/>
          </w:tcPr>
          <w:p>
            <w:pPr>
              <w:pStyle w:val="105"/>
              <w:rPr>
                <w:color w:val="auto"/>
                <w:szCs w:val="21"/>
                <w:highlight w:val="none"/>
              </w:rPr>
            </w:pPr>
          </w:p>
        </w:tc>
        <w:tc>
          <w:tcPr>
            <w:tcW w:w="1159" w:type="pct"/>
            <w:vAlign w:val="center"/>
          </w:tcPr>
          <w:p>
            <w:pPr>
              <w:pStyle w:val="105"/>
              <w:rPr>
                <w:color w:val="auto"/>
                <w:szCs w:val="21"/>
                <w:highlight w:val="none"/>
              </w:rPr>
            </w:pPr>
            <w:r>
              <w:rPr>
                <w:color w:val="auto"/>
                <w:szCs w:val="21"/>
                <w:highlight w:val="none"/>
              </w:rPr>
              <w:t>监测布点</w:t>
            </w:r>
          </w:p>
        </w:tc>
        <w:tc>
          <w:tcPr>
            <w:tcW w:w="3241" w:type="pct"/>
            <w:vAlign w:val="center"/>
          </w:tcPr>
          <w:p>
            <w:pPr>
              <w:pStyle w:val="105"/>
              <w:rPr>
                <w:color w:val="auto"/>
                <w:szCs w:val="21"/>
                <w:highlight w:val="none"/>
              </w:rPr>
            </w:pPr>
            <w:r>
              <w:rPr>
                <w:rStyle w:val="122"/>
                <w:rFonts w:hint="default" w:ascii="Times New Roman" w:hAnsi="Times New Roman"/>
                <w:color w:val="auto"/>
                <w:sz w:val="21"/>
                <w:szCs w:val="21"/>
                <w:highlight w:val="none"/>
              </w:rPr>
              <w:t>按照事故持续时间决定监测时间，事故发生及处理过程中进行随时监测，过后</w:t>
            </w:r>
            <w:r>
              <w:rPr>
                <w:rStyle w:val="139"/>
                <w:rFonts w:ascii="Times New Roman" w:hAnsi="Times New Roman"/>
                <w:color w:val="auto"/>
                <w:sz w:val="21"/>
                <w:szCs w:val="21"/>
                <w:highlight w:val="none"/>
              </w:rPr>
              <w:t>20</w:t>
            </w:r>
            <w:r>
              <w:rPr>
                <w:rStyle w:val="122"/>
                <w:rFonts w:hint="default" w:ascii="Times New Roman" w:hAnsi="Times New Roman"/>
                <w:color w:val="auto"/>
                <w:sz w:val="21"/>
                <w:szCs w:val="21"/>
                <w:highlight w:val="none"/>
              </w:rPr>
              <w:t>分钟一次直到应急结束。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0" w:type="pct"/>
            <w:vMerge w:val="continue"/>
            <w:vAlign w:val="center"/>
          </w:tcPr>
          <w:p>
            <w:pPr>
              <w:pStyle w:val="105"/>
              <w:rPr>
                <w:color w:val="auto"/>
                <w:szCs w:val="21"/>
                <w:highlight w:val="none"/>
              </w:rPr>
            </w:pPr>
          </w:p>
        </w:tc>
        <w:tc>
          <w:tcPr>
            <w:tcW w:w="1159" w:type="pct"/>
            <w:vAlign w:val="center"/>
          </w:tcPr>
          <w:p>
            <w:pPr>
              <w:pStyle w:val="105"/>
              <w:rPr>
                <w:color w:val="auto"/>
                <w:szCs w:val="21"/>
                <w:highlight w:val="none"/>
              </w:rPr>
            </w:pPr>
            <w:r>
              <w:rPr>
                <w:color w:val="auto"/>
                <w:szCs w:val="21"/>
                <w:highlight w:val="none"/>
              </w:rPr>
              <w:t>采样分析、数据处理</w:t>
            </w:r>
          </w:p>
        </w:tc>
        <w:tc>
          <w:tcPr>
            <w:tcW w:w="3241" w:type="pct"/>
            <w:vAlign w:val="center"/>
          </w:tcPr>
          <w:p>
            <w:pPr>
              <w:pStyle w:val="105"/>
              <w:rPr>
                <w:color w:val="auto"/>
                <w:szCs w:val="21"/>
                <w:highlight w:val="none"/>
              </w:rPr>
            </w:pPr>
            <w:r>
              <w:rPr>
                <w:color w:val="auto"/>
                <w:szCs w:val="21"/>
                <w:highlight w:val="none"/>
              </w:rPr>
              <w:t>按照《环境水质监测质量保证手册》、《水和废水监测分析方法》的有关规定进行。</w:t>
            </w:r>
          </w:p>
        </w:tc>
      </w:tr>
    </w:tbl>
    <w:p>
      <w:pPr>
        <w:pStyle w:val="99"/>
        <w:ind w:firstLine="480"/>
        <w:rPr>
          <w:color w:val="auto"/>
          <w:sz w:val="21"/>
          <w:highlight w:val="none"/>
        </w:rPr>
      </w:pPr>
      <w:r>
        <w:rPr>
          <w:color w:val="auto"/>
          <w:highlight w:val="none"/>
        </w:rPr>
        <w:t>2、布点位置及频次</w:t>
      </w:r>
    </w:p>
    <w:p>
      <w:pPr>
        <w:pStyle w:val="99"/>
        <w:ind w:firstLine="480"/>
        <w:rPr>
          <w:color w:val="auto"/>
          <w:sz w:val="21"/>
          <w:highlight w:val="none"/>
        </w:rPr>
      </w:pPr>
      <w:r>
        <w:rPr>
          <w:color w:val="auto"/>
          <w:highlight w:val="none"/>
        </w:rPr>
        <w:t>厂区内发生事故后，首先可能受到影响区域的为厂区内，再次为厂区外及周边距离较近的村庄，大气监测布点的位置设置于发生事故的生产装置附近、厂界以及下风向距离厂界50m、100m和200m处进行布点，监测频次为事故发生及处理过程进行实时监测，过后20min一次直至应急结束。</w:t>
      </w:r>
    </w:p>
    <w:p>
      <w:pPr>
        <w:pStyle w:val="99"/>
        <w:ind w:firstLine="480"/>
        <w:rPr>
          <w:color w:val="auto"/>
          <w:sz w:val="21"/>
          <w:highlight w:val="none"/>
        </w:rPr>
      </w:pPr>
      <w:r>
        <w:rPr>
          <w:color w:val="auto"/>
          <w:highlight w:val="none"/>
        </w:rPr>
        <w:t>如事故废水泄漏至厂区外，在事故废水泄漏口、地表水下游等位置设置水环境监测点，事故发生及处理过程中进行时时监测，过后20min一次直至应急结束。</w:t>
      </w:r>
    </w:p>
    <w:p>
      <w:pPr>
        <w:pStyle w:val="99"/>
        <w:ind w:firstLine="480"/>
        <w:rPr>
          <w:color w:val="auto"/>
          <w:sz w:val="21"/>
          <w:highlight w:val="none"/>
        </w:rPr>
      </w:pPr>
      <w:r>
        <w:rPr>
          <w:color w:val="auto"/>
          <w:highlight w:val="none"/>
        </w:rPr>
        <w:t>3、监测人员防护措施</w:t>
      </w:r>
    </w:p>
    <w:p>
      <w:pPr>
        <w:pStyle w:val="99"/>
        <w:ind w:firstLine="480"/>
        <w:rPr>
          <w:color w:val="auto"/>
          <w:sz w:val="21"/>
          <w:highlight w:val="none"/>
        </w:rPr>
      </w:pPr>
      <w:r>
        <w:rPr>
          <w:color w:val="auto"/>
          <w:highlight w:val="none"/>
        </w:rPr>
        <w:t>根据事故发生的类型，确定监测人员是否采取防护措施，厂区内发生泄漏及火灾事故后，监测人员的防护措施应按照各危化品的泄漏防护措施进行防护，才能进入现场进行取样监测。</w:t>
      </w:r>
    </w:p>
    <w:p>
      <w:pPr>
        <w:pStyle w:val="101"/>
        <w:spacing w:before="78"/>
        <w:rPr>
          <w:rFonts w:ascii="Times New Roman" w:hAnsi="Times New Roman"/>
          <w:color w:val="auto"/>
          <w:highlight w:val="none"/>
        </w:rPr>
      </w:pPr>
      <w:bookmarkStart w:id="212" w:name="_Toc31283"/>
      <w:r>
        <w:rPr>
          <w:rFonts w:ascii="Times New Roman" w:hAnsi="Times New Roman"/>
          <w:color w:val="auto"/>
          <w:highlight w:val="none"/>
        </w:rPr>
        <w:t>5.</w:t>
      </w:r>
      <w:r>
        <w:rPr>
          <w:rFonts w:hint="eastAsia" w:ascii="Times New Roman" w:hAnsi="Times New Roman"/>
          <w:color w:val="auto"/>
          <w:highlight w:val="none"/>
        </w:rPr>
        <w:t>4</w:t>
      </w:r>
      <w:r>
        <w:rPr>
          <w:rFonts w:ascii="Times New Roman" w:hAnsi="Times New Roman"/>
          <w:color w:val="auto"/>
          <w:highlight w:val="none"/>
        </w:rPr>
        <w:t>.</w:t>
      </w:r>
      <w:r>
        <w:rPr>
          <w:rFonts w:hint="eastAsia" w:ascii="Times New Roman" w:hAnsi="Times New Roman"/>
          <w:color w:val="auto"/>
          <w:highlight w:val="none"/>
        </w:rPr>
        <w:t>5</w:t>
      </w:r>
      <w:r>
        <w:rPr>
          <w:rFonts w:ascii="Times New Roman" w:hAnsi="Times New Roman"/>
          <w:color w:val="auto"/>
          <w:highlight w:val="none"/>
        </w:rPr>
        <w:t>突发环境事件应急预案编制要求</w:t>
      </w:r>
      <w:bookmarkEnd w:id="212"/>
    </w:p>
    <w:p>
      <w:pPr>
        <w:pStyle w:val="99"/>
        <w:ind w:firstLine="480"/>
        <w:rPr>
          <w:color w:val="auto"/>
          <w:sz w:val="21"/>
          <w:highlight w:val="none"/>
        </w:rPr>
      </w:pPr>
      <w:r>
        <w:rPr>
          <w:color w:val="auto"/>
          <w:highlight w:val="none"/>
        </w:rPr>
        <w:t>根据《突发事件应急预案管理办法》（国办发[2013]101号）、《国家突发环境事件应急预案》（国办发[2014]119号）、《突发环境事件应急管理办法》（环境保护部令第34号）、《企业事业单位突发环境事件应急预案备案管理办法（试行）》（环发[2015]4号）的要求，拟建项目需要编制突发环境事件应急预案，应急预案的编制内容应包括预案适用范围、环境事件分类与分级、组织机构与职责、监控和预警、应急响应、应急保障、善后处置、预案管理与演练等内容。</w:t>
      </w:r>
    </w:p>
    <w:p>
      <w:pPr>
        <w:pStyle w:val="99"/>
        <w:ind w:firstLine="480"/>
        <w:rPr>
          <w:color w:val="auto"/>
          <w:sz w:val="21"/>
          <w:highlight w:val="none"/>
        </w:rPr>
      </w:pPr>
      <w:r>
        <w:rPr>
          <w:color w:val="auto"/>
          <w:highlight w:val="none"/>
        </w:rPr>
        <w:t>应急预案应明确企业、园区/区域、地方</w:t>
      </w:r>
      <w:r>
        <w:rPr>
          <w:rFonts w:hint="eastAsia"/>
          <w:color w:val="auto"/>
          <w:highlight w:val="none"/>
          <w:lang w:val="en-US" w:eastAsia="zh-CN"/>
        </w:rPr>
        <w:t>政府</w:t>
      </w:r>
      <w:r>
        <w:rPr>
          <w:color w:val="auto"/>
          <w:highlight w:val="none"/>
        </w:rPr>
        <w:t>环境风险体系。企业突发环境事件应急预案应体现分级响应、区域联动的原则，与地方政府突发环境事件应急预案相衔接，明确分级响应程序。</w:t>
      </w:r>
    </w:p>
    <w:p>
      <w:pPr>
        <w:pStyle w:val="99"/>
        <w:ind w:firstLine="480"/>
        <w:rPr>
          <w:color w:val="auto"/>
          <w:highlight w:val="none"/>
        </w:rPr>
      </w:pPr>
      <w:r>
        <w:rPr>
          <w:color w:val="auto"/>
          <w:highlight w:val="none"/>
        </w:rPr>
        <w:t>项目编制应急预案须按照《企业事业单位突发环境事件应急预案备案管理办法（试行）》的规定，组织召开预案评审工作，并进行备案，企业结合环境应急预案实施情况，至少每三年对环境应急预案进行一次回顾性评估，面临的环境风险发生重大变化、需要重新进行环境风险评估的、应急管理组织体系与职责发生重大变化的、环境应急监测预警及报告机制、应对流程和措施、应急保障措施发生重大变化、重要应急资源发生重大变化、在突发事件实际应对和应急演练中发现问题，需要对环境应急预案做出重大调整及其他需要修订的情况下，应急预案需要及时修订。</w:t>
      </w:r>
    </w:p>
    <w:p>
      <w:pPr>
        <w:pStyle w:val="103"/>
        <w:rPr>
          <w:rFonts w:ascii="Times New Roman" w:hAnsi="Times New Roman"/>
          <w:color w:val="auto"/>
          <w:highlight w:val="none"/>
        </w:rPr>
      </w:pPr>
      <w:r>
        <w:rPr>
          <w:rFonts w:ascii="Times New Roman" w:hAnsi="Times New Roman"/>
          <w:color w:val="auto"/>
          <w:highlight w:val="none"/>
        </w:rPr>
        <w:t>表5.</w:t>
      </w:r>
      <w:r>
        <w:rPr>
          <w:rFonts w:hint="eastAsia" w:ascii="Times New Roman" w:hAnsi="Times New Roman"/>
          <w:color w:val="auto"/>
          <w:highlight w:val="none"/>
        </w:rPr>
        <w:t>4</w:t>
      </w:r>
      <w:r>
        <w:rPr>
          <w:rFonts w:ascii="Times New Roman" w:hAnsi="Times New Roman"/>
          <w:color w:val="auto"/>
          <w:highlight w:val="none"/>
        </w:rPr>
        <w:t>-</w:t>
      </w:r>
      <w:r>
        <w:rPr>
          <w:rFonts w:hint="eastAsia" w:ascii="Times New Roman" w:hAnsi="Times New Roman"/>
          <w:color w:val="auto"/>
          <w:highlight w:val="none"/>
        </w:rPr>
        <w:t>3</w:t>
      </w:r>
      <w:r>
        <w:rPr>
          <w:rFonts w:ascii="Times New Roman" w:hAnsi="Times New Roman"/>
          <w:color w:val="auto"/>
          <w:highlight w:val="none"/>
        </w:rPr>
        <w:t xml:space="preserve">  突发环境事故应急预案纲要一览表</w:t>
      </w:r>
    </w:p>
    <w:tbl>
      <w:tblPr>
        <w:tblStyle w:val="59"/>
        <w:tblW w:w="907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37"/>
        <w:gridCol w:w="2268"/>
        <w:gridCol w:w="606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7" w:type="dxa"/>
            <w:vAlign w:val="center"/>
          </w:tcPr>
          <w:p>
            <w:pPr>
              <w:pStyle w:val="105"/>
              <w:rPr>
                <w:color w:val="auto"/>
                <w:highlight w:val="none"/>
              </w:rPr>
            </w:pPr>
            <w:r>
              <w:rPr>
                <w:color w:val="auto"/>
                <w:highlight w:val="none"/>
              </w:rPr>
              <w:t>序号</w:t>
            </w:r>
          </w:p>
        </w:tc>
        <w:tc>
          <w:tcPr>
            <w:tcW w:w="2268" w:type="dxa"/>
            <w:vAlign w:val="center"/>
          </w:tcPr>
          <w:p>
            <w:pPr>
              <w:pStyle w:val="105"/>
              <w:rPr>
                <w:color w:val="auto"/>
                <w:highlight w:val="none"/>
              </w:rPr>
            </w:pPr>
            <w:r>
              <w:rPr>
                <w:color w:val="auto"/>
                <w:highlight w:val="none"/>
              </w:rPr>
              <w:t>项目</w:t>
            </w:r>
          </w:p>
        </w:tc>
        <w:tc>
          <w:tcPr>
            <w:tcW w:w="6066" w:type="dxa"/>
            <w:vAlign w:val="center"/>
          </w:tcPr>
          <w:p>
            <w:pPr>
              <w:pStyle w:val="105"/>
              <w:rPr>
                <w:color w:val="auto"/>
                <w:highlight w:val="none"/>
              </w:rPr>
            </w:pPr>
            <w:r>
              <w:rPr>
                <w:color w:val="auto"/>
                <w:highlight w:val="none"/>
              </w:rPr>
              <w:t>内容及要求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7" w:type="dxa"/>
            <w:vAlign w:val="center"/>
          </w:tcPr>
          <w:p>
            <w:pPr>
              <w:pStyle w:val="105"/>
              <w:rPr>
                <w:color w:val="auto"/>
                <w:highlight w:val="none"/>
              </w:rPr>
            </w:pPr>
            <w:r>
              <w:rPr>
                <w:color w:val="auto"/>
                <w:highlight w:val="none"/>
              </w:rPr>
              <w:t>1</w:t>
            </w:r>
          </w:p>
        </w:tc>
        <w:tc>
          <w:tcPr>
            <w:tcW w:w="2268" w:type="dxa"/>
            <w:vAlign w:val="center"/>
          </w:tcPr>
          <w:p>
            <w:pPr>
              <w:pStyle w:val="105"/>
              <w:rPr>
                <w:color w:val="auto"/>
                <w:highlight w:val="none"/>
              </w:rPr>
            </w:pPr>
            <w:r>
              <w:rPr>
                <w:color w:val="auto"/>
                <w:highlight w:val="none"/>
              </w:rPr>
              <w:t>危险源概况</w:t>
            </w:r>
          </w:p>
        </w:tc>
        <w:tc>
          <w:tcPr>
            <w:tcW w:w="6066" w:type="dxa"/>
            <w:vAlign w:val="center"/>
          </w:tcPr>
          <w:p>
            <w:pPr>
              <w:pStyle w:val="105"/>
              <w:rPr>
                <w:color w:val="auto"/>
                <w:highlight w:val="none"/>
              </w:rPr>
            </w:pPr>
            <w:r>
              <w:rPr>
                <w:color w:val="auto"/>
                <w:highlight w:val="none"/>
              </w:rPr>
              <w:t>详述危险源类型、数量及其分布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7" w:type="dxa"/>
            <w:vAlign w:val="center"/>
          </w:tcPr>
          <w:p>
            <w:pPr>
              <w:pStyle w:val="105"/>
              <w:rPr>
                <w:color w:val="auto"/>
                <w:highlight w:val="none"/>
              </w:rPr>
            </w:pPr>
            <w:r>
              <w:rPr>
                <w:color w:val="auto"/>
                <w:highlight w:val="none"/>
              </w:rPr>
              <w:t>2</w:t>
            </w:r>
          </w:p>
        </w:tc>
        <w:tc>
          <w:tcPr>
            <w:tcW w:w="2268" w:type="dxa"/>
            <w:vAlign w:val="center"/>
          </w:tcPr>
          <w:p>
            <w:pPr>
              <w:pStyle w:val="105"/>
              <w:rPr>
                <w:color w:val="auto"/>
                <w:highlight w:val="none"/>
              </w:rPr>
            </w:pPr>
            <w:r>
              <w:rPr>
                <w:color w:val="auto"/>
                <w:highlight w:val="none"/>
              </w:rPr>
              <w:t>应急计划区</w:t>
            </w:r>
          </w:p>
        </w:tc>
        <w:tc>
          <w:tcPr>
            <w:tcW w:w="6066" w:type="dxa"/>
            <w:vAlign w:val="center"/>
          </w:tcPr>
          <w:p>
            <w:pPr>
              <w:pStyle w:val="105"/>
              <w:rPr>
                <w:color w:val="auto"/>
                <w:highlight w:val="none"/>
              </w:rPr>
            </w:pPr>
            <w:r>
              <w:rPr>
                <w:color w:val="auto"/>
                <w:highlight w:val="none"/>
              </w:rPr>
              <w:t>装置区、</w:t>
            </w:r>
            <w:r>
              <w:rPr>
                <w:rFonts w:hint="eastAsia"/>
                <w:color w:val="auto"/>
                <w:highlight w:val="none"/>
              </w:rPr>
              <w:t>微分暂存间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7" w:type="dxa"/>
            <w:vAlign w:val="center"/>
          </w:tcPr>
          <w:p>
            <w:pPr>
              <w:pStyle w:val="105"/>
              <w:rPr>
                <w:color w:val="auto"/>
                <w:highlight w:val="none"/>
              </w:rPr>
            </w:pPr>
            <w:r>
              <w:rPr>
                <w:color w:val="auto"/>
                <w:highlight w:val="none"/>
              </w:rPr>
              <w:t>3</w:t>
            </w:r>
          </w:p>
        </w:tc>
        <w:tc>
          <w:tcPr>
            <w:tcW w:w="2268" w:type="dxa"/>
            <w:vAlign w:val="center"/>
          </w:tcPr>
          <w:p>
            <w:pPr>
              <w:pStyle w:val="105"/>
              <w:rPr>
                <w:color w:val="auto"/>
                <w:highlight w:val="none"/>
              </w:rPr>
            </w:pPr>
            <w:r>
              <w:rPr>
                <w:color w:val="auto"/>
                <w:highlight w:val="none"/>
              </w:rPr>
              <w:t>应急组织</w:t>
            </w:r>
          </w:p>
        </w:tc>
        <w:tc>
          <w:tcPr>
            <w:tcW w:w="6066" w:type="dxa"/>
            <w:vAlign w:val="center"/>
          </w:tcPr>
          <w:p>
            <w:pPr>
              <w:pStyle w:val="105"/>
              <w:rPr>
                <w:color w:val="auto"/>
                <w:highlight w:val="none"/>
              </w:rPr>
            </w:pPr>
            <w:r>
              <w:rPr>
                <w:color w:val="auto"/>
                <w:highlight w:val="none"/>
              </w:rPr>
              <w:t>工厂：厂指挥部负责现场全面指挥；专业救援队伍负责事故控制、救援、善后处理</w:t>
            </w:r>
          </w:p>
          <w:p>
            <w:pPr>
              <w:pStyle w:val="105"/>
              <w:rPr>
                <w:color w:val="auto"/>
                <w:highlight w:val="none"/>
              </w:rPr>
            </w:pPr>
            <w:r>
              <w:rPr>
                <w:color w:val="auto"/>
                <w:highlight w:val="none"/>
              </w:rPr>
              <w:t>地区：地区指挥部负责工厂附近地区全面指挥、救援、管制、疏散；专业救援队伍负责对厂专业救援队伍的支援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7" w:type="dxa"/>
            <w:vAlign w:val="center"/>
          </w:tcPr>
          <w:p>
            <w:pPr>
              <w:pStyle w:val="105"/>
              <w:rPr>
                <w:color w:val="auto"/>
                <w:highlight w:val="none"/>
              </w:rPr>
            </w:pPr>
            <w:r>
              <w:rPr>
                <w:color w:val="auto"/>
                <w:highlight w:val="none"/>
              </w:rPr>
              <w:t>4</w:t>
            </w:r>
          </w:p>
        </w:tc>
        <w:tc>
          <w:tcPr>
            <w:tcW w:w="2268" w:type="dxa"/>
            <w:vAlign w:val="center"/>
          </w:tcPr>
          <w:p>
            <w:pPr>
              <w:pStyle w:val="105"/>
              <w:rPr>
                <w:color w:val="auto"/>
                <w:highlight w:val="none"/>
              </w:rPr>
            </w:pPr>
            <w:r>
              <w:rPr>
                <w:color w:val="auto"/>
                <w:highlight w:val="none"/>
              </w:rPr>
              <w:t>应急状态分类及应急响应程序</w:t>
            </w:r>
          </w:p>
        </w:tc>
        <w:tc>
          <w:tcPr>
            <w:tcW w:w="6066" w:type="dxa"/>
            <w:vAlign w:val="center"/>
          </w:tcPr>
          <w:p>
            <w:pPr>
              <w:pStyle w:val="105"/>
              <w:rPr>
                <w:color w:val="auto"/>
                <w:highlight w:val="none"/>
              </w:rPr>
            </w:pPr>
            <w:r>
              <w:rPr>
                <w:color w:val="auto"/>
                <w:highlight w:val="none"/>
              </w:rPr>
              <w:t>规定事故的级别及相应的应急分类响应程序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7" w:type="dxa"/>
            <w:vAlign w:val="center"/>
          </w:tcPr>
          <w:p>
            <w:pPr>
              <w:pStyle w:val="105"/>
              <w:rPr>
                <w:color w:val="auto"/>
                <w:highlight w:val="none"/>
              </w:rPr>
            </w:pPr>
            <w:r>
              <w:rPr>
                <w:color w:val="auto"/>
                <w:highlight w:val="none"/>
              </w:rPr>
              <w:t>5</w:t>
            </w:r>
          </w:p>
        </w:tc>
        <w:tc>
          <w:tcPr>
            <w:tcW w:w="2268" w:type="dxa"/>
            <w:vAlign w:val="center"/>
          </w:tcPr>
          <w:p>
            <w:pPr>
              <w:pStyle w:val="105"/>
              <w:rPr>
                <w:color w:val="auto"/>
                <w:highlight w:val="none"/>
              </w:rPr>
            </w:pPr>
            <w:r>
              <w:rPr>
                <w:color w:val="auto"/>
                <w:highlight w:val="none"/>
              </w:rPr>
              <w:t>应急设施、设备与材料</w:t>
            </w:r>
          </w:p>
        </w:tc>
        <w:tc>
          <w:tcPr>
            <w:tcW w:w="6066" w:type="dxa"/>
            <w:vAlign w:val="center"/>
          </w:tcPr>
          <w:p>
            <w:pPr>
              <w:pStyle w:val="105"/>
              <w:rPr>
                <w:color w:val="auto"/>
                <w:highlight w:val="none"/>
              </w:rPr>
            </w:pPr>
            <w:r>
              <w:rPr>
                <w:color w:val="auto"/>
                <w:highlight w:val="none"/>
              </w:rPr>
              <w:t>生产装置及罐区：防火灾、爆炸事故应急设施、设备及材料，主要为消防器材；防有毒有害物质外溢、扩散，主要是抗溶性泡沫、干粉、二氧化碳、喷淋设备等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7" w:type="dxa"/>
            <w:vAlign w:val="center"/>
          </w:tcPr>
          <w:p>
            <w:pPr>
              <w:pStyle w:val="105"/>
              <w:rPr>
                <w:color w:val="auto"/>
                <w:highlight w:val="none"/>
              </w:rPr>
            </w:pPr>
            <w:r>
              <w:rPr>
                <w:color w:val="auto"/>
                <w:highlight w:val="none"/>
              </w:rPr>
              <w:t>6</w:t>
            </w:r>
          </w:p>
        </w:tc>
        <w:tc>
          <w:tcPr>
            <w:tcW w:w="2268" w:type="dxa"/>
            <w:vAlign w:val="center"/>
          </w:tcPr>
          <w:p>
            <w:pPr>
              <w:pStyle w:val="105"/>
              <w:rPr>
                <w:color w:val="auto"/>
                <w:highlight w:val="none"/>
              </w:rPr>
            </w:pPr>
            <w:r>
              <w:rPr>
                <w:color w:val="auto"/>
                <w:highlight w:val="none"/>
              </w:rPr>
              <w:t>应急通讯、通知和交通</w:t>
            </w:r>
          </w:p>
        </w:tc>
        <w:tc>
          <w:tcPr>
            <w:tcW w:w="6066" w:type="dxa"/>
            <w:vAlign w:val="center"/>
          </w:tcPr>
          <w:p>
            <w:pPr>
              <w:pStyle w:val="105"/>
              <w:rPr>
                <w:color w:val="auto"/>
                <w:highlight w:val="none"/>
              </w:rPr>
            </w:pPr>
            <w:r>
              <w:rPr>
                <w:color w:val="auto"/>
                <w:highlight w:val="none"/>
              </w:rPr>
              <w:t>应急状态下的通讯方式、通知方式和交通保障、管制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7" w:type="dxa"/>
            <w:vAlign w:val="center"/>
          </w:tcPr>
          <w:p>
            <w:pPr>
              <w:pStyle w:val="105"/>
              <w:rPr>
                <w:color w:val="auto"/>
                <w:highlight w:val="none"/>
              </w:rPr>
            </w:pPr>
            <w:r>
              <w:rPr>
                <w:color w:val="auto"/>
                <w:highlight w:val="none"/>
              </w:rPr>
              <w:t>7</w:t>
            </w:r>
          </w:p>
        </w:tc>
        <w:tc>
          <w:tcPr>
            <w:tcW w:w="2268" w:type="dxa"/>
            <w:vAlign w:val="center"/>
          </w:tcPr>
          <w:p>
            <w:pPr>
              <w:pStyle w:val="105"/>
              <w:rPr>
                <w:color w:val="auto"/>
                <w:highlight w:val="none"/>
              </w:rPr>
            </w:pPr>
            <w:r>
              <w:rPr>
                <w:color w:val="auto"/>
                <w:highlight w:val="none"/>
              </w:rPr>
              <w:t>应急环境监测及事故后评估</w:t>
            </w:r>
          </w:p>
        </w:tc>
        <w:tc>
          <w:tcPr>
            <w:tcW w:w="6066" w:type="dxa"/>
            <w:vAlign w:val="center"/>
          </w:tcPr>
          <w:p>
            <w:pPr>
              <w:pStyle w:val="105"/>
              <w:rPr>
                <w:color w:val="auto"/>
                <w:highlight w:val="none"/>
              </w:rPr>
            </w:pPr>
            <w:r>
              <w:rPr>
                <w:color w:val="auto"/>
                <w:highlight w:val="none"/>
              </w:rPr>
              <w:t>由专业队伍负责对事故现场进行侦察监测，对事故性质、参数与后果进行评估，为指挥部门提供决策依据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7" w:type="dxa"/>
            <w:vAlign w:val="center"/>
          </w:tcPr>
          <w:p>
            <w:pPr>
              <w:pStyle w:val="105"/>
              <w:rPr>
                <w:color w:val="auto"/>
                <w:highlight w:val="none"/>
              </w:rPr>
            </w:pPr>
            <w:r>
              <w:rPr>
                <w:color w:val="auto"/>
                <w:highlight w:val="none"/>
              </w:rPr>
              <w:t>8</w:t>
            </w:r>
          </w:p>
        </w:tc>
        <w:tc>
          <w:tcPr>
            <w:tcW w:w="2268" w:type="dxa"/>
            <w:vAlign w:val="center"/>
          </w:tcPr>
          <w:p>
            <w:pPr>
              <w:pStyle w:val="105"/>
              <w:rPr>
                <w:color w:val="auto"/>
                <w:highlight w:val="none"/>
              </w:rPr>
            </w:pPr>
            <w:r>
              <w:rPr>
                <w:color w:val="auto"/>
                <w:highlight w:val="none"/>
              </w:rPr>
              <w:t>应急防范措施、清除泄漏措施方法和器材</w:t>
            </w:r>
          </w:p>
        </w:tc>
        <w:tc>
          <w:tcPr>
            <w:tcW w:w="6066" w:type="dxa"/>
            <w:vAlign w:val="center"/>
          </w:tcPr>
          <w:p>
            <w:pPr>
              <w:pStyle w:val="105"/>
              <w:rPr>
                <w:color w:val="auto"/>
                <w:highlight w:val="none"/>
              </w:rPr>
            </w:pPr>
            <w:r>
              <w:rPr>
                <w:color w:val="auto"/>
                <w:highlight w:val="none"/>
              </w:rPr>
              <w:t>事故现场：控制事故、防止扩大、蔓延及链锁反应；清除现场泄漏物，降低危害，相应的设施器材配备</w:t>
            </w:r>
          </w:p>
          <w:p>
            <w:pPr>
              <w:pStyle w:val="105"/>
              <w:rPr>
                <w:color w:val="auto"/>
                <w:highlight w:val="none"/>
              </w:rPr>
            </w:pPr>
            <w:r>
              <w:rPr>
                <w:color w:val="auto"/>
                <w:highlight w:val="none"/>
              </w:rPr>
              <w:t>邻近区域：控制和清除污染措施及相应设备配备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7" w:type="dxa"/>
            <w:vAlign w:val="center"/>
          </w:tcPr>
          <w:p>
            <w:pPr>
              <w:pStyle w:val="105"/>
              <w:rPr>
                <w:color w:val="auto"/>
                <w:highlight w:val="none"/>
              </w:rPr>
            </w:pPr>
            <w:r>
              <w:rPr>
                <w:color w:val="auto"/>
                <w:highlight w:val="none"/>
              </w:rPr>
              <w:t>9</w:t>
            </w:r>
          </w:p>
        </w:tc>
        <w:tc>
          <w:tcPr>
            <w:tcW w:w="2268" w:type="dxa"/>
            <w:vAlign w:val="center"/>
          </w:tcPr>
          <w:p>
            <w:pPr>
              <w:pStyle w:val="105"/>
              <w:rPr>
                <w:color w:val="auto"/>
                <w:highlight w:val="none"/>
              </w:rPr>
            </w:pPr>
            <w:r>
              <w:rPr>
                <w:color w:val="auto"/>
                <w:highlight w:val="none"/>
              </w:rPr>
              <w:t>应急状态终止与恢复措施</w:t>
            </w:r>
          </w:p>
        </w:tc>
        <w:tc>
          <w:tcPr>
            <w:tcW w:w="6066" w:type="dxa"/>
            <w:vAlign w:val="center"/>
          </w:tcPr>
          <w:p>
            <w:pPr>
              <w:pStyle w:val="105"/>
              <w:rPr>
                <w:color w:val="auto"/>
                <w:highlight w:val="none"/>
              </w:rPr>
            </w:pPr>
            <w:r>
              <w:rPr>
                <w:color w:val="auto"/>
                <w:highlight w:val="none"/>
              </w:rPr>
              <w:t>规定应急状态终止程序；事故现场善后处理，恢复措施；临近区域解除事故警戒及善后恢复措施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7" w:type="dxa"/>
            <w:vAlign w:val="center"/>
          </w:tcPr>
          <w:p>
            <w:pPr>
              <w:pStyle w:val="105"/>
              <w:rPr>
                <w:color w:val="auto"/>
                <w:highlight w:val="none"/>
              </w:rPr>
            </w:pPr>
            <w:r>
              <w:rPr>
                <w:color w:val="auto"/>
                <w:highlight w:val="none"/>
              </w:rPr>
              <w:t>10</w:t>
            </w:r>
          </w:p>
        </w:tc>
        <w:tc>
          <w:tcPr>
            <w:tcW w:w="2268" w:type="dxa"/>
            <w:vAlign w:val="center"/>
          </w:tcPr>
          <w:p>
            <w:pPr>
              <w:pStyle w:val="105"/>
              <w:rPr>
                <w:color w:val="auto"/>
                <w:highlight w:val="none"/>
              </w:rPr>
            </w:pPr>
            <w:r>
              <w:rPr>
                <w:color w:val="auto"/>
                <w:highlight w:val="none"/>
              </w:rPr>
              <w:t>人员培训与演练</w:t>
            </w:r>
          </w:p>
        </w:tc>
        <w:tc>
          <w:tcPr>
            <w:tcW w:w="6066" w:type="dxa"/>
            <w:vAlign w:val="center"/>
          </w:tcPr>
          <w:p>
            <w:pPr>
              <w:pStyle w:val="105"/>
              <w:rPr>
                <w:color w:val="auto"/>
                <w:highlight w:val="none"/>
              </w:rPr>
            </w:pPr>
            <w:r>
              <w:rPr>
                <w:color w:val="auto"/>
                <w:highlight w:val="none"/>
              </w:rPr>
              <w:t>应急计划制定后，平时安排人员培训与演练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7" w:type="dxa"/>
            <w:vAlign w:val="center"/>
          </w:tcPr>
          <w:p>
            <w:pPr>
              <w:pStyle w:val="105"/>
              <w:rPr>
                <w:color w:val="auto"/>
                <w:highlight w:val="none"/>
              </w:rPr>
            </w:pPr>
            <w:r>
              <w:rPr>
                <w:color w:val="auto"/>
                <w:highlight w:val="none"/>
              </w:rPr>
              <w:t>11</w:t>
            </w:r>
          </w:p>
        </w:tc>
        <w:tc>
          <w:tcPr>
            <w:tcW w:w="2268" w:type="dxa"/>
            <w:vAlign w:val="center"/>
          </w:tcPr>
          <w:p>
            <w:pPr>
              <w:pStyle w:val="105"/>
              <w:rPr>
                <w:color w:val="auto"/>
                <w:highlight w:val="none"/>
              </w:rPr>
            </w:pPr>
            <w:r>
              <w:rPr>
                <w:color w:val="auto"/>
                <w:highlight w:val="none"/>
              </w:rPr>
              <w:t>公众教育和信息</w:t>
            </w:r>
          </w:p>
        </w:tc>
        <w:tc>
          <w:tcPr>
            <w:tcW w:w="6066" w:type="dxa"/>
            <w:vAlign w:val="center"/>
          </w:tcPr>
          <w:p>
            <w:pPr>
              <w:pStyle w:val="105"/>
              <w:rPr>
                <w:color w:val="auto"/>
                <w:highlight w:val="none"/>
              </w:rPr>
            </w:pPr>
            <w:r>
              <w:rPr>
                <w:color w:val="auto"/>
                <w:highlight w:val="none"/>
              </w:rPr>
              <w:t>对工厂邻近地区开展公众教育、培训和发布有关信息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7" w:type="dxa"/>
            <w:vAlign w:val="center"/>
          </w:tcPr>
          <w:p>
            <w:pPr>
              <w:pStyle w:val="105"/>
              <w:rPr>
                <w:color w:val="auto"/>
                <w:highlight w:val="none"/>
              </w:rPr>
            </w:pPr>
            <w:r>
              <w:rPr>
                <w:color w:val="auto"/>
                <w:highlight w:val="none"/>
              </w:rPr>
              <w:t>12</w:t>
            </w:r>
          </w:p>
        </w:tc>
        <w:tc>
          <w:tcPr>
            <w:tcW w:w="2268" w:type="dxa"/>
            <w:vAlign w:val="center"/>
          </w:tcPr>
          <w:p>
            <w:pPr>
              <w:pStyle w:val="105"/>
              <w:rPr>
                <w:color w:val="auto"/>
                <w:highlight w:val="none"/>
              </w:rPr>
            </w:pPr>
            <w:r>
              <w:rPr>
                <w:color w:val="auto"/>
                <w:highlight w:val="none"/>
              </w:rPr>
              <w:t>记录和报告</w:t>
            </w:r>
          </w:p>
        </w:tc>
        <w:tc>
          <w:tcPr>
            <w:tcW w:w="6066" w:type="dxa"/>
            <w:vAlign w:val="center"/>
          </w:tcPr>
          <w:p>
            <w:pPr>
              <w:pStyle w:val="105"/>
              <w:rPr>
                <w:color w:val="auto"/>
                <w:highlight w:val="none"/>
              </w:rPr>
            </w:pPr>
            <w:r>
              <w:rPr>
                <w:color w:val="auto"/>
                <w:highlight w:val="none"/>
              </w:rPr>
              <w:t>设置应急事故专门记录，建档案和专门报告制度，设专门部门负责管理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7" w:type="dxa"/>
            <w:vAlign w:val="center"/>
          </w:tcPr>
          <w:p>
            <w:pPr>
              <w:pStyle w:val="105"/>
              <w:rPr>
                <w:color w:val="auto"/>
                <w:highlight w:val="none"/>
              </w:rPr>
            </w:pPr>
            <w:r>
              <w:rPr>
                <w:color w:val="auto"/>
                <w:highlight w:val="none"/>
              </w:rPr>
              <w:t>13</w:t>
            </w:r>
          </w:p>
        </w:tc>
        <w:tc>
          <w:tcPr>
            <w:tcW w:w="2268" w:type="dxa"/>
            <w:vAlign w:val="center"/>
          </w:tcPr>
          <w:p>
            <w:pPr>
              <w:pStyle w:val="105"/>
              <w:rPr>
                <w:color w:val="auto"/>
                <w:highlight w:val="none"/>
              </w:rPr>
            </w:pPr>
            <w:r>
              <w:rPr>
                <w:color w:val="auto"/>
                <w:highlight w:val="none"/>
              </w:rPr>
              <w:t>附件</w:t>
            </w:r>
          </w:p>
        </w:tc>
        <w:tc>
          <w:tcPr>
            <w:tcW w:w="6066" w:type="dxa"/>
            <w:vAlign w:val="center"/>
          </w:tcPr>
          <w:p>
            <w:pPr>
              <w:pStyle w:val="105"/>
              <w:rPr>
                <w:color w:val="auto"/>
                <w:highlight w:val="none"/>
              </w:rPr>
            </w:pPr>
            <w:r>
              <w:rPr>
                <w:color w:val="auto"/>
                <w:highlight w:val="none"/>
              </w:rPr>
              <w:t>与应急事故有关的多种附件材料的准备和形成</w:t>
            </w:r>
          </w:p>
        </w:tc>
      </w:tr>
    </w:tbl>
    <w:p>
      <w:pPr>
        <w:pStyle w:val="100"/>
        <w:spacing w:before="156"/>
        <w:rPr>
          <w:color w:val="auto"/>
          <w:highlight w:val="none"/>
        </w:rPr>
      </w:pPr>
      <w:bookmarkStart w:id="213" w:name="_Toc54732759"/>
      <w:bookmarkStart w:id="214" w:name="_Toc21838"/>
      <w:bookmarkStart w:id="215" w:name="_Toc66281301"/>
      <w:r>
        <w:rPr>
          <w:color w:val="auto"/>
          <w:highlight w:val="none"/>
        </w:rPr>
        <w:t>5.</w:t>
      </w:r>
      <w:r>
        <w:rPr>
          <w:rFonts w:hint="eastAsia"/>
          <w:color w:val="auto"/>
          <w:highlight w:val="none"/>
        </w:rPr>
        <w:t>5</w:t>
      </w:r>
      <w:r>
        <w:rPr>
          <w:color w:val="auto"/>
          <w:highlight w:val="none"/>
        </w:rPr>
        <w:t>小结</w:t>
      </w:r>
      <w:bookmarkEnd w:id="213"/>
      <w:bookmarkEnd w:id="214"/>
      <w:bookmarkEnd w:id="215"/>
    </w:p>
    <w:p>
      <w:pPr>
        <w:spacing w:line="360" w:lineRule="auto"/>
        <w:ind w:firstLine="480" w:firstLineChars="200"/>
        <w:rPr>
          <w:color w:val="auto"/>
          <w:sz w:val="24"/>
          <w:szCs w:val="24"/>
          <w:highlight w:val="none"/>
        </w:rPr>
      </w:pPr>
      <w:r>
        <w:rPr>
          <w:rFonts w:hint="eastAsia"/>
          <w:color w:val="auto"/>
          <w:sz w:val="24"/>
          <w:szCs w:val="24"/>
          <w:highlight w:val="none"/>
        </w:rPr>
        <w:t>本项目不存在重大风险源，在设计中充分考虑了各种危险因素和可能造成的危害，并采取了相应的处理措施，只要各工作岗位严格遵守岗位操作规程，避免误操作， 加强设备的维护和管理，可以在设计年限内平稳安全地运行。</w:t>
      </w:r>
    </w:p>
    <w:p>
      <w:pPr>
        <w:spacing w:line="360" w:lineRule="auto"/>
        <w:ind w:firstLine="480" w:firstLineChars="200"/>
        <w:rPr>
          <w:color w:val="auto"/>
          <w:sz w:val="24"/>
          <w:szCs w:val="24"/>
          <w:highlight w:val="none"/>
        </w:rPr>
      </w:pPr>
      <w:r>
        <w:rPr>
          <w:rFonts w:hint="eastAsia"/>
          <w:color w:val="auto"/>
          <w:sz w:val="24"/>
          <w:szCs w:val="24"/>
          <w:highlight w:val="none"/>
        </w:rPr>
        <w:t>从环境风险控制的角度来评价，经采取相应应急措施，能大大减少事故发生概率，并且如一旦发生事故，能迅速采取有力措施，减小对环境污染。其潜在的事故风险是可防可控的。</w:t>
      </w:r>
    </w:p>
    <w:p>
      <w:pPr>
        <w:spacing w:line="360" w:lineRule="auto"/>
        <w:ind w:firstLine="480" w:firstLineChars="200"/>
        <w:rPr>
          <w:color w:val="auto"/>
          <w:sz w:val="24"/>
          <w:highlight w:val="none"/>
        </w:rPr>
      </w:pPr>
      <w:r>
        <w:rPr>
          <w:rFonts w:hint="eastAsia"/>
          <w:color w:val="auto"/>
          <w:sz w:val="24"/>
          <w:szCs w:val="24"/>
          <w:highlight w:val="none"/>
        </w:rPr>
        <w:t>拟建项目环境风险简单分析内容表见表</w:t>
      </w:r>
      <w:r>
        <w:rPr>
          <w:color w:val="auto"/>
          <w:sz w:val="24"/>
          <w:highlight w:val="none"/>
        </w:rPr>
        <w:t>5.</w:t>
      </w:r>
      <w:r>
        <w:rPr>
          <w:rFonts w:hint="eastAsia"/>
          <w:color w:val="auto"/>
          <w:sz w:val="24"/>
          <w:highlight w:val="none"/>
        </w:rPr>
        <w:t>5</w:t>
      </w:r>
      <w:r>
        <w:rPr>
          <w:color w:val="auto"/>
          <w:sz w:val="24"/>
          <w:highlight w:val="none"/>
        </w:rPr>
        <w:t>-1。</w:t>
      </w:r>
    </w:p>
    <w:p>
      <w:pPr>
        <w:pStyle w:val="103"/>
        <w:rPr>
          <w:color w:val="auto"/>
          <w:sz w:val="22"/>
          <w:highlight w:val="none"/>
        </w:rPr>
      </w:pPr>
      <w:r>
        <w:rPr>
          <w:rFonts w:cs="黑体"/>
          <w:color w:val="auto"/>
          <w:spacing w:val="-3"/>
          <w:highlight w:val="none"/>
        </w:rPr>
        <w:t>表</w:t>
      </w:r>
      <w:r>
        <w:rPr>
          <w:rFonts w:eastAsia="Times New Roman"/>
          <w:color w:val="auto"/>
          <w:spacing w:val="-1"/>
          <w:highlight w:val="none"/>
        </w:rPr>
        <w:t>5.</w:t>
      </w:r>
      <w:r>
        <w:rPr>
          <w:rFonts w:hint="eastAsia" w:eastAsia="宋体"/>
          <w:color w:val="auto"/>
          <w:spacing w:val="-1"/>
          <w:highlight w:val="none"/>
        </w:rPr>
        <w:t>5</w:t>
      </w:r>
      <w:r>
        <w:rPr>
          <w:rFonts w:eastAsia="Times New Roman"/>
          <w:color w:val="auto"/>
          <w:spacing w:val="-1"/>
          <w:highlight w:val="none"/>
        </w:rPr>
        <w:t>-1</w:t>
      </w:r>
      <w:r>
        <w:rPr>
          <w:rFonts w:ascii="Times New Roman" w:hAnsi="Times New Roman" w:eastAsia="Times New Roman"/>
          <w:color w:val="auto"/>
          <w:spacing w:val="-14"/>
          <w:highlight w:val="none"/>
        </w:rPr>
        <w:t xml:space="preserve">    </w:t>
      </w:r>
      <w:r>
        <w:rPr>
          <w:color w:val="auto"/>
          <w:sz w:val="22"/>
          <w:highlight w:val="none"/>
        </w:rPr>
        <w:t>环境风险简单分析内容表</w:t>
      </w:r>
    </w:p>
    <w:tbl>
      <w:tblPr>
        <w:tblStyle w:val="5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97"/>
        <w:gridCol w:w="695"/>
        <w:gridCol w:w="1408"/>
        <w:gridCol w:w="1801"/>
        <w:gridCol w:w="1801"/>
        <w:gridCol w:w="18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2" w:type="pct"/>
            <w:vAlign w:val="center"/>
          </w:tcPr>
          <w:p>
            <w:pPr>
              <w:pStyle w:val="105"/>
              <w:rPr>
                <w:color w:val="auto"/>
                <w:szCs w:val="21"/>
                <w:highlight w:val="none"/>
              </w:rPr>
            </w:pPr>
            <w:r>
              <w:rPr>
                <w:color w:val="auto"/>
                <w:szCs w:val="21"/>
                <w:highlight w:val="none"/>
              </w:rPr>
              <w:t>建设项目名称</w:t>
            </w:r>
          </w:p>
        </w:tc>
        <w:tc>
          <w:tcPr>
            <w:tcW w:w="4168" w:type="pct"/>
            <w:gridSpan w:val="5"/>
            <w:vAlign w:val="center"/>
          </w:tcPr>
          <w:p>
            <w:pPr>
              <w:pStyle w:val="105"/>
              <w:rPr>
                <w:color w:val="auto"/>
                <w:szCs w:val="21"/>
                <w:highlight w:val="none"/>
              </w:rPr>
            </w:pPr>
            <w:r>
              <w:rPr>
                <w:rFonts w:hint="eastAsia"/>
                <w:color w:val="auto"/>
                <w:szCs w:val="21"/>
                <w:highlight w:val="none"/>
              </w:rPr>
              <w:t>山东付新环保科技有限公司绿色高性能复合管项目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2" w:type="pct"/>
            <w:vAlign w:val="center"/>
          </w:tcPr>
          <w:p>
            <w:pPr>
              <w:pStyle w:val="105"/>
              <w:rPr>
                <w:color w:val="auto"/>
                <w:szCs w:val="21"/>
                <w:highlight w:val="none"/>
              </w:rPr>
            </w:pPr>
            <w:r>
              <w:rPr>
                <w:color w:val="auto"/>
                <w:szCs w:val="21"/>
                <w:highlight w:val="none"/>
              </w:rPr>
              <w:t>建设地点</w:t>
            </w:r>
          </w:p>
        </w:tc>
        <w:tc>
          <w:tcPr>
            <w:tcW w:w="1168" w:type="pct"/>
            <w:gridSpan w:val="2"/>
            <w:vAlign w:val="center"/>
          </w:tcPr>
          <w:p>
            <w:pPr>
              <w:pStyle w:val="105"/>
              <w:rPr>
                <w:color w:val="auto"/>
                <w:szCs w:val="21"/>
                <w:highlight w:val="none"/>
              </w:rPr>
            </w:pPr>
            <w:r>
              <w:rPr>
                <w:color w:val="auto"/>
                <w:szCs w:val="21"/>
                <w:highlight w:val="none"/>
              </w:rPr>
              <w:t>山东省</w:t>
            </w:r>
          </w:p>
        </w:tc>
        <w:tc>
          <w:tcPr>
            <w:tcW w:w="1000" w:type="pct"/>
            <w:vAlign w:val="center"/>
          </w:tcPr>
          <w:p>
            <w:pPr>
              <w:pStyle w:val="105"/>
              <w:rPr>
                <w:color w:val="auto"/>
                <w:szCs w:val="21"/>
                <w:highlight w:val="none"/>
              </w:rPr>
            </w:pPr>
            <w:r>
              <w:rPr>
                <w:color w:val="auto"/>
                <w:szCs w:val="21"/>
                <w:highlight w:val="none"/>
              </w:rPr>
              <w:t>枣庄市</w:t>
            </w:r>
          </w:p>
        </w:tc>
        <w:tc>
          <w:tcPr>
            <w:tcW w:w="1000" w:type="pct"/>
            <w:vAlign w:val="center"/>
          </w:tcPr>
          <w:p>
            <w:pPr>
              <w:pStyle w:val="105"/>
              <w:rPr>
                <w:color w:val="auto"/>
                <w:szCs w:val="21"/>
                <w:highlight w:val="none"/>
              </w:rPr>
            </w:pPr>
            <w:r>
              <w:rPr>
                <w:rFonts w:hint="eastAsia"/>
                <w:color w:val="auto"/>
                <w:szCs w:val="21"/>
                <w:highlight w:val="none"/>
              </w:rPr>
              <w:t>峄城区</w:t>
            </w:r>
          </w:p>
        </w:tc>
        <w:tc>
          <w:tcPr>
            <w:tcW w:w="1000" w:type="pct"/>
            <w:vAlign w:val="center"/>
          </w:tcPr>
          <w:p>
            <w:pPr>
              <w:pStyle w:val="105"/>
              <w:rPr>
                <w:color w:val="auto"/>
                <w:szCs w:val="21"/>
                <w:highlight w:val="none"/>
              </w:rPr>
            </w:pPr>
            <w:r>
              <w:rPr>
                <w:rFonts w:hint="eastAsia"/>
                <w:color w:val="auto"/>
                <w:szCs w:val="21"/>
                <w:highlight w:val="none"/>
              </w:rPr>
              <w:t>峨山镇大官庄村西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2" w:type="pct"/>
            <w:vAlign w:val="center"/>
          </w:tcPr>
          <w:p>
            <w:pPr>
              <w:pStyle w:val="105"/>
              <w:rPr>
                <w:color w:val="auto"/>
                <w:szCs w:val="21"/>
                <w:highlight w:val="none"/>
              </w:rPr>
            </w:pPr>
            <w:r>
              <w:rPr>
                <w:color w:val="auto"/>
                <w:szCs w:val="21"/>
                <w:highlight w:val="none"/>
              </w:rPr>
              <w:t>地理坐标</w:t>
            </w:r>
          </w:p>
        </w:tc>
        <w:tc>
          <w:tcPr>
            <w:tcW w:w="1168" w:type="pct"/>
            <w:gridSpan w:val="2"/>
            <w:vAlign w:val="center"/>
          </w:tcPr>
          <w:p>
            <w:pPr>
              <w:pStyle w:val="105"/>
              <w:rPr>
                <w:color w:val="auto"/>
                <w:szCs w:val="21"/>
                <w:highlight w:val="none"/>
              </w:rPr>
            </w:pPr>
            <w:r>
              <w:rPr>
                <w:color w:val="auto"/>
                <w:szCs w:val="21"/>
                <w:highlight w:val="none"/>
              </w:rPr>
              <w:t>经度</w:t>
            </w:r>
          </w:p>
        </w:tc>
        <w:tc>
          <w:tcPr>
            <w:tcW w:w="1000" w:type="pct"/>
            <w:vAlign w:val="center"/>
          </w:tcPr>
          <w:p>
            <w:pPr>
              <w:pStyle w:val="105"/>
              <w:rPr>
                <w:color w:val="auto"/>
                <w:szCs w:val="21"/>
                <w:highlight w:val="none"/>
              </w:rPr>
            </w:pPr>
            <w:r>
              <w:rPr>
                <w:color w:val="auto"/>
                <w:szCs w:val="21"/>
                <w:highlight w:val="none"/>
              </w:rPr>
              <w:t>117.</w:t>
            </w:r>
            <w:r>
              <w:rPr>
                <w:rFonts w:hint="eastAsia"/>
                <w:color w:val="auto"/>
                <w:szCs w:val="21"/>
                <w:highlight w:val="none"/>
              </w:rPr>
              <w:t>665</w:t>
            </w:r>
          </w:p>
        </w:tc>
        <w:tc>
          <w:tcPr>
            <w:tcW w:w="1000" w:type="pct"/>
            <w:vAlign w:val="center"/>
          </w:tcPr>
          <w:p>
            <w:pPr>
              <w:pStyle w:val="105"/>
              <w:rPr>
                <w:color w:val="auto"/>
                <w:szCs w:val="21"/>
                <w:highlight w:val="none"/>
              </w:rPr>
            </w:pPr>
            <w:r>
              <w:rPr>
                <w:color w:val="auto"/>
                <w:szCs w:val="21"/>
                <w:highlight w:val="none"/>
              </w:rPr>
              <w:t>纬度</w:t>
            </w:r>
          </w:p>
        </w:tc>
        <w:tc>
          <w:tcPr>
            <w:tcW w:w="1000" w:type="pct"/>
            <w:vAlign w:val="center"/>
          </w:tcPr>
          <w:p>
            <w:pPr>
              <w:pStyle w:val="105"/>
              <w:rPr>
                <w:color w:val="auto"/>
                <w:szCs w:val="21"/>
                <w:highlight w:val="none"/>
              </w:rPr>
            </w:pPr>
            <w:r>
              <w:rPr>
                <w:rFonts w:hint="eastAsia"/>
                <w:color w:val="auto"/>
                <w:szCs w:val="21"/>
                <w:highlight w:val="none"/>
              </w:rPr>
              <w:t>34.767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2" w:type="pct"/>
            <w:vAlign w:val="center"/>
          </w:tcPr>
          <w:p>
            <w:pPr>
              <w:pStyle w:val="105"/>
              <w:rPr>
                <w:color w:val="auto"/>
                <w:szCs w:val="21"/>
                <w:highlight w:val="none"/>
              </w:rPr>
            </w:pPr>
            <w:r>
              <w:rPr>
                <w:color w:val="auto"/>
                <w:szCs w:val="21"/>
                <w:highlight w:val="none"/>
              </w:rPr>
              <w:t>主要危险物质及分布</w:t>
            </w:r>
          </w:p>
        </w:tc>
        <w:tc>
          <w:tcPr>
            <w:tcW w:w="4168" w:type="pct"/>
            <w:gridSpan w:val="5"/>
            <w:vAlign w:val="center"/>
          </w:tcPr>
          <w:p>
            <w:pPr>
              <w:pStyle w:val="105"/>
              <w:jc w:val="left"/>
              <w:rPr>
                <w:color w:val="auto"/>
                <w:szCs w:val="21"/>
                <w:highlight w:val="none"/>
              </w:rPr>
            </w:pPr>
            <w:r>
              <w:rPr>
                <w:color w:val="auto"/>
                <w:szCs w:val="21"/>
                <w:highlight w:val="none"/>
              </w:rPr>
              <w:t>1、主要危险物质为</w:t>
            </w:r>
            <w:r>
              <w:rPr>
                <w:rFonts w:hint="eastAsia"/>
                <w:color w:val="auto"/>
                <w:szCs w:val="21"/>
                <w:highlight w:val="none"/>
              </w:rPr>
              <w:t>废矿物油</w:t>
            </w:r>
            <w:r>
              <w:rPr>
                <w:color w:val="auto"/>
                <w:szCs w:val="21"/>
                <w:highlight w:val="none"/>
              </w:rPr>
              <w:t>。</w:t>
            </w:r>
          </w:p>
          <w:p>
            <w:pPr>
              <w:pStyle w:val="105"/>
              <w:jc w:val="both"/>
              <w:rPr>
                <w:color w:val="auto"/>
                <w:highlight w:val="none"/>
              </w:rPr>
            </w:pPr>
            <w:r>
              <w:rPr>
                <w:color w:val="auto"/>
                <w:highlight w:val="none"/>
              </w:rPr>
              <w:t>2、风险物质主要位于：</w:t>
            </w:r>
            <w:r>
              <w:rPr>
                <w:rFonts w:hint="eastAsia"/>
                <w:color w:val="auto"/>
                <w:highlight w:val="none"/>
              </w:rPr>
              <w:t>危废暂存间</w:t>
            </w:r>
            <w:r>
              <w:rPr>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2" w:type="pct"/>
            <w:vMerge w:val="restart"/>
            <w:vAlign w:val="center"/>
          </w:tcPr>
          <w:p>
            <w:pPr>
              <w:pStyle w:val="105"/>
              <w:rPr>
                <w:color w:val="auto"/>
                <w:szCs w:val="21"/>
                <w:highlight w:val="none"/>
              </w:rPr>
            </w:pPr>
            <w:r>
              <w:rPr>
                <w:color w:val="auto"/>
                <w:szCs w:val="21"/>
                <w:highlight w:val="none"/>
              </w:rPr>
              <w:t>环境影响途径及危害后果</w:t>
            </w:r>
          </w:p>
        </w:tc>
        <w:tc>
          <w:tcPr>
            <w:tcW w:w="386" w:type="pct"/>
            <w:vAlign w:val="center"/>
          </w:tcPr>
          <w:p>
            <w:pPr>
              <w:pStyle w:val="105"/>
              <w:rPr>
                <w:color w:val="auto"/>
                <w:szCs w:val="21"/>
                <w:highlight w:val="none"/>
              </w:rPr>
            </w:pPr>
            <w:r>
              <w:rPr>
                <w:color w:val="auto"/>
                <w:szCs w:val="21"/>
                <w:highlight w:val="none"/>
              </w:rPr>
              <w:t>大气</w:t>
            </w:r>
          </w:p>
        </w:tc>
        <w:tc>
          <w:tcPr>
            <w:tcW w:w="3782" w:type="pct"/>
            <w:gridSpan w:val="4"/>
            <w:vAlign w:val="center"/>
          </w:tcPr>
          <w:p>
            <w:pPr>
              <w:widowControl/>
              <w:jc w:val="left"/>
              <w:rPr>
                <w:color w:val="auto"/>
                <w:szCs w:val="21"/>
                <w:highlight w:val="none"/>
              </w:rPr>
            </w:pPr>
            <w:r>
              <w:rPr>
                <w:rStyle w:val="122"/>
                <w:rFonts w:hint="default" w:ascii="Times New Roman" w:hAnsi="Times New Roman"/>
                <w:color w:val="auto"/>
                <w:sz w:val="21"/>
                <w:szCs w:val="21"/>
                <w:highlight w:val="none"/>
              </w:rPr>
              <w:t>1</w:t>
            </w:r>
            <w:r>
              <w:rPr>
                <w:rStyle w:val="139"/>
                <w:color w:val="auto"/>
                <w:sz w:val="21"/>
                <w:szCs w:val="21"/>
                <w:highlight w:val="none"/>
              </w:rPr>
              <w:t>影响途径：物料泄露及发生火灾、爆炸对环境的污染影响主要来自物料燃烧释放的大量的有害气体。</w:t>
            </w:r>
          </w:p>
          <w:p>
            <w:pPr>
              <w:widowControl/>
              <w:jc w:val="left"/>
              <w:rPr>
                <w:color w:val="auto"/>
                <w:szCs w:val="21"/>
                <w:highlight w:val="none"/>
              </w:rPr>
            </w:pPr>
            <w:r>
              <w:rPr>
                <w:rStyle w:val="122"/>
                <w:rFonts w:hint="default" w:ascii="Times New Roman" w:hAnsi="Times New Roman"/>
                <w:color w:val="auto"/>
                <w:sz w:val="21"/>
                <w:szCs w:val="21"/>
                <w:highlight w:val="none"/>
              </w:rPr>
              <w:t>2</w:t>
            </w:r>
            <w:r>
              <w:rPr>
                <w:rStyle w:val="139"/>
                <w:color w:val="auto"/>
                <w:sz w:val="21"/>
                <w:szCs w:val="21"/>
                <w:highlight w:val="none"/>
              </w:rPr>
              <w:t>、危害后果：泄露、火灾、爆炸发生时虽不可避免的对厂区内人员安全与生产设施产生较大的不利影响，但泄露、火灾、爆炸发生时有害气体对周围敏感点环境空气质量只产生暂时性影响，短时内会造成周围敏感点环境空气质量一定成程度的恶化，但不会对人体健康造成损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2" w:type="pct"/>
            <w:vMerge w:val="continue"/>
            <w:vAlign w:val="center"/>
          </w:tcPr>
          <w:p>
            <w:pPr>
              <w:pStyle w:val="105"/>
              <w:rPr>
                <w:color w:val="auto"/>
                <w:szCs w:val="21"/>
                <w:highlight w:val="none"/>
              </w:rPr>
            </w:pPr>
          </w:p>
        </w:tc>
        <w:tc>
          <w:tcPr>
            <w:tcW w:w="386" w:type="pct"/>
            <w:vAlign w:val="center"/>
          </w:tcPr>
          <w:p>
            <w:pPr>
              <w:pStyle w:val="105"/>
              <w:rPr>
                <w:color w:val="auto"/>
                <w:szCs w:val="21"/>
                <w:highlight w:val="none"/>
              </w:rPr>
            </w:pPr>
            <w:r>
              <w:rPr>
                <w:color w:val="auto"/>
                <w:szCs w:val="21"/>
                <w:highlight w:val="none"/>
              </w:rPr>
              <w:t>地表水</w:t>
            </w:r>
          </w:p>
        </w:tc>
        <w:tc>
          <w:tcPr>
            <w:tcW w:w="3782" w:type="pct"/>
            <w:gridSpan w:val="4"/>
            <w:vAlign w:val="center"/>
          </w:tcPr>
          <w:p>
            <w:pPr>
              <w:widowControl/>
              <w:jc w:val="left"/>
              <w:rPr>
                <w:color w:val="auto"/>
                <w:szCs w:val="21"/>
                <w:highlight w:val="none"/>
              </w:rPr>
            </w:pPr>
            <w:r>
              <w:rPr>
                <w:rStyle w:val="122"/>
                <w:rFonts w:hint="default" w:ascii="Times New Roman" w:hAnsi="Times New Roman"/>
                <w:color w:val="auto"/>
                <w:sz w:val="21"/>
                <w:szCs w:val="21"/>
                <w:highlight w:val="none"/>
              </w:rPr>
              <w:t>1</w:t>
            </w:r>
            <w:r>
              <w:rPr>
                <w:rStyle w:val="123"/>
                <w:color w:val="auto"/>
                <w:sz w:val="21"/>
                <w:szCs w:val="21"/>
                <w:highlight w:val="none"/>
              </w:rPr>
              <w:t>、影响途径：项目风险物质管理不当引发火灾、爆炸及泄露事故，储存、使用及运输不当造成物料逸散及遇水引起的伴生</w:t>
            </w:r>
            <w:r>
              <w:rPr>
                <w:rStyle w:val="122"/>
                <w:rFonts w:hint="default" w:ascii="Times New Roman" w:hAnsi="Times New Roman"/>
                <w:color w:val="auto"/>
                <w:sz w:val="21"/>
                <w:szCs w:val="21"/>
                <w:highlight w:val="none"/>
              </w:rPr>
              <w:t>/</w:t>
            </w:r>
            <w:r>
              <w:rPr>
                <w:rStyle w:val="123"/>
                <w:color w:val="auto"/>
                <w:sz w:val="21"/>
                <w:szCs w:val="21"/>
                <w:highlight w:val="none"/>
              </w:rPr>
              <w:t>次生污染，污染物可能通过下渗、地表径流、地下径流污染周围水环境，灭火时产生的废水直接进入项目周围地表水。</w:t>
            </w:r>
          </w:p>
          <w:p>
            <w:pPr>
              <w:widowControl/>
              <w:jc w:val="left"/>
              <w:rPr>
                <w:color w:val="auto"/>
                <w:szCs w:val="21"/>
                <w:highlight w:val="none"/>
              </w:rPr>
            </w:pPr>
            <w:r>
              <w:rPr>
                <w:rStyle w:val="122"/>
                <w:rFonts w:hint="default" w:ascii="Times New Roman" w:hAnsi="Times New Roman"/>
                <w:color w:val="auto"/>
                <w:sz w:val="21"/>
                <w:szCs w:val="21"/>
                <w:highlight w:val="none"/>
              </w:rPr>
              <w:t>2</w:t>
            </w:r>
            <w:r>
              <w:rPr>
                <w:rStyle w:val="123"/>
                <w:color w:val="auto"/>
                <w:sz w:val="21"/>
                <w:szCs w:val="21"/>
                <w:highlight w:val="none"/>
              </w:rPr>
              <w:t>、危害后果：对项目区域地表水造成污染，拟建项目厂区设置事故水池，可预防事故废水泄漏至厂区外，对地表水质量影响较轻。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2" w:type="pct"/>
            <w:vMerge w:val="continue"/>
            <w:vAlign w:val="center"/>
          </w:tcPr>
          <w:p>
            <w:pPr>
              <w:pStyle w:val="105"/>
              <w:rPr>
                <w:color w:val="auto"/>
                <w:szCs w:val="21"/>
                <w:highlight w:val="none"/>
              </w:rPr>
            </w:pPr>
          </w:p>
        </w:tc>
        <w:tc>
          <w:tcPr>
            <w:tcW w:w="386" w:type="pct"/>
            <w:vAlign w:val="center"/>
          </w:tcPr>
          <w:p>
            <w:pPr>
              <w:pStyle w:val="105"/>
              <w:rPr>
                <w:color w:val="auto"/>
                <w:szCs w:val="21"/>
                <w:highlight w:val="none"/>
              </w:rPr>
            </w:pPr>
            <w:r>
              <w:rPr>
                <w:color w:val="auto"/>
                <w:szCs w:val="21"/>
                <w:highlight w:val="none"/>
              </w:rPr>
              <w:t>地下水</w:t>
            </w:r>
          </w:p>
        </w:tc>
        <w:tc>
          <w:tcPr>
            <w:tcW w:w="3782" w:type="pct"/>
            <w:gridSpan w:val="4"/>
            <w:vAlign w:val="center"/>
          </w:tcPr>
          <w:p>
            <w:pPr>
              <w:widowControl/>
              <w:jc w:val="left"/>
              <w:rPr>
                <w:color w:val="auto"/>
                <w:szCs w:val="21"/>
                <w:highlight w:val="none"/>
              </w:rPr>
            </w:pPr>
            <w:r>
              <w:rPr>
                <w:rStyle w:val="122"/>
                <w:rFonts w:hint="default" w:ascii="Times New Roman" w:hAnsi="Times New Roman"/>
                <w:color w:val="auto"/>
                <w:sz w:val="21"/>
                <w:szCs w:val="21"/>
                <w:highlight w:val="none"/>
              </w:rPr>
              <w:t>1</w:t>
            </w:r>
            <w:r>
              <w:rPr>
                <w:rStyle w:val="123"/>
                <w:color w:val="auto"/>
                <w:sz w:val="21"/>
                <w:szCs w:val="21"/>
                <w:highlight w:val="none"/>
              </w:rPr>
              <w:t>、影响途径：项目风险物质管理不当引发火灾、爆炸及泄露事故，储存、使用及运输不当造成物料逸散及遇水引起的伴生</w:t>
            </w:r>
            <w:r>
              <w:rPr>
                <w:rStyle w:val="122"/>
                <w:rFonts w:hint="default" w:ascii="Times New Roman" w:hAnsi="Times New Roman"/>
                <w:color w:val="auto"/>
                <w:sz w:val="21"/>
                <w:szCs w:val="21"/>
                <w:highlight w:val="none"/>
              </w:rPr>
              <w:t>/</w:t>
            </w:r>
            <w:r>
              <w:rPr>
                <w:rStyle w:val="123"/>
                <w:color w:val="auto"/>
                <w:sz w:val="21"/>
                <w:szCs w:val="21"/>
                <w:highlight w:val="none"/>
              </w:rPr>
              <w:t>次生污染，污染物可能通过下渗、地表径流、地下径流污染周围水环境；灭火时产生的废水下渗进入项目周围地下水。</w:t>
            </w:r>
          </w:p>
          <w:p>
            <w:pPr>
              <w:widowControl/>
              <w:jc w:val="left"/>
              <w:rPr>
                <w:color w:val="auto"/>
                <w:szCs w:val="21"/>
                <w:highlight w:val="none"/>
              </w:rPr>
            </w:pPr>
            <w:r>
              <w:rPr>
                <w:rStyle w:val="122"/>
                <w:rFonts w:hint="default" w:ascii="Times New Roman" w:hAnsi="Times New Roman"/>
                <w:color w:val="auto"/>
                <w:sz w:val="21"/>
                <w:szCs w:val="21"/>
                <w:highlight w:val="none"/>
              </w:rPr>
              <w:t>2</w:t>
            </w:r>
            <w:r>
              <w:rPr>
                <w:rStyle w:val="123"/>
                <w:color w:val="auto"/>
                <w:sz w:val="21"/>
                <w:szCs w:val="21"/>
                <w:highlight w:val="none"/>
              </w:rPr>
              <w:t>、危害后果：对项目区域地下水造成污染，拟建项目</w:t>
            </w:r>
            <w:r>
              <w:rPr>
                <w:rStyle w:val="123"/>
                <w:rFonts w:hint="eastAsia"/>
                <w:color w:val="auto"/>
                <w:sz w:val="21"/>
                <w:szCs w:val="21"/>
                <w:highlight w:val="none"/>
                <w:lang w:val="en-US" w:eastAsia="zh-CN"/>
              </w:rPr>
              <w:t>生产车间、</w:t>
            </w:r>
            <w:r>
              <w:rPr>
                <w:rStyle w:val="123"/>
                <w:color w:val="auto"/>
                <w:sz w:val="21"/>
                <w:szCs w:val="21"/>
                <w:highlight w:val="none"/>
              </w:rPr>
              <w:t>危废间、事故水池等区域地面均采取防渗措施，对地下水质量影响较轻。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2" w:type="pct"/>
            <w:vMerge w:val="continue"/>
            <w:vAlign w:val="center"/>
          </w:tcPr>
          <w:p>
            <w:pPr>
              <w:pStyle w:val="105"/>
              <w:rPr>
                <w:color w:val="auto"/>
                <w:szCs w:val="21"/>
                <w:highlight w:val="none"/>
              </w:rPr>
            </w:pPr>
          </w:p>
        </w:tc>
        <w:tc>
          <w:tcPr>
            <w:tcW w:w="386" w:type="pct"/>
            <w:vAlign w:val="center"/>
          </w:tcPr>
          <w:p>
            <w:pPr>
              <w:pStyle w:val="105"/>
              <w:rPr>
                <w:color w:val="auto"/>
                <w:szCs w:val="21"/>
                <w:highlight w:val="none"/>
              </w:rPr>
            </w:pPr>
            <w:r>
              <w:rPr>
                <w:color w:val="auto"/>
                <w:szCs w:val="21"/>
                <w:highlight w:val="none"/>
              </w:rPr>
              <w:t>土壤</w:t>
            </w:r>
          </w:p>
        </w:tc>
        <w:tc>
          <w:tcPr>
            <w:tcW w:w="3782" w:type="pct"/>
            <w:gridSpan w:val="4"/>
            <w:vAlign w:val="center"/>
          </w:tcPr>
          <w:p>
            <w:pPr>
              <w:widowControl/>
              <w:jc w:val="left"/>
              <w:rPr>
                <w:color w:val="auto"/>
                <w:szCs w:val="21"/>
                <w:highlight w:val="none"/>
              </w:rPr>
            </w:pPr>
            <w:r>
              <w:rPr>
                <w:rStyle w:val="122"/>
                <w:rFonts w:hint="default" w:ascii="Times New Roman" w:hAnsi="Times New Roman"/>
                <w:color w:val="auto"/>
                <w:sz w:val="21"/>
                <w:szCs w:val="21"/>
                <w:highlight w:val="none"/>
              </w:rPr>
              <w:t>1</w:t>
            </w:r>
            <w:r>
              <w:rPr>
                <w:rStyle w:val="123"/>
                <w:color w:val="auto"/>
                <w:sz w:val="21"/>
                <w:szCs w:val="21"/>
                <w:highlight w:val="none"/>
              </w:rPr>
              <w:t>、影响途径：项目消防废水中所含有害物质会改变土壤的性质和土壤结构，并将对土壤中微生物的活动产生影响。</w:t>
            </w:r>
          </w:p>
          <w:p>
            <w:pPr>
              <w:widowControl/>
              <w:jc w:val="left"/>
              <w:rPr>
                <w:color w:val="auto"/>
                <w:szCs w:val="21"/>
                <w:highlight w:val="none"/>
              </w:rPr>
            </w:pPr>
            <w:r>
              <w:rPr>
                <w:rStyle w:val="122"/>
                <w:rFonts w:hint="default" w:ascii="Times New Roman" w:hAnsi="Times New Roman"/>
                <w:color w:val="auto"/>
                <w:sz w:val="21"/>
                <w:szCs w:val="21"/>
                <w:highlight w:val="none"/>
              </w:rPr>
              <w:t>2</w:t>
            </w:r>
            <w:r>
              <w:rPr>
                <w:rStyle w:val="123"/>
                <w:color w:val="auto"/>
                <w:sz w:val="21"/>
                <w:szCs w:val="21"/>
                <w:highlight w:val="none"/>
              </w:rPr>
              <w:t>、危害后果：拟建项目</w:t>
            </w:r>
            <w:r>
              <w:rPr>
                <w:rStyle w:val="123"/>
                <w:rFonts w:hint="eastAsia"/>
                <w:color w:val="auto"/>
                <w:sz w:val="21"/>
                <w:szCs w:val="21"/>
                <w:highlight w:val="none"/>
                <w:lang w:val="en-US" w:eastAsia="zh-CN"/>
              </w:rPr>
              <w:t>生产车间</w:t>
            </w:r>
            <w:r>
              <w:rPr>
                <w:rStyle w:val="123"/>
                <w:color w:val="auto"/>
                <w:sz w:val="21"/>
                <w:szCs w:val="21"/>
                <w:highlight w:val="none"/>
              </w:rPr>
              <w:t>、危废间、事故水池等区域地面均采取防渗措施，对土壤质量影响较轻。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2" w:type="pct"/>
            <w:vMerge w:val="restart"/>
            <w:vAlign w:val="center"/>
          </w:tcPr>
          <w:p>
            <w:pPr>
              <w:pStyle w:val="105"/>
              <w:rPr>
                <w:color w:val="auto"/>
                <w:szCs w:val="21"/>
                <w:highlight w:val="none"/>
              </w:rPr>
            </w:pPr>
            <w:r>
              <w:rPr>
                <w:color w:val="auto"/>
                <w:szCs w:val="21"/>
                <w:highlight w:val="none"/>
              </w:rPr>
              <w:t>风险防范措施要求</w:t>
            </w:r>
          </w:p>
        </w:tc>
        <w:tc>
          <w:tcPr>
            <w:tcW w:w="386" w:type="pct"/>
            <w:vAlign w:val="center"/>
          </w:tcPr>
          <w:p>
            <w:pPr>
              <w:pStyle w:val="105"/>
              <w:rPr>
                <w:color w:val="auto"/>
                <w:szCs w:val="21"/>
                <w:highlight w:val="none"/>
              </w:rPr>
            </w:pPr>
            <w:r>
              <w:rPr>
                <w:color w:val="auto"/>
                <w:szCs w:val="21"/>
                <w:highlight w:val="none"/>
              </w:rPr>
              <w:t>大气环境风险防范措施</w:t>
            </w:r>
          </w:p>
        </w:tc>
        <w:tc>
          <w:tcPr>
            <w:tcW w:w="3782" w:type="pct"/>
            <w:gridSpan w:val="4"/>
            <w:vAlign w:val="center"/>
          </w:tcPr>
          <w:p>
            <w:pPr>
              <w:widowControl/>
              <w:jc w:val="left"/>
              <w:rPr>
                <w:color w:val="auto"/>
                <w:szCs w:val="21"/>
                <w:highlight w:val="none"/>
              </w:rPr>
            </w:pPr>
            <w:r>
              <w:rPr>
                <w:rStyle w:val="122"/>
                <w:rFonts w:hint="default" w:ascii="Times New Roman" w:hAnsi="Times New Roman"/>
                <w:color w:val="auto"/>
                <w:sz w:val="21"/>
                <w:szCs w:val="21"/>
                <w:highlight w:val="none"/>
              </w:rPr>
              <w:t>1</w:t>
            </w:r>
            <w:r>
              <w:rPr>
                <w:rStyle w:val="123"/>
                <w:color w:val="auto"/>
                <w:sz w:val="21"/>
                <w:szCs w:val="21"/>
                <w:highlight w:val="none"/>
              </w:rPr>
              <w:t>、总图布置时，充分考虑具有火灾危险性的建、构筑物的安全布局。</w:t>
            </w:r>
          </w:p>
          <w:p>
            <w:pPr>
              <w:widowControl/>
              <w:jc w:val="left"/>
              <w:rPr>
                <w:color w:val="auto"/>
                <w:szCs w:val="21"/>
                <w:highlight w:val="none"/>
              </w:rPr>
            </w:pPr>
            <w:r>
              <w:rPr>
                <w:rStyle w:val="122"/>
                <w:rFonts w:hint="default" w:ascii="Times New Roman" w:hAnsi="Times New Roman"/>
                <w:color w:val="auto"/>
                <w:sz w:val="21"/>
                <w:szCs w:val="21"/>
                <w:highlight w:val="none"/>
              </w:rPr>
              <w:t>2</w:t>
            </w:r>
            <w:r>
              <w:rPr>
                <w:rStyle w:val="123"/>
                <w:color w:val="auto"/>
                <w:sz w:val="21"/>
                <w:szCs w:val="21"/>
                <w:highlight w:val="none"/>
              </w:rPr>
              <w:t>、建筑上遵守国家现行的技术规范和规定。</w:t>
            </w:r>
          </w:p>
          <w:p>
            <w:pPr>
              <w:widowControl/>
              <w:jc w:val="left"/>
              <w:rPr>
                <w:color w:val="auto"/>
                <w:szCs w:val="21"/>
                <w:highlight w:val="none"/>
              </w:rPr>
            </w:pPr>
            <w:r>
              <w:rPr>
                <w:rStyle w:val="122"/>
                <w:rFonts w:hint="default" w:ascii="Times New Roman" w:hAnsi="Times New Roman"/>
                <w:color w:val="auto"/>
                <w:sz w:val="21"/>
                <w:szCs w:val="21"/>
                <w:highlight w:val="none"/>
              </w:rPr>
              <w:t>3</w:t>
            </w:r>
            <w:r>
              <w:rPr>
                <w:rStyle w:val="123"/>
                <w:color w:val="auto"/>
                <w:sz w:val="21"/>
                <w:szCs w:val="21"/>
                <w:highlight w:val="none"/>
              </w:rPr>
              <w:t>、严格设备选型选材，选择正确的建构筑物结构、设备连接方式、密封装置和相应的其他保护措施；把好采购、招标的物资进厂关，确保设备、管线的质量；</w:t>
            </w:r>
          </w:p>
          <w:p>
            <w:pPr>
              <w:widowControl/>
              <w:jc w:val="left"/>
              <w:rPr>
                <w:color w:val="auto"/>
                <w:szCs w:val="21"/>
                <w:highlight w:val="none"/>
              </w:rPr>
            </w:pPr>
            <w:r>
              <w:rPr>
                <w:rStyle w:val="122"/>
                <w:rFonts w:hint="default" w:ascii="Times New Roman" w:hAnsi="Times New Roman"/>
                <w:color w:val="auto"/>
                <w:sz w:val="21"/>
                <w:szCs w:val="21"/>
                <w:highlight w:val="none"/>
              </w:rPr>
              <w:t>4</w:t>
            </w:r>
            <w:r>
              <w:rPr>
                <w:rStyle w:val="123"/>
                <w:color w:val="auto"/>
                <w:sz w:val="21"/>
                <w:szCs w:val="21"/>
                <w:highlight w:val="none"/>
              </w:rPr>
              <w:t>、参考《石油化工工程防渗技术规范》（</w:t>
            </w:r>
            <w:r>
              <w:rPr>
                <w:rStyle w:val="122"/>
                <w:rFonts w:hint="default" w:ascii="Times New Roman" w:hAnsi="Times New Roman"/>
                <w:color w:val="auto"/>
                <w:sz w:val="21"/>
                <w:szCs w:val="21"/>
                <w:highlight w:val="none"/>
              </w:rPr>
              <w:t>GB/T50934-2013</w:t>
            </w:r>
            <w:r>
              <w:rPr>
                <w:rStyle w:val="123"/>
                <w:color w:val="auto"/>
                <w:sz w:val="21"/>
                <w:szCs w:val="21"/>
                <w:highlight w:val="none"/>
              </w:rPr>
              <w:t>）的要求，对危废间、事故水池、生产车间等区域地面进行防渗；</w:t>
            </w:r>
          </w:p>
          <w:p>
            <w:pPr>
              <w:widowControl/>
              <w:jc w:val="left"/>
              <w:rPr>
                <w:color w:val="auto"/>
                <w:szCs w:val="21"/>
                <w:highlight w:val="none"/>
              </w:rPr>
            </w:pPr>
            <w:r>
              <w:rPr>
                <w:rStyle w:val="122"/>
                <w:rFonts w:hint="default" w:ascii="Times New Roman" w:hAnsi="Times New Roman"/>
                <w:color w:val="auto"/>
                <w:sz w:val="21"/>
                <w:szCs w:val="21"/>
                <w:highlight w:val="none"/>
              </w:rPr>
              <w:t>5</w:t>
            </w:r>
            <w:r>
              <w:rPr>
                <w:rStyle w:val="123"/>
                <w:color w:val="auto"/>
                <w:sz w:val="21"/>
                <w:szCs w:val="21"/>
                <w:highlight w:val="none"/>
              </w:rPr>
              <w:t>、设备设置静电接地装置及防雷接地装置，并定期检查，保证设备正常使用。</w:t>
            </w:r>
          </w:p>
          <w:p>
            <w:pPr>
              <w:widowControl/>
              <w:jc w:val="left"/>
              <w:rPr>
                <w:color w:val="auto"/>
                <w:szCs w:val="21"/>
                <w:highlight w:val="none"/>
              </w:rPr>
            </w:pPr>
            <w:r>
              <w:rPr>
                <w:rStyle w:val="122"/>
                <w:rFonts w:hint="default" w:ascii="Times New Roman" w:hAnsi="Times New Roman"/>
                <w:color w:val="auto"/>
                <w:sz w:val="21"/>
                <w:szCs w:val="21"/>
                <w:highlight w:val="none"/>
              </w:rPr>
              <w:t>6</w:t>
            </w:r>
            <w:r>
              <w:rPr>
                <w:rStyle w:val="123"/>
                <w:color w:val="auto"/>
                <w:sz w:val="21"/>
                <w:szCs w:val="21"/>
                <w:highlight w:val="none"/>
              </w:rPr>
              <w:t>、安装火灾报警仪。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2" w:type="pct"/>
            <w:vMerge w:val="continue"/>
            <w:vAlign w:val="center"/>
          </w:tcPr>
          <w:p>
            <w:pPr>
              <w:pStyle w:val="105"/>
              <w:rPr>
                <w:color w:val="auto"/>
                <w:szCs w:val="21"/>
                <w:highlight w:val="none"/>
              </w:rPr>
            </w:pPr>
          </w:p>
        </w:tc>
        <w:tc>
          <w:tcPr>
            <w:tcW w:w="386" w:type="pct"/>
            <w:vAlign w:val="center"/>
          </w:tcPr>
          <w:p>
            <w:pPr>
              <w:pStyle w:val="105"/>
              <w:rPr>
                <w:color w:val="auto"/>
                <w:szCs w:val="21"/>
                <w:highlight w:val="none"/>
              </w:rPr>
            </w:pPr>
            <w:r>
              <w:rPr>
                <w:color w:val="auto"/>
                <w:szCs w:val="21"/>
                <w:highlight w:val="none"/>
              </w:rPr>
              <w:t>水环境风险防范措施</w:t>
            </w:r>
          </w:p>
        </w:tc>
        <w:tc>
          <w:tcPr>
            <w:tcW w:w="3782" w:type="pct"/>
            <w:gridSpan w:val="4"/>
            <w:vAlign w:val="center"/>
          </w:tcPr>
          <w:p>
            <w:pPr>
              <w:widowControl/>
              <w:jc w:val="left"/>
              <w:rPr>
                <w:color w:val="auto"/>
                <w:szCs w:val="21"/>
                <w:highlight w:val="none"/>
              </w:rPr>
            </w:pPr>
            <w:r>
              <w:rPr>
                <w:rStyle w:val="122"/>
                <w:rFonts w:hint="default" w:ascii="Times New Roman" w:hAnsi="Times New Roman"/>
                <w:color w:val="auto"/>
                <w:sz w:val="21"/>
                <w:szCs w:val="21"/>
                <w:highlight w:val="none"/>
              </w:rPr>
              <w:t>1</w:t>
            </w:r>
            <w:r>
              <w:rPr>
                <w:rStyle w:val="123"/>
                <w:color w:val="auto"/>
                <w:sz w:val="21"/>
                <w:szCs w:val="21"/>
                <w:highlight w:val="none"/>
              </w:rPr>
              <w:t>、分区防渗，拟建项目危废间、事故水池等进行重点防渗。</w:t>
            </w:r>
          </w:p>
          <w:p>
            <w:pPr>
              <w:widowControl/>
              <w:jc w:val="left"/>
              <w:rPr>
                <w:color w:val="auto"/>
                <w:szCs w:val="21"/>
                <w:highlight w:val="none"/>
              </w:rPr>
            </w:pPr>
            <w:r>
              <w:rPr>
                <w:rStyle w:val="122"/>
                <w:rFonts w:hint="default" w:ascii="Times New Roman" w:hAnsi="Times New Roman"/>
                <w:color w:val="auto"/>
                <w:sz w:val="21"/>
                <w:szCs w:val="21"/>
                <w:highlight w:val="none"/>
              </w:rPr>
              <w:t>2</w:t>
            </w:r>
            <w:r>
              <w:rPr>
                <w:rStyle w:val="123"/>
                <w:color w:val="auto"/>
                <w:sz w:val="21"/>
                <w:szCs w:val="21"/>
                <w:highlight w:val="none"/>
              </w:rPr>
              <w:t>、在生产区、仓储区、工业固废贮存场所四周设废水收集系统，收集系统与事故水池相连。</w:t>
            </w:r>
          </w:p>
          <w:p>
            <w:pPr>
              <w:widowControl/>
              <w:jc w:val="left"/>
              <w:rPr>
                <w:color w:val="auto"/>
                <w:szCs w:val="21"/>
                <w:highlight w:val="none"/>
              </w:rPr>
            </w:pPr>
            <w:r>
              <w:rPr>
                <w:rStyle w:val="122"/>
                <w:rFonts w:hint="default" w:ascii="Times New Roman" w:hAnsi="Times New Roman"/>
                <w:color w:val="auto"/>
                <w:sz w:val="21"/>
                <w:szCs w:val="21"/>
                <w:highlight w:val="none"/>
              </w:rPr>
              <w:t>3</w:t>
            </w:r>
            <w:r>
              <w:rPr>
                <w:rStyle w:val="123"/>
                <w:color w:val="auto"/>
                <w:sz w:val="21"/>
                <w:szCs w:val="21"/>
                <w:highlight w:val="none"/>
              </w:rPr>
              <w:t>、火灾报警系统：全厂采用电话报警，报警至消防站。</w:t>
            </w:r>
          </w:p>
          <w:p>
            <w:pPr>
              <w:widowControl/>
              <w:jc w:val="left"/>
              <w:rPr>
                <w:color w:val="auto"/>
                <w:szCs w:val="21"/>
                <w:highlight w:val="none"/>
              </w:rPr>
            </w:pPr>
            <w:r>
              <w:rPr>
                <w:rStyle w:val="122"/>
                <w:rFonts w:hint="default" w:ascii="Times New Roman" w:hAnsi="Times New Roman"/>
                <w:color w:val="auto"/>
                <w:sz w:val="21"/>
                <w:szCs w:val="21"/>
                <w:highlight w:val="none"/>
              </w:rPr>
              <w:t>4</w:t>
            </w:r>
            <w:r>
              <w:rPr>
                <w:rStyle w:val="123"/>
                <w:color w:val="auto"/>
                <w:sz w:val="21"/>
                <w:szCs w:val="21"/>
                <w:highlight w:val="none"/>
              </w:rPr>
              <w:t>、消防用电设备配电线路应设置单独的供电回路。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2" w:type="pct"/>
            <w:vMerge w:val="continue"/>
            <w:vAlign w:val="center"/>
          </w:tcPr>
          <w:p>
            <w:pPr>
              <w:pStyle w:val="105"/>
              <w:rPr>
                <w:color w:val="auto"/>
                <w:szCs w:val="21"/>
                <w:highlight w:val="none"/>
              </w:rPr>
            </w:pPr>
          </w:p>
        </w:tc>
        <w:tc>
          <w:tcPr>
            <w:tcW w:w="386" w:type="pct"/>
            <w:vAlign w:val="center"/>
          </w:tcPr>
          <w:p>
            <w:pPr>
              <w:pStyle w:val="105"/>
              <w:rPr>
                <w:color w:val="auto"/>
                <w:szCs w:val="21"/>
                <w:highlight w:val="none"/>
              </w:rPr>
            </w:pPr>
            <w:r>
              <w:rPr>
                <w:color w:val="auto"/>
                <w:szCs w:val="21"/>
                <w:highlight w:val="none"/>
              </w:rPr>
              <w:t>环境风险源监控</w:t>
            </w:r>
          </w:p>
        </w:tc>
        <w:tc>
          <w:tcPr>
            <w:tcW w:w="3782" w:type="pct"/>
            <w:gridSpan w:val="4"/>
            <w:vAlign w:val="center"/>
          </w:tcPr>
          <w:p>
            <w:pPr>
              <w:widowControl/>
              <w:jc w:val="left"/>
              <w:rPr>
                <w:color w:val="auto"/>
                <w:szCs w:val="21"/>
                <w:highlight w:val="none"/>
              </w:rPr>
            </w:pPr>
            <w:r>
              <w:rPr>
                <w:rStyle w:val="122"/>
                <w:rFonts w:hint="default" w:ascii="Times New Roman" w:hAnsi="Times New Roman"/>
                <w:color w:val="auto"/>
                <w:sz w:val="21"/>
                <w:szCs w:val="21"/>
                <w:highlight w:val="none"/>
              </w:rPr>
              <w:t>1</w:t>
            </w:r>
            <w:r>
              <w:rPr>
                <w:rStyle w:val="123"/>
                <w:color w:val="auto"/>
                <w:sz w:val="21"/>
                <w:szCs w:val="21"/>
                <w:highlight w:val="none"/>
              </w:rPr>
              <w:t>、建立危险源管理制度，落实监控措施。</w:t>
            </w:r>
          </w:p>
          <w:p>
            <w:pPr>
              <w:widowControl/>
              <w:jc w:val="left"/>
              <w:rPr>
                <w:color w:val="auto"/>
                <w:szCs w:val="21"/>
                <w:highlight w:val="none"/>
              </w:rPr>
            </w:pPr>
            <w:r>
              <w:rPr>
                <w:rStyle w:val="122"/>
                <w:rFonts w:hint="default" w:ascii="Times New Roman" w:hAnsi="Times New Roman"/>
                <w:color w:val="auto"/>
                <w:sz w:val="21"/>
                <w:szCs w:val="21"/>
                <w:highlight w:val="none"/>
              </w:rPr>
              <w:t>2</w:t>
            </w:r>
            <w:r>
              <w:rPr>
                <w:rStyle w:val="123"/>
                <w:color w:val="auto"/>
                <w:sz w:val="21"/>
                <w:szCs w:val="21"/>
                <w:highlight w:val="none"/>
              </w:rPr>
              <w:t>、在各危险源安装摄像头进行实施监控。</w:t>
            </w:r>
          </w:p>
          <w:p>
            <w:pPr>
              <w:widowControl/>
              <w:jc w:val="left"/>
              <w:rPr>
                <w:color w:val="auto"/>
                <w:szCs w:val="21"/>
                <w:highlight w:val="none"/>
              </w:rPr>
            </w:pPr>
            <w:r>
              <w:rPr>
                <w:rStyle w:val="122"/>
                <w:rFonts w:hint="default" w:ascii="Times New Roman" w:hAnsi="Times New Roman"/>
                <w:color w:val="auto"/>
                <w:sz w:val="21"/>
                <w:szCs w:val="21"/>
                <w:highlight w:val="none"/>
              </w:rPr>
              <w:t>3</w:t>
            </w:r>
            <w:r>
              <w:rPr>
                <w:rStyle w:val="123"/>
                <w:color w:val="auto"/>
                <w:sz w:val="21"/>
                <w:szCs w:val="21"/>
                <w:highlight w:val="none"/>
              </w:rPr>
              <w:t>、建立危险源台账、档案。</w:t>
            </w:r>
          </w:p>
          <w:p>
            <w:pPr>
              <w:widowControl/>
              <w:jc w:val="left"/>
              <w:rPr>
                <w:color w:val="auto"/>
                <w:szCs w:val="21"/>
                <w:highlight w:val="none"/>
              </w:rPr>
            </w:pPr>
            <w:r>
              <w:rPr>
                <w:rStyle w:val="122"/>
                <w:rFonts w:hint="default" w:ascii="Times New Roman" w:hAnsi="Times New Roman"/>
                <w:color w:val="auto"/>
                <w:sz w:val="21"/>
                <w:szCs w:val="21"/>
                <w:highlight w:val="none"/>
              </w:rPr>
              <w:t>4</w:t>
            </w:r>
            <w:r>
              <w:rPr>
                <w:rStyle w:val="123"/>
                <w:color w:val="auto"/>
                <w:sz w:val="21"/>
                <w:szCs w:val="21"/>
                <w:highlight w:val="none"/>
              </w:rPr>
              <w:t>、需对生产装置废气排放口定期进行监测；</w:t>
            </w:r>
          </w:p>
          <w:p>
            <w:pPr>
              <w:widowControl/>
              <w:jc w:val="left"/>
              <w:rPr>
                <w:color w:val="auto"/>
                <w:szCs w:val="21"/>
                <w:highlight w:val="none"/>
              </w:rPr>
            </w:pPr>
            <w:r>
              <w:rPr>
                <w:rStyle w:val="122"/>
                <w:rFonts w:hint="default" w:ascii="Times New Roman" w:hAnsi="Times New Roman"/>
                <w:color w:val="auto"/>
                <w:sz w:val="21"/>
                <w:szCs w:val="21"/>
                <w:highlight w:val="none"/>
              </w:rPr>
              <w:t>5</w:t>
            </w:r>
            <w:r>
              <w:rPr>
                <w:rStyle w:val="123"/>
                <w:color w:val="auto"/>
                <w:sz w:val="21"/>
                <w:szCs w:val="21"/>
                <w:highlight w:val="none"/>
              </w:rPr>
              <w:t>、全厂每年一次防雷防静电检测。</w:t>
            </w:r>
          </w:p>
          <w:p>
            <w:pPr>
              <w:widowControl/>
              <w:jc w:val="left"/>
              <w:rPr>
                <w:color w:val="auto"/>
                <w:szCs w:val="21"/>
                <w:highlight w:val="none"/>
              </w:rPr>
            </w:pPr>
            <w:r>
              <w:rPr>
                <w:rStyle w:val="122"/>
                <w:rFonts w:hint="default" w:ascii="Times New Roman" w:hAnsi="Times New Roman"/>
                <w:color w:val="auto"/>
                <w:sz w:val="21"/>
                <w:szCs w:val="21"/>
                <w:highlight w:val="none"/>
              </w:rPr>
              <w:t>6</w:t>
            </w:r>
            <w:r>
              <w:rPr>
                <w:rStyle w:val="123"/>
                <w:color w:val="auto"/>
                <w:sz w:val="21"/>
                <w:szCs w:val="21"/>
                <w:highlight w:val="none"/>
              </w:rPr>
              <w:t>、对危险源进行定期和不定期安全检查，积极落实整改措施。</w:t>
            </w:r>
          </w:p>
          <w:p>
            <w:pPr>
              <w:widowControl/>
              <w:jc w:val="left"/>
              <w:rPr>
                <w:color w:val="auto"/>
                <w:kern w:val="0"/>
                <w:szCs w:val="21"/>
                <w:highlight w:val="none"/>
              </w:rPr>
            </w:pPr>
            <w:r>
              <w:rPr>
                <w:rStyle w:val="122"/>
                <w:rFonts w:hint="default" w:ascii="Times New Roman" w:hAnsi="Times New Roman"/>
                <w:color w:val="auto"/>
                <w:sz w:val="21"/>
                <w:szCs w:val="21"/>
                <w:highlight w:val="none"/>
              </w:rPr>
              <w:t>7</w:t>
            </w:r>
            <w:r>
              <w:rPr>
                <w:rStyle w:val="123"/>
                <w:color w:val="auto"/>
                <w:sz w:val="21"/>
                <w:szCs w:val="21"/>
                <w:highlight w:val="none"/>
              </w:rPr>
              <w:t>、制订日常点检表，专人巡检，作好点检记录。</w:t>
            </w:r>
          </w:p>
          <w:p>
            <w:pPr>
              <w:widowControl/>
              <w:jc w:val="left"/>
              <w:rPr>
                <w:color w:val="auto"/>
                <w:szCs w:val="21"/>
                <w:highlight w:val="none"/>
              </w:rPr>
            </w:pPr>
            <w:r>
              <w:rPr>
                <w:rStyle w:val="122"/>
                <w:rFonts w:hint="default" w:ascii="Times New Roman" w:hAnsi="Times New Roman"/>
                <w:color w:val="auto"/>
                <w:sz w:val="21"/>
                <w:szCs w:val="21"/>
                <w:highlight w:val="none"/>
              </w:rPr>
              <w:t>8</w:t>
            </w:r>
            <w:r>
              <w:rPr>
                <w:rStyle w:val="123"/>
                <w:color w:val="auto"/>
                <w:sz w:val="21"/>
                <w:szCs w:val="21"/>
                <w:highlight w:val="none"/>
              </w:rPr>
              <w:t>、设备设施定期保养并保持完好。</w:t>
            </w:r>
          </w:p>
          <w:p>
            <w:pPr>
              <w:widowControl/>
              <w:jc w:val="left"/>
              <w:rPr>
                <w:color w:val="auto"/>
                <w:szCs w:val="21"/>
                <w:highlight w:val="none"/>
              </w:rPr>
            </w:pPr>
            <w:r>
              <w:rPr>
                <w:rStyle w:val="122"/>
                <w:rFonts w:hint="default" w:ascii="Times New Roman" w:hAnsi="Times New Roman"/>
                <w:color w:val="auto"/>
                <w:sz w:val="21"/>
                <w:szCs w:val="21"/>
                <w:highlight w:val="none"/>
              </w:rPr>
              <w:t>9</w:t>
            </w:r>
            <w:r>
              <w:rPr>
                <w:rStyle w:val="123"/>
                <w:color w:val="auto"/>
                <w:sz w:val="21"/>
                <w:szCs w:val="21"/>
                <w:highlight w:val="none"/>
              </w:rPr>
              <w:t>、做好交接班记录。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2" w:type="pct"/>
            <w:vMerge w:val="continue"/>
            <w:vAlign w:val="center"/>
          </w:tcPr>
          <w:p>
            <w:pPr>
              <w:pStyle w:val="105"/>
              <w:rPr>
                <w:color w:val="auto"/>
                <w:szCs w:val="21"/>
                <w:highlight w:val="none"/>
              </w:rPr>
            </w:pPr>
          </w:p>
        </w:tc>
        <w:tc>
          <w:tcPr>
            <w:tcW w:w="386" w:type="pct"/>
            <w:vAlign w:val="center"/>
          </w:tcPr>
          <w:p>
            <w:pPr>
              <w:pStyle w:val="105"/>
              <w:rPr>
                <w:color w:val="auto"/>
                <w:szCs w:val="21"/>
                <w:highlight w:val="none"/>
              </w:rPr>
            </w:pPr>
            <w:r>
              <w:rPr>
                <w:color w:val="auto"/>
                <w:szCs w:val="21"/>
                <w:highlight w:val="none"/>
              </w:rPr>
              <w:t>应急措施及应急监测</w:t>
            </w:r>
          </w:p>
        </w:tc>
        <w:tc>
          <w:tcPr>
            <w:tcW w:w="3782" w:type="pct"/>
            <w:gridSpan w:val="4"/>
            <w:vAlign w:val="center"/>
          </w:tcPr>
          <w:p>
            <w:pPr>
              <w:widowControl/>
              <w:jc w:val="left"/>
              <w:rPr>
                <w:color w:val="auto"/>
                <w:szCs w:val="21"/>
                <w:highlight w:val="none"/>
              </w:rPr>
            </w:pPr>
            <w:r>
              <w:rPr>
                <w:rStyle w:val="122"/>
                <w:rFonts w:hint="default" w:ascii="Times New Roman" w:hAnsi="Times New Roman"/>
                <w:color w:val="auto"/>
                <w:sz w:val="21"/>
                <w:szCs w:val="21"/>
                <w:highlight w:val="none"/>
              </w:rPr>
              <w:t>1</w:t>
            </w:r>
            <w:r>
              <w:rPr>
                <w:rStyle w:val="123"/>
                <w:color w:val="auto"/>
                <w:sz w:val="21"/>
                <w:szCs w:val="21"/>
                <w:highlight w:val="none"/>
              </w:rPr>
              <w:t>、项目设置应急组织机构，建立风险分级响应条件，制定应急救援保障设施及应急培训计划。</w:t>
            </w:r>
          </w:p>
          <w:p>
            <w:pPr>
              <w:widowControl/>
              <w:jc w:val="left"/>
              <w:rPr>
                <w:color w:val="auto"/>
                <w:szCs w:val="21"/>
                <w:highlight w:val="none"/>
              </w:rPr>
            </w:pPr>
            <w:r>
              <w:rPr>
                <w:rStyle w:val="122"/>
                <w:rFonts w:hint="default" w:ascii="Times New Roman" w:hAnsi="Times New Roman"/>
                <w:color w:val="auto"/>
                <w:sz w:val="21"/>
                <w:szCs w:val="21"/>
                <w:highlight w:val="none"/>
              </w:rPr>
              <w:t>2</w:t>
            </w:r>
            <w:r>
              <w:rPr>
                <w:rStyle w:val="123"/>
                <w:color w:val="auto"/>
                <w:sz w:val="21"/>
                <w:szCs w:val="21"/>
                <w:highlight w:val="none"/>
              </w:rPr>
              <w:t>、项目制定应急监测计划，当事故发生直到事故最终处理终结的全过程监测</w:t>
            </w:r>
          </w:p>
        </w:tc>
      </w:tr>
    </w:tbl>
    <w:p>
      <w:pPr>
        <w:rPr>
          <w:color w:val="auto"/>
          <w:sz w:val="22"/>
          <w:highlight w:val="none"/>
        </w:rPr>
      </w:pPr>
    </w:p>
    <w:p>
      <w:pPr>
        <w:pStyle w:val="2"/>
        <w:ind w:firstLine="440"/>
        <w:rPr>
          <w:color w:val="auto"/>
          <w:sz w:val="22"/>
          <w:highlight w:val="none"/>
        </w:rPr>
      </w:pPr>
    </w:p>
    <w:p>
      <w:pPr>
        <w:rPr>
          <w:color w:val="auto"/>
          <w:sz w:val="22"/>
          <w:highlight w:val="none"/>
        </w:rPr>
      </w:pPr>
    </w:p>
    <w:p>
      <w:pPr>
        <w:pStyle w:val="2"/>
        <w:ind w:firstLine="480"/>
        <w:rPr>
          <w:color w:val="auto"/>
          <w:highlight w:val="none"/>
        </w:rPr>
      </w:pPr>
    </w:p>
    <w:p>
      <w:pPr>
        <w:spacing w:line="17" w:lineRule="exact"/>
        <w:rPr>
          <w:color w:val="auto"/>
          <w:highlight w:val="none"/>
        </w:rPr>
      </w:pPr>
    </w:p>
    <w:p>
      <w:pPr>
        <w:pStyle w:val="99"/>
        <w:ind w:firstLine="480"/>
        <w:rPr>
          <w:rStyle w:val="122"/>
          <w:rFonts w:hint="default" w:ascii="Times New Roman" w:hAnsi="Times New Roman"/>
          <w:color w:val="auto"/>
          <w:highlight w:val="none"/>
        </w:rPr>
      </w:pPr>
    </w:p>
    <w:p>
      <w:pPr>
        <w:pStyle w:val="99"/>
        <w:ind w:firstLine="480"/>
        <w:rPr>
          <w:rStyle w:val="122"/>
          <w:rFonts w:hint="default" w:ascii="Times New Roman" w:hAnsi="Times New Roman"/>
          <w:color w:val="auto"/>
          <w:highlight w:val="none"/>
        </w:rPr>
      </w:pPr>
    </w:p>
    <w:p>
      <w:pPr>
        <w:pStyle w:val="99"/>
        <w:ind w:firstLine="480"/>
        <w:rPr>
          <w:rStyle w:val="122"/>
          <w:rFonts w:hint="default" w:ascii="Times New Roman" w:hAnsi="Times New Roman"/>
          <w:color w:val="auto"/>
          <w:highlight w:val="none"/>
        </w:rPr>
      </w:pPr>
    </w:p>
    <w:p>
      <w:pPr>
        <w:pStyle w:val="99"/>
        <w:ind w:firstLine="480"/>
        <w:rPr>
          <w:rStyle w:val="122"/>
          <w:rFonts w:hint="default" w:ascii="Times New Roman" w:hAnsi="Times New Roman"/>
          <w:color w:val="auto"/>
          <w:highlight w:val="none"/>
        </w:rPr>
      </w:pPr>
    </w:p>
    <w:p>
      <w:pPr>
        <w:pStyle w:val="99"/>
        <w:ind w:firstLine="480"/>
        <w:rPr>
          <w:rStyle w:val="122"/>
          <w:rFonts w:hint="default" w:ascii="Times New Roman" w:hAnsi="Times New Roman"/>
          <w:color w:val="auto"/>
          <w:highlight w:val="none"/>
        </w:rPr>
      </w:pPr>
    </w:p>
    <w:p>
      <w:pPr>
        <w:pStyle w:val="99"/>
        <w:ind w:firstLine="480"/>
        <w:rPr>
          <w:rStyle w:val="122"/>
          <w:rFonts w:hint="default" w:ascii="Times New Roman" w:hAnsi="Times New Roman"/>
          <w:color w:val="auto"/>
          <w:highlight w:val="none"/>
        </w:rPr>
      </w:pPr>
    </w:p>
    <w:p>
      <w:pPr>
        <w:pStyle w:val="99"/>
        <w:ind w:firstLine="480"/>
        <w:rPr>
          <w:rStyle w:val="122"/>
          <w:rFonts w:hint="default" w:ascii="Times New Roman" w:hAnsi="Times New Roman"/>
          <w:color w:val="auto"/>
          <w:highlight w:val="none"/>
        </w:rPr>
      </w:pPr>
    </w:p>
    <w:p>
      <w:pPr>
        <w:pStyle w:val="99"/>
        <w:ind w:firstLine="480"/>
        <w:rPr>
          <w:rStyle w:val="122"/>
          <w:rFonts w:hint="default" w:ascii="Times New Roman" w:hAnsi="Times New Roman"/>
          <w:color w:val="auto"/>
          <w:highlight w:val="none"/>
        </w:rPr>
      </w:pPr>
    </w:p>
    <w:p>
      <w:pPr>
        <w:pStyle w:val="99"/>
        <w:ind w:firstLine="480"/>
        <w:rPr>
          <w:rStyle w:val="122"/>
          <w:rFonts w:hint="default" w:ascii="Times New Roman" w:hAnsi="Times New Roman"/>
          <w:color w:val="auto"/>
          <w:highlight w:val="none"/>
        </w:rPr>
      </w:pPr>
    </w:p>
    <w:p>
      <w:pPr>
        <w:pStyle w:val="99"/>
        <w:ind w:firstLine="480"/>
        <w:rPr>
          <w:rStyle w:val="122"/>
          <w:rFonts w:hint="default" w:ascii="Times New Roman" w:hAnsi="Times New Roman"/>
          <w:color w:val="auto"/>
          <w:highlight w:val="none"/>
        </w:rPr>
      </w:pPr>
    </w:p>
    <w:p>
      <w:pPr>
        <w:pStyle w:val="99"/>
        <w:ind w:firstLine="480"/>
        <w:rPr>
          <w:rStyle w:val="122"/>
          <w:rFonts w:hint="default" w:ascii="Times New Roman" w:hAnsi="Times New Roman"/>
          <w:color w:val="auto"/>
          <w:highlight w:val="none"/>
        </w:rPr>
      </w:pPr>
    </w:p>
    <w:p>
      <w:pPr>
        <w:pStyle w:val="99"/>
        <w:ind w:firstLine="480"/>
        <w:rPr>
          <w:rStyle w:val="122"/>
          <w:rFonts w:hint="default" w:ascii="Times New Roman" w:hAnsi="Times New Roman"/>
          <w:color w:val="auto"/>
          <w:highlight w:val="none"/>
        </w:rPr>
      </w:pPr>
    </w:p>
    <w:p>
      <w:pPr>
        <w:pStyle w:val="99"/>
        <w:ind w:firstLine="480"/>
        <w:rPr>
          <w:rStyle w:val="122"/>
          <w:rFonts w:hint="default" w:ascii="Times New Roman" w:hAnsi="Times New Roman"/>
          <w:color w:val="auto"/>
          <w:highlight w:val="none"/>
        </w:rPr>
      </w:pPr>
    </w:p>
    <w:p>
      <w:pPr>
        <w:pStyle w:val="99"/>
        <w:ind w:firstLine="480"/>
        <w:rPr>
          <w:rStyle w:val="122"/>
          <w:rFonts w:hint="default" w:ascii="Times New Roman" w:hAnsi="Times New Roman"/>
          <w:color w:val="auto"/>
          <w:highlight w:val="none"/>
        </w:rPr>
      </w:pPr>
    </w:p>
    <w:p>
      <w:pPr>
        <w:pStyle w:val="99"/>
        <w:ind w:firstLine="480"/>
        <w:rPr>
          <w:rStyle w:val="122"/>
          <w:rFonts w:hint="default" w:ascii="Times New Roman" w:hAnsi="Times New Roman"/>
          <w:color w:val="auto"/>
          <w:highlight w:val="none"/>
        </w:rPr>
      </w:pPr>
    </w:p>
    <w:p>
      <w:pPr>
        <w:pStyle w:val="99"/>
        <w:ind w:firstLine="480"/>
        <w:rPr>
          <w:rStyle w:val="122"/>
          <w:rFonts w:hint="default" w:ascii="Times New Roman" w:hAnsi="Times New Roman"/>
          <w:color w:val="auto"/>
          <w:highlight w:val="none"/>
        </w:rPr>
      </w:pPr>
    </w:p>
    <w:p>
      <w:pPr>
        <w:pStyle w:val="99"/>
        <w:ind w:firstLine="480"/>
        <w:rPr>
          <w:rStyle w:val="122"/>
          <w:rFonts w:hint="default" w:ascii="Times New Roman" w:hAnsi="Times New Roman"/>
          <w:color w:val="auto"/>
          <w:highlight w:val="none"/>
        </w:rPr>
      </w:pPr>
    </w:p>
    <w:p>
      <w:pPr>
        <w:pStyle w:val="99"/>
        <w:ind w:firstLine="480"/>
        <w:rPr>
          <w:rStyle w:val="122"/>
          <w:rFonts w:hint="default" w:ascii="Times New Roman" w:hAnsi="Times New Roman"/>
          <w:color w:val="auto"/>
          <w:highlight w:val="none"/>
        </w:rPr>
      </w:pPr>
    </w:p>
    <w:p>
      <w:pPr>
        <w:pStyle w:val="99"/>
        <w:ind w:firstLine="480"/>
        <w:rPr>
          <w:rStyle w:val="122"/>
          <w:rFonts w:hint="default" w:ascii="Times New Roman" w:hAnsi="Times New Roman"/>
          <w:color w:val="auto"/>
          <w:highlight w:val="none"/>
        </w:rPr>
      </w:pPr>
    </w:p>
    <w:p>
      <w:pPr>
        <w:pStyle w:val="99"/>
        <w:ind w:firstLine="480"/>
        <w:rPr>
          <w:rStyle w:val="122"/>
          <w:rFonts w:hint="default" w:ascii="Times New Roman" w:hAnsi="Times New Roman"/>
          <w:color w:val="auto"/>
          <w:highlight w:val="none"/>
        </w:rPr>
      </w:pPr>
    </w:p>
    <w:p>
      <w:pPr>
        <w:pStyle w:val="99"/>
        <w:ind w:firstLine="480"/>
        <w:rPr>
          <w:rStyle w:val="122"/>
          <w:rFonts w:hint="default" w:ascii="Times New Roman" w:hAnsi="Times New Roman"/>
          <w:color w:val="auto"/>
          <w:highlight w:val="none"/>
        </w:rPr>
      </w:pPr>
    </w:p>
    <w:p>
      <w:pPr>
        <w:pStyle w:val="99"/>
        <w:ind w:firstLine="480"/>
        <w:rPr>
          <w:rStyle w:val="122"/>
          <w:rFonts w:hint="default" w:ascii="Times New Roman" w:hAnsi="Times New Roman"/>
          <w:color w:val="auto"/>
          <w:highlight w:val="none"/>
        </w:rPr>
      </w:pPr>
    </w:p>
    <w:p>
      <w:pPr>
        <w:pStyle w:val="99"/>
        <w:ind w:firstLine="480"/>
        <w:rPr>
          <w:rStyle w:val="122"/>
          <w:rFonts w:hint="default" w:ascii="Times New Roman" w:hAnsi="Times New Roman"/>
          <w:color w:val="auto"/>
          <w:highlight w:val="none"/>
        </w:rPr>
      </w:pPr>
    </w:p>
    <w:p>
      <w:pPr>
        <w:pStyle w:val="99"/>
        <w:ind w:firstLine="480"/>
        <w:rPr>
          <w:rStyle w:val="122"/>
          <w:rFonts w:hint="default" w:ascii="Times New Roman" w:hAnsi="Times New Roman"/>
          <w:color w:val="auto"/>
          <w:highlight w:val="none"/>
        </w:rPr>
      </w:pPr>
    </w:p>
    <w:p>
      <w:pPr>
        <w:pStyle w:val="99"/>
        <w:ind w:firstLine="480"/>
        <w:rPr>
          <w:rStyle w:val="122"/>
          <w:rFonts w:hint="default" w:ascii="Times New Roman" w:hAnsi="Times New Roman"/>
          <w:color w:val="auto"/>
          <w:highlight w:val="none"/>
        </w:rPr>
      </w:pPr>
    </w:p>
    <w:p>
      <w:pPr>
        <w:pStyle w:val="99"/>
        <w:ind w:firstLine="480"/>
        <w:rPr>
          <w:rStyle w:val="122"/>
          <w:rFonts w:hint="default" w:ascii="Times New Roman" w:hAnsi="Times New Roman"/>
          <w:color w:val="auto"/>
          <w:highlight w:val="none"/>
        </w:rPr>
      </w:pPr>
    </w:p>
    <w:p>
      <w:pPr>
        <w:pStyle w:val="99"/>
        <w:ind w:firstLine="480"/>
        <w:rPr>
          <w:rStyle w:val="122"/>
          <w:rFonts w:hint="default" w:ascii="Times New Roman" w:hAnsi="Times New Roman"/>
          <w:color w:val="auto"/>
          <w:highlight w:val="none"/>
        </w:rPr>
      </w:pPr>
    </w:p>
    <w:p>
      <w:pPr>
        <w:pStyle w:val="99"/>
        <w:ind w:firstLine="480"/>
        <w:rPr>
          <w:rStyle w:val="122"/>
          <w:rFonts w:hint="default" w:ascii="Times New Roman" w:hAnsi="Times New Roman"/>
          <w:color w:val="auto"/>
          <w:highlight w:val="none"/>
        </w:rPr>
      </w:pPr>
    </w:p>
    <w:p>
      <w:pPr>
        <w:pStyle w:val="99"/>
        <w:ind w:firstLine="480"/>
        <w:rPr>
          <w:rStyle w:val="122"/>
          <w:rFonts w:hint="default" w:ascii="Times New Roman" w:hAnsi="Times New Roman"/>
          <w:color w:val="auto"/>
          <w:highlight w:val="none"/>
        </w:rPr>
      </w:pPr>
    </w:p>
    <w:p>
      <w:pPr>
        <w:pStyle w:val="99"/>
        <w:ind w:firstLine="480"/>
        <w:rPr>
          <w:color w:val="auto"/>
          <w:highlight w:val="none"/>
        </w:rPr>
      </w:pPr>
    </w:p>
    <w:p>
      <w:pPr>
        <w:pStyle w:val="99"/>
        <w:ind w:firstLine="480"/>
        <w:rPr>
          <w:color w:val="auto"/>
          <w:highlight w:val="none"/>
        </w:rPr>
        <w:sectPr>
          <w:headerReference r:id="rId17" w:type="default"/>
          <w:headerReference r:id="rId18" w:type="even"/>
          <w:pgSz w:w="11906" w:h="16838"/>
          <w:pgMar w:top="1418" w:right="1418" w:bottom="1418" w:left="1701" w:header="851" w:footer="992" w:gutter="0"/>
          <w:pgBorders>
            <w:top w:val="none" w:sz="0" w:space="0"/>
            <w:left w:val="none" w:sz="0" w:space="0"/>
            <w:bottom w:val="none" w:sz="0" w:space="0"/>
            <w:right w:val="none" w:sz="0" w:space="0"/>
          </w:pgBorders>
          <w:cols w:space="425" w:num="1"/>
          <w:docGrid w:type="lines" w:linePitch="312" w:charSpace="0"/>
        </w:sectPr>
      </w:pPr>
    </w:p>
    <w:p>
      <w:pPr>
        <w:pStyle w:val="98"/>
        <w:spacing w:before="156"/>
        <w:rPr>
          <w:rFonts w:ascii="Times New Roman" w:hAnsi="Times New Roman"/>
          <w:color w:val="auto"/>
          <w:highlight w:val="none"/>
        </w:rPr>
      </w:pPr>
      <w:bookmarkStart w:id="216" w:name="_Toc66281302"/>
      <w:bookmarkStart w:id="217" w:name="_Toc57804777"/>
      <w:bookmarkStart w:id="218" w:name="_Toc2431"/>
      <w:r>
        <w:rPr>
          <w:rFonts w:ascii="Times New Roman" w:hAnsi="Times New Roman"/>
          <w:color w:val="auto"/>
          <w:highlight w:val="none"/>
        </w:rPr>
        <w:t>6.环境保护措施及其可行性论证</w:t>
      </w:r>
      <w:bookmarkEnd w:id="216"/>
      <w:bookmarkEnd w:id="217"/>
      <w:bookmarkEnd w:id="218"/>
    </w:p>
    <w:p>
      <w:pPr>
        <w:pStyle w:val="100"/>
        <w:spacing w:before="156"/>
        <w:rPr>
          <w:rFonts w:ascii="Times New Roman" w:hAnsi="Times New Roman"/>
          <w:color w:val="auto"/>
          <w:highlight w:val="none"/>
        </w:rPr>
      </w:pPr>
      <w:bookmarkStart w:id="219" w:name="_Toc57804778"/>
      <w:bookmarkStart w:id="220" w:name="_Toc6334"/>
      <w:bookmarkStart w:id="221" w:name="_Toc66281303"/>
      <w:r>
        <w:rPr>
          <w:rFonts w:ascii="Times New Roman" w:hAnsi="Times New Roman"/>
          <w:color w:val="auto"/>
          <w:highlight w:val="none"/>
        </w:rPr>
        <w:t>6.1环境保护措施汇总</w:t>
      </w:r>
      <w:bookmarkEnd w:id="219"/>
      <w:bookmarkEnd w:id="220"/>
      <w:bookmarkEnd w:id="221"/>
    </w:p>
    <w:p>
      <w:pPr>
        <w:pStyle w:val="99"/>
        <w:ind w:firstLine="480"/>
        <w:rPr>
          <w:color w:val="auto"/>
          <w:highlight w:val="none"/>
        </w:rPr>
      </w:pPr>
      <w:r>
        <w:rPr>
          <w:color w:val="auto"/>
          <w:highlight w:val="none"/>
        </w:rPr>
        <w:t>由工程分析可知，项目采取的主要环境保护治理措施见表6.1-1。</w:t>
      </w:r>
    </w:p>
    <w:p>
      <w:pPr>
        <w:widowControl/>
        <w:spacing w:line="360" w:lineRule="auto"/>
        <w:ind w:firstLine="480" w:firstLineChars="200"/>
        <w:jc w:val="center"/>
        <w:rPr>
          <w:rFonts w:eastAsia="黑体"/>
          <w:color w:val="auto"/>
          <w:sz w:val="24"/>
          <w:highlight w:val="none"/>
        </w:rPr>
      </w:pPr>
      <w:r>
        <w:rPr>
          <w:rFonts w:eastAsia="黑体"/>
          <w:color w:val="auto"/>
          <w:sz w:val="24"/>
          <w:highlight w:val="none"/>
        </w:rPr>
        <w:t>表6.1-1  项目采取的主要环境保护治理措施</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879"/>
        <w:gridCol w:w="1841"/>
        <w:gridCol w:w="1846"/>
        <w:gridCol w:w="2019"/>
        <w:gridCol w:w="16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Align w:val="center"/>
          </w:tcPr>
          <w:p>
            <w:pPr>
              <w:spacing w:line="240" w:lineRule="exact"/>
              <w:jc w:val="center"/>
              <w:rPr>
                <w:color w:val="auto"/>
                <w:highlight w:val="none"/>
              </w:rPr>
            </w:pPr>
            <w:r>
              <w:rPr>
                <w:rFonts w:hint="eastAsia"/>
                <w:color w:val="auto"/>
                <w:highlight w:val="none"/>
              </w:rPr>
              <w:t>类别</w:t>
            </w:r>
          </w:p>
        </w:tc>
        <w:tc>
          <w:tcPr>
            <w:tcW w:w="1510" w:type="pct"/>
            <w:gridSpan w:val="2"/>
            <w:vAlign w:val="center"/>
          </w:tcPr>
          <w:p>
            <w:pPr>
              <w:spacing w:line="240" w:lineRule="exact"/>
              <w:jc w:val="center"/>
              <w:rPr>
                <w:color w:val="auto"/>
                <w:highlight w:val="none"/>
              </w:rPr>
            </w:pPr>
            <w:r>
              <w:rPr>
                <w:rFonts w:hint="eastAsia"/>
                <w:color w:val="auto"/>
                <w:highlight w:val="none"/>
              </w:rPr>
              <w:t>项目</w:t>
            </w:r>
          </w:p>
        </w:tc>
        <w:tc>
          <w:tcPr>
            <w:tcW w:w="1025" w:type="pct"/>
            <w:vAlign w:val="center"/>
          </w:tcPr>
          <w:p>
            <w:pPr>
              <w:spacing w:line="240" w:lineRule="exact"/>
              <w:jc w:val="center"/>
              <w:rPr>
                <w:color w:val="auto"/>
                <w:highlight w:val="none"/>
              </w:rPr>
            </w:pPr>
            <w:r>
              <w:rPr>
                <w:rFonts w:hint="eastAsia"/>
                <w:color w:val="auto"/>
                <w:highlight w:val="none"/>
              </w:rPr>
              <w:t>污染物</w:t>
            </w:r>
          </w:p>
        </w:tc>
        <w:tc>
          <w:tcPr>
            <w:tcW w:w="1121" w:type="pct"/>
            <w:vAlign w:val="center"/>
          </w:tcPr>
          <w:p>
            <w:pPr>
              <w:spacing w:line="240" w:lineRule="exact"/>
              <w:jc w:val="center"/>
              <w:rPr>
                <w:color w:val="auto"/>
                <w:highlight w:val="none"/>
              </w:rPr>
            </w:pPr>
            <w:r>
              <w:rPr>
                <w:rFonts w:hint="eastAsia"/>
                <w:color w:val="auto"/>
                <w:highlight w:val="none"/>
              </w:rPr>
              <w:t>治理措施</w:t>
            </w:r>
          </w:p>
        </w:tc>
        <w:tc>
          <w:tcPr>
            <w:tcW w:w="904" w:type="pct"/>
            <w:vAlign w:val="center"/>
          </w:tcPr>
          <w:p>
            <w:pPr>
              <w:spacing w:line="240" w:lineRule="exact"/>
              <w:jc w:val="center"/>
              <w:rPr>
                <w:color w:val="auto"/>
                <w:highlight w:val="none"/>
              </w:rPr>
            </w:pPr>
            <w:r>
              <w:rPr>
                <w:color w:val="auto"/>
                <w:highlight w:val="none"/>
              </w:rPr>
              <w:t>处理效果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restart"/>
            <w:vAlign w:val="center"/>
          </w:tcPr>
          <w:p>
            <w:pPr>
              <w:spacing w:line="240" w:lineRule="exact"/>
              <w:jc w:val="center"/>
              <w:rPr>
                <w:color w:val="auto"/>
                <w:highlight w:val="none"/>
              </w:rPr>
            </w:pPr>
            <w:r>
              <w:rPr>
                <w:color w:val="auto"/>
                <w:highlight w:val="none"/>
              </w:rPr>
              <w:t>废气</w:t>
            </w:r>
          </w:p>
        </w:tc>
        <w:tc>
          <w:tcPr>
            <w:tcW w:w="488" w:type="pct"/>
            <w:vAlign w:val="center"/>
          </w:tcPr>
          <w:p>
            <w:pPr>
              <w:spacing w:line="240" w:lineRule="exact"/>
              <w:jc w:val="center"/>
              <w:rPr>
                <w:color w:val="auto"/>
                <w:highlight w:val="none"/>
              </w:rPr>
            </w:pPr>
            <w:r>
              <w:rPr>
                <w:rFonts w:hint="eastAsia"/>
                <w:color w:val="auto"/>
                <w:highlight w:val="none"/>
              </w:rPr>
              <w:t>有组织</w:t>
            </w:r>
          </w:p>
        </w:tc>
        <w:tc>
          <w:tcPr>
            <w:tcW w:w="1022" w:type="pct"/>
            <w:vAlign w:val="center"/>
          </w:tcPr>
          <w:p>
            <w:pPr>
              <w:spacing w:line="240" w:lineRule="exact"/>
              <w:jc w:val="center"/>
              <w:rPr>
                <w:color w:val="auto"/>
                <w:highlight w:val="none"/>
              </w:rPr>
            </w:pPr>
            <w:r>
              <w:rPr>
                <w:bCs/>
                <w:color w:val="auto"/>
                <w:szCs w:val="21"/>
                <w:highlight w:val="none"/>
              </w:rPr>
              <w:t>挤出成型、熔融造粒、注塑废气</w:t>
            </w:r>
          </w:p>
        </w:tc>
        <w:tc>
          <w:tcPr>
            <w:tcW w:w="1025" w:type="pct"/>
            <w:vAlign w:val="center"/>
          </w:tcPr>
          <w:p>
            <w:pPr>
              <w:spacing w:line="240" w:lineRule="exact"/>
              <w:jc w:val="center"/>
              <w:rPr>
                <w:color w:val="auto"/>
                <w:highlight w:val="none"/>
              </w:rPr>
            </w:pPr>
            <w:r>
              <w:rPr>
                <w:rFonts w:hint="eastAsia"/>
                <w:color w:val="auto"/>
                <w:highlight w:val="none"/>
              </w:rPr>
              <w:t>颗粒物、VOCs</w:t>
            </w:r>
          </w:p>
        </w:tc>
        <w:tc>
          <w:tcPr>
            <w:tcW w:w="1121" w:type="pct"/>
            <w:vAlign w:val="center"/>
          </w:tcPr>
          <w:p>
            <w:pPr>
              <w:spacing w:line="240" w:lineRule="exact"/>
              <w:jc w:val="center"/>
              <w:rPr>
                <w:color w:val="auto"/>
                <w:highlight w:val="none"/>
              </w:rPr>
            </w:pPr>
            <w:r>
              <w:rPr>
                <w:rFonts w:hint="eastAsia"/>
                <w:color w:val="auto"/>
                <w:highlight w:val="none"/>
              </w:rPr>
              <w:t>布袋除尘+活性炭吸附浓缩+催化燃烧+</w:t>
            </w:r>
            <w:r>
              <w:rPr>
                <w:rFonts w:hint="eastAsia"/>
                <w:color w:val="auto"/>
                <w:highlight w:val="none"/>
                <w:lang w:eastAsia="zh-CN"/>
              </w:rPr>
              <w:t>20m</w:t>
            </w:r>
            <w:r>
              <w:rPr>
                <w:rFonts w:hint="eastAsia"/>
                <w:color w:val="auto"/>
                <w:highlight w:val="none"/>
              </w:rPr>
              <w:t>高排气筒（DA001）</w:t>
            </w:r>
          </w:p>
        </w:tc>
        <w:tc>
          <w:tcPr>
            <w:tcW w:w="904" w:type="pct"/>
            <w:vAlign w:val="center"/>
          </w:tcPr>
          <w:p>
            <w:pPr>
              <w:spacing w:line="240" w:lineRule="exact"/>
              <w:jc w:val="center"/>
              <w:rPr>
                <w:color w:val="auto"/>
                <w:szCs w:val="21"/>
                <w:highlight w:val="none"/>
              </w:rPr>
            </w:pPr>
            <w:r>
              <w:rPr>
                <w:rFonts w:hint="eastAsia"/>
                <w:color w:val="auto"/>
                <w:szCs w:val="21"/>
                <w:highlight w:val="none"/>
              </w:rPr>
              <w:t>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continue"/>
            <w:vAlign w:val="center"/>
          </w:tcPr>
          <w:p>
            <w:pPr>
              <w:spacing w:line="240" w:lineRule="exact"/>
              <w:jc w:val="center"/>
              <w:rPr>
                <w:color w:val="auto"/>
                <w:highlight w:val="none"/>
              </w:rPr>
            </w:pPr>
          </w:p>
        </w:tc>
        <w:tc>
          <w:tcPr>
            <w:tcW w:w="488" w:type="pct"/>
            <w:vAlign w:val="center"/>
          </w:tcPr>
          <w:p>
            <w:pPr>
              <w:spacing w:line="240" w:lineRule="exact"/>
              <w:jc w:val="center"/>
              <w:rPr>
                <w:color w:val="auto"/>
                <w:highlight w:val="none"/>
              </w:rPr>
            </w:pPr>
            <w:r>
              <w:rPr>
                <w:rFonts w:hint="eastAsia"/>
                <w:color w:val="auto"/>
                <w:highlight w:val="none"/>
              </w:rPr>
              <w:t>无组织</w:t>
            </w:r>
          </w:p>
        </w:tc>
        <w:tc>
          <w:tcPr>
            <w:tcW w:w="1022" w:type="pct"/>
            <w:vAlign w:val="center"/>
          </w:tcPr>
          <w:p>
            <w:pPr>
              <w:spacing w:line="240" w:lineRule="exact"/>
              <w:jc w:val="center"/>
              <w:rPr>
                <w:color w:val="auto"/>
                <w:highlight w:val="none"/>
              </w:rPr>
            </w:pPr>
            <w:r>
              <w:rPr>
                <w:rFonts w:hint="eastAsia"/>
                <w:color w:val="auto"/>
                <w:highlight w:val="none"/>
              </w:rPr>
              <w:t>生产车间</w:t>
            </w:r>
          </w:p>
        </w:tc>
        <w:tc>
          <w:tcPr>
            <w:tcW w:w="1025" w:type="pct"/>
            <w:vAlign w:val="center"/>
          </w:tcPr>
          <w:p>
            <w:pPr>
              <w:spacing w:line="240" w:lineRule="exact"/>
              <w:jc w:val="center"/>
              <w:rPr>
                <w:color w:val="auto"/>
                <w:highlight w:val="none"/>
              </w:rPr>
            </w:pPr>
            <w:r>
              <w:rPr>
                <w:rFonts w:hint="eastAsia"/>
                <w:color w:val="auto"/>
                <w:highlight w:val="none"/>
              </w:rPr>
              <w:t>颗粒物</w:t>
            </w:r>
          </w:p>
        </w:tc>
        <w:tc>
          <w:tcPr>
            <w:tcW w:w="1121" w:type="pct"/>
            <w:vAlign w:val="center"/>
          </w:tcPr>
          <w:p>
            <w:pPr>
              <w:spacing w:line="240" w:lineRule="exact"/>
              <w:jc w:val="center"/>
              <w:rPr>
                <w:color w:val="auto"/>
                <w:szCs w:val="21"/>
                <w:highlight w:val="none"/>
              </w:rPr>
            </w:pPr>
            <w:r>
              <w:rPr>
                <w:rFonts w:hint="eastAsia"/>
                <w:bCs/>
                <w:color w:val="auto"/>
                <w:szCs w:val="21"/>
                <w:highlight w:val="none"/>
              </w:rPr>
              <w:t>车间通风</w:t>
            </w:r>
          </w:p>
        </w:tc>
        <w:tc>
          <w:tcPr>
            <w:tcW w:w="904" w:type="pct"/>
            <w:vAlign w:val="center"/>
          </w:tcPr>
          <w:p>
            <w:pPr>
              <w:spacing w:line="240" w:lineRule="exact"/>
              <w:jc w:val="center"/>
              <w:rPr>
                <w:color w:val="auto"/>
                <w:szCs w:val="21"/>
                <w:highlight w:val="none"/>
              </w:rPr>
            </w:pPr>
            <w:r>
              <w:rPr>
                <w:rFonts w:hint="eastAsia"/>
                <w:color w:val="auto"/>
                <w:szCs w:val="21"/>
                <w:highlight w:val="none"/>
              </w:rPr>
              <w:t>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Align w:val="center"/>
          </w:tcPr>
          <w:p>
            <w:pPr>
              <w:spacing w:line="240" w:lineRule="exact"/>
              <w:jc w:val="center"/>
              <w:rPr>
                <w:color w:val="auto"/>
                <w:highlight w:val="none"/>
              </w:rPr>
            </w:pPr>
            <w:r>
              <w:rPr>
                <w:color w:val="auto"/>
                <w:highlight w:val="none"/>
              </w:rPr>
              <w:t>废水</w:t>
            </w:r>
          </w:p>
        </w:tc>
        <w:tc>
          <w:tcPr>
            <w:tcW w:w="1510" w:type="pct"/>
            <w:gridSpan w:val="2"/>
            <w:vAlign w:val="center"/>
          </w:tcPr>
          <w:p>
            <w:pPr>
              <w:spacing w:line="240" w:lineRule="exact"/>
              <w:jc w:val="center"/>
              <w:rPr>
                <w:color w:val="auto"/>
                <w:highlight w:val="none"/>
              </w:rPr>
            </w:pPr>
            <w:r>
              <w:rPr>
                <w:color w:val="auto"/>
                <w:highlight w:val="none"/>
              </w:rPr>
              <w:t>生活污水</w:t>
            </w:r>
          </w:p>
        </w:tc>
        <w:tc>
          <w:tcPr>
            <w:tcW w:w="1025" w:type="pct"/>
            <w:vAlign w:val="center"/>
          </w:tcPr>
          <w:p>
            <w:pPr>
              <w:spacing w:line="240" w:lineRule="exact"/>
              <w:jc w:val="center"/>
              <w:rPr>
                <w:color w:val="auto"/>
                <w:highlight w:val="none"/>
              </w:rPr>
            </w:pPr>
            <w:r>
              <w:rPr>
                <w:color w:val="auto"/>
                <w:highlight w:val="none"/>
              </w:rPr>
              <w:t>COD、BOD</w:t>
            </w:r>
            <w:r>
              <w:rPr>
                <w:color w:val="auto"/>
                <w:highlight w:val="none"/>
                <w:vertAlign w:val="subscript"/>
              </w:rPr>
              <w:t>5</w:t>
            </w:r>
            <w:r>
              <w:rPr>
                <w:color w:val="auto"/>
                <w:highlight w:val="none"/>
              </w:rPr>
              <w:t>、SS、氨氮</w:t>
            </w:r>
          </w:p>
        </w:tc>
        <w:tc>
          <w:tcPr>
            <w:tcW w:w="1121" w:type="pct"/>
            <w:vAlign w:val="center"/>
          </w:tcPr>
          <w:p>
            <w:pPr>
              <w:spacing w:line="240" w:lineRule="exact"/>
              <w:jc w:val="center"/>
              <w:rPr>
                <w:color w:val="auto"/>
                <w:szCs w:val="21"/>
                <w:highlight w:val="none"/>
              </w:rPr>
            </w:pPr>
            <w:r>
              <w:rPr>
                <w:color w:val="auto"/>
                <w:highlight w:val="none"/>
              </w:rPr>
              <w:t>化粪池预</w:t>
            </w:r>
            <w:r>
              <w:rPr>
                <w:rFonts w:hint="eastAsia"/>
                <w:color w:val="auto"/>
                <w:highlight w:val="none"/>
              </w:rPr>
              <w:t>收集后由环卫部门定期清运</w:t>
            </w:r>
          </w:p>
        </w:tc>
        <w:tc>
          <w:tcPr>
            <w:tcW w:w="904" w:type="pct"/>
            <w:vAlign w:val="center"/>
          </w:tcPr>
          <w:p>
            <w:pPr>
              <w:spacing w:line="240" w:lineRule="exact"/>
              <w:jc w:val="center"/>
              <w:rPr>
                <w:color w:val="auto"/>
                <w:highlight w:val="none"/>
              </w:rPr>
            </w:pPr>
            <w:r>
              <w:rPr>
                <w:rFonts w:hint="eastAsia"/>
                <w:color w:val="auto"/>
                <w:szCs w:val="21"/>
                <w:highlight w:val="none"/>
              </w:rPr>
              <w:t>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Align w:val="center"/>
          </w:tcPr>
          <w:p>
            <w:pPr>
              <w:spacing w:line="240" w:lineRule="exact"/>
              <w:jc w:val="center"/>
              <w:rPr>
                <w:color w:val="auto"/>
                <w:highlight w:val="none"/>
              </w:rPr>
            </w:pPr>
            <w:r>
              <w:rPr>
                <w:color w:val="auto"/>
                <w:highlight w:val="none"/>
              </w:rPr>
              <w:t>噪声</w:t>
            </w:r>
          </w:p>
        </w:tc>
        <w:tc>
          <w:tcPr>
            <w:tcW w:w="1510" w:type="pct"/>
            <w:gridSpan w:val="2"/>
            <w:vAlign w:val="center"/>
          </w:tcPr>
          <w:p>
            <w:pPr>
              <w:spacing w:line="240" w:lineRule="exact"/>
              <w:jc w:val="center"/>
              <w:rPr>
                <w:color w:val="auto"/>
                <w:highlight w:val="none"/>
              </w:rPr>
            </w:pPr>
            <w:r>
              <w:rPr>
                <w:color w:val="auto"/>
                <w:highlight w:val="none"/>
              </w:rPr>
              <w:t>主要机泵设备及其它生产设备</w:t>
            </w:r>
          </w:p>
        </w:tc>
        <w:tc>
          <w:tcPr>
            <w:tcW w:w="1025" w:type="pct"/>
            <w:vAlign w:val="center"/>
          </w:tcPr>
          <w:p>
            <w:pPr>
              <w:spacing w:line="240" w:lineRule="exact"/>
              <w:jc w:val="center"/>
              <w:rPr>
                <w:color w:val="auto"/>
                <w:highlight w:val="none"/>
              </w:rPr>
            </w:pPr>
            <w:r>
              <w:rPr>
                <w:color w:val="auto"/>
                <w:highlight w:val="none"/>
              </w:rPr>
              <w:t>噪声</w:t>
            </w:r>
          </w:p>
        </w:tc>
        <w:tc>
          <w:tcPr>
            <w:tcW w:w="1121" w:type="pct"/>
            <w:vAlign w:val="center"/>
          </w:tcPr>
          <w:p>
            <w:pPr>
              <w:spacing w:line="240" w:lineRule="exact"/>
              <w:jc w:val="center"/>
              <w:rPr>
                <w:color w:val="auto"/>
                <w:highlight w:val="none"/>
              </w:rPr>
            </w:pPr>
            <w:r>
              <w:rPr>
                <w:color w:val="auto"/>
                <w:highlight w:val="none"/>
              </w:rPr>
              <w:t>建筑隔声、减振措施，夜间禁止生产</w:t>
            </w:r>
          </w:p>
        </w:tc>
        <w:tc>
          <w:tcPr>
            <w:tcW w:w="904" w:type="pct"/>
            <w:vAlign w:val="center"/>
          </w:tcPr>
          <w:p>
            <w:pPr>
              <w:spacing w:line="240" w:lineRule="exact"/>
              <w:jc w:val="center"/>
              <w:rPr>
                <w:color w:val="auto"/>
                <w:highlight w:val="none"/>
              </w:rPr>
            </w:pPr>
            <w:r>
              <w:rPr>
                <w:color w:val="auto"/>
                <w:highlight w:val="none"/>
              </w:rPr>
              <w:t>厂界达标排放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restart"/>
            <w:vAlign w:val="center"/>
          </w:tcPr>
          <w:p>
            <w:pPr>
              <w:spacing w:line="240" w:lineRule="exact"/>
              <w:jc w:val="center"/>
              <w:rPr>
                <w:color w:val="auto"/>
                <w:highlight w:val="none"/>
              </w:rPr>
            </w:pPr>
            <w:r>
              <w:rPr>
                <w:color w:val="auto"/>
                <w:highlight w:val="none"/>
              </w:rPr>
              <w:t>固体废物</w:t>
            </w:r>
          </w:p>
        </w:tc>
        <w:tc>
          <w:tcPr>
            <w:tcW w:w="2535" w:type="pct"/>
            <w:gridSpan w:val="3"/>
            <w:vAlign w:val="center"/>
          </w:tcPr>
          <w:p>
            <w:pPr>
              <w:spacing w:line="240" w:lineRule="exact"/>
              <w:jc w:val="center"/>
              <w:rPr>
                <w:color w:val="auto"/>
                <w:highlight w:val="none"/>
              </w:rPr>
            </w:pPr>
            <w:r>
              <w:rPr>
                <w:color w:val="auto"/>
                <w:highlight w:val="none"/>
              </w:rPr>
              <w:t>危险废物</w:t>
            </w:r>
          </w:p>
        </w:tc>
        <w:tc>
          <w:tcPr>
            <w:tcW w:w="1121" w:type="pct"/>
            <w:vAlign w:val="center"/>
          </w:tcPr>
          <w:p>
            <w:pPr>
              <w:spacing w:line="240" w:lineRule="exact"/>
              <w:jc w:val="center"/>
              <w:rPr>
                <w:color w:val="auto"/>
                <w:highlight w:val="none"/>
              </w:rPr>
            </w:pPr>
            <w:r>
              <w:rPr>
                <w:color w:val="auto"/>
                <w:highlight w:val="none"/>
              </w:rPr>
              <w:t>委托有资质的危险废物处理单位处理</w:t>
            </w:r>
          </w:p>
        </w:tc>
        <w:tc>
          <w:tcPr>
            <w:tcW w:w="904" w:type="pct"/>
            <w:vAlign w:val="center"/>
          </w:tcPr>
          <w:p>
            <w:pPr>
              <w:spacing w:line="240" w:lineRule="exact"/>
              <w:jc w:val="center"/>
              <w:rPr>
                <w:color w:val="auto"/>
                <w:highlight w:val="none"/>
              </w:rPr>
            </w:pPr>
            <w:r>
              <w:rPr>
                <w:color w:val="auto"/>
                <w:highlight w:val="none"/>
              </w:rPr>
              <w:t>妥善处置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continue"/>
            <w:vAlign w:val="center"/>
          </w:tcPr>
          <w:p>
            <w:pPr>
              <w:spacing w:line="240" w:lineRule="exact"/>
              <w:jc w:val="center"/>
              <w:rPr>
                <w:color w:val="auto"/>
                <w:highlight w:val="none"/>
              </w:rPr>
            </w:pPr>
          </w:p>
        </w:tc>
        <w:tc>
          <w:tcPr>
            <w:tcW w:w="2535" w:type="pct"/>
            <w:gridSpan w:val="3"/>
            <w:vAlign w:val="center"/>
          </w:tcPr>
          <w:p>
            <w:pPr>
              <w:spacing w:line="240" w:lineRule="exact"/>
              <w:jc w:val="center"/>
              <w:rPr>
                <w:color w:val="auto"/>
                <w:highlight w:val="none"/>
              </w:rPr>
            </w:pPr>
            <w:r>
              <w:rPr>
                <w:color w:val="auto"/>
                <w:highlight w:val="none"/>
              </w:rPr>
              <w:t>一般</w:t>
            </w:r>
            <w:r>
              <w:rPr>
                <w:rFonts w:hint="eastAsia"/>
                <w:color w:val="auto"/>
                <w:highlight w:val="none"/>
              </w:rPr>
              <w:t>固废</w:t>
            </w:r>
          </w:p>
        </w:tc>
        <w:tc>
          <w:tcPr>
            <w:tcW w:w="1121" w:type="pct"/>
            <w:vAlign w:val="center"/>
          </w:tcPr>
          <w:p>
            <w:pPr>
              <w:spacing w:line="240" w:lineRule="exact"/>
              <w:jc w:val="center"/>
              <w:rPr>
                <w:color w:val="auto"/>
                <w:highlight w:val="none"/>
              </w:rPr>
            </w:pPr>
            <w:r>
              <w:rPr>
                <w:rFonts w:hint="eastAsia"/>
                <w:color w:val="auto"/>
                <w:highlight w:val="none"/>
              </w:rPr>
              <w:t>外售综合利用或由环卫部门定期清运</w:t>
            </w:r>
          </w:p>
        </w:tc>
        <w:tc>
          <w:tcPr>
            <w:tcW w:w="904" w:type="pct"/>
            <w:vAlign w:val="center"/>
          </w:tcPr>
          <w:p>
            <w:pPr>
              <w:spacing w:line="240" w:lineRule="exact"/>
              <w:jc w:val="center"/>
              <w:rPr>
                <w:color w:val="auto"/>
                <w:highlight w:val="none"/>
              </w:rPr>
            </w:pPr>
            <w:r>
              <w:rPr>
                <w:color w:val="auto"/>
                <w:highlight w:val="none"/>
              </w:rPr>
              <w:t>妥善处置</w:t>
            </w:r>
          </w:p>
        </w:tc>
      </w:tr>
    </w:tbl>
    <w:p>
      <w:pPr>
        <w:pStyle w:val="99"/>
        <w:ind w:firstLine="480"/>
        <w:rPr>
          <w:color w:val="auto"/>
          <w:highlight w:val="none"/>
        </w:rPr>
      </w:pPr>
      <w:r>
        <w:rPr>
          <w:color w:val="auto"/>
          <w:highlight w:val="none"/>
        </w:rPr>
        <w:t>由表6.1-1可知，项目采取噪声、固体废物</w:t>
      </w:r>
      <w:r>
        <w:rPr>
          <w:rFonts w:hint="eastAsia"/>
          <w:color w:val="auto"/>
          <w:highlight w:val="none"/>
        </w:rPr>
        <w:t>、</w:t>
      </w:r>
      <w:r>
        <w:rPr>
          <w:color w:val="auto"/>
          <w:highlight w:val="none"/>
        </w:rPr>
        <w:t>废水</w:t>
      </w:r>
      <w:r>
        <w:rPr>
          <w:rFonts w:hint="eastAsia"/>
          <w:color w:val="auto"/>
          <w:highlight w:val="none"/>
        </w:rPr>
        <w:t>及</w:t>
      </w:r>
      <w:r>
        <w:rPr>
          <w:color w:val="auto"/>
          <w:highlight w:val="none"/>
        </w:rPr>
        <w:t>废气污染防治措施成熟、有效，可以满足相应环境保护标准要求。</w:t>
      </w:r>
    </w:p>
    <w:p>
      <w:pPr>
        <w:pStyle w:val="100"/>
        <w:spacing w:before="156"/>
        <w:rPr>
          <w:rFonts w:ascii="Times New Roman" w:hAnsi="Times New Roman"/>
          <w:color w:val="auto"/>
          <w:highlight w:val="none"/>
        </w:rPr>
      </w:pPr>
      <w:bookmarkStart w:id="222" w:name="_Toc20063"/>
      <w:bookmarkStart w:id="223" w:name="_Toc57804779"/>
      <w:bookmarkStart w:id="224" w:name="_Toc66281304"/>
      <w:r>
        <w:rPr>
          <w:rFonts w:ascii="Times New Roman" w:hAnsi="Times New Roman"/>
          <w:color w:val="auto"/>
          <w:highlight w:val="none"/>
        </w:rPr>
        <w:t>6.2废气处理措施及可行性分析</w:t>
      </w:r>
      <w:bookmarkEnd w:id="222"/>
      <w:bookmarkEnd w:id="223"/>
      <w:bookmarkEnd w:id="224"/>
    </w:p>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本项目有组织废气主要包括</w:t>
      </w:r>
      <w:r>
        <w:rPr>
          <w:rFonts w:hint="eastAsia"/>
          <w:color w:val="auto"/>
          <w:kern w:val="0"/>
          <w:sz w:val="24"/>
          <w:highlight w:val="none"/>
        </w:rPr>
        <w:t>挤出成型、熔融造粒、注塑废气以及废料破碎粉尘和集气罩未收集的粉尘</w:t>
      </w:r>
      <w:r>
        <w:rPr>
          <w:color w:val="auto"/>
          <w:kern w:val="0"/>
          <w:sz w:val="24"/>
          <w:highlight w:val="none"/>
        </w:rPr>
        <w:t>。</w:t>
      </w:r>
    </w:p>
    <w:p>
      <w:pPr>
        <w:pStyle w:val="101"/>
        <w:spacing w:before="93" w:beforeLines="30"/>
        <w:jc w:val="left"/>
        <w:rPr>
          <w:rFonts w:ascii="Times New Roman" w:hAnsi="Times New Roman"/>
          <w:color w:val="auto"/>
          <w:highlight w:val="none"/>
        </w:rPr>
      </w:pPr>
      <w:bookmarkStart w:id="225" w:name="_Toc488155777"/>
      <w:bookmarkStart w:id="226" w:name="_Toc489189062"/>
      <w:bookmarkStart w:id="227" w:name="_Toc486606951"/>
      <w:bookmarkStart w:id="228" w:name="_Toc19682"/>
      <w:bookmarkStart w:id="229" w:name="_Toc32554"/>
      <w:bookmarkStart w:id="230" w:name="_Toc484720846"/>
      <w:bookmarkStart w:id="231" w:name="_Toc483653074"/>
      <w:bookmarkStart w:id="232" w:name="_Toc489190005"/>
      <w:r>
        <w:rPr>
          <w:rFonts w:ascii="Times New Roman" w:hAnsi="Times New Roman"/>
          <w:color w:val="auto"/>
          <w:highlight w:val="none"/>
        </w:rPr>
        <w:t>6.</w:t>
      </w:r>
      <w:r>
        <w:rPr>
          <w:rFonts w:hint="eastAsia" w:ascii="Times New Roman" w:hAnsi="Times New Roman"/>
          <w:color w:val="auto"/>
          <w:highlight w:val="none"/>
        </w:rPr>
        <w:t>2</w:t>
      </w:r>
      <w:r>
        <w:rPr>
          <w:rFonts w:ascii="Times New Roman" w:hAnsi="Times New Roman"/>
          <w:color w:val="auto"/>
          <w:highlight w:val="none"/>
        </w:rPr>
        <w:t>.1 有组织废气污染防治措施分析</w:t>
      </w:r>
      <w:bookmarkEnd w:id="225"/>
      <w:bookmarkEnd w:id="226"/>
      <w:bookmarkEnd w:id="227"/>
      <w:bookmarkEnd w:id="228"/>
      <w:bookmarkEnd w:id="229"/>
      <w:bookmarkEnd w:id="230"/>
      <w:bookmarkEnd w:id="231"/>
      <w:bookmarkEnd w:id="232"/>
    </w:p>
    <w:p>
      <w:pPr>
        <w:widowControl/>
        <w:shd w:val="clear" w:color="auto" w:fill="FFFFFF"/>
        <w:spacing w:line="360" w:lineRule="auto"/>
        <w:ind w:firstLine="480" w:firstLineChars="200"/>
        <w:rPr>
          <w:color w:val="auto"/>
          <w:sz w:val="24"/>
          <w:highlight w:val="none"/>
        </w:rPr>
      </w:pPr>
      <w:r>
        <w:rPr>
          <w:color w:val="auto"/>
          <w:kern w:val="0"/>
          <w:sz w:val="24"/>
          <w:highlight w:val="none"/>
        </w:rPr>
        <w:t>本工程</w:t>
      </w:r>
      <w:r>
        <w:rPr>
          <w:rFonts w:hint="eastAsia"/>
          <w:color w:val="auto"/>
          <w:kern w:val="0"/>
          <w:sz w:val="24"/>
          <w:highlight w:val="none"/>
        </w:rPr>
        <w:t>挤出成型、熔融造粒、注塑废气</w:t>
      </w:r>
      <w:r>
        <w:rPr>
          <w:color w:val="auto"/>
          <w:kern w:val="0"/>
          <w:sz w:val="24"/>
          <w:highlight w:val="none"/>
        </w:rPr>
        <w:t>主要</w:t>
      </w:r>
      <w:r>
        <w:rPr>
          <w:rFonts w:hint="eastAsia"/>
          <w:color w:val="auto"/>
          <w:kern w:val="0"/>
          <w:sz w:val="24"/>
          <w:highlight w:val="none"/>
        </w:rPr>
        <w:t>污染物</w:t>
      </w:r>
      <w:r>
        <w:rPr>
          <w:color w:val="auto"/>
          <w:kern w:val="0"/>
          <w:sz w:val="24"/>
          <w:highlight w:val="none"/>
        </w:rPr>
        <w:t>为颗粒物、VOCs。</w:t>
      </w:r>
    </w:p>
    <w:p>
      <w:pPr>
        <w:pStyle w:val="112"/>
        <w:rPr>
          <w:color w:val="auto"/>
          <w:highlight w:val="none"/>
        </w:rPr>
      </w:pPr>
      <w:bookmarkStart w:id="233" w:name="_Toc486606952"/>
      <w:bookmarkStart w:id="234" w:name="_Toc484720847"/>
      <w:bookmarkStart w:id="235" w:name="_Toc489190006"/>
      <w:bookmarkStart w:id="236" w:name="_Toc488155778"/>
      <w:bookmarkStart w:id="237" w:name="_Toc483653075"/>
      <w:bookmarkStart w:id="238" w:name="_Toc10001"/>
      <w:bookmarkStart w:id="239" w:name="_Toc489189063"/>
      <w:r>
        <w:rPr>
          <w:color w:val="auto"/>
          <w:highlight w:val="none"/>
        </w:rPr>
        <w:t>6.</w:t>
      </w:r>
      <w:r>
        <w:rPr>
          <w:rFonts w:hint="eastAsia"/>
          <w:color w:val="auto"/>
          <w:highlight w:val="none"/>
        </w:rPr>
        <w:t>2</w:t>
      </w:r>
      <w:r>
        <w:rPr>
          <w:color w:val="auto"/>
          <w:highlight w:val="none"/>
        </w:rPr>
        <w:t xml:space="preserve">.1.1 </w:t>
      </w:r>
      <w:r>
        <w:rPr>
          <w:rFonts w:hint="eastAsia"/>
          <w:color w:val="auto"/>
          <w:kern w:val="0"/>
          <w:highlight w:val="none"/>
        </w:rPr>
        <w:t>成型、熔融造粒、注塑及废料破碎废气</w:t>
      </w:r>
      <w:r>
        <w:rPr>
          <w:color w:val="auto"/>
          <w:highlight w:val="none"/>
        </w:rPr>
        <w:t>治理措施</w:t>
      </w:r>
      <w:bookmarkEnd w:id="233"/>
      <w:bookmarkEnd w:id="234"/>
      <w:bookmarkEnd w:id="235"/>
      <w:bookmarkEnd w:id="236"/>
      <w:bookmarkEnd w:id="237"/>
      <w:bookmarkEnd w:id="238"/>
      <w:bookmarkEnd w:id="239"/>
      <w:r>
        <w:rPr>
          <w:color w:val="auto"/>
          <w:highlight w:val="none"/>
        </w:rPr>
        <w:t>及技术论证</w:t>
      </w:r>
    </w:p>
    <w:p>
      <w:pPr>
        <w:autoSpaceDE w:val="0"/>
        <w:autoSpaceDN w:val="0"/>
        <w:adjustRightInd w:val="0"/>
        <w:spacing w:line="360" w:lineRule="auto"/>
        <w:ind w:firstLine="480" w:firstLineChars="200"/>
        <w:rPr>
          <w:color w:val="auto"/>
          <w:kern w:val="0"/>
          <w:sz w:val="24"/>
          <w:highlight w:val="none"/>
        </w:rPr>
      </w:pPr>
      <w:r>
        <w:rPr>
          <w:rFonts w:hint="eastAsia"/>
          <w:color w:val="auto"/>
          <w:kern w:val="0"/>
          <w:sz w:val="24"/>
          <w:highlight w:val="none"/>
        </w:rPr>
        <w:t>成型、熔融造粒、注塑及废料破碎废气经收集后由布袋除尘+活性炭吸附浓缩+催化燃烧+</w:t>
      </w:r>
      <w:r>
        <w:rPr>
          <w:rFonts w:hint="eastAsia"/>
          <w:color w:val="auto"/>
          <w:kern w:val="0"/>
          <w:sz w:val="24"/>
          <w:highlight w:val="none"/>
          <w:lang w:eastAsia="zh-CN"/>
        </w:rPr>
        <w:t>20m</w:t>
      </w:r>
      <w:r>
        <w:rPr>
          <w:rFonts w:hint="eastAsia"/>
          <w:color w:val="auto"/>
          <w:kern w:val="0"/>
          <w:sz w:val="24"/>
          <w:highlight w:val="none"/>
        </w:rPr>
        <w:t>高排气筒（DA001排放）</w:t>
      </w:r>
      <w:r>
        <w:rPr>
          <w:color w:val="auto"/>
          <w:kern w:val="0"/>
          <w:sz w:val="24"/>
          <w:highlight w:val="none"/>
        </w:rPr>
        <w:t>。</w:t>
      </w:r>
    </w:p>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1、布袋除尘器</w:t>
      </w:r>
    </w:p>
    <w:p>
      <w:pPr>
        <w:autoSpaceDE w:val="0"/>
        <w:autoSpaceDN w:val="0"/>
        <w:adjustRightInd w:val="0"/>
        <w:spacing w:line="360" w:lineRule="auto"/>
        <w:ind w:firstLine="482" w:firstLineChars="200"/>
        <w:rPr>
          <w:b/>
          <w:color w:val="auto"/>
          <w:kern w:val="0"/>
          <w:sz w:val="24"/>
          <w:highlight w:val="none"/>
        </w:rPr>
      </w:pPr>
      <w:r>
        <w:rPr>
          <w:b/>
          <w:color w:val="auto"/>
          <w:kern w:val="0"/>
          <w:sz w:val="24"/>
          <w:highlight w:val="none"/>
        </w:rPr>
        <w:t>布袋除尘器工作原理：</w:t>
      </w:r>
    </w:p>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含尘气体从风口进入灰斗后，一部分较粗尘粒和凝聚的尘团，由于惯性作用直接落下，起到预收尘的作用。进入灰斗的气流折转向上涌入箱体，当通过内部装有金属骨架的滤袋时，粉尘被阻留在滤袋的外表面。净化后的气体进入滤袋上部的清洁室汇集到出风管排出。除尘器的清灰是逐室轮流进行的，其程序是由控制器根据工艺条件调整确定的。合理的清灰程序和清灰周期保证了该型除尘器的清灰效果和滤袋寿命。清灰控制器有定时和定阻两种清灰功能，定时式清灰适用于工况条件较为稳定的场合，工况条件如经常变化，则采用定阻式清灰即可实现清灰周期与运行阻力的最佳配合。除尘器工作时，随着过滤的不断进行，滤袋外表的积尘逐渐增多，除尘器的阻力亦逐渐增加。当达到设定值时，清灰控制器发出清灰指令，将滤袋外表面的粉尘清除下来，并落入灰斗，然后再打开排气阀使该室恢复过滤。经过适当的时间间隔后除尘器再次进行下一室的清灰工作。</w:t>
      </w:r>
    </w:p>
    <w:p>
      <w:pPr>
        <w:autoSpaceDE w:val="0"/>
        <w:autoSpaceDN w:val="0"/>
        <w:adjustRightInd w:val="0"/>
        <w:spacing w:line="360" w:lineRule="auto"/>
        <w:ind w:firstLine="482" w:firstLineChars="200"/>
        <w:rPr>
          <w:b/>
          <w:color w:val="auto"/>
          <w:kern w:val="0"/>
          <w:sz w:val="24"/>
          <w:highlight w:val="none"/>
        </w:rPr>
      </w:pPr>
      <w:r>
        <w:rPr>
          <w:b/>
          <w:color w:val="auto"/>
          <w:kern w:val="0"/>
          <w:sz w:val="24"/>
          <w:highlight w:val="none"/>
        </w:rPr>
        <w:t>布袋除尘器的主要特点：</w:t>
      </w:r>
    </w:p>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(1) 除尘效率高，一般在99%以上，对亚微米粒径的细尘有较高的分级效率。</w:t>
      </w:r>
    </w:p>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(2) 处理风量的范围广，小的仅1min数m</w:t>
      </w:r>
      <w:r>
        <w:rPr>
          <w:color w:val="auto"/>
          <w:kern w:val="0"/>
          <w:sz w:val="24"/>
          <w:highlight w:val="none"/>
          <w:vertAlign w:val="superscript"/>
        </w:rPr>
        <w:t>3</w:t>
      </w:r>
      <w:r>
        <w:rPr>
          <w:color w:val="auto"/>
          <w:kern w:val="0"/>
          <w:sz w:val="24"/>
          <w:highlight w:val="none"/>
        </w:rPr>
        <w:t>，大的可达1min数万m</w:t>
      </w:r>
      <w:r>
        <w:rPr>
          <w:color w:val="auto"/>
          <w:kern w:val="0"/>
          <w:sz w:val="24"/>
          <w:highlight w:val="none"/>
          <w:vertAlign w:val="superscript"/>
        </w:rPr>
        <w:t>3</w:t>
      </w:r>
      <w:r>
        <w:rPr>
          <w:color w:val="auto"/>
          <w:kern w:val="0"/>
          <w:sz w:val="24"/>
          <w:highlight w:val="none"/>
        </w:rPr>
        <w:t>。</w:t>
      </w:r>
    </w:p>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(3) 结构简单，维护操作方便。</w:t>
      </w:r>
    </w:p>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(4) 在保证同样高除尘效率的前提下，造价低于电除尘器。</w:t>
      </w:r>
    </w:p>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(5) 对粉尘的特性不敏感，不受粉尘及电阻的影响。</w:t>
      </w:r>
    </w:p>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(6) 布袋除尘器可做成小型的，安装在散尘设备上或散尘设备附近，也可安装在车上做成移动式布袋过滤器，这种小巧、灵活的布袋除尘器特别适用于分散尘源的除尘。</w:t>
      </w:r>
    </w:p>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通过以上措施，</w:t>
      </w:r>
      <w:r>
        <w:rPr>
          <w:rFonts w:hint="eastAsia"/>
          <w:color w:val="auto"/>
          <w:kern w:val="0"/>
          <w:sz w:val="24"/>
          <w:highlight w:val="none"/>
        </w:rPr>
        <w:t>项目产生的颗粒物</w:t>
      </w:r>
      <w:r>
        <w:rPr>
          <w:color w:val="auto"/>
          <w:kern w:val="0"/>
          <w:sz w:val="24"/>
          <w:highlight w:val="none"/>
        </w:rPr>
        <w:t>能够得到有效收集并净化处理，大气污染防治措施可行</w:t>
      </w:r>
      <w:r>
        <w:rPr>
          <w:rFonts w:hint="eastAsia"/>
          <w:color w:val="auto"/>
          <w:kern w:val="0"/>
          <w:sz w:val="24"/>
          <w:highlight w:val="none"/>
          <w:lang w:eastAsia="zh-CN"/>
        </w:rPr>
        <w:t>，</w:t>
      </w:r>
      <w:r>
        <w:rPr>
          <w:rFonts w:hint="eastAsia"/>
          <w:color w:val="auto"/>
          <w:kern w:val="0"/>
          <w:sz w:val="24"/>
          <w:highlight w:val="none"/>
          <w:lang w:val="en-US" w:eastAsia="zh-CN"/>
        </w:rPr>
        <w:t>采用布袋除尘器处理为可行技术</w:t>
      </w:r>
      <w:r>
        <w:rPr>
          <w:color w:val="auto"/>
          <w:kern w:val="0"/>
          <w:sz w:val="24"/>
          <w:highlight w:val="none"/>
        </w:rPr>
        <w:t>。</w:t>
      </w:r>
    </w:p>
    <w:p>
      <w:pPr>
        <w:autoSpaceDE w:val="0"/>
        <w:autoSpaceDN w:val="0"/>
        <w:adjustRightInd w:val="0"/>
        <w:spacing w:line="360" w:lineRule="auto"/>
        <w:ind w:firstLine="480" w:firstLineChars="200"/>
        <w:rPr>
          <w:color w:val="auto"/>
          <w:kern w:val="0"/>
          <w:sz w:val="24"/>
          <w:highlight w:val="none"/>
        </w:rPr>
      </w:pPr>
      <w:bookmarkStart w:id="240" w:name="_Toc486606953"/>
      <w:bookmarkStart w:id="241" w:name="_Toc14265"/>
      <w:bookmarkStart w:id="242" w:name="_Toc483653076"/>
      <w:bookmarkStart w:id="243" w:name="_Toc489189064"/>
      <w:bookmarkStart w:id="244" w:name="_Toc484720848"/>
      <w:bookmarkStart w:id="245" w:name="_Toc489190007"/>
      <w:bookmarkStart w:id="246" w:name="_Toc488155779"/>
      <w:r>
        <w:rPr>
          <w:rFonts w:hint="eastAsia"/>
          <w:color w:val="auto"/>
          <w:kern w:val="0"/>
          <w:sz w:val="24"/>
          <w:highlight w:val="none"/>
        </w:rPr>
        <w:t>2</w:t>
      </w:r>
      <w:r>
        <w:rPr>
          <w:color w:val="auto"/>
          <w:kern w:val="0"/>
          <w:sz w:val="24"/>
          <w:highlight w:val="none"/>
        </w:rPr>
        <w:t>、</w:t>
      </w:r>
      <w:r>
        <w:rPr>
          <w:rFonts w:hint="eastAsia"/>
          <w:color w:val="auto"/>
          <w:kern w:val="0"/>
          <w:sz w:val="24"/>
          <w:highlight w:val="none"/>
        </w:rPr>
        <w:t>VOCs</w:t>
      </w:r>
      <w:r>
        <w:rPr>
          <w:color w:val="auto"/>
          <w:kern w:val="0"/>
          <w:sz w:val="24"/>
          <w:highlight w:val="none"/>
        </w:rPr>
        <w:t>治理措施</w:t>
      </w:r>
      <w:bookmarkEnd w:id="240"/>
      <w:bookmarkEnd w:id="241"/>
      <w:bookmarkEnd w:id="242"/>
      <w:bookmarkEnd w:id="243"/>
      <w:bookmarkEnd w:id="244"/>
      <w:bookmarkEnd w:id="245"/>
      <w:bookmarkEnd w:id="246"/>
      <w:r>
        <w:rPr>
          <w:color w:val="auto"/>
          <w:kern w:val="0"/>
          <w:sz w:val="24"/>
          <w:highlight w:val="none"/>
        </w:rPr>
        <w:t>技术论证</w:t>
      </w:r>
    </w:p>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国家相关要求中规定的挥发性有机废气处理方法：根据《挥发性有机物（VOCs）污染防治技术政策》（编制说明），目前VOCs的末端控制技术可以分为两大类：即回收技术和销毁技术。</w:t>
      </w:r>
    </w:p>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回收技术是通过物理的方法，改变温度、压力或采用选择性吸附剂和选择性渗透膜等方法来富集分离有机污染物的方法，主要包括吸附技术、吸收技术、冷凝技术及膜分离技术等。回收的挥发性有机物可以直接或经过简单纯化后返回工艺过程再利用，以减少原料的消耗，或者用于有机溶剂质量要求较低的生产工艺，或者集中进行分离提纯。</w:t>
      </w:r>
    </w:p>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销毁技术是通过化学或生化反应，用热、光、催化剂或微生物等将有机化合物转变成为二氧化碳和水等无毒害无机小分子化合物的方法，主要包括高温焚烧、催化燃烧、生物氧化、低温等离子体破坏和光催化氧化技术等。</w:t>
      </w:r>
    </w:p>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目前国内外有机废气处理的方法及其各自的优缺点见下表6.</w:t>
      </w:r>
      <w:r>
        <w:rPr>
          <w:rFonts w:hint="eastAsia"/>
          <w:color w:val="auto"/>
          <w:kern w:val="0"/>
          <w:sz w:val="24"/>
          <w:highlight w:val="none"/>
        </w:rPr>
        <w:t>2</w:t>
      </w:r>
      <w:r>
        <w:rPr>
          <w:color w:val="auto"/>
          <w:kern w:val="0"/>
          <w:sz w:val="24"/>
          <w:highlight w:val="none"/>
        </w:rPr>
        <w:t>-</w:t>
      </w:r>
      <w:r>
        <w:rPr>
          <w:rFonts w:hint="eastAsia"/>
          <w:color w:val="auto"/>
          <w:kern w:val="0"/>
          <w:sz w:val="24"/>
          <w:highlight w:val="none"/>
        </w:rPr>
        <w:t>1</w:t>
      </w:r>
      <w:r>
        <w:rPr>
          <w:color w:val="auto"/>
          <w:kern w:val="0"/>
          <w:sz w:val="24"/>
          <w:highlight w:val="none"/>
        </w:rPr>
        <w:t>。</w:t>
      </w:r>
    </w:p>
    <w:p>
      <w:pPr>
        <w:pStyle w:val="158"/>
        <w:spacing w:before="0" w:after="0" w:afterAutospacing="0"/>
        <w:rPr>
          <w:color w:val="auto"/>
          <w:highlight w:val="none"/>
        </w:rPr>
      </w:pPr>
      <w:r>
        <w:rPr>
          <w:color w:val="auto"/>
          <w:highlight w:val="none"/>
        </w:rPr>
        <w:t>表6.</w:t>
      </w:r>
      <w:r>
        <w:rPr>
          <w:rFonts w:hint="eastAsia"/>
          <w:color w:val="auto"/>
          <w:highlight w:val="none"/>
        </w:rPr>
        <w:t>2</w:t>
      </w:r>
      <w:r>
        <w:rPr>
          <w:color w:val="auto"/>
          <w:highlight w:val="none"/>
        </w:rPr>
        <w:t>-</w:t>
      </w:r>
      <w:r>
        <w:rPr>
          <w:rFonts w:hint="eastAsia"/>
          <w:color w:val="auto"/>
          <w:highlight w:val="none"/>
        </w:rPr>
        <w:t xml:space="preserve">1 </w:t>
      </w:r>
      <w:r>
        <w:rPr>
          <w:color w:val="auto"/>
          <w:highlight w:val="none"/>
        </w:rPr>
        <w:t xml:space="preserve"> 目前国内外有机废气处理方法比较一览表</w:t>
      </w:r>
    </w:p>
    <w:tbl>
      <w:tblPr>
        <w:tblStyle w:val="59"/>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38"/>
        <w:gridCol w:w="981"/>
        <w:gridCol w:w="2095"/>
        <w:gridCol w:w="1594"/>
        <w:gridCol w:w="2018"/>
        <w:gridCol w:w="166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1" w:hRule="atLeast"/>
          <w:jc w:val="center"/>
        </w:trPr>
        <w:tc>
          <w:tcPr>
            <w:tcW w:w="249" w:type="pct"/>
            <w:vAlign w:val="center"/>
          </w:tcPr>
          <w:p>
            <w:pPr>
              <w:pStyle w:val="432"/>
              <w:spacing w:before="0" w:after="0"/>
              <w:rPr>
                <w:color w:val="auto"/>
                <w:highlight w:val="none"/>
              </w:rPr>
            </w:pPr>
            <w:r>
              <w:rPr>
                <w:color w:val="auto"/>
                <w:highlight w:val="none"/>
              </w:rPr>
              <w:t>序</w:t>
            </w:r>
          </w:p>
          <w:p>
            <w:pPr>
              <w:pStyle w:val="432"/>
              <w:spacing w:before="0" w:after="0"/>
              <w:rPr>
                <w:color w:val="auto"/>
                <w:highlight w:val="none"/>
              </w:rPr>
            </w:pPr>
            <w:r>
              <w:rPr>
                <w:color w:val="auto"/>
                <w:highlight w:val="none"/>
              </w:rPr>
              <w:t>号</w:t>
            </w:r>
          </w:p>
        </w:tc>
        <w:tc>
          <w:tcPr>
            <w:tcW w:w="558" w:type="pct"/>
            <w:vAlign w:val="center"/>
          </w:tcPr>
          <w:p>
            <w:pPr>
              <w:pStyle w:val="432"/>
              <w:spacing w:before="0" w:after="0"/>
              <w:rPr>
                <w:color w:val="auto"/>
                <w:highlight w:val="none"/>
              </w:rPr>
            </w:pPr>
            <w:r>
              <w:rPr>
                <w:color w:val="auto"/>
                <w:highlight w:val="none"/>
              </w:rPr>
              <w:t>治理方法</w:t>
            </w:r>
          </w:p>
        </w:tc>
        <w:tc>
          <w:tcPr>
            <w:tcW w:w="1192" w:type="pct"/>
            <w:vAlign w:val="center"/>
          </w:tcPr>
          <w:p>
            <w:pPr>
              <w:pStyle w:val="432"/>
              <w:spacing w:before="0" w:after="0"/>
              <w:rPr>
                <w:color w:val="auto"/>
                <w:highlight w:val="none"/>
              </w:rPr>
            </w:pPr>
            <w:r>
              <w:rPr>
                <w:color w:val="auto"/>
                <w:highlight w:val="none"/>
              </w:rPr>
              <w:t>方法要点</w:t>
            </w:r>
          </w:p>
        </w:tc>
        <w:tc>
          <w:tcPr>
            <w:tcW w:w="907" w:type="pct"/>
            <w:vAlign w:val="center"/>
          </w:tcPr>
          <w:p>
            <w:pPr>
              <w:pStyle w:val="432"/>
              <w:spacing w:before="0" w:after="0"/>
              <w:rPr>
                <w:color w:val="auto"/>
                <w:highlight w:val="none"/>
              </w:rPr>
            </w:pPr>
            <w:r>
              <w:rPr>
                <w:color w:val="auto"/>
                <w:highlight w:val="none"/>
              </w:rPr>
              <w:t>有效去除污染物</w:t>
            </w:r>
          </w:p>
        </w:tc>
        <w:tc>
          <w:tcPr>
            <w:tcW w:w="1148" w:type="pct"/>
            <w:vAlign w:val="center"/>
          </w:tcPr>
          <w:p>
            <w:pPr>
              <w:pStyle w:val="432"/>
              <w:spacing w:before="0" w:after="0"/>
              <w:rPr>
                <w:color w:val="auto"/>
                <w:highlight w:val="none"/>
              </w:rPr>
            </w:pPr>
            <w:r>
              <w:rPr>
                <w:color w:val="auto"/>
                <w:highlight w:val="none"/>
              </w:rPr>
              <w:t>优点和选用范围</w:t>
            </w:r>
          </w:p>
        </w:tc>
        <w:tc>
          <w:tcPr>
            <w:tcW w:w="945" w:type="pct"/>
            <w:vAlign w:val="center"/>
          </w:tcPr>
          <w:p>
            <w:pPr>
              <w:pStyle w:val="432"/>
              <w:spacing w:before="0" w:after="0"/>
              <w:rPr>
                <w:color w:val="auto"/>
                <w:highlight w:val="none"/>
              </w:rPr>
            </w:pPr>
            <w:r>
              <w:rPr>
                <w:color w:val="auto"/>
                <w:highlight w:val="none"/>
              </w:rPr>
              <w:t>缺点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40" w:hRule="atLeast"/>
          <w:jc w:val="center"/>
        </w:trPr>
        <w:tc>
          <w:tcPr>
            <w:tcW w:w="249" w:type="pct"/>
            <w:vAlign w:val="center"/>
          </w:tcPr>
          <w:p>
            <w:pPr>
              <w:pStyle w:val="432"/>
              <w:spacing w:before="0" w:after="0"/>
              <w:rPr>
                <w:color w:val="auto"/>
                <w:highlight w:val="none"/>
              </w:rPr>
            </w:pPr>
            <w:r>
              <w:rPr>
                <w:color w:val="auto"/>
                <w:highlight w:val="none"/>
              </w:rPr>
              <w:t>1</w:t>
            </w:r>
          </w:p>
        </w:tc>
        <w:tc>
          <w:tcPr>
            <w:tcW w:w="558" w:type="pct"/>
            <w:vAlign w:val="center"/>
          </w:tcPr>
          <w:p>
            <w:pPr>
              <w:pStyle w:val="432"/>
              <w:spacing w:before="0" w:after="0"/>
              <w:rPr>
                <w:color w:val="auto"/>
                <w:highlight w:val="none"/>
              </w:rPr>
            </w:pPr>
            <w:r>
              <w:rPr>
                <w:color w:val="auto"/>
                <w:highlight w:val="none"/>
              </w:rPr>
              <w:t>冷凝法</w:t>
            </w:r>
          </w:p>
        </w:tc>
        <w:tc>
          <w:tcPr>
            <w:tcW w:w="1192" w:type="pct"/>
            <w:vAlign w:val="center"/>
          </w:tcPr>
          <w:p>
            <w:pPr>
              <w:pStyle w:val="432"/>
              <w:spacing w:before="0" w:after="0"/>
              <w:rPr>
                <w:color w:val="auto"/>
                <w:highlight w:val="none"/>
              </w:rPr>
            </w:pPr>
            <w:r>
              <w:rPr>
                <w:color w:val="auto"/>
                <w:highlight w:val="none"/>
              </w:rPr>
              <w:t>采用低温，使有机物冷却组份冷却至露点以下，液化回收</w:t>
            </w:r>
          </w:p>
        </w:tc>
        <w:tc>
          <w:tcPr>
            <w:tcW w:w="907" w:type="pct"/>
            <w:vAlign w:val="center"/>
          </w:tcPr>
          <w:p>
            <w:pPr>
              <w:pStyle w:val="432"/>
              <w:spacing w:before="0" w:after="0"/>
              <w:rPr>
                <w:color w:val="auto"/>
                <w:highlight w:val="none"/>
              </w:rPr>
            </w:pPr>
            <w:r>
              <w:rPr>
                <w:color w:val="auto"/>
                <w:highlight w:val="none"/>
              </w:rPr>
              <w:t>恶臭污染物、VOCs</w:t>
            </w:r>
          </w:p>
        </w:tc>
        <w:tc>
          <w:tcPr>
            <w:tcW w:w="1148" w:type="pct"/>
            <w:vAlign w:val="center"/>
          </w:tcPr>
          <w:p>
            <w:pPr>
              <w:pStyle w:val="432"/>
              <w:spacing w:before="0" w:after="0"/>
              <w:rPr>
                <w:color w:val="auto"/>
                <w:highlight w:val="none"/>
              </w:rPr>
            </w:pPr>
            <w:r>
              <w:rPr>
                <w:color w:val="auto"/>
                <w:highlight w:val="none"/>
              </w:rPr>
              <w:t>适用于高浓度废气净化（对沸点小于38℃的有机废气不适用）</w:t>
            </w:r>
          </w:p>
        </w:tc>
        <w:tc>
          <w:tcPr>
            <w:tcW w:w="945" w:type="pct"/>
            <w:vAlign w:val="center"/>
          </w:tcPr>
          <w:p>
            <w:pPr>
              <w:pStyle w:val="432"/>
              <w:spacing w:before="0" w:after="0"/>
              <w:rPr>
                <w:color w:val="auto"/>
                <w:highlight w:val="none"/>
              </w:rPr>
            </w:pPr>
            <w:r>
              <w:rPr>
                <w:color w:val="auto"/>
                <w:highlight w:val="none"/>
              </w:rPr>
              <w:t>不宜用于净化低浓度有害气体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98" w:hRule="atLeast"/>
          <w:jc w:val="center"/>
        </w:trPr>
        <w:tc>
          <w:tcPr>
            <w:tcW w:w="249" w:type="pct"/>
            <w:vAlign w:val="center"/>
          </w:tcPr>
          <w:p>
            <w:pPr>
              <w:pStyle w:val="432"/>
              <w:spacing w:before="0" w:after="0"/>
              <w:rPr>
                <w:color w:val="auto"/>
                <w:highlight w:val="none"/>
              </w:rPr>
            </w:pPr>
            <w:r>
              <w:rPr>
                <w:color w:val="auto"/>
                <w:highlight w:val="none"/>
              </w:rPr>
              <w:t>2</w:t>
            </w:r>
          </w:p>
        </w:tc>
        <w:tc>
          <w:tcPr>
            <w:tcW w:w="558" w:type="pct"/>
            <w:vAlign w:val="center"/>
          </w:tcPr>
          <w:p>
            <w:pPr>
              <w:pStyle w:val="432"/>
              <w:spacing w:before="0" w:after="0"/>
              <w:rPr>
                <w:color w:val="auto"/>
                <w:highlight w:val="none"/>
              </w:rPr>
            </w:pPr>
            <w:r>
              <w:rPr>
                <w:color w:val="auto"/>
                <w:highlight w:val="none"/>
              </w:rPr>
              <w:t>吸附法</w:t>
            </w:r>
          </w:p>
        </w:tc>
        <w:tc>
          <w:tcPr>
            <w:tcW w:w="1192" w:type="pct"/>
            <w:vAlign w:val="center"/>
          </w:tcPr>
          <w:p>
            <w:pPr>
              <w:pStyle w:val="432"/>
              <w:spacing w:before="0" w:after="0"/>
              <w:rPr>
                <w:color w:val="auto"/>
                <w:highlight w:val="none"/>
              </w:rPr>
            </w:pPr>
            <w:r>
              <w:rPr>
                <w:color w:val="auto"/>
                <w:highlight w:val="none"/>
              </w:rPr>
              <w:t>用适当的吸收剂对废气中有机物分级进行物理吸附，温度范围为常温</w:t>
            </w:r>
          </w:p>
        </w:tc>
        <w:tc>
          <w:tcPr>
            <w:tcW w:w="907" w:type="pct"/>
            <w:vAlign w:val="center"/>
          </w:tcPr>
          <w:p>
            <w:pPr>
              <w:pStyle w:val="432"/>
              <w:spacing w:before="0" w:after="0"/>
              <w:rPr>
                <w:color w:val="auto"/>
                <w:highlight w:val="none"/>
              </w:rPr>
            </w:pPr>
            <w:r>
              <w:rPr>
                <w:color w:val="auto"/>
                <w:highlight w:val="none"/>
              </w:rPr>
              <w:t>恶臭污染物、VOCs</w:t>
            </w:r>
          </w:p>
        </w:tc>
        <w:tc>
          <w:tcPr>
            <w:tcW w:w="1148" w:type="pct"/>
            <w:vAlign w:val="center"/>
          </w:tcPr>
          <w:p>
            <w:pPr>
              <w:pStyle w:val="432"/>
              <w:spacing w:before="0" w:after="0"/>
              <w:rPr>
                <w:color w:val="auto"/>
                <w:highlight w:val="none"/>
              </w:rPr>
            </w:pPr>
            <w:r>
              <w:rPr>
                <w:color w:val="auto"/>
                <w:highlight w:val="none"/>
              </w:rPr>
              <w:t>适用于低浓度废气的净化（不适用于相对湿度大于50%的有机废气）、净化效率高，成本低</w:t>
            </w:r>
          </w:p>
        </w:tc>
        <w:tc>
          <w:tcPr>
            <w:tcW w:w="945" w:type="pct"/>
            <w:vAlign w:val="center"/>
          </w:tcPr>
          <w:p>
            <w:pPr>
              <w:pStyle w:val="432"/>
              <w:spacing w:before="0" w:after="0"/>
              <w:rPr>
                <w:color w:val="auto"/>
                <w:highlight w:val="none"/>
              </w:rPr>
            </w:pPr>
            <w:r>
              <w:rPr>
                <w:color w:val="auto"/>
                <w:highlight w:val="none"/>
              </w:rPr>
              <w:t>再生较困难，需要不断更换</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49" w:type="pct"/>
            <w:vAlign w:val="center"/>
          </w:tcPr>
          <w:p>
            <w:pPr>
              <w:pStyle w:val="432"/>
              <w:spacing w:before="0" w:after="0"/>
              <w:rPr>
                <w:color w:val="auto"/>
                <w:highlight w:val="none"/>
              </w:rPr>
            </w:pPr>
            <w:r>
              <w:rPr>
                <w:color w:val="auto"/>
                <w:highlight w:val="none"/>
              </w:rPr>
              <w:t>3</w:t>
            </w:r>
          </w:p>
        </w:tc>
        <w:tc>
          <w:tcPr>
            <w:tcW w:w="558" w:type="pct"/>
            <w:vAlign w:val="center"/>
          </w:tcPr>
          <w:p>
            <w:pPr>
              <w:pStyle w:val="432"/>
              <w:spacing w:before="0" w:after="0"/>
              <w:rPr>
                <w:color w:val="auto"/>
                <w:highlight w:val="none"/>
              </w:rPr>
            </w:pPr>
            <w:r>
              <w:rPr>
                <w:color w:val="auto"/>
                <w:highlight w:val="none"/>
              </w:rPr>
              <w:t>吸收法</w:t>
            </w:r>
          </w:p>
        </w:tc>
        <w:tc>
          <w:tcPr>
            <w:tcW w:w="1192" w:type="pct"/>
            <w:vAlign w:val="center"/>
          </w:tcPr>
          <w:p>
            <w:pPr>
              <w:pStyle w:val="432"/>
              <w:spacing w:before="0" w:after="0"/>
              <w:rPr>
                <w:color w:val="auto"/>
                <w:highlight w:val="none"/>
              </w:rPr>
            </w:pPr>
            <w:r>
              <w:rPr>
                <w:color w:val="auto"/>
                <w:highlight w:val="none"/>
              </w:rPr>
              <w:t>用适当的吸收剂对废气中有机组份进行物理吸收，温度范围为常温</w:t>
            </w:r>
          </w:p>
        </w:tc>
        <w:tc>
          <w:tcPr>
            <w:tcW w:w="907" w:type="pct"/>
            <w:vAlign w:val="center"/>
          </w:tcPr>
          <w:p>
            <w:pPr>
              <w:pStyle w:val="432"/>
              <w:spacing w:before="0" w:after="0"/>
              <w:rPr>
                <w:color w:val="auto"/>
                <w:highlight w:val="none"/>
              </w:rPr>
            </w:pPr>
            <w:r>
              <w:rPr>
                <w:color w:val="auto"/>
                <w:highlight w:val="none"/>
              </w:rPr>
              <w:t>恶臭污染物、VOCs</w:t>
            </w:r>
          </w:p>
        </w:tc>
        <w:tc>
          <w:tcPr>
            <w:tcW w:w="1148" w:type="pct"/>
            <w:vAlign w:val="center"/>
          </w:tcPr>
          <w:p>
            <w:pPr>
              <w:pStyle w:val="432"/>
              <w:spacing w:before="0" w:after="0"/>
              <w:rPr>
                <w:color w:val="auto"/>
                <w:highlight w:val="none"/>
              </w:rPr>
            </w:pPr>
            <w:r>
              <w:rPr>
                <w:color w:val="auto"/>
                <w:highlight w:val="none"/>
              </w:rPr>
              <w:t>对废气浓度限制较小，适用于含颗粒物的废气净化、工艺简单，管理方便，设备运转费用低</w:t>
            </w:r>
          </w:p>
        </w:tc>
        <w:tc>
          <w:tcPr>
            <w:tcW w:w="945" w:type="pct"/>
            <w:vAlign w:val="center"/>
          </w:tcPr>
          <w:p>
            <w:pPr>
              <w:pStyle w:val="432"/>
              <w:spacing w:before="0" w:after="0"/>
              <w:rPr>
                <w:color w:val="auto"/>
                <w:highlight w:val="none"/>
              </w:rPr>
            </w:pPr>
            <w:r>
              <w:rPr>
                <w:color w:val="auto"/>
                <w:highlight w:val="none"/>
              </w:rPr>
              <w:t>产生二次污染，需对洗涤液进行处理；净化效率低；</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20" w:hRule="atLeast"/>
          <w:jc w:val="center"/>
        </w:trPr>
        <w:tc>
          <w:tcPr>
            <w:tcW w:w="249" w:type="pct"/>
            <w:vAlign w:val="center"/>
          </w:tcPr>
          <w:p>
            <w:pPr>
              <w:pStyle w:val="432"/>
              <w:spacing w:before="0" w:after="0"/>
              <w:rPr>
                <w:color w:val="auto"/>
                <w:highlight w:val="none"/>
              </w:rPr>
            </w:pPr>
            <w:r>
              <w:rPr>
                <w:color w:val="auto"/>
                <w:highlight w:val="none"/>
              </w:rPr>
              <w:t>4</w:t>
            </w:r>
          </w:p>
        </w:tc>
        <w:tc>
          <w:tcPr>
            <w:tcW w:w="558" w:type="pct"/>
            <w:vAlign w:val="center"/>
          </w:tcPr>
          <w:p>
            <w:pPr>
              <w:pStyle w:val="432"/>
              <w:spacing w:before="0" w:after="0"/>
              <w:rPr>
                <w:color w:val="auto"/>
                <w:highlight w:val="none"/>
              </w:rPr>
            </w:pPr>
            <w:r>
              <w:rPr>
                <w:color w:val="auto"/>
                <w:highlight w:val="none"/>
              </w:rPr>
              <w:t>燃烧法</w:t>
            </w:r>
          </w:p>
        </w:tc>
        <w:tc>
          <w:tcPr>
            <w:tcW w:w="1192" w:type="pct"/>
            <w:vAlign w:val="center"/>
          </w:tcPr>
          <w:p>
            <w:pPr>
              <w:pStyle w:val="432"/>
              <w:spacing w:before="0" w:after="0"/>
              <w:rPr>
                <w:color w:val="auto"/>
                <w:highlight w:val="none"/>
              </w:rPr>
            </w:pPr>
            <w:r>
              <w:rPr>
                <w:color w:val="auto"/>
                <w:highlight w:val="none"/>
              </w:rPr>
              <w:t>将废气中的有机物作为燃料烧掉或将其在高温下进行氧化分解，温度范围为600～1100℃</w:t>
            </w:r>
          </w:p>
        </w:tc>
        <w:tc>
          <w:tcPr>
            <w:tcW w:w="907" w:type="pct"/>
            <w:vAlign w:val="center"/>
          </w:tcPr>
          <w:p>
            <w:pPr>
              <w:pStyle w:val="432"/>
              <w:spacing w:before="0" w:after="0"/>
              <w:rPr>
                <w:color w:val="auto"/>
                <w:highlight w:val="none"/>
              </w:rPr>
            </w:pPr>
            <w:r>
              <w:rPr>
                <w:color w:val="auto"/>
                <w:highlight w:val="none"/>
              </w:rPr>
              <w:t>恶臭污染物、VOCs</w:t>
            </w:r>
          </w:p>
        </w:tc>
        <w:tc>
          <w:tcPr>
            <w:tcW w:w="1148" w:type="pct"/>
            <w:vAlign w:val="center"/>
          </w:tcPr>
          <w:p>
            <w:pPr>
              <w:pStyle w:val="432"/>
              <w:spacing w:before="0" w:after="0"/>
              <w:rPr>
                <w:color w:val="auto"/>
                <w:highlight w:val="none"/>
              </w:rPr>
            </w:pPr>
            <w:r>
              <w:rPr>
                <w:color w:val="auto"/>
                <w:highlight w:val="none"/>
              </w:rPr>
              <w:t>适用于中、高浓度范围、小气量无回收价值或有一定的毒性的废气的净化</w:t>
            </w:r>
          </w:p>
        </w:tc>
        <w:tc>
          <w:tcPr>
            <w:tcW w:w="945" w:type="pct"/>
            <w:vAlign w:val="center"/>
          </w:tcPr>
          <w:p>
            <w:pPr>
              <w:pStyle w:val="432"/>
              <w:spacing w:before="0" w:after="0"/>
              <w:rPr>
                <w:color w:val="auto"/>
                <w:highlight w:val="none"/>
              </w:rPr>
            </w:pPr>
            <w:r>
              <w:rPr>
                <w:color w:val="auto"/>
                <w:highlight w:val="none"/>
              </w:rPr>
              <w:t>设备易腐蚀，处理成本高，易形成二次污染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39" w:hRule="atLeast"/>
          <w:jc w:val="center"/>
        </w:trPr>
        <w:tc>
          <w:tcPr>
            <w:tcW w:w="249" w:type="pct"/>
            <w:vAlign w:val="center"/>
          </w:tcPr>
          <w:p>
            <w:pPr>
              <w:pStyle w:val="432"/>
              <w:spacing w:before="0" w:after="0"/>
              <w:rPr>
                <w:color w:val="auto"/>
                <w:highlight w:val="none"/>
              </w:rPr>
            </w:pPr>
            <w:r>
              <w:rPr>
                <w:color w:val="auto"/>
                <w:highlight w:val="none"/>
              </w:rPr>
              <w:t>5</w:t>
            </w:r>
          </w:p>
        </w:tc>
        <w:tc>
          <w:tcPr>
            <w:tcW w:w="558" w:type="pct"/>
            <w:vAlign w:val="center"/>
          </w:tcPr>
          <w:p>
            <w:pPr>
              <w:pStyle w:val="432"/>
              <w:spacing w:before="0" w:after="0"/>
              <w:rPr>
                <w:color w:val="auto"/>
                <w:highlight w:val="none"/>
              </w:rPr>
            </w:pPr>
            <w:r>
              <w:rPr>
                <w:color w:val="auto"/>
                <w:highlight w:val="none"/>
              </w:rPr>
              <w:t>触媒(催化)燃烧法</w:t>
            </w:r>
          </w:p>
        </w:tc>
        <w:tc>
          <w:tcPr>
            <w:tcW w:w="1192" w:type="pct"/>
            <w:vAlign w:val="center"/>
          </w:tcPr>
          <w:p>
            <w:pPr>
              <w:pStyle w:val="432"/>
              <w:spacing w:before="0" w:after="0"/>
              <w:rPr>
                <w:color w:val="auto"/>
                <w:highlight w:val="none"/>
              </w:rPr>
            </w:pPr>
            <w:r>
              <w:rPr>
                <w:color w:val="auto"/>
                <w:highlight w:val="none"/>
              </w:rPr>
              <w:t>在氧化催化剂作用下，将碳氢化合物氧化为CO</w:t>
            </w:r>
            <w:r>
              <w:rPr>
                <w:color w:val="auto"/>
                <w:highlight w:val="none"/>
                <w:vertAlign w:val="subscript"/>
              </w:rPr>
              <w:t>2</w:t>
            </w:r>
            <w:r>
              <w:rPr>
                <w:color w:val="auto"/>
                <w:highlight w:val="none"/>
              </w:rPr>
              <w:t>和H</w:t>
            </w:r>
            <w:r>
              <w:rPr>
                <w:color w:val="auto"/>
                <w:highlight w:val="none"/>
                <w:vertAlign w:val="subscript"/>
              </w:rPr>
              <w:t>2</w:t>
            </w:r>
            <w:r>
              <w:rPr>
                <w:color w:val="auto"/>
                <w:highlight w:val="none"/>
              </w:rPr>
              <w:t>O，温度范围200～400℃</w:t>
            </w:r>
          </w:p>
        </w:tc>
        <w:tc>
          <w:tcPr>
            <w:tcW w:w="907" w:type="pct"/>
            <w:vAlign w:val="center"/>
          </w:tcPr>
          <w:p>
            <w:pPr>
              <w:pStyle w:val="432"/>
              <w:spacing w:before="0" w:after="0"/>
              <w:rPr>
                <w:color w:val="auto"/>
                <w:highlight w:val="none"/>
              </w:rPr>
            </w:pPr>
            <w:r>
              <w:rPr>
                <w:color w:val="auto"/>
                <w:highlight w:val="none"/>
              </w:rPr>
              <w:t>恶臭污染物、VOCs</w:t>
            </w:r>
          </w:p>
        </w:tc>
        <w:tc>
          <w:tcPr>
            <w:tcW w:w="1148" w:type="pct"/>
            <w:vAlign w:val="center"/>
          </w:tcPr>
          <w:p>
            <w:pPr>
              <w:pStyle w:val="432"/>
              <w:spacing w:before="0" w:after="0"/>
              <w:rPr>
                <w:color w:val="auto"/>
                <w:highlight w:val="none"/>
              </w:rPr>
            </w:pPr>
            <w:r>
              <w:rPr>
                <w:color w:val="auto"/>
                <w:highlight w:val="none"/>
              </w:rPr>
              <w:t>适用于各种浓度的废气净化，适用于连续排气的场合</w:t>
            </w:r>
          </w:p>
        </w:tc>
        <w:tc>
          <w:tcPr>
            <w:tcW w:w="945" w:type="pct"/>
            <w:vAlign w:val="center"/>
          </w:tcPr>
          <w:p>
            <w:pPr>
              <w:pStyle w:val="432"/>
              <w:spacing w:before="0" w:after="0"/>
              <w:rPr>
                <w:color w:val="auto"/>
                <w:highlight w:val="none"/>
              </w:rPr>
            </w:pPr>
            <w:r>
              <w:rPr>
                <w:color w:val="auto"/>
                <w:highlight w:val="none"/>
              </w:rPr>
              <w:t>高湿度废气的治理效率较差，运行成本较高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39" w:hRule="atLeast"/>
          <w:jc w:val="center"/>
        </w:trPr>
        <w:tc>
          <w:tcPr>
            <w:tcW w:w="249" w:type="pct"/>
            <w:vAlign w:val="center"/>
          </w:tcPr>
          <w:p>
            <w:pPr>
              <w:pStyle w:val="432"/>
              <w:spacing w:before="0" w:after="0"/>
              <w:rPr>
                <w:color w:val="auto"/>
                <w:highlight w:val="none"/>
              </w:rPr>
            </w:pPr>
            <w:r>
              <w:rPr>
                <w:color w:val="auto"/>
                <w:highlight w:val="none"/>
              </w:rPr>
              <w:t>6</w:t>
            </w:r>
          </w:p>
        </w:tc>
        <w:tc>
          <w:tcPr>
            <w:tcW w:w="558" w:type="pct"/>
            <w:vAlign w:val="center"/>
          </w:tcPr>
          <w:p>
            <w:pPr>
              <w:pStyle w:val="432"/>
              <w:spacing w:before="0" w:after="0"/>
              <w:rPr>
                <w:color w:val="auto"/>
                <w:highlight w:val="none"/>
              </w:rPr>
            </w:pPr>
            <w:r>
              <w:rPr>
                <w:color w:val="auto"/>
                <w:highlight w:val="none"/>
              </w:rPr>
              <w:t>生物技术</w:t>
            </w:r>
          </w:p>
        </w:tc>
        <w:tc>
          <w:tcPr>
            <w:tcW w:w="1192" w:type="pct"/>
            <w:vAlign w:val="center"/>
          </w:tcPr>
          <w:p>
            <w:pPr>
              <w:pStyle w:val="432"/>
              <w:spacing w:before="0" w:after="0"/>
              <w:rPr>
                <w:color w:val="auto"/>
                <w:highlight w:val="none"/>
              </w:rPr>
            </w:pPr>
            <w:r>
              <w:rPr>
                <w:color w:val="auto"/>
                <w:highlight w:val="none"/>
              </w:rPr>
              <w:t>微生物生命过程把废气中的气态污染物分解转化成少或甚至无害物质</w:t>
            </w:r>
          </w:p>
        </w:tc>
        <w:tc>
          <w:tcPr>
            <w:tcW w:w="907" w:type="pct"/>
            <w:vAlign w:val="center"/>
          </w:tcPr>
          <w:p>
            <w:pPr>
              <w:pStyle w:val="432"/>
              <w:spacing w:before="0" w:after="0"/>
              <w:rPr>
                <w:color w:val="auto"/>
                <w:highlight w:val="none"/>
              </w:rPr>
            </w:pPr>
            <w:r>
              <w:rPr>
                <w:color w:val="auto"/>
                <w:highlight w:val="none"/>
              </w:rPr>
              <w:t>恶臭污染物、VOCs</w:t>
            </w:r>
          </w:p>
        </w:tc>
        <w:tc>
          <w:tcPr>
            <w:tcW w:w="1148" w:type="pct"/>
            <w:vAlign w:val="center"/>
          </w:tcPr>
          <w:p>
            <w:pPr>
              <w:pStyle w:val="432"/>
              <w:spacing w:before="0" w:after="0"/>
              <w:rPr>
                <w:color w:val="auto"/>
                <w:highlight w:val="none"/>
              </w:rPr>
            </w:pPr>
            <w:r>
              <w:rPr>
                <w:color w:val="auto"/>
                <w:highlight w:val="none"/>
              </w:rPr>
              <w:t>能耗小、运行费用低、安全环保</w:t>
            </w:r>
          </w:p>
        </w:tc>
        <w:tc>
          <w:tcPr>
            <w:tcW w:w="945" w:type="pct"/>
            <w:vAlign w:val="center"/>
          </w:tcPr>
          <w:p>
            <w:pPr>
              <w:pStyle w:val="432"/>
              <w:spacing w:before="0" w:after="0"/>
              <w:rPr>
                <w:color w:val="auto"/>
                <w:highlight w:val="none"/>
              </w:rPr>
            </w:pPr>
            <w:r>
              <w:rPr>
                <w:color w:val="auto"/>
                <w:highlight w:val="none"/>
              </w:rPr>
              <w:t>生物净化速度慢、停留时间长；生物菌种，普适性较差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39" w:hRule="atLeast"/>
          <w:jc w:val="center"/>
        </w:trPr>
        <w:tc>
          <w:tcPr>
            <w:tcW w:w="249" w:type="pct"/>
            <w:vAlign w:val="center"/>
          </w:tcPr>
          <w:p>
            <w:pPr>
              <w:pStyle w:val="432"/>
              <w:spacing w:before="0" w:after="0"/>
              <w:rPr>
                <w:color w:val="auto"/>
                <w:highlight w:val="none"/>
              </w:rPr>
            </w:pPr>
            <w:r>
              <w:rPr>
                <w:color w:val="auto"/>
                <w:highlight w:val="none"/>
              </w:rPr>
              <w:t>7</w:t>
            </w:r>
          </w:p>
        </w:tc>
        <w:tc>
          <w:tcPr>
            <w:tcW w:w="558" w:type="pct"/>
            <w:vAlign w:val="center"/>
          </w:tcPr>
          <w:p>
            <w:pPr>
              <w:pStyle w:val="432"/>
              <w:spacing w:before="0" w:after="0"/>
              <w:rPr>
                <w:color w:val="auto"/>
                <w:highlight w:val="none"/>
              </w:rPr>
            </w:pPr>
            <w:r>
              <w:rPr>
                <w:color w:val="auto"/>
                <w:highlight w:val="none"/>
              </w:rPr>
              <w:t>低温等离子</w:t>
            </w:r>
          </w:p>
        </w:tc>
        <w:tc>
          <w:tcPr>
            <w:tcW w:w="1192" w:type="pct"/>
            <w:vAlign w:val="center"/>
          </w:tcPr>
          <w:p>
            <w:pPr>
              <w:pStyle w:val="432"/>
              <w:spacing w:before="0" w:after="0"/>
              <w:rPr>
                <w:color w:val="auto"/>
                <w:highlight w:val="none"/>
              </w:rPr>
            </w:pPr>
            <w:r>
              <w:rPr>
                <w:color w:val="auto"/>
                <w:highlight w:val="none"/>
              </w:rPr>
              <w:t>利用介质放电所产生的等离子体以，通过氧化反应，使大分子污染物转变为小分子的安全物质（如二氧化碳和水），或使有毒有害物质转变为无毒无害或低毒低害物质。</w:t>
            </w:r>
          </w:p>
        </w:tc>
        <w:tc>
          <w:tcPr>
            <w:tcW w:w="907" w:type="pct"/>
            <w:vAlign w:val="center"/>
          </w:tcPr>
          <w:p>
            <w:pPr>
              <w:pStyle w:val="432"/>
              <w:spacing w:before="0" w:after="0"/>
              <w:rPr>
                <w:color w:val="auto"/>
                <w:highlight w:val="none"/>
              </w:rPr>
            </w:pPr>
            <w:r>
              <w:rPr>
                <w:color w:val="auto"/>
                <w:highlight w:val="none"/>
              </w:rPr>
              <w:t>恶臭污染物、VOCs</w:t>
            </w:r>
          </w:p>
        </w:tc>
        <w:tc>
          <w:tcPr>
            <w:tcW w:w="1148" w:type="pct"/>
            <w:vAlign w:val="center"/>
          </w:tcPr>
          <w:p>
            <w:pPr>
              <w:pStyle w:val="432"/>
              <w:spacing w:before="0" w:after="0"/>
              <w:rPr>
                <w:color w:val="auto"/>
                <w:highlight w:val="none"/>
              </w:rPr>
            </w:pPr>
            <w:r>
              <w:rPr>
                <w:color w:val="auto"/>
                <w:highlight w:val="none"/>
              </w:rPr>
              <w:t>运行费用低；无二次污染；运行稳定、操作管理简便、即开即用适合中低浓度、多种挥发性有机物的废气治理。</w:t>
            </w:r>
          </w:p>
        </w:tc>
        <w:tc>
          <w:tcPr>
            <w:tcW w:w="945" w:type="pct"/>
            <w:vAlign w:val="center"/>
          </w:tcPr>
          <w:p>
            <w:pPr>
              <w:pStyle w:val="432"/>
              <w:spacing w:before="0" w:after="0"/>
              <w:rPr>
                <w:color w:val="auto"/>
                <w:highlight w:val="none"/>
              </w:rPr>
            </w:pPr>
            <w:r>
              <w:rPr>
                <w:color w:val="auto"/>
                <w:highlight w:val="none"/>
              </w:rPr>
              <w:t>易产生火花放电，对于低温等离子设备对设备部件的构型设计、制造精度、严密性等要求很高。</w:t>
            </w:r>
          </w:p>
        </w:tc>
      </w:tr>
    </w:tbl>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以下介绍几种常见的有机废气处理方法：</w:t>
      </w:r>
    </w:p>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(1) 活性碳吸附法</w:t>
      </w:r>
    </w:p>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吸附法是最早的去除有机溶剂的方法，这种方法对少量气体处理有效，适用于低浓度废气处理。而对于大量气体来讲因受压力损失增大和吸着剂吸附容量的限制此法不适用。若以除去恶臭和气体中的有机溶剂为目的，吸附法使用的吸附剂仅限于活性炭，因为活性炭无极性，对有机溶剂那样的无极性或极性物能良好地吸附。具有极性的吸附剂(如硅胶、活性氧化铝等)对极性强的水亲和力强、而当大气中含有水分时，不能吸附有机溶剂蒸气。</w:t>
      </w:r>
    </w:p>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被处理的废气在进入吸附装置之前应进行预处理，除掉粉尘(因它们凝结或附着在活性炭上，严重地影响其吸附效率)和冷却降温，因温度越低吸附容量边大，一般应预冷到60℃以下，最好顶冷到室温。</w:t>
      </w:r>
    </w:p>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(2) 触媒(催化)燃烧法</w:t>
      </w:r>
    </w:p>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该方法是用白金、钻、铜、镍等作为触媒，在较低的温度达到完全燃烧，此法能显著地减轻辅助燃料经费。如果找出最适宜的操作条件，它是除去废气中碳氢化合物最有效的方法。</w:t>
      </w:r>
    </w:p>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触媒是催化燃烧法的关键，它直接影响反应温度和反应率。各种触媒的效率高低顺序为：白金、氧化铝为最好，白金、镍丝与白金，氧化铝几乎相同，其后是二氧化锰与Hopcalite、氧化铜、氧化铝、氧化钒、不锈钢填充物。触媒燃烧装置的触媒元件对性能的主要要求有：在低温下的活性要大，对气流的阻抗要小，有高的比表面积和气体在装置内达到充分紊流状态的配置等。装置的结构按气体量分大型和小型，小型的一般不用回收触媒燃烧所产生的热能，大型的，一般回收利用触媒氧化燃烧热来预热废气或作为烘干室的热源。</w:t>
      </w:r>
    </w:p>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根据废气的预热方式，催化燃烧工艺流程有以下3种：</w:t>
      </w:r>
    </w:p>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fldChar w:fldCharType="begin"/>
      </w:r>
      <w:r>
        <w:rPr>
          <w:color w:val="auto"/>
          <w:kern w:val="0"/>
          <w:sz w:val="24"/>
          <w:highlight w:val="none"/>
        </w:rPr>
        <w:instrText xml:space="preserve"> = 1 \* GB3 \* MERGEFORMAT </w:instrText>
      </w:r>
      <w:r>
        <w:rPr>
          <w:color w:val="auto"/>
          <w:kern w:val="0"/>
          <w:sz w:val="24"/>
          <w:highlight w:val="none"/>
        </w:rPr>
        <w:fldChar w:fldCharType="separate"/>
      </w:r>
      <w:r>
        <w:rPr>
          <w:color w:val="auto"/>
          <w:highlight w:val="none"/>
        </w:rPr>
        <w:t>①</w:t>
      </w:r>
      <w:r>
        <w:rPr>
          <w:color w:val="auto"/>
          <w:kern w:val="0"/>
          <w:sz w:val="24"/>
          <w:highlight w:val="none"/>
        </w:rPr>
        <w:fldChar w:fldCharType="end"/>
      </w:r>
      <w:r>
        <w:rPr>
          <w:color w:val="auto"/>
          <w:kern w:val="0"/>
          <w:sz w:val="24"/>
          <w:highlight w:val="none"/>
        </w:rPr>
        <w:t>预热式。预热式是催化燃烧的最基本的流程形式，其基本原理见图6.</w:t>
      </w:r>
      <w:r>
        <w:rPr>
          <w:rFonts w:hint="eastAsia"/>
          <w:color w:val="auto"/>
          <w:kern w:val="0"/>
          <w:sz w:val="24"/>
          <w:highlight w:val="none"/>
        </w:rPr>
        <w:t>2</w:t>
      </w:r>
      <w:r>
        <w:rPr>
          <w:color w:val="auto"/>
          <w:kern w:val="0"/>
          <w:sz w:val="24"/>
          <w:highlight w:val="none"/>
        </w:rPr>
        <w:t>-</w:t>
      </w:r>
      <w:r>
        <w:rPr>
          <w:rFonts w:hint="eastAsia"/>
          <w:color w:val="auto"/>
          <w:kern w:val="0"/>
          <w:sz w:val="24"/>
          <w:highlight w:val="none"/>
        </w:rPr>
        <w:t>1</w:t>
      </w:r>
      <w:r>
        <w:rPr>
          <w:color w:val="auto"/>
          <w:kern w:val="0"/>
          <w:sz w:val="24"/>
          <w:highlight w:val="none"/>
        </w:rPr>
        <w:t>。有机废气温度在100℃以下、浓度也较低时，热量不能自给，因此在进入反应器前需要在预热室加热升温。通常采用煤气或电加热将废气升温至催化反应所需的起燃温度；燃烧净化后的气体在热交换器内与未处理的废气进行热交换，以回收部分热量。</w:t>
      </w:r>
    </w:p>
    <w:p>
      <w:pPr>
        <w:pStyle w:val="28"/>
        <w:rPr>
          <w:color w:val="auto"/>
          <w:kern w:val="0"/>
          <w:sz w:val="24"/>
          <w:highlight w:val="none"/>
        </w:rPr>
      </w:pPr>
    </w:p>
    <w:p>
      <w:pPr>
        <w:pStyle w:val="28"/>
        <w:rPr>
          <w:color w:val="auto"/>
          <w:kern w:val="0"/>
          <w:sz w:val="24"/>
          <w:highlight w:val="none"/>
        </w:rPr>
      </w:pPr>
    </w:p>
    <w:p>
      <w:pPr>
        <w:pStyle w:val="28"/>
        <w:rPr>
          <w:color w:val="auto"/>
          <w:kern w:val="0"/>
          <w:sz w:val="24"/>
          <w:highlight w:val="none"/>
        </w:rPr>
      </w:pPr>
    </w:p>
    <w:p>
      <w:pPr>
        <w:pStyle w:val="28"/>
        <w:rPr>
          <w:color w:val="auto"/>
          <w:kern w:val="0"/>
          <w:sz w:val="24"/>
          <w:highlight w:val="none"/>
        </w:rPr>
      </w:pPr>
    </w:p>
    <w:p>
      <w:pPr>
        <w:pStyle w:val="28"/>
        <w:rPr>
          <w:color w:val="auto"/>
          <w:kern w:val="0"/>
          <w:sz w:val="24"/>
          <w:highlight w:val="none"/>
        </w:rPr>
      </w:pPr>
    </w:p>
    <w:p>
      <w:pPr>
        <w:pStyle w:val="28"/>
        <w:rPr>
          <w:color w:val="auto"/>
          <w:kern w:val="0"/>
          <w:sz w:val="24"/>
          <w:highlight w:val="none"/>
        </w:rPr>
      </w:pPr>
    </w:p>
    <w:p>
      <w:pPr>
        <w:pStyle w:val="2"/>
        <w:ind w:left="0" w:leftChars="0" w:firstLine="0" w:firstLineChars="0"/>
        <w:rPr>
          <w:color w:val="auto"/>
          <w:highlight w:val="none"/>
        </w:rPr>
      </w:pPr>
    </w:p>
    <w:p>
      <w:pPr>
        <w:widowControl/>
        <w:shd w:val="clear" w:color="auto" w:fill="FFFFFF"/>
        <w:spacing w:line="360" w:lineRule="auto"/>
        <w:ind w:firstLine="420" w:firstLineChars="200"/>
        <w:rPr>
          <w:color w:val="auto"/>
          <w:sz w:val="24"/>
          <w:highlight w:val="none"/>
        </w:rPr>
      </w:pPr>
      <w:r>
        <w:rPr>
          <w:color w:val="auto"/>
          <w:highlight w:val="none"/>
        </w:rPr>
        <w:drawing>
          <wp:anchor distT="0" distB="0" distL="114300" distR="114300" simplePos="0" relativeHeight="251663360" behindDoc="0" locked="0" layoutInCell="1" allowOverlap="1">
            <wp:simplePos x="0" y="0"/>
            <wp:positionH relativeFrom="column">
              <wp:posOffset>906780</wp:posOffset>
            </wp:positionH>
            <wp:positionV relativeFrom="paragraph">
              <wp:posOffset>6350</wp:posOffset>
            </wp:positionV>
            <wp:extent cx="3950970" cy="1596390"/>
            <wp:effectExtent l="0" t="0" r="11430" b="3810"/>
            <wp:wrapNone/>
            <wp:docPr id="33" name="图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08"/>
                    <pic:cNvPicPr>
                      <a:picLocks noChangeAspect="1"/>
                    </pic:cNvPicPr>
                  </pic:nvPicPr>
                  <pic:blipFill>
                    <a:blip r:embed="rId56"/>
                    <a:stretch>
                      <a:fillRect/>
                    </a:stretch>
                  </pic:blipFill>
                  <pic:spPr>
                    <a:xfrm>
                      <a:off x="0" y="0"/>
                      <a:ext cx="3950970" cy="1596390"/>
                    </a:xfrm>
                    <a:prstGeom prst="rect">
                      <a:avLst/>
                    </a:prstGeom>
                    <a:noFill/>
                    <a:ln>
                      <a:noFill/>
                    </a:ln>
                  </pic:spPr>
                </pic:pic>
              </a:graphicData>
            </a:graphic>
          </wp:anchor>
        </w:drawing>
      </w:r>
    </w:p>
    <w:p>
      <w:pPr>
        <w:widowControl/>
        <w:shd w:val="clear" w:color="auto" w:fill="FFFFFF"/>
        <w:spacing w:line="360" w:lineRule="auto"/>
        <w:ind w:firstLine="480" w:firstLineChars="200"/>
        <w:rPr>
          <w:color w:val="auto"/>
          <w:sz w:val="24"/>
          <w:highlight w:val="none"/>
        </w:rPr>
      </w:pPr>
    </w:p>
    <w:p>
      <w:pPr>
        <w:widowControl/>
        <w:shd w:val="clear" w:color="auto" w:fill="FFFFFF"/>
        <w:spacing w:line="360" w:lineRule="auto"/>
        <w:ind w:firstLine="480" w:firstLineChars="200"/>
        <w:rPr>
          <w:color w:val="auto"/>
          <w:sz w:val="24"/>
          <w:highlight w:val="none"/>
        </w:rPr>
      </w:pPr>
    </w:p>
    <w:p>
      <w:pPr>
        <w:widowControl/>
        <w:shd w:val="clear" w:color="auto" w:fill="FFFFFF"/>
        <w:spacing w:line="360" w:lineRule="auto"/>
        <w:ind w:firstLine="480" w:firstLineChars="200"/>
        <w:rPr>
          <w:color w:val="auto"/>
          <w:sz w:val="24"/>
          <w:highlight w:val="none"/>
        </w:rPr>
      </w:pPr>
    </w:p>
    <w:p>
      <w:pPr>
        <w:widowControl/>
        <w:shd w:val="clear" w:color="auto" w:fill="FFFFFF"/>
        <w:spacing w:line="360" w:lineRule="auto"/>
        <w:ind w:firstLine="480" w:firstLineChars="200"/>
        <w:rPr>
          <w:color w:val="auto"/>
          <w:sz w:val="24"/>
          <w:highlight w:val="none"/>
        </w:rPr>
      </w:pPr>
    </w:p>
    <w:p>
      <w:pPr>
        <w:widowControl/>
        <w:shd w:val="clear" w:color="auto" w:fill="FFFFFF"/>
        <w:spacing w:line="360" w:lineRule="auto"/>
        <w:ind w:firstLine="480" w:firstLineChars="200"/>
        <w:rPr>
          <w:color w:val="auto"/>
          <w:sz w:val="24"/>
          <w:highlight w:val="none"/>
        </w:rPr>
      </w:pPr>
    </w:p>
    <w:p>
      <w:pPr>
        <w:autoSpaceDE w:val="0"/>
        <w:autoSpaceDN w:val="0"/>
        <w:adjustRightInd w:val="0"/>
        <w:jc w:val="center"/>
        <w:rPr>
          <w:color w:val="auto"/>
          <w:kern w:val="0"/>
          <w:szCs w:val="21"/>
          <w:highlight w:val="none"/>
        </w:rPr>
      </w:pPr>
      <w:r>
        <w:rPr>
          <w:color w:val="auto"/>
          <w:kern w:val="0"/>
          <w:szCs w:val="21"/>
          <w:highlight w:val="none"/>
        </w:rPr>
        <w:t>l—热交换器；2—燃烧室；3—催化反应器</w:t>
      </w:r>
    </w:p>
    <w:p>
      <w:pPr>
        <w:pStyle w:val="20"/>
        <w:ind w:firstLine="480"/>
        <w:rPr>
          <w:color w:val="auto"/>
          <w:sz w:val="24"/>
          <w:highlight w:val="none"/>
        </w:rPr>
      </w:pPr>
    </w:p>
    <w:p>
      <w:pPr>
        <w:pStyle w:val="158"/>
        <w:rPr>
          <w:color w:val="auto"/>
          <w:highlight w:val="none"/>
        </w:rPr>
      </w:pPr>
      <w:r>
        <w:rPr>
          <w:color w:val="auto"/>
          <w:highlight w:val="none"/>
        </w:rPr>
        <w:t>图6.</w:t>
      </w:r>
      <w:r>
        <w:rPr>
          <w:rFonts w:hint="eastAsia"/>
          <w:color w:val="auto"/>
          <w:highlight w:val="none"/>
        </w:rPr>
        <w:t>2</w:t>
      </w:r>
      <w:r>
        <w:rPr>
          <w:color w:val="auto"/>
          <w:highlight w:val="none"/>
        </w:rPr>
        <w:t>-</w:t>
      </w:r>
      <w:r>
        <w:rPr>
          <w:rFonts w:hint="eastAsia"/>
          <w:color w:val="auto"/>
          <w:highlight w:val="none"/>
        </w:rPr>
        <w:t>1</w:t>
      </w:r>
      <w:r>
        <w:rPr>
          <w:color w:val="auto"/>
          <w:highlight w:val="none"/>
        </w:rPr>
        <w:t xml:space="preserve"> 预热式催化燃烧处理系统流程</w:t>
      </w:r>
    </w:p>
    <w:p>
      <w:pPr>
        <w:autoSpaceDE w:val="0"/>
        <w:autoSpaceDN w:val="0"/>
        <w:adjustRightInd w:val="0"/>
        <w:spacing w:line="360" w:lineRule="auto"/>
        <w:ind w:firstLine="420" w:firstLineChars="200"/>
        <w:rPr>
          <w:color w:val="auto"/>
          <w:kern w:val="0"/>
          <w:sz w:val="24"/>
          <w:highlight w:val="none"/>
        </w:rPr>
      </w:pPr>
      <w:r>
        <w:rPr>
          <w:color w:val="auto"/>
          <w:highlight w:val="none"/>
        </w:rPr>
        <w:drawing>
          <wp:anchor distT="0" distB="0" distL="114300" distR="114300" simplePos="0" relativeHeight="251664384" behindDoc="0" locked="0" layoutInCell="1" allowOverlap="1">
            <wp:simplePos x="0" y="0"/>
            <wp:positionH relativeFrom="column">
              <wp:posOffset>1297940</wp:posOffset>
            </wp:positionH>
            <wp:positionV relativeFrom="paragraph">
              <wp:posOffset>889635</wp:posOffset>
            </wp:positionV>
            <wp:extent cx="2757805" cy="1256030"/>
            <wp:effectExtent l="0" t="0" r="4445" b="1270"/>
            <wp:wrapNone/>
            <wp:docPr id="10" name="图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09"/>
                    <pic:cNvPicPr>
                      <a:picLocks noChangeAspect="1"/>
                    </pic:cNvPicPr>
                  </pic:nvPicPr>
                  <pic:blipFill>
                    <a:blip r:embed="rId57"/>
                    <a:stretch>
                      <a:fillRect/>
                    </a:stretch>
                  </pic:blipFill>
                  <pic:spPr>
                    <a:xfrm>
                      <a:off x="0" y="0"/>
                      <a:ext cx="2757805" cy="1256030"/>
                    </a:xfrm>
                    <a:prstGeom prst="rect">
                      <a:avLst/>
                    </a:prstGeom>
                    <a:noFill/>
                    <a:ln>
                      <a:noFill/>
                    </a:ln>
                  </pic:spPr>
                </pic:pic>
              </a:graphicData>
            </a:graphic>
          </wp:anchor>
        </w:drawing>
      </w:r>
      <w:r>
        <w:rPr>
          <w:color w:val="auto"/>
          <w:kern w:val="0"/>
          <w:sz w:val="24"/>
          <w:highlight w:val="none"/>
        </w:rPr>
        <w:fldChar w:fldCharType="begin"/>
      </w:r>
      <w:r>
        <w:rPr>
          <w:color w:val="auto"/>
          <w:kern w:val="0"/>
          <w:sz w:val="24"/>
          <w:highlight w:val="none"/>
        </w:rPr>
        <w:instrText xml:space="preserve"> = 2 \* GB3 \* MERGEFORMAT </w:instrText>
      </w:r>
      <w:r>
        <w:rPr>
          <w:color w:val="auto"/>
          <w:kern w:val="0"/>
          <w:sz w:val="24"/>
          <w:highlight w:val="none"/>
        </w:rPr>
        <w:fldChar w:fldCharType="separate"/>
      </w:r>
      <w:r>
        <w:rPr>
          <w:color w:val="auto"/>
          <w:highlight w:val="none"/>
        </w:rPr>
        <w:t>②</w:t>
      </w:r>
      <w:r>
        <w:rPr>
          <w:color w:val="auto"/>
          <w:kern w:val="0"/>
          <w:sz w:val="24"/>
          <w:highlight w:val="none"/>
        </w:rPr>
        <w:fldChar w:fldCharType="end"/>
      </w:r>
      <w:r>
        <w:rPr>
          <w:color w:val="auto"/>
          <w:kern w:val="0"/>
          <w:sz w:val="24"/>
          <w:highlight w:val="none"/>
        </w:rPr>
        <w:t>自身热平衡式。有机废气温度高且有机物含量较高，通常只需要在催化燃烧反应器中设置电加热器供起燃时使用，通过热交换器回收部分净化气体所产生的热量，正常操作下就能够维持热平衡，不需要补充热量，其流程见图6.3-4。</w:t>
      </w:r>
    </w:p>
    <w:p>
      <w:pPr>
        <w:pStyle w:val="2"/>
        <w:ind w:firstLine="480"/>
        <w:rPr>
          <w:color w:val="auto"/>
          <w:highlight w:val="none"/>
        </w:rPr>
      </w:pPr>
    </w:p>
    <w:p>
      <w:pPr>
        <w:rPr>
          <w:color w:val="auto"/>
          <w:highlight w:val="none"/>
        </w:rPr>
      </w:pPr>
    </w:p>
    <w:p>
      <w:pPr>
        <w:pStyle w:val="2"/>
        <w:ind w:firstLine="480"/>
        <w:rPr>
          <w:color w:val="auto"/>
          <w:highlight w:val="none"/>
        </w:rPr>
      </w:pPr>
    </w:p>
    <w:p>
      <w:pPr>
        <w:rPr>
          <w:color w:val="auto"/>
          <w:highlight w:val="none"/>
        </w:rPr>
      </w:pPr>
    </w:p>
    <w:p>
      <w:pPr>
        <w:widowControl/>
        <w:shd w:val="clear" w:color="auto" w:fill="FFFFFF"/>
        <w:spacing w:line="360" w:lineRule="auto"/>
        <w:ind w:firstLine="480" w:firstLineChars="200"/>
        <w:rPr>
          <w:color w:val="auto"/>
          <w:sz w:val="24"/>
          <w:highlight w:val="none"/>
        </w:rPr>
      </w:pPr>
    </w:p>
    <w:p>
      <w:pPr>
        <w:widowControl/>
        <w:shd w:val="clear" w:color="auto" w:fill="FFFFFF"/>
        <w:spacing w:line="360" w:lineRule="auto"/>
        <w:ind w:firstLine="480" w:firstLineChars="200"/>
        <w:rPr>
          <w:color w:val="auto"/>
          <w:sz w:val="24"/>
          <w:highlight w:val="none"/>
        </w:rPr>
      </w:pPr>
      <w:r>
        <w:rPr>
          <w:color w:val="auto"/>
          <w:sz w:val="24"/>
          <w:highlight w:val="none"/>
        </w:rPr>
        <w:drawing>
          <wp:inline distT="0" distB="0" distL="114300" distR="114300">
            <wp:extent cx="38100" cy="13970"/>
            <wp:effectExtent l="0" t="0" r="0" b="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58"/>
                    <a:stretch>
                      <a:fillRect/>
                    </a:stretch>
                  </pic:blipFill>
                  <pic:spPr>
                    <a:xfrm>
                      <a:off x="0" y="0"/>
                      <a:ext cx="38100" cy="13970"/>
                    </a:xfrm>
                    <a:prstGeom prst="rect">
                      <a:avLst/>
                    </a:prstGeom>
                    <a:noFill/>
                    <a:ln>
                      <a:noFill/>
                    </a:ln>
                  </pic:spPr>
                </pic:pic>
              </a:graphicData>
            </a:graphic>
          </wp:inline>
        </w:drawing>
      </w:r>
    </w:p>
    <w:p>
      <w:pPr>
        <w:widowControl/>
        <w:shd w:val="clear" w:color="auto" w:fill="FFFFFF"/>
        <w:spacing w:line="360" w:lineRule="auto"/>
        <w:ind w:firstLine="420" w:firstLineChars="200"/>
        <w:jc w:val="center"/>
        <w:rPr>
          <w:color w:val="auto"/>
          <w:kern w:val="0"/>
          <w:szCs w:val="21"/>
          <w:highlight w:val="none"/>
        </w:rPr>
      </w:pPr>
      <w:r>
        <w:rPr>
          <w:color w:val="auto"/>
          <w:kern w:val="0"/>
          <w:szCs w:val="21"/>
          <w:highlight w:val="none"/>
        </w:rPr>
        <w:t>1—热交换器；2—催化燃烧室</w:t>
      </w:r>
    </w:p>
    <w:p>
      <w:pPr>
        <w:pStyle w:val="158"/>
        <w:rPr>
          <w:color w:val="auto"/>
          <w:highlight w:val="none"/>
        </w:rPr>
      </w:pPr>
      <w:r>
        <w:rPr>
          <w:color w:val="auto"/>
          <w:highlight w:val="none"/>
        </w:rPr>
        <w:t>图6.</w:t>
      </w:r>
      <w:r>
        <w:rPr>
          <w:rFonts w:hint="eastAsia"/>
          <w:color w:val="auto"/>
          <w:highlight w:val="none"/>
        </w:rPr>
        <w:t>2</w:t>
      </w:r>
      <w:r>
        <w:rPr>
          <w:color w:val="auto"/>
          <w:highlight w:val="none"/>
        </w:rPr>
        <w:t>-</w:t>
      </w:r>
      <w:r>
        <w:rPr>
          <w:rFonts w:hint="eastAsia"/>
          <w:color w:val="auto"/>
          <w:highlight w:val="none"/>
        </w:rPr>
        <w:t>2</w:t>
      </w:r>
      <w:r>
        <w:rPr>
          <w:color w:val="auto"/>
          <w:highlight w:val="none"/>
        </w:rPr>
        <w:t xml:space="preserve"> 自身热平衡式催化燃烧处理系统流程</w:t>
      </w:r>
    </w:p>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fldChar w:fldCharType="begin"/>
      </w:r>
      <w:r>
        <w:rPr>
          <w:color w:val="auto"/>
          <w:kern w:val="0"/>
          <w:sz w:val="24"/>
          <w:highlight w:val="none"/>
        </w:rPr>
        <w:instrText xml:space="preserve"> = 3 \* GB3 \* MERGEFORMAT </w:instrText>
      </w:r>
      <w:r>
        <w:rPr>
          <w:color w:val="auto"/>
          <w:kern w:val="0"/>
          <w:sz w:val="24"/>
          <w:highlight w:val="none"/>
        </w:rPr>
        <w:fldChar w:fldCharType="separate"/>
      </w:r>
      <w:r>
        <w:rPr>
          <w:color w:val="auto"/>
          <w:highlight w:val="none"/>
        </w:rPr>
        <w:t>③</w:t>
      </w:r>
      <w:r>
        <w:rPr>
          <w:color w:val="auto"/>
          <w:kern w:val="0"/>
          <w:sz w:val="24"/>
          <w:highlight w:val="none"/>
        </w:rPr>
        <w:fldChar w:fldCharType="end"/>
      </w:r>
      <w:r>
        <w:rPr>
          <w:color w:val="auto"/>
          <w:kern w:val="0"/>
          <w:sz w:val="24"/>
          <w:highlight w:val="none"/>
        </w:rPr>
        <w:t>吸附-催化燃烧。当有机废气的流量大、浓度低、温度低、采用催化燃烧需消耗大量的燃料时，可先采用吸附手段将有机废气吸附于吸附剂上并进行浓缩，然后通过热空气吹扫，使有机废气脱附成为高浓度有机废气(可浓缩10倍以上)后再进行催化燃烧。不需要补充热源就可以维持正常运行，其工艺流程见图6.</w:t>
      </w:r>
      <w:r>
        <w:rPr>
          <w:rFonts w:hint="eastAsia"/>
          <w:color w:val="auto"/>
          <w:kern w:val="0"/>
          <w:sz w:val="24"/>
          <w:highlight w:val="none"/>
        </w:rPr>
        <w:t>2</w:t>
      </w:r>
      <w:r>
        <w:rPr>
          <w:color w:val="auto"/>
          <w:kern w:val="0"/>
          <w:sz w:val="24"/>
          <w:highlight w:val="none"/>
        </w:rPr>
        <w:t>-</w:t>
      </w:r>
      <w:r>
        <w:rPr>
          <w:rFonts w:hint="eastAsia"/>
          <w:color w:val="auto"/>
          <w:kern w:val="0"/>
          <w:sz w:val="24"/>
          <w:highlight w:val="none"/>
        </w:rPr>
        <w:t>3</w:t>
      </w:r>
      <w:r>
        <w:rPr>
          <w:color w:val="auto"/>
          <w:kern w:val="0"/>
          <w:sz w:val="24"/>
          <w:highlight w:val="none"/>
        </w:rPr>
        <w:t>。</w:t>
      </w:r>
    </w:p>
    <w:p>
      <w:pPr>
        <w:pStyle w:val="2"/>
        <w:ind w:left="0" w:leftChars="0" w:firstLine="0" w:firstLineChars="0"/>
        <w:rPr>
          <w:color w:val="auto"/>
          <w:highlight w:val="none"/>
        </w:rPr>
      </w:pPr>
    </w:p>
    <w:p>
      <w:pPr>
        <w:rPr>
          <w:color w:val="auto"/>
          <w:highlight w:val="none"/>
        </w:rPr>
      </w:pPr>
    </w:p>
    <w:p>
      <w:pPr>
        <w:pStyle w:val="2"/>
        <w:ind w:firstLine="480"/>
        <w:rPr>
          <w:color w:val="auto"/>
          <w:highlight w:val="none"/>
        </w:rPr>
      </w:pPr>
    </w:p>
    <w:p>
      <w:pPr>
        <w:rPr>
          <w:color w:val="auto"/>
          <w:highlight w:val="none"/>
        </w:rPr>
      </w:pPr>
    </w:p>
    <w:p>
      <w:pPr>
        <w:pStyle w:val="2"/>
        <w:ind w:firstLine="480"/>
        <w:rPr>
          <w:color w:val="auto"/>
          <w:highlight w:val="none"/>
        </w:rPr>
      </w:pPr>
    </w:p>
    <w:p>
      <w:pPr>
        <w:rPr>
          <w:color w:val="auto"/>
          <w:highlight w:val="none"/>
        </w:rPr>
      </w:pPr>
    </w:p>
    <w:p>
      <w:pPr>
        <w:pStyle w:val="2"/>
        <w:ind w:firstLine="480"/>
        <w:rPr>
          <w:color w:val="auto"/>
          <w:highlight w:val="none"/>
        </w:rPr>
      </w:pPr>
    </w:p>
    <w:p>
      <w:pPr>
        <w:widowControl/>
        <w:shd w:val="clear" w:color="auto" w:fill="FFFFFF"/>
        <w:spacing w:line="360" w:lineRule="auto"/>
        <w:ind w:firstLine="420" w:firstLineChars="200"/>
        <w:rPr>
          <w:color w:val="auto"/>
          <w:sz w:val="24"/>
          <w:highlight w:val="none"/>
        </w:rPr>
      </w:pPr>
      <w:r>
        <w:rPr>
          <w:color w:val="auto"/>
          <w:highlight w:val="none"/>
        </w:rPr>
        <w:drawing>
          <wp:anchor distT="0" distB="0" distL="114300" distR="114300" simplePos="0" relativeHeight="251666432" behindDoc="0" locked="0" layoutInCell="1" allowOverlap="1">
            <wp:simplePos x="0" y="0"/>
            <wp:positionH relativeFrom="column">
              <wp:posOffset>1297940</wp:posOffset>
            </wp:positionH>
            <wp:positionV relativeFrom="paragraph">
              <wp:posOffset>-7620</wp:posOffset>
            </wp:positionV>
            <wp:extent cx="3193415" cy="2039620"/>
            <wp:effectExtent l="0" t="0" r="6985" b="17780"/>
            <wp:wrapNone/>
            <wp:docPr id="14"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10"/>
                    <pic:cNvPicPr>
                      <a:picLocks noChangeAspect="1"/>
                    </pic:cNvPicPr>
                  </pic:nvPicPr>
                  <pic:blipFill>
                    <a:blip r:embed="rId59"/>
                    <a:stretch>
                      <a:fillRect/>
                    </a:stretch>
                  </pic:blipFill>
                  <pic:spPr>
                    <a:xfrm>
                      <a:off x="0" y="0"/>
                      <a:ext cx="3193415" cy="2039620"/>
                    </a:xfrm>
                    <a:prstGeom prst="rect">
                      <a:avLst/>
                    </a:prstGeom>
                    <a:noFill/>
                    <a:ln>
                      <a:noFill/>
                    </a:ln>
                  </pic:spPr>
                </pic:pic>
              </a:graphicData>
            </a:graphic>
          </wp:anchor>
        </w:drawing>
      </w:r>
    </w:p>
    <w:p>
      <w:pPr>
        <w:widowControl/>
        <w:shd w:val="clear" w:color="auto" w:fill="FFFFFF"/>
        <w:spacing w:line="360" w:lineRule="auto"/>
        <w:ind w:firstLine="480" w:firstLineChars="200"/>
        <w:rPr>
          <w:color w:val="auto"/>
          <w:sz w:val="24"/>
          <w:highlight w:val="none"/>
        </w:rPr>
      </w:pPr>
    </w:p>
    <w:p>
      <w:pPr>
        <w:widowControl/>
        <w:shd w:val="clear" w:color="auto" w:fill="FFFFFF"/>
        <w:spacing w:line="360" w:lineRule="auto"/>
        <w:ind w:firstLine="480" w:firstLineChars="200"/>
        <w:rPr>
          <w:color w:val="auto"/>
          <w:sz w:val="24"/>
          <w:highlight w:val="none"/>
        </w:rPr>
      </w:pPr>
    </w:p>
    <w:p>
      <w:pPr>
        <w:widowControl/>
        <w:shd w:val="clear" w:color="auto" w:fill="FFFFFF"/>
        <w:spacing w:line="360" w:lineRule="auto"/>
        <w:ind w:firstLine="480" w:firstLineChars="200"/>
        <w:rPr>
          <w:color w:val="auto"/>
          <w:sz w:val="24"/>
          <w:highlight w:val="none"/>
        </w:rPr>
      </w:pPr>
    </w:p>
    <w:p>
      <w:pPr>
        <w:widowControl/>
        <w:shd w:val="clear" w:color="auto" w:fill="FFFFFF"/>
        <w:spacing w:line="360" w:lineRule="auto"/>
        <w:ind w:firstLine="480" w:firstLineChars="200"/>
        <w:rPr>
          <w:color w:val="auto"/>
          <w:sz w:val="24"/>
          <w:highlight w:val="none"/>
        </w:rPr>
      </w:pPr>
    </w:p>
    <w:p>
      <w:pPr>
        <w:widowControl/>
        <w:shd w:val="clear" w:color="auto" w:fill="FFFFFF"/>
        <w:spacing w:line="360" w:lineRule="auto"/>
        <w:ind w:firstLine="480" w:firstLineChars="200"/>
        <w:rPr>
          <w:color w:val="auto"/>
          <w:sz w:val="24"/>
          <w:highlight w:val="none"/>
        </w:rPr>
      </w:pPr>
    </w:p>
    <w:p>
      <w:pPr>
        <w:widowControl/>
        <w:shd w:val="clear" w:color="auto" w:fill="FFFFFF"/>
        <w:spacing w:line="360" w:lineRule="auto"/>
        <w:ind w:firstLine="480" w:firstLineChars="200"/>
        <w:rPr>
          <w:color w:val="auto"/>
          <w:sz w:val="24"/>
          <w:highlight w:val="none"/>
        </w:rPr>
      </w:pPr>
    </w:p>
    <w:p>
      <w:pPr>
        <w:pStyle w:val="158"/>
        <w:rPr>
          <w:color w:val="auto"/>
          <w:highlight w:val="none"/>
        </w:rPr>
      </w:pPr>
      <w:r>
        <w:rPr>
          <w:color w:val="auto"/>
          <w:highlight w:val="none"/>
        </w:rPr>
        <w:t>图6.</w:t>
      </w:r>
      <w:r>
        <w:rPr>
          <w:rFonts w:hint="eastAsia"/>
          <w:color w:val="auto"/>
          <w:highlight w:val="none"/>
        </w:rPr>
        <w:t>2</w:t>
      </w:r>
      <w:r>
        <w:rPr>
          <w:color w:val="auto"/>
          <w:highlight w:val="none"/>
        </w:rPr>
        <w:t>-</w:t>
      </w:r>
      <w:r>
        <w:rPr>
          <w:rFonts w:hint="eastAsia"/>
          <w:color w:val="auto"/>
          <w:highlight w:val="none"/>
        </w:rPr>
        <w:t xml:space="preserve">3 </w:t>
      </w:r>
      <w:r>
        <w:rPr>
          <w:color w:val="auto"/>
          <w:highlight w:val="none"/>
        </w:rPr>
        <w:t xml:space="preserve"> 吸附-催化燃烧工艺流程</w:t>
      </w:r>
    </w:p>
    <w:p>
      <w:pPr>
        <w:autoSpaceDE w:val="0"/>
        <w:autoSpaceDN w:val="0"/>
        <w:adjustRightInd w:val="0"/>
        <w:spacing w:line="360" w:lineRule="auto"/>
        <w:ind w:firstLine="480" w:firstLineChars="200"/>
        <w:rPr>
          <w:color w:val="auto"/>
          <w:kern w:val="0"/>
          <w:sz w:val="24"/>
          <w:highlight w:val="none"/>
        </w:rPr>
      </w:pPr>
      <w:r>
        <w:rPr>
          <w:rFonts w:hint="eastAsia"/>
          <w:color w:val="auto"/>
          <w:kern w:val="0"/>
          <w:sz w:val="24"/>
          <w:highlight w:val="none"/>
        </w:rPr>
        <w:t>3</w:t>
      </w:r>
      <w:r>
        <w:rPr>
          <w:color w:val="auto"/>
          <w:kern w:val="0"/>
          <w:sz w:val="24"/>
          <w:highlight w:val="none"/>
        </w:rPr>
        <w:t>、有机废气处理方法的选择</w:t>
      </w:r>
    </w:p>
    <w:p>
      <w:pPr>
        <w:spacing w:line="360" w:lineRule="auto"/>
        <w:ind w:firstLine="480" w:firstLineChars="200"/>
        <w:rPr>
          <w:rFonts w:hint="eastAsia"/>
          <w:color w:val="auto"/>
          <w:kern w:val="0"/>
          <w:sz w:val="24"/>
          <w:highlight w:val="none"/>
        </w:rPr>
      </w:pPr>
      <w:r>
        <w:rPr>
          <w:rFonts w:hint="eastAsia"/>
          <w:color w:val="auto"/>
          <w:kern w:val="0"/>
          <w:sz w:val="24"/>
          <w:highlight w:val="none"/>
        </w:rPr>
        <w:t>根据本项目涂装线产生的废气及现场特点，结合国内外同类型生产线净化工艺并考虑设备及工艺的前瞻性，根据《山东省涉挥发性有机物企业分行业治理指导意见》</w:t>
      </w:r>
      <w:r>
        <w:rPr>
          <w:rFonts w:hint="eastAsia"/>
          <w:color w:val="auto"/>
          <w:kern w:val="0"/>
          <w:sz w:val="24"/>
          <w:highlight w:val="none"/>
          <w:lang w:eastAsia="zh-CN"/>
        </w:rPr>
        <w:t>，</w:t>
      </w:r>
      <w:r>
        <w:rPr>
          <w:rFonts w:hint="eastAsia"/>
          <w:color w:val="auto"/>
          <w:kern w:val="0"/>
          <w:sz w:val="24"/>
          <w:highlight w:val="none"/>
          <w:lang w:val="en-US" w:eastAsia="zh-CN"/>
        </w:rPr>
        <w:t>本项目</w:t>
      </w:r>
      <w:r>
        <w:rPr>
          <w:rFonts w:hint="eastAsia"/>
          <w:color w:val="auto"/>
          <w:kern w:val="0"/>
          <w:sz w:val="24"/>
          <w:highlight w:val="none"/>
        </w:rPr>
        <w:t>选用有机废气“吸附浓缩+催化燃烧”工艺。</w:t>
      </w:r>
    </w:p>
    <w:p>
      <w:pPr>
        <w:autoSpaceDE w:val="0"/>
        <w:autoSpaceDN w:val="0"/>
        <w:adjustRightInd w:val="0"/>
        <w:spacing w:line="360" w:lineRule="auto"/>
        <w:ind w:firstLine="480" w:firstLineChars="200"/>
        <w:rPr>
          <w:color w:val="auto"/>
          <w:kern w:val="0"/>
          <w:sz w:val="24"/>
          <w:highlight w:val="none"/>
        </w:rPr>
      </w:pPr>
      <w:r>
        <w:rPr>
          <w:rFonts w:hint="eastAsia"/>
          <w:color w:val="auto"/>
          <w:kern w:val="0"/>
          <w:sz w:val="24"/>
          <w:highlight w:val="none"/>
        </w:rPr>
        <w:t>4</w:t>
      </w:r>
      <w:r>
        <w:rPr>
          <w:color w:val="auto"/>
          <w:kern w:val="0"/>
          <w:sz w:val="24"/>
          <w:highlight w:val="none"/>
        </w:rPr>
        <w:t>、工艺介绍</w:t>
      </w:r>
    </w:p>
    <w:p>
      <w:pPr>
        <w:spacing w:line="360" w:lineRule="auto"/>
        <w:ind w:firstLine="480" w:firstLineChars="200"/>
        <w:rPr>
          <w:color w:val="auto"/>
          <w:sz w:val="24"/>
          <w:highlight w:val="none"/>
        </w:rPr>
      </w:pPr>
      <w:bookmarkStart w:id="247" w:name="_Toc483653077"/>
      <w:r>
        <w:rPr>
          <w:rFonts w:hint="eastAsia"/>
          <w:color w:val="auto"/>
          <w:kern w:val="0"/>
          <w:sz w:val="24"/>
          <w:highlight w:val="none"/>
        </w:rPr>
        <w:t>挤出成型、熔融造粒、注塑废气</w:t>
      </w:r>
      <w:r>
        <w:rPr>
          <w:color w:val="auto"/>
          <w:sz w:val="24"/>
          <w:highlight w:val="none"/>
        </w:rPr>
        <w:t>废气</w:t>
      </w:r>
      <w:r>
        <w:rPr>
          <w:rFonts w:hint="eastAsia"/>
          <w:color w:val="auto"/>
          <w:sz w:val="24"/>
          <w:highlight w:val="none"/>
        </w:rPr>
        <w:t>先经布袋除尘器除尘，</w:t>
      </w:r>
      <w:r>
        <w:rPr>
          <w:color w:val="auto"/>
          <w:sz w:val="24"/>
          <w:highlight w:val="none"/>
        </w:rPr>
        <w:t>含有VOCs废气进入吸附净化设备，干净的尾气由风机出口烟囱排放。用热空气对吸附饱和后的净化设备进行脱附再生，脱附下来的高浓度有机废气经换热器进入催化燃烧设备催化燃烧，生成CO</w:t>
      </w:r>
      <w:r>
        <w:rPr>
          <w:color w:val="auto"/>
          <w:sz w:val="24"/>
          <w:highlight w:val="none"/>
          <w:vertAlign w:val="subscript"/>
        </w:rPr>
        <w:t>2</w:t>
      </w:r>
      <w:r>
        <w:rPr>
          <w:color w:val="auto"/>
          <w:sz w:val="12"/>
          <w:szCs w:val="12"/>
          <w:highlight w:val="none"/>
        </w:rPr>
        <w:t xml:space="preserve"> </w:t>
      </w:r>
      <w:r>
        <w:rPr>
          <w:color w:val="auto"/>
          <w:sz w:val="24"/>
          <w:highlight w:val="none"/>
        </w:rPr>
        <w:t>和H</w:t>
      </w:r>
      <w:r>
        <w:rPr>
          <w:color w:val="auto"/>
          <w:sz w:val="24"/>
          <w:highlight w:val="none"/>
          <w:vertAlign w:val="subscript"/>
        </w:rPr>
        <w:t>2</w:t>
      </w:r>
      <w:r>
        <w:rPr>
          <w:color w:val="auto"/>
          <w:sz w:val="24"/>
          <w:highlight w:val="none"/>
        </w:rPr>
        <w:t>O，并放出热量。此热空气与脱附下来的废气进行换热，使此气体达到催化燃烧的启燃温度。依次类推，循环进行。</w:t>
      </w:r>
    </w:p>
    <w:p>
      <w:pPr>
        <w:spacing w:line="360" w:lineRule="auto"/>
        <w:ind w:firstLine="480" w:firstLineChars="200"/>
        <w:rPr>
          <w:color w:val="auto"/>
          <w:sz w:val="24"/>
          <w:highlight w:val="none"/>
        </w:rPr>
      </w:pPr>
      <w:r>
        <w:rPr>
          <w:color w:val="auto"/>
          <w:sz w:val="24"/>
          <w:highlight w:val="none"/>
        </w:rPr>
        <w:t>处理工艺见图6.</w:t>
      </w:r>
      <w:r>
        <w:rPr>
          <w:rFonts w:hint="eastAsia"/>
          <w:color w:val="auto"/>
          <w:sz w:val="24"/>
          <w:highlight w:val="none"/>
        </w:rPr>
        <w:t>2</w:t>
      </w:r>
      <w:r>
        <w:rPr>
          <w:color w:val="auto"/>
          <w:sz w:val="24"/>
          <w:highlight w:val="none"/>
        </w:rPr>
        <w:t>-</w:t>
      </w:r>
      <w:r>
        <w:rPr>
          <w:rFonts w:hint="eastAsia"/>
          <w:color w:val="auto"/>
          <w:sz w:val="24"/>
          <w:highlight w:val="none"/>
        </w:rPr>
        <w:t>4</w:t>
      </w:r>
      <w:r>
        <w:rPr>
          <w:color w:val="auto"/>
          <w:sz w:val="24"/>
          <w:highlight w:val="none"/>
        </w:rPr>
        <w:t>。</w:t>
      </w:r>
    </w:p>
    <w:p>
      <w:pPr>
        <w:rPr>
          <w:color w:val="auto"/>
          <w:highlight w:val="none"/>
        </w:rPr>
      </w:pPr>
    </w:p>
    <w:p>
      <w:pPr>
        <w:spacing w:line="360" w:lineRule="auto"/>
        <w:ind w:firstLine="420" w:firstLineChars="200"/>
        <w:rPr>
          <w:color w:val="auto"/>
          <w:sz w:val="24"/>
          <w:highlight w:val="none"/>
        </w:rPr>
      </w:pPr>
      <w:r>
        <w:rPr>
          <w:color w:val="auto"/>
          <w:highlight w:val="none"/>
        </w:rPr>
        <w:drawing>
          <wp:anchor distT="0" distB="0" distL="114300" distR="114300" simplePos="0" relativeHeight="251665408" behindDoc="0" locked="0" layoutInCell="1" allowOverlap="1">
            <wp:simplePos x="0" y="0"/>
            <wp:positionH relativeFrom="column">
              <wp:posOffset>80645</wp:posOffset>
            </wp:positionH>
            <wp:positionV relativeFrom="paragraph">
              <wp:posOffset>-109220</wp:posOffset>
            </wp:positionV>
            <wp:extent cx="5438775" cy="2535555"/>
            <wp:effectExtent l="0" t="0" r="9525" b="17145"/>
            <wp:wrapNone/>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60"/>
                    <a:srcRect r="2528"/>
                    <a:stretch>
                      <a:fillRect/>
                    </a:stretch>
                  </pic:blipFill>
                  <pic:spPr>
                    <a:xfrm>
                      <a:off x="0" y="0"/>
                      <a:ext cx="5438775" cy="2535555"/>
                    </a:xfrm>
                    <a:prstGeom prst="rect">
                      <a:avLst/>
                    </a:prstGeom>
                    <a:noFill/>
                    <a:ln>
                      <a:noFill/>
                    </a:ln>
                  </pic:spPr>
                </pic:pic>
              </a:graphicData>
            </a:graphic>
          </wp:anchor>
        </w:drawing>
      </w: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pStyle w:val="158"/>
        <w:rPr>
          <w:color w:val="auto"/>
          <w:highlight w:val="none"/>
        </w:rPr>
      </w:pPr>
      <w:r>
        <w:rPr>
          <w:color w:val="auto"/>
          <w:highlight w:val="none"/>
        </w:rPr>
        <w:t>图6.</w:t>
      </w:r>
      <w:r>
        <w:rPr>
          <w:rFonts w:hint="eastAsia"/>
          <w:color w:val="auto"/>
          <w:highlight w:val="none"/>
        </w:rPr>
        <w:t>2</w:t>
      </w:r>
      <w:r>
        <w:rPr>
          <w:color w:val="auto"/>
          <w:highlight w:val="none"/>
        </w:rPr>
        <w:t>-</w:t>
      </w:r>
      <w:r>
        <w:rPr>
          <w:rFonts w:hint="eastAsia"/>
          <w:color w:val="auto"/>
          <w:highlight w:val="none"/>
        </w:rPr>
        <w:t xml:space="preserve">4  </w:t>
      </w:r>
      <w:r>
        <w:rPr>
          <w:color w:val="auto"/>
          <w:highlight w:val="none"/>
        </w:rPr>
        <w:t>有机废气吸附浓缩催化反应工艺流程</w:t>
      </w:r>
    </w:p>
    <w:p>
      <w:pPr>
        <w:spacing w:line="360" w:lineRule="auto"/>
        <w:ind w:firstLine="480" w:firstLineChars="200"/>
        <w:rPr>
          <w:color w:val="auto"/>
          <w:sz w:val="24"/>
          <w:highlight w:val="none"/>
        </w:rPr>
      </w:pPr>
      <w:r>
        <w:rPr>
          <w:color w:val="auto"/>
          <w:sz w:val="24"/>
          <w:highlight w:val="none"/>
        </w:rPr>
        <w:t>本项目共设置</w:t>
      </w:r>
      <w:r>
        <w:rPr>
          <w:rFonts w:hint="eastAsia"/>
          <w:color w:val="auto"/>
          <w:sz w:val="24"/>
          <w:highlight w:val="none"/>
        </w:rPr>
        <w:t>1</w:t>
      </w:r>
      <w:r>
        <w:rPr>
          <w:color w:val="auto"/>
          <w:sz w:val="24"/>
          <w:highlight w:val="none"/>
        </w:rPr>
        <w:t>套燃烧装置，根据同类型装置的运行情况来看，有机物的处理效率可以达到</w:t>
      </w:r>
      <w:r>
        <w:rPr>
          <w:rFonts w:hint="eastAsia"/>
          <w:color w:val="auto"/>
          <w:sz w:val="24"/>
          <w:highlight w:val="none"/>
        </w:rPr>
        <w:t>9</w:t>
      </w:r>
      <w:r>
        <w:rPr>
          <w:rFonts w:hint="eastAsia"/>
          <w:color w:val="auto"/>
          <w:sz w:val="24"/>
          <w:highlight w:val="none"/>
          <w:lang w:val="en-US" w:eastAsia="zh-CN"/>
        </w:rPr>
        <w:t>5</w:t>
      </w:r>
      <w:r>
        <w:rPr>
          <w:color w:val="auto"/>
          <w:sz w:val="24"/>
          <w:highlight w:val="none"/>
        </w:rPr>
        <w:t>%以上</w:t>
      </w:r>
      <w:r>
        <w:rPr>
          <w:rFonts w:hint="eastAsia"/>
          <w:color w:val="auto"/>
          <w:sz w:val="24"/>
          <w:highlight w:val="none"/>
          <w:lang w:eastAsia="zh-CN"/>
        </w:rPr>
        <w:t>，</w:t>
      </w:r>
      <w:r>
        <w:rPr>
          <w:rFonts w:hint="eastAsia"/>
          <w:color w:val="auto"/>
          <w:sz w:val="24"/>
          <w:highlight w:val="none"/>
          <w:lang w:val="en-US" w:eastAsia="zh-CN"/>
        </w:rPr>
        <w:t>采用吸附浓缩+催化燃烧为可行技术</w:t>
      </w:r>
      <w:r>
        <w:rPr>
          <w:color w:val="auto"/>
          <w:sz w:val="24"/>
          <w:highlight w:val="none"/>
        </w:rPr>
        <w:t>。</w:t>
      </w:r>
    </w:p>
    <w:p>
      <w:pPr>
        <w:spacing w:line="360" w:lineRule="auto"/>
        <w:ind w:firstLine="480" w:firstLineChars="200"/>
        <w:rPr>
          <w:color w:val="auto"/>
          <w:sz w:val="24"/>
          <w:highlight w:val="none"/>
        </w:rPr>
      </w:pPr>
      <w:r>
        <w:rPr>
          <w:color w:val="auto"/>
          <w:sz w:val="24"/>
          <w:highlight w:val="none"/>
        </w:rPr>
        <w:t>处理后的废气通过</w:t>
      </w:r>
      <w:r>
        <w:rPr>
          <w:rFonts w:hint="eastAsia"/>
          <w:color w:val="auto"/>
          <w:sz w:val="24"/>
          <w:highlight w:val="none"/>
          <w:lang w:eastAsia="zh-CN"/>
        </w:rPr>
        <w:t>20m</w:t>
      </w:r>
      <w:r>
        <w:rPr>
          <w:color w:val="auto"/>
          <w:sz w:val="24"/>
          <w:highlight w:val="none"/>
        </w:rPr>
        <w:t>高排气筒排放，废气中</w:t>
      </w:r>
      <w:r>
        <w:rPr>
          <w:rFonts w:hint="eastAsia"/>
          <w:color w:val="auto"/>
          <w:sz w:val="24"/>
          <w:highlight w:val="none"/>
        </w:rPr>
        <w:t>颗粒物、</w:t>
      </w:r>
      <w:r>
        <w:rPr>
          <w:color w:val="auto"/>
          <w:sz w:val="24"/>
          <w:highlight w:val="none"/>
        </w:rPr>
        <w:t>VOC</w:t>
      </w:r>
      <w:r>
        <w:rPr>
          <w:color w:val="auto"/>
          <w:sz w:val="24"/>
          <w:highlight w:val="none"/>
          <w:vertAlign w:val="subscript"/>
        </w:rPr>
        <w:t>S</w:t>
      </w:r>
      <w:r>
        <w:rPr>
          <w:color w:val="auto"/>
          <w:sz w:val="24"/>
          <w:highlight w:val="none"/>
        </w:rPr>
        <w:t>等污染物能够满足排放标准要求。</w:t>
      </w:r>
    </w:p>
    <w:p>
      <w:pPr>
        <w:pStyle w:val="112"/>
        <w:rPr>
          <w:color w:val="auto"/>
          <w:highlight w:val="none"/>
        </w:rPr>
      </w:pPr>
      <w:bookmarkStart w:id="248" w:name="_Toc19965"/>
      <w:bookmarkStart w:id="249" w:name="_Toc489190008"/>
      <w:bookmarkStart w:id="250" w:name="_Toc488155780"/>
      <w:bookmarkStart w:id="251" w:name="_Toc486606954"/>
      <w:bookmarkStart w:id="252" w:name="_Toc10392"/>
      <w:bookmarkStart w:id="253" w:name="_Toc489189065"/>
      <w:bookmarkStart w:id="254" w:name="_Toc484720849"/>
      <w:r>
        <w:rPr>
          <w:color w:val="auto"/>
          <w:highlight w:val="none"/>
        </w:rPr>
        <w:t>6.</w:t>
      </w:r>
      <w:r>
        <w:rPr>
          <w:rFonts w:hint="eastAsia"/>
          <w:color w:val="auto"/>
          <w:highlight w:val="none"/>
        </w:rPr>
        <w:t>2</w:t>
      </w:r>
      <w:r>
        <w:rPr>
          <w:color w:val="auto"/>
          <w:highlight w:val="none"/>
        </w:rPr>
        <w:t>.1.</w:t>
      </w:r>
      <w:r>
        <w:rPr>
          <w:rFonts w:hint="eastAsia"/>
          <w:color w:val="auto"/>
          <w:highlight w:val="none"/>
        </w:rPr>
        <w:t>2</w:t>
      </w:r>
      <w:r>
        <w:rPr>
          <w:color w:val="auto"/>
          <w:highlight w:val="none"/>
        </w:rPr>
        <w:t xml:space="preserve"> 排气筒高度合理性分析</w:t>
      </w:r>
      <w:bookmarkEnd w:id="247"/>
      <w:bookmarkEnd w:id="248"/>
      <w:bookmarkEnd w:id="249"/>
      <w:bookmarkEnd w:id="250"/>
      <w:bookmarkEnd w:id="251"/>
      <w:bookmarkEnd w:id="252"/>
      <w:bookmarkEnd w:id="253"/>
      <w:bookmarkEnd w:id="254"/>
    </w:p>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本工程有组织废气对厂界的环境影响预测内容见第4章“环境空气影响评价”，通过预测评价可知各评价点的污染因子浓度均达标。同时按照《制定地方大气污染物排放标准的技术方法》(GB/T13201-91)中的有关要求，本工程排气筒高度为</w:t>
      </w:r>
      <w:r>
        <w:rPr>
          <w:rFonts w:hint="eastAsia"/>
          <w:color w:val="auto"/>
          <w:kern w:val="0"/>
          <w:sz w:val="24"/>
          <w:highlight w:val="none"/>
          <w:lang w:eastAsia="zh-CN"/>
        </w:rPr>
        <w:t>20m</w:t>
      </w:r>
      <w:r>
        <w:rPr>
          <w:color w:val="auto"/>
          <w:kern w:val="0"/>
          <w:sz w:val="24"/>
          <w:highlight w:val="none"/>
        </w:rPr>
        <w:t>；按照《大气污染物综合排放标准》(GB16297-1996)的有关规定，也高于周围200m半径范围的建筑5m。因此，项目废气排气筒高度和污染防治措施合理可行。</w:t>
      </w:r>
    </w:p>
    <w:p>
      <w:pPr>
        <w:pStyle w:val="101"/>
        <w:spacing w:before="78"/>
        <w:rPr>
          <w:color w:val="auto"/>
          <w:highlight w:val="none"/>
        </w:rPr>
      </w:pPr>
      <w:r>
        <w:rPr>
          <w:color w:val="auto"/>
          <w:highlight w:val="none"/>
        </w:rPr>
        <w:t>6.2.</w:t>
      </w:r>
      <w:r>
        <w:rPr>
          <w:rFonts w:hint="eastAsia"/>
          <w:color w:val="auto"/>
          <w:highlight w:val="none"/>
        </w:rPr>
        <w:t>2</w:t>
      </w:r>
      <w:r>
        <w:rPr>
          <w:color w:val="auto"/>
          <w:highlight w:val="none"/>
        </w:rPr>
        <w:t>无组织废气</w:t>
      </w:r>
      <w:r>
        <w:rPr>
          <w:rFonts w:hint="eastAsia"/>
          <w:color w:val="auto"/>
          <w:highlight w:val="none"/>
        </w:rPr>
        <w:t>控制措施</w:t>
      </w:r>
    </w:p>
    <w:p>
      <w:pPr>
        <w:spacing w:line="360" w:lineRule="auto"/>
        <w:ind w:firstLine="480" w:firstLineChars="200"/>
        <w:rPr>
          <w:color w:val="auto"/>
          <w:sz w:val="24"/>
          <w:highlight w:val="none"/>
        </w:rPr>
      </w:pPr>
      <w:r>
        <w:rPr>
          <w:color w:val="auto"/>
          <w:sz w:val="24"/>
          <w:highlight w:val="none"/>
        </w:rPr>
        <w:t>生产区无组织废气，年排放量较小。为减少无组织排放废气对周围环境的影响，拟建项目应采用如下措施：</w:t>
      </w:r>
    </w:p>
    <w:p>
      <w:pPr>
        <w:spacing w:line="360" w:lineRule="auto"/>
        <w:ind w:firstLine="480" w:firstLineChars="200"/>
        <w:rPr>
          <w:color w:val="auto"/>
          <w:sz w:val="24"/>
          <w:highlight w:val="none"/>
        </w:rPr>
      </w:pPr>
      <w:r>
        <w:rPr>
          <w:rFonts w:hint="eastAsia" w:ascii="宋体" w:hAnsi="宋体" w:cs="宋体"/>
          <w:color w:val="auto"/>
          <w:sz w:val="24"/>
          <w:highlight w:val="none"/>
        </w:rPr>
        <w:t xml:space="preserve">① </w:t>
      </w:r>
      <w:r>
        <w:rPr>
          <w:color w:val="auto"/>
          <w:sz w:val="24"/>
          <w:highlight w:val="none"/>
        </w:rPr>
        <w:t>工艺设备的先进程度和生产的操作管理水平是控制无组织排放的关键，拟建项目应采取严格的管理制度，并加强员工培训，强化操作规程和提高员工操作水平。另 外，在培训时应强化员工自觉保护环境的意识。</w:t>
      </w:r>
    </w:p>
    <w:p>
      <w:pPr>
        <w:spacing w:line="360" w:lineRule="auto"/>
        <w:ind w:firstLine="480" w:firstLineChars="200"/>
        <w:rPr>
          <w:color w:val="auto"/>
          <w:sz w:val="24"/>
          <w:highlight w:val="none"/>
        </w:rPr>
      </w:pPr>
      <w:r>
        <w:rPr>
          <w:rFonts w:hint="eastAsia" w:ascii="宋体" w:hAnsi="宋体" w:cs="宋体"/>
          <w:color w:val="auto"/>
          <w:sz w:val="24"/>
          <w:highlight w:val="none"/>
        </w:rPr>
        <w:t xml:space="preserve">② </w:t>
      </w:r>
      <w:r>
        <w:rPr>
          <w:color w:val="auto"/>
          <w:sz w:val="24"/>
          <w:highlight w:val="none"/>
        </w:rPr>
        <w:t>拟建项目无组织排放气体主要来自生产装置区，应加强对装置的维护和管理，经常对其进行检修，发现事故及时正确地处理。</w:t>
      </w:r>
    </w:p>
    <w:p>
      <w:pPr>
        <w:spacing w:line="360" w:lineRule="auto"/>
        <w:ind w:firstLine="480" w:firstLineChars="200"/>
        <w:rPr>
          <w:color w:val="auto"/>
          <w:sz w:val="24"/>
          <w:highlight w:val="none"/>
        </w:rPr>
      </w:pPr>
      <w:r>
        <w:rPr>
          <w:rFonts w:hint="eastAsia" w:ascii="宋体" w:hAnsi="宋体" w:cs="宋体"/>
          <w:color w:val="auto"/>
          <w:sz w:val="24"/>
          <w:highlight w:val="none"/>
        </w:rPr>
        <w:t xml:space="preserve">③ </w:t>
      </w:r>
      <w:r>
        <w:rPr>
          <w:color w:val="auto"/>
          <w:sz w:val="24"/>
          <w:highlight w:val="none"/>
        </w:rPr>
        <w:t>生产前应对设备易老化的部位，如垫圈、密封接头与软管连接处等进行检查， 发现问题及时解决，降低物料“跑、冒、滴、漏”发生的机会。</w:t>
      </w:r>
    </w:p>
    <w:p>
      <w:pPr>
        <w:spacing w:line="360" w:lineRule="auto"/>
        <w:ind w:firstLine="480" w:firstLineChars="200"/>
        <w:rPr>
          <w:color w:val="auto"/>
          <w:sz w:val="24"/>
          <w:highlight w:val="none"/>
        </w:rPr>
      </w:pPr>
      <w:r>
        <w:rPr>
          <w:color w:val="auto"/>
          <w:sz w:val="24"/>
          <w:highlight w:val="none"/>
        </w:rPr>
        <w:t>经预测，本项目产生的无组织废气能够满足相关标准的要求。且以上措施较为常规，在许多企业中均已实行多年，企业可以参考实行，不存在技术难度。</w:t>
      </w:r>
    </w:p>
    <w:p>
      <w:pPr>
        <w:pStyle w:val="100"/>
        <w:spacing w:before="156"/>
        <w:rPr>
          <w:rFonts w:ascii="Times New Roman" w:hAnsi="Times New Roman"/>
          <w:color w:val="auto"/>
          <w:highlight w:val="none"/>
        </w:rPr>
      </w:pPr>
      <w:bookmarkStart w:id="255" w:name="_Toc57804780"/>
      <w:bookmarkStart w:id="256" w:name="_Toc66281305"/>
      <w:bookmarkStart w:id="257" w:name="_Toc2188"/>
      <w:r>
        <w:rPr>
          <w:rFonts w:ascii="Times New Roman" w:hAnsi="Times New Roman"/>
          <w:color w:val="auto"/>
          <w:highlight w:val="none"/>
        </w:rPr>
        <w:t>6.3废水处理措施及可行性分析</w:t>
      </w:r>
      <w:bookmarkEnd w:id="255"/>
      <w:bookmarkEnd w:id="256"/>
      <w:bookmarkEnd w:id="257"/>
    </w:p>
    <w:p>
      <w:pPr>
        <w:pStyle w:val="101"/>
        <w:spacing w:before="93" w:beforeLines="30"/>
        <w:jc w:val="left"/>
        <w:rPr>
          <w:rFonts w:ascii="Times New Roman" w:hAnsi="Times New Roman"/>
          <w:color w:val="auto"/>
          <w:highlight w:val="none"/>
        </w:rPr>
      </w:pPr>
      <w:bookmarkStart w:id="258" w:name="_Toc489189068"/>
      <w:bookmarkStart w:id="259" w:name="_Toc489190011"/>
      <w:bookmarkStart w:id="260" w:name="_Toc488155782"/>
      <w:bookmarkStart w:id="261" w:name="_Toc486606956"/>
      <w:bookmarkStart w:id="262" w:name="_Toc483653079"/>
      <w:bookmarkStart w:id="263" w:name="_Toc18615"/>
      <w:bookmarkStart w:id="264" w:name="_Toc484720851"/>
      <w:bookmarkStart w:id="265" w:name="_Toc8543"/>
      <w:r>
        <w:rPr>
          <w:rFonts w:ascii="Times New Roman" w:hAnsi="Times New Roman"/>
          <w:color w:val="auto"/>
          <w:highlight w:val="none"/>
        </w:rPr>
        <w:t>6.</w:t>
      </w:r>
      <w:r>
        <w:rPr>
          <w:rFonts w:hint="eastAsia" w:ascii="Times New Roman" w:hAnsi="Times New Roman"/>
          <w:color w:val="auto"/>
          <w:highlight w:val="none"/>
        </w:rPr>
        <w:t>3</w:t>
      </w:r>
      <w:r>
        <w:rPr>
          <w:rFonts w:ascii="Times New Roman" w:hAnsi="Times New Roman"/>
          <w:color w:val="auto"/>
          <w:highlight w:val="none"/>
        </w:rPr>
        <w:t>.1 厂区废水</w:t>
      </w:r>
      <w:bookmarkEnd w:id="258"/>
      <w:bookmarkEnd w:id="259"/>
      <w:bookmarkEnd w:id="260"/>
      <w:bookmarkEnd w:id="261"/>
      <w:bookmarkEnd w:id="262"/>
      <w:bookmarkEnd w:id="263"/>
      <w:bookmarkEnd w:id="264"/>
      <w:r>
        <w:rPr>
          <w:rFonts w:ascii="Times New Roman" w:hAnsi="Times New Roman"/>
          <w:color w:val="auto"/>
          <w:highlight w:val="none"/>
        </w:rPr>
        <w:t>类型</w:t>
      </w:r>
      <w:bookmarkEnd w:id="265"/>
    </w:p>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本项目无生产废水产生</w:t>
      </w:r>
      <w:r>
        <w:rPr>
          <w:rFonts w:hint="eastAsia"/>
          <w:color w:val="auto"/>
          <w:kern w:val="0"/>
          <w:sz w:val="24"/>
          <w:highlight w:val="none"/>
          <w:lang w:eastAsia="zh-CN"/>
        </w:rPr>
        <w:t>，</w:t>
      </w:r>
      <w:r>
        <w:rPr>
          <w:color w:val="auto"/>
          <w:kern w:val="0"/>
          <w:sz w:val="24"/>
          <w:highlight w:val="none"/>
        </w:rPr>
        <w:t>项目建成后，厂区内废水主要为职工生活污水。</w:t>
      </w:r>
    </w:p>
    <w:p>
      <w:pPr>
        <w:pStyle w:val="101"/>
        <w:spacing w:before="93" w:beforeLines="30"/>
        <w:jc w:val="left"/>
        <w:rPr>
          <w:rFonts w:ascii="Times New Roman" w:hAnsi="Times New Roman"/>
          <w:color w:val="auto"/>
          <w:highlight w:val="none"/>
        </w:rPr>
      </w:pPr>
      <w:bookmarkStart w:id="266" w:name="_Toc23563"/>
      <w:bookmarkStart w:id="267" w:name="_Toc486606957"/>
      <w:bookmarkStart w:id="268" w:name="_Toc483653080"/>
      <w:bookmarkStart w:id="269" w:name="_Toc489190012"/>
      <w:bookmarkStart w:id="270" w:name="_Toc32701"/>
      <w:bookmarkStart w:id="271" w:name="_Toc489189069"/>
      <w:bookmarkStart w:id="272" w:name="_Toc488155783"/>
      <w:bookmarkStart w:id="273" w:name="_Toc484720852"/>
      <w:r>
        <w:rPr>
          <w:rFonts w:ascii="Times New Roman" w:hAnsi="Times New Roman"/>
          <w:color w:val="auto"/>
          <w:highlight w:val="none"/>
        </w:rPr>
        <w:t>6.</w:t>
      </w:r>
      <w:r>
        <w:rPr>
          <w:rFonts w:hint="eastAsia" w:ascii="Times New Roman" w:hAnsi="Times New Roman"/>
          <w:color w:val="auto"/>
          <w:highlight w:val="none"/>
        </w:rPr>
        <w:t>3</w:t>
      </w:r>
      <w:r>
        <w:rPr>
          <w:rFonts w:ascii="Times New Roman" w:hAnsi="Times New Roman"/>
          <w:color w:val="auto"/>
          <w:highlight w:val="none"/>
        </w:rPr>
        <w:t>.2 废水处理方案</w:t>
      </w:r>
      <w:bookmarkEnd w:id="266"/>
      <w:bookmarkEnd w:id="267"/>
      <w:bookmarkEnd w:id="268"/>
      <w:bookmarkEnd w:id="269"/>
      <w:bookmarkEnd w:id="270"/>
      <w:bookmarkEnd w:id="271"/>
      <w:bookmarkEnd w:id="272"/>
      <w:bookmarkEnd w:id="273"/>
    </w:p>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项目建成后，全厂实行“雨、污分流”。生活污水经化粪池处理，由环卫部门定期清运，不外排。</w:t>
      </w:r>
    </w:p>
    <w:p>
      <w:pPr>
        <w:autoSpaceDE w:val="0"/>
        <w:autoSpaceDN w:val="0"/>
        <w:adjustRightInd w:val="0"/>
        <w:spacing w:line="360" w:lineRule="auto"/>
        <w:ind w:firstLine="480" w:firstLineChars="200"/>
        <w:rPr>
          <w:color w:val="auto"/>
          <w:kern w:val="0"/>
          <w:sz w:val="24"/>
          <w:highlight w:val="none"/>
        </w:rPr>
      </w:pPr>
      <w:r>
        <w:rPr>
          <w:rFonts w:hint="eastAsia"/>
          <w:color w:val="auto"/>
          <w:kern w:val="0"/>
          <w:sz w:val="24"/>
          <w:highlight w:val="none"/>
        </w:rPr>
        <w:t>1、</w:t>
      </w:r>
      <w:r>
        <w:rPr>
          <w:color w:val="auto"/>
          <w:kern w:val="0"/>
          <w:sz w:val="24"/>
          <w:highlight w:val="none"/>
        </w:rPr>
        <w:t>化粪池工作原理</w:t>
      </w:r>
    </w:p>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化粪池是利用沉淀和厌氧发酵原理去除废水中悬浮物质的处理设备。主要分为四步：过滤沉淀→厌氧发酵→固体物分解→废水集中抽运。</w:t>
      </w:r>
    </w:p>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污水首先由进水口排到第一格，在第一格里比重较大的固体物及寄生虫卵等物沉淀下来，开始初步的发酵分解，经第一格处理过的污水可分为三层：糊状粪皮、比较澄清的粪液、和固体状的固体残渣。</w:t>
      </w:r>
    </w:p>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经过初步分解的粪液流入第二格，而漂浮在上面的粪皮和沉积在下面的固体残渣则留在第一格继续发酵。在第二格中，粪液继续发酵分解，虫卵继续下沉，病原体逐渐死亡，粪液得到进一步无害化，产生的粪皮和粪渣厚度比第一格显著减少。流入第三格的粪液一般已经腐熟，其中病菌和寄生虫卵已基本杀灭。第三格功能主要起暂时储存已基本无害的粪液作用，粪液定期由当地环卫部门定期清运。化粪池其结构如图6.</w:t>
      </w:r>
      <w:r>
        <w:rPr>
          <w:rFonts w:hint="eastAsia"/>
          <w:color w:val="auto"/>
          <w:kern w:val="0"/>
          <w:sz w:val="24"/>
          <w:highlight w:val="none"/>
        </w:rPr>
        <w:t>3</w:t>
      </w:r>
      <w:r>
        <w:rPr>
          <w:color w:val="auto"/>
          <w:kern w:val="0"/>
          <w:sz w:val="24"/>
          <w:highlight w:val="none"/>
        </w:rPr>
        <w:t>-1所示：</w:t>
      </w:r>
    </w:p>
    <w:p>
      <w:pPr>
        <w:autoSpaceDE w:val="0"/>
        <w:autoSpaceDN w:val="0"/>
        <w:adjustRightInd w:val="0"/>
        <w:spacing w:line="360" w:lineRule="auto"/>
        <w:jc w:val="center"/>
        <w:rPr>
          <w:color w:val="auto"/>
          <w:kern w:val="0"/>
          <w:sz w:val="24"/>
          <w:highlight w:val="none"/>
        </w:rPr>
      </w:pPr>
      <w:r>
        <w:rPr>
          <w:color w:val="auto"/>
          <w:kern w:val="0"/>
          <w:highlight w:val="none"/>
        </w:rPr>
        <w:drawing>
          <wp:inline distT="0" distB="0" distL="114300" distR="114300">
            <wp:extent cx="3723640" cy="2190750"/>
            <wp:effectExtent l="0" t="0" r="10160" b="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61"/>
                    <a:stretch>
                      <a:fillRect/>
                    </a:stretch>
                  </pic:blipFill>
                  <pic:spPr>
                    <a:xfrm>
                      <a:off x="0" y="0"/>
                      <a:ext cx="3723640" cy="2190750"/>
                    </a:xfrm>
                    <a:prstGeom prst="rect">
                      <a:avLst/>
                    </a:prstGeom>
                    <a:noFill/>
                    <a:ln>
                      <a:noFill/>
                    </a:ln>
                  </pic:spPr>
                </pic:pic>
              </a:graphicData>
            </a:graphic>
          </wp:inline>
        </w:drawing>
      </w:r>
    </w:p>
    <w:p>
      <w:pPr>
        <w:autoSpaceDE w:val="0"/>
        <w:autoSpaceDN w:val="0"/>
        <w:adjustRightInd w:val="0"/>
        <w:spacing w:line="360" w:lineRule="auto"/>
        <w:jc w:val="center"/>
        <w:rPr>
          <w:rFonts w:eastAsia="黑体"/>
          <w:bCs/>
          <w:color w:val="auto"/>
          <w:kern w:val="0"/>
          <w:sz w:val="24"/>
          <w:highlight w:val="none"/>
        </w:rPr>
      </w:pPr>
      <w:r>
        <w:rPr>
          <w:rFonts w:eastAsia="黑体"/>
          <w:bCs/>
          <w:color w:val="auto"/>
          <w:kern w:val="0"/>
          <w:sz w:val="24"/>
          <w:highlight w:val="none"/>
        </w:rPr>
        <w:t>图6.</w:t>
      </w:r>
      <w:r>
        <w:rPr>
          <w:rFonts w:hint="eastAsia" w:eastAsia="黑体"/>
          <w:bCs/>
          <w:color w:val="auto"/>
          <w:kern w:val="0"/>
          <w:sz w:val="24"/>
          <w:highlight w:val="none"/>
        </w:rPr>
        <w:t>3</w:t>
      </w:r>
      <w:r>
        <w:rPr>
          <w:rFonts w:eastAsia="黑体"/>
          <w:bCs/>
          <w:color w:val="auto"/>
          <w:kern w:val="0"/>
          <w:sz w:val="24"/>
          <w:highlight w:val="none"/>
        </w:rPr>
        <w:t xml:space="preserve">-1 </w:t>
      </w:r>
      <w:r>
        <w:rPr>
          <w:rFonts w:hint="eastAsia" w:eastAsia="黑体"/>
          <w:bCs/>
          <w:color w:val="auto"/>
          <w:kern w:val="0"/>
          <w:sz w:val="24"/>
          <w:highlight w:val="none"/>
        </w:rPr>
        <w:t xml:space="preserve"> </w:t>
      </w:r>
      <w:r>
        <w:rPr>
          <w:rFonts w:eastAsia="黑体"/>
          <w:bCs/>
          <w:color w:val="auto"/>
          <w:kern w:val="0"/>
          <w:sz w:val="24"/>
          <w:highlight w:val="none"/>
        </w:rPr>
        <w:t>化粪池结构图</w:t>
      </w:r>
    </w:p>
    <w:p>
      <w:pPr>
        <w:pStyle w:val="101"/>
        <w:spacing w:before="93" w:beforeLines="30"/>
        <w:jc w:val="left"/>
        <w:rPr>
          <w:rFonts w:ascii="Times New Roman" w:hAnsi="Times New Roman"/>
          <w:color w:val="auto"/>
          <w:highlight w:val="none"/>
        </w:rPr>
      </w:pPr>
      <w:bookmarkStart w:id="274" w:name="_Toc16119"/>
      <w:bookmarkStart w:id="275" w:name="_Toc484720854"/>
      <w:bookmarkStart w:id="276" w:name="_Toc486606961"/>
      <w:bookmarkStart w:id="277" w:name="_Toc489190016"/>
      <w:bookmarkStart w:id="278" w:name="_Toc483653083"/>
      <w:bookmarkStart w:id="279" w:name="_Toc488155787"/>
      <w:bookmarkStart w:id="280" w:name="_Toc489189073"/>
      <w:bookmarkStart w:id="281" w:name="_Toc25110"/>
      <w:r>
        <w:rPr>
          <w:rFonts w:ascii="Times New Roman" w:hAnsi="Times New Roman"/>
          <w:color w:val="auto"/>
          <w:highlight w:val="none"/>
        </w:rPr>
        <w:t>6.</w:t>
      </w:r>
      <w:r>
        <w:rPr>
          <w:rFonts w:hint="eastAsia" w:ascii="Times New Roman" w:hAnsi="Times New Roman"/>
          <w:color w:val="auto"/>
          <w:highlight w:val="none"/>
          <w:lang w:val="en-US" w:eastAsia="zh-CN"/>
        </w:rPr>
        <w:t>3</w:t>
      </w:r>
      <w:r>
        <w:rPr>
          <w:rFonts w:ascii="Times New Roman" w:hAnsi="Times New Roman"/>
          <w:color w:val="auto"/>
          <w:highlight w:val="none"/>
        </w:rPr>
        <w:t>.</w:t>
      </w:r>
      <w:bookmarkEnd w:id="274"/>
      <w:bookmarkEnd w:id="275"/>
      <w:bookmarkEnd w:id="276"/>
      <w:bookmarkEnd w:id="277"/>
      <w:bookmarkEnd w:id="278"/>
      <w:bookmarkEnd w:id="279"/>
      <w:bookmarkEnd w:id="280"/>
      <w:r>
        <w:rPr>
          <w:rFonts w:ascii="Times New Roman" w:hAnsi="Times New Roman"/>
          <w:color w:val="auto"/>
          <w:highlight w:val="none"/>
        </w:rPr>
        <w:t>3 废水处理措施的经济可行性分析</w:t>
      </w:r>
      <w:bookmarkEnd w:id="281"/>
    </w:p>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本项目设计建设</w:t>
      </w:r>
      <w:r>
        <w:rPr>
          <w:rFonts w:hint="eastAsia"/>
          <w:color w:val="auto"/>
          <w:kern w:val="0"/>
          <w:sz w:val="24"/>
          <w:highlight w:val="none"/>
        </w:rPr>
        <w:t>1</w:t>
      </w:r>
      <w:r>
        <w:rPr>
          <w:color w:val="auto"/>
          <w:kern w:val="0"/>
          <w:sz w:val="24"/>
          <w:highlight w:val="none"/>
        </w:rPr>
        <w:t>座化粪池，拟投资</w:t>
      </w:r>
      <w:r>
        <w:rPr>
          <w:rFonts w:hint="eastAsia"/>
          <w:color w:val="auto"/>
          <w:kern w:val="0"/>
          <w:sz w:val="24"/>
          <w:highlight w:val="none"/>
        </w:rPr>
        <w:t>5</w:t>
      </w:r>
      <w:r>
        <w:rPr>
          <w:color w:val="auto"/>
          <w:kern w:val="0"/>
          <w:sz w:val="24"/>
          <w:highlight w:val="none"/>
        </w:rPr>
        <w:t>万元，资金预算充足。本项目使用的废水处理方法及设施均为常见废水处理方案，处理效果及设备运行稳定性都有保障。因此，本项目废水治理设施经济上具有可行性。</w:t>
      </w:r>
      <w:bookmarkStart w:id="282" w:name="_Toc489190017"/>
      <w:bookmarkStart w:id="283" w:name="_Toc489189074"/>
    </w:p>
    <w:p>
      <w:pPr>
        <w:pStyle w:val="101"/>
        <w:spacing w:before="93" w:beforeLines="30"/>
        <w:jc w:val="left"/>
        <w:rPr>
          <w:rFonts w:ascii="Times New Roman" w:hAnsi="Times New Roman"/>
          <w:color w:val="auto"/>
          <w:highlight w:val="none"/>
        </w:rPr>
      </w:pPr>
      <w:bookmarkStart w:id="284" w:name="_Toc14711"/>
      <w:bookmarkStart w:id="285" w:name="_Toc11237"/>
      <w:r>
        <w:rPr>
          <w:rFonts w:ascii="Times New Roman" w:hAnsi="Times New Roman"/>
          <w:color w:val="auto"/>
          <w:highlight w:val="none"/>
        </w:rPr>
        <w:t>6.</w:t>
      </w:r>
      <w:r>
        <w:rPr>
          <w:rFonts w:hint="eastAsia" w:ascii="Times New Roman" w:hAnsi="Times New Roman"/>
          <w:color w:val="auto"/>
          <w:highlight w:val="none"/>
        </w:rPr>
        <w:t>3</w:t>
      </w:r>
      <w:r>
        <w:rPr>
          <w:rFonts w:ascii="Times New Roman" w:hAnsi="Times New Roman"/>
          <w:color w:val="auto"/>
          <w:highlight w:val="none"/>
        </w:rPr>
        <w:t>.4 小结</w:t>
      </w:r>
      <w:bookmarkEnd w:id="282"/>
      <w:bookmarkEnd w:id="283"/>
      <w:bookmarkEnd w:id="284"/>
      <w:bookmarkEnd w:id="285"/>
    </w:p>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综上，本工程所采用的污水处理工艺技术成熟、应用广泛，经济可行，企业能够接受。废水处理工艺的选择在经济技术上都是可行的。</w:t>
      </w:r>
    </w:p>
    <w:p>
      <w:pPr>
        <w:pStyle w:val="100"/>
        <w:spacing w:before="156"/>
        <w:rPr>
          <w:rFonts w:ascii="Times New Roman" w:hAnsi="Times New Roman"/>
          <w:color w:val="auto"/>
          <w:highlight w:val="none"/>
        </w:rPr>
      </w:pPr>
      <w:bookmarkStart w:id="286" w:name="_Toc66281306"/>
      <w:bookmarkStart w:id="287" w:name="_Toc57804781"/>
      <w:bookmarkStart w:id="288" w:name="_Toc31042"/>
      <w:r>
        <w:rPr>
          <w:rFonts w:ascii="Times New Roman" w:hAnsi="Times New Roman"/>
          <w:color w:val="auto"/>
          <w:highlight w:val="none"/>
        </w:rPr>
        <w:t>6.4固体废物处理措施及可行性分析</w:t>
      </w:r>
      <w:bookmarkEnd w:id="286"/>
      <w:bookmarkEnd w:id="287"/>
      <w:bookmarkEnd w:id="288"/>
    </w:p>
    <w:p>
      <w:pPr>
        <w:pStyle w:val="99"/>
        <w:ind w:firstLine="480"/>
        <w:rPr>
          <w:color w:val="auto"/>
          <w:highlight w:val="none"/>
        </w:rPr>
      </w:pPr>
      <w:r>
        <w:rPr>
          <w:color w:val="auto"/>
          <w:highlight w:val="none"/>
        </w:rPr>
        <w:t>本项目固体废物包括危险废物、一般工业固废和生活垃圾。</w:t>
      </w:r>
    </w:p>
    <w:p>
      <w:pPr>
        <w:pStyle w:val="99"/>
        <w:ind w:firstLine="480"/>
        <w:rPr>
          <w:color w:val="auto"/>
          <w:highlight w:val="none"/>
        </w:rPr>
      </w:pPr>
      <w:r>
        <w:rPr>
          <w:color w:val="auto"/>
          <w:highlight w:val="none"/>
        </w:rPr>
        <w:t>一般固体废物：</w:t>
      </w:r>
      <w:r>
        <w:rPr>
          <w:rFonts w:hint="eastAsia"/>
          <w:color w:val="auto"/>
          <w:highlight w:val="none"/>
        </w:rPr>
        <w:t>生活垃圾、管道及配件生产切割下脚料、质检不合格产品，造粒工序熔融挤出废料、废网。管道及配件生产切割下脚料、质检不合格产品经破碎后回用于造粒工序；造粒工序熔融挤出废料、废滤网外卖</w:t>
      </w:r>
      <w:r>
        <w:rPr>
          <w:rFonts w:hint="eastAsia"/>
          <w:color w:val="auto"/>
          <w:szCs w:val="21"/>
          <w:highlight w:val="none"/>
        </w:rPr>
        <w:t>；</w:t>
      </w:r>
      <w:r>
        <w:rPr>
          <w:color w:val="auto"/>
          <w:highlight w:val="none"/>
        </w:rPr>
        <w:t>生活垃圾由当地环卫部门定期清运。</w:t>
      </w:r>
    </w:p>
    <w:p>
      <w:pPr>
        <w:pStyle w:val="99"/>
        <w:ind w:firstLine="480"/>
        <w:rPr>
          <w:color w:val="auto"/>
          <w:highlight w:val="none"/>
        </w:rPr>
      </w:pPr>
      <w:r>
        <w:rPr>
          <w:color w:val="auto"/>
          <w:highlight w:val="none"/>
        </w:rPr>
        <w:t>危险废物：主要包括废活性炭</w:t>
      </w:r>
      <w:r>
        <w:rPr>
          <w:rFonts w:hint="eastAsia"/>
          <w:color w:val="auto"/>
          <w:highlight w:val="none"/>
        </w:rPr>
        <w:t>、废催化剂、</w:t>
      </w:r>
      <w:r>
        <w:rPr>
          <w:color w:val="auto"/>
          <w:highlight w:val="none"/>
        </w:rPr>
        <w:t>废</w:t>
      </w:r>
      <w:r>
        <w:rPr>
          <w:rFonts w:hint="eastAsia"/>
          <w:color w:val="auto"/>
          <w:highlight w:val="none"/>
        </w:rPr>
        <w:t>矿物</w:t>
      </w:r>
      <w:r>
        <w:rPr>
          <w:color w:val="auto"/>
          <w:highlight w:val="none"/>
        </w:rPr>
        <w:t>油。所有危险废物分类收集，设置特定区域存放，并委托有处理资质的公司及时</w:t>
      </w:r>
      <w:r>
        <w:rPr>
          <w:rFonts w:hint="eastAsia"/>
          <w:color w:val="auto"/>
          <w:highlight w:val="none"/>
        </w:rPr>
        <w:t>转运</w:t>
      </w:r>
      <w:r>
        <w:rPr>
          <w:color w:val="auto"/>
          <w:highlight w:val="none"/>
        </w:rPr>
        <w:t>处理。所有使用危险化学品的车间地面、危险废物储库地面均采取严格的防渗措施。</w:t>
      </w:r>
    </w:p>
    <w:p>
      <w:pPr>
        <w:pStyle w:val="99"/>
        <w:ind w:firstLine="480"/>
        <w:rPr>
          <w:color w:val="auto"/>
          <w:highlight w:val="none"/>
        </w:rPr>
      </w:pPr>
      <w:r>
        <w:rPr>
          <w:color w:val="auto"/>
          <w:highlight w:val="none"/>
        </w:rPr>
        <w:t>此外，危险废物的贮存、运输严格按照《危险废物贮存污染控制标准》</w:t>
      </w:r>
      <w:r>
        <w:rPr>
          <w:rFonts w:hint="eastAsia"/>
          <w:color w:val="auto"/>
          <w:highlight w:val="none"/>
        </w:rPr>
        <w:t>(</w:t>
      </w:r>
      <w:r>
        <w:rPr>
          <w:color w:val="auto"/>
          <w:highlight w:val="none"/>
        </w:rPr>
        <w:t>GB8597-2001</w:t>
      </w:r>
      <w:r>
        <w:rPr>
          <w:rFonts w:hint="eastAsia"/>
          <w:color w:val="auto"/>
          <w:highlight w:val="none"/>
        </w:rPr>
        <w:t>)</w:t>
      </w:r>
      <w:r>
        <w:rPr>
          <w:color w:val="auto"/>
          <w:highlight w:val="none"/>
        </w:rPr>
        <w:t>和《危险废物污染防治技术政策》要求进行。企业拟设置危废库房一座，总面积为30m</w:t>
      </w:r>
      <w:r>
        <w:rPr>
          <w:color w:val="auto"/>
          <w:highlight w:val="none"/>
          <w:vertAlign w:val="superscript"/>
        </w:rPr>
        <w:t>2</w:t>
      </w:r>
      <w:r>
        <w:rPr>
          <w:color w:val="auto"/>
          <w:highlight w:val="none"/>
        </w:rPr>
        <w:t>，危废库房按照《环境保护图形标志》(GB15562-1995)的规定设置警示标志；危废废物暂存库内分区存放，分区管理，贴有指示标牌。危废库房地面和裙角均做了防渗处理，无裂痕。危险废物暂存场做到</w:t>
      </w:r>
      <w:r>
        <w:rPr>
          <w:rFonts w:hint="eastAsia"/>
          <w:color w:val="auto"/>
          <w:highlight w:val="none"/>
        </w:rPr>
        <w:t>“</w:t>
      </w:r>
      <w:r>
        <w:rPr>
          <w:color w:val="auto"/>
          <w:highlight w:val="none"/>
        </w:rPr>
        <w:t>防风、防雨、防晒</w:t>
      </w:r>
      <w:r>
        <w:rPr>
          <w:rFonts w:hint="eastAsia"/>
          <w:color w:val="auto"/>
          <w:highlight w:val="none"/>
        </w:rPr>
        <w:t>”</w:t>
      </w:r>
      <w:r>
        <w:rPr>
          <w:color w:val="auto"/>
          <w:highlight w:val="none"/>
        </w:rPr>
        <w:t>，符合《危险废物贮存污染控制标准》(GB18597-2001)的要求。</w:t>
      </w:r>
    </w:p>
    <w:p>
      <w:pPr>
        <w:pStyle w:val="99"/>
        <w:ind w:firstLine="480"/>
        <w:rPr>
          <w:color w:val="auto"/>
          <w:szCs w:val="24"/>
          <w:highlight w:val="none"/>
        </w:rPr>
      </w:pPr>
      <w:r>
        <w:rPr>
          <w:color w:val="auto"/>
          <w:highlight w:val="none"/>
        </w:rPr>
        <w:t>同时厂区危废暂存场由专业人员操作，单独收集和贮运，严格执行《危险废物收集、贮存、运输技术规范》(HJ2025-2012)和《危险废物转移联单管理办法》，并制定好危险废物转移运输途中的污染防范及事故应急措施，严格按照要求办理有关手续。结合固废产生及治理情况可知，固废治理措施运行费用主要为危险固废委托处理的费用及环卫部门收集生活垃圾过程中支付的垃圾清运费，根据同类企业运行资料，固废处置年运行费用约为1万元，从环保和经济方面综合考虑，本项目固废治理方案是可行的。</w:t>
      </w:r>
    </w:p>
    <w:p>
      <w:pPr>
        <w:pStyle w:val="99"/>
        <w:ind w:firstLine="480"/>
        <w:rPr>
          <w:color w:val="auto"/>
          <w:highlight w:val="none"/>
        </w:rPr>
      </w:pPr>
      <w:r>
        <w:rPr>
          <w:color w:val="auto"/>
          <w:szCs w:val="24"/>
          <w:highlight w:val="none"/>
        </w:rPr>
        <w:t>综上所述，项目运营过程中产生的固废都根据自身的特点得到合理的利用和处置，不外排，不会对周围环境及人群造成影响。</w:t>
      </w:r>
    </w:p>
    <w:p>
      <w:pPr>
        <w:pStyle w:val="100"/>
        <w:spacing w:before="156"/>
        <w:rPr>
          <w:rFonts w:ascii="Times New Roman" w:hAnsi="Times New Roman"/>
          <w:color w:val="auto"/>
          <w:highlight w:val="none"/>
        </w:rPr>
      </w:pPr>
      <w:bookmarkStart w:id="289" w:name="_Toc66281307"/>
      <w:bookmarkStart w:id="290" w:name="_Toc30750"/>
      <w:bookmarkStart w:id="291" w:name="_Toc57804782"/>
      <w:r>
        <w:rPr>
          <w:rFonts w:ascii="Times New Roman" w:hAnsi="Times New Roman"/>
          <w:color w:val="auto"/>
          <w:highlight w:val="none"/>
        </w:rPr>
        <w:t>6.5噪声治理措施及可行性分析</w:t>
      </w:r>
      <w:bookmarkEnd w:id="289"/>
      <w:bookmarkEnd w:id="290"/>
      <w:bookmarkEnd w:id="291"/>
    </w:p>
    <w:p>
      <w:pPr>
        <w:pStyle w:val="99"/>
        <w:ind w:firstLine="480"/>
        <w:rPr>
          <w:color w:val="auto"/>
          <w:highlight w:val="none"/>
        </w:rPr>
      </w:pPr>
      <w:r>
        <w:rPr>
          <w:color w:val="auto"/>
          <w:highlight w:val="none"/>
        </w:rPr>
        <w:t>拟建项目主要产生噪声的设备有</w:t>
      </w:r>
      <w:r>
        <w:rPr>
          <w:rFonts w:hint="eastAsia"/>
          <w:color w:val="auto"/>
          <w:highlight w:val="none"/>
        </w:rPr>
        <w:t>挤出机、牵引机、切割锯、成型机、注塑机、造粒机、切粒机、风机</w:t>
      </w:r>
      <w:r>
        <w:rPr>
          <w:rFonts w:hint="eastAsia"/>
          <w:snapToGrid w:val="0"/>
          <w:color w:val="auto"/>
          <w:kern w:val="0"/>
          <w:highlight w:val="none"/>
        </w:rPr>
        <w:t>及各种泵类</w:t>
      </w:r>
      <w:r>
        <w:rPr>
          <w:color w:val="auto"/>
          <w:highlight w:val="none"/>
        </w:rPr>
        <w:t>等，主要为空气动力性噪声、机械应力噪声等。拟建项目从局部到整体以至外环境都考虑了不同的控制措施。</w:t>
      </w:r>
    </w:p>
    <w:p>
      <w:pPr>
        <w:pStyle w:val="99"/>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 xml:space="preserve">) </w:t>
      </w:r>
      <w:r>
        <w:rPr>
          <w:color w:val="auto"/>
          <w:highlight w:val="none"/>
        </w:rPr>
        <w:t>从治理噪声源入手，在设备选型订货时，首选运行高效、低噪型设备，在一 些必要的设备上，如风机，加装消音、隔噪装置，以降低噪声源强。</w:t>
      </w:r>
    </w:p>
    <w:p>
      <w:pPr>
        <w:pStyle w:val="99"/>
        <w:ind w:firstLine="480"/>
        <w:rPr>
          <w:color w:val="auto"/>
          <w:highlight w:val="none"/>
        </w:rPr>
      </w:pPr>
      <w:r>
        <w:rPr>
          <w:rFonts w:hint="eastAsia"/>
          <w:color w:val="auto"/>
          <w:highlight w:val="none"/>
        </w:rPr>
        <w:t xml:space="preserve">(2) </w:t>
      </w:r>
      <w:r>
        <w:rPr>
          <w:color w:val="auto"/>
          <w:highlight w:val="none"/>
        </w:rPr>
        <w:t>设备安装时，先要打坚固地基，加装减振垫，增加稳定性减轻振动；对于噪声强度大的设备，除加装消音装置外，还应单独进行封闭布置，尽可能远离厂界。</w:t>
      </w:r>
    </w:p>
    <w:p>
      <w:pPr>
        <w:pStyle w:val="99"/>
        <w:ind w:firstLine="480"/>
        <w:rPr>
          <w:color w:val="auto"/>
          <w:highlight w:val="none"/>
        </w:rPr>
      </w:pPr>
      <w:r>
        <w:rPr>
          <w:rFonts w:hint="eastAsia"/>
          <w:color w:val="auto"/>
          <w:highlight w:val="none"/>
        </w:rPr>
        <w:t xml:space="preserve">(3) </w:t>
      </w:r>
      <w:r>
        <w:rPr>
          <w:color w:val="auto"/>
          <w:highlight w:val="none"/>
        </w:rPr>
        <w:t>车间厂房设计建设过程中，应对噪声源比较集中的车间内壁、门、窗等使用 吸音材料，保证厂房的屏蔽隔声效果。</w:t>
      </w:r>
    </w:p>
    <w:p>
      <w:pPr>
        <w:pStyle w:val="99"/>
        <w:ind w:firstLine="480"/>
        <w:rPr>
          <w:color w:val="auto"/>
          <w:highlight w:val="none"/>
        </w:rPr>
      </w:pPr>
      <w:r>
        <w:rPr>
          <w:rFonts w:hint="eastAsia"/>
          <w:color w:val="auto"/>
          <w:highlight w:val="none"/>
        </w:rPr>
        <w:t xml:space="preserve">(4) </w:t>
      </w:r>
      <w:r>
        <w:rPr>
          <w:color w:val="auto"/>
          <w:highlight w:val="none"/>
        </w:rPr>
        <w:t>厂区平面布置应统筹兼顾、合理布局，注重休息区、办公区与生产区的防噪 间距。</w:t>
      </w:r>
    </w:p>
    <w:p>
      <w:pPr>
        <w:pStyle w:val="99"/>
        <w:ind w:firstLine="480"/>
        <w:rPr>
          <w:color w:val="auto"/>
          <w:highlight w:val="none"/>
        </w:rPr>
      </w:pPr>
      <w:r>
        <w:rPr>
          <w:rFonts w:hint="eastAsia"/>
          <w:color w:val="auto"/>
          <w:highlight w:val="none"/>
        </w:rPr>
        <w:t xml:space="preserve">(5) </w:t>
      </w:r>
      <w:r>
        <w:rPr>
          <w:color w:val="auto"/>
          <w:highlight w:val="none"/>
        </w:rPr>
        <w:t>厂区内大面积绿化，在厂界、车间等周围设置防护林隔离带，通过绿化吸收 降低厂界外噪声排放值。</w:t>
      </w:r>
    </w:p>
    <w:p>
      <w:pPr>
        <w:pStyle w:val="99"/>
        <w:ind w:firstLine="480"/>
        <w:rPr>
          <w:color w:val="auto"/>
          <w:highlight w:val="none"/>
        </w:rPr>
      </w:pPr>
      <w:r>
        <w:rPr>
          <w:color w:val="auto"/>
          <w:highlight w:val="none"/>
        </w:rPr>
        <w:t>拟建项目拟采取的噪声治理技术成熟可靠，在同类行业有着广泛、成功的应用，工程实施后，能够有效的降低噪声的传播影响，达到设计要求。估算项目噪声治理投资相对较低，</w:t>
      </w:r>
      <w:r>
        <w:rPr>
          <w:color w:val="auto"/>
          <w:szCs w:val="24"/>
          <w:highlight w:val="none"/>
        </w:rPr>
        <w:t>总投资</w:t>
      </w:r>
      <w:r>
        <w:rPr>
          <w:rFonts w:hint="eastAsia" w:eastAsia="等线"/>
          <w:color w:val="auto"/>
          <w:szCs w:val="24"/>
          <w:highlight w:val="none"/>
        </w:rPr>
        <w:t>10</w:t>
      </w:r>
      <w:r>
        <w:rPr>
          <w:color w:val="auto"/>
          <w:szCs w:val="24"/>
          <w:highlight w:val="none"/>
        </w:rPr>
        <w:t>万元，</w:t>
      </w:r>
      <w:r>
        <w:rPr>
          <w:color w:val="auto"/>
          <w:highlight w:val="none"/>
        </w:rPr>
        <w:t>企业能够接受</w:t>
      </w:r>
      <w:r>
        <w:rPr>
          <w:rFonts w:hint="eastAsia"/>
          <w:color w:val="auto"/>
          <w:highlight w:val="none"/>
        </w:rPr>
        <w:t>，</w:t>
      </w:r>
      <w:r>
        <w:rPr>
          <w:color w:val="auto"/>
          <w:szCs w:val="24"/>
          <w:highlight w:val="none"/>
        </w:rPr>
        <w:t>经济上可行。</w:t>
      </w:r>
    </w:p>
    <w:p>
      <w:pPr>
        <w:pStyle w:val="99"/>
        <w:ind w:firstLine="480"/>
        <w:rPr>
          <w:color w:val="auto"/>
          <w:szCs w:val="24"/>
          <w:highlight w:val="none"/>
        </w:rPr>
      </w:pPr>
      <w:r>
        <w:rPr>
          <w:color w:val="auto"/>
          <w:highlight w:val="none"/>
        </w:rPr>
        <w:t>项目通过采取以上噪声污染防治措施，完全可以将厂界噪声控制在《工业企业厂界环境噪声排放标准》</w:t>
      </w:r>
      <w:r>
        <w:rPr>
          <w:rFonts w:hint="eastAsia"/>
          <w:color w:val="auto"/>
          <w:highlight w:val="none"/>
        </w:rPr>
        <w:t>(</w:t>
      </w:r>
      <w:r>
        <w:rPr>
          <w:color w:val="auto"/>
          <w:highlight w:val="none"/>
        </w:rPr>
        <w:t>GB12348-2008</w:t>
      </w:r>
      <w:r>
        <w:rPr>
          <w:rFonts w:hint="eastAsia"/>
          <w:color w:val="auto"/>
          <w:highlight w:val="none"/>
        </w:rPr>
        <w:t>)2</w:t>
      </w:r>
      <w:r>
        <w:rPr>
          <w:color w:val="auto"/>
          <w:highlight w:val="none"/>
        </w:rPr>
        <w:t>类标准要求的范围内，从而也保证了对周 围敏感目标的影响最小化和功能区达标。</w:t>
      </w:r>
    </w:p>
    <w:p>
      <w:pPr>
        <w:pStyle w:val="100"/>
        <w:spacing w:before="156"/>
        <w:rPr>
          <w:rFonts w:ascii="Times New Roman" w:hAnsi="Times New Roman"/>
          <w:color w:val="auto"/>
          <w:highlight w:val="none"/>
        </w:rPr>
      </w:pPr>
      <w:bookmarkStart w:id="292" w:name="_Toc15492"/>
      <w:r>
        <w:rPr>
          <w:rFonts w:ascii="Times New Roman" w:hAnsi="Times New Roman"/>
          <w:color w:val="auto"/>
          <w:highlight w:val="none"/>
        </w:rPr>
        <w:t>6.</w:t>
      </w:r>
      <w:r>
        <w:rPr>
          <w:rFonts w:hint="eastAsia" w:ascii="Times New Roman" w:hAnsi="Times New Roman"/>
          <w:color w:val="auto"/>
          <w:highlight w:val="none"/>
        </w:rPr>
        <w:t>6进一步减缓污染的对策</w:t>
      </w:r>
      <w:bookmarkEnd w:id="292"/>
    </w:p>
    <w:p>
      <w:pPr>
        <w:pStyle w:val="99"/>
        <w:ind w:firstLine="480"/>
        <w:rPr>
          <w:color w:val="auto"/>
          <w:highlight w:val="none"/>
        </w:rPr>
      </w:pPr>
      <w:r>
        <w:rPr>
          <w:color w:val="auto"/>
          <w:highlight w:val="none"/>
        </w:rPr>
        <w:t>工程采用国内外先进生产工艺，能耗低，从根本上减少了污染，在</w:t>
      </w:r>
      <w:r>
        <w:rPr>
          <w:rFonts w:hint="eastAsia"/>
          <w:color w:val="auto"/>
          <w:highlight w:val="none"/>
        </w:rPr>
        <w:t>“</w:t>
      </w:r>
      <w:r>
        <w:rPr>
          <w:color w:val="auto"/>
          <w:highlight w:val="none"/>
        </w:rPr>
        <w:t>三废</w:t>
      </w:r>
      <w:r>
        <w:rPr>
          <w:rFonts w:hint="eastAsia"/>
          <w:color w:val="auto"/>
          <w:highlight w:val="none"/>
        </w:rPr>
        <w:t>”</w:t>
      </w:r>
      <w:r>
        <w:rPr>
          <w:color w:val="auto"/>
          <w:highlight w:val="none"/>
        </w:rPr>
        <w:t>治理方面首先考虑回收利用，对不可避免的废气排放及噪声等均采取了较为完善的治理措施，有效地控制了污染物排放。工程各项环保措施基本上代表目前同类型企业较先进 治理水平，其技术上是成熟、可靠的，经济上是合理的。项目运行过程中，加强生产管理，尤其是加强环保设施的管理对防治环境污染起着至关重要的作用。为此应设立完善的环保管理机构，加强人员培训，严格执行操作制度，使各项工艺操作指标达到设计要求，确保环保设施正常运行，发挥其最大的环境污染控制作用，使工程产生的污染降至最低限度。为此，应着重做好以下几点：</w:t>
      </w:r>
    </w:p>
    <w:p>
      <w:pPr>
        <w:pStyle w:val="99"/>
        <w:ind w:firstLine="480"/>
        <w:rPr>
          <w:color w:val="auto"/>
          <w:highlight w:val="none"/>
        </w:rPr>
      </w:pPr>
      <w:r>
        <w:rPr>
          <w:rFonts w:hint="eastAsia"/>
          <w:color w:val="auto"/>
          <w:highlight w:val="none"/>
        </w:rPr>
        <w:t xml:space="preserve">(1) </w:t>
      </w:r>
      <w:r>
        <w:rPr>
          <w:color w:val="auto"/>
          <w:highlight w:val="none"/>
        </w:rPr>
        <w:t>厂内环保主管部门应对环保设施的性能、控制效率定期标定，并形成制度化管理；</w:t>
      </w:r>
    </w:p>
    <w:p>
      <w:pPr>
        <w:pStyle w:val="99"/>
        <w:ind w:firstLine="480"/>
        <w:rPr>
          <w:color w:val="auto"/>
          <w:highlight w:val="none"/>
        </w:rPr>
      </w:pPr>
      <w:r>
        <w:rPr>
          <w:rFonts w:hint="eastAsia"/>
          <w:color w:val="auto"/>
          <w:highlight w:val="none"/>
        </w:rPr>
        <w:t xml:space="preserve">(2) </w:t>
      </w:r>
      <w:r>
        <w:rPr>
          <w:color w:val="auto"/>
          <w:highlight w:val="none"/>
        </w:rPr>
        <w:t>厂部对各车间环保设施运行、维护情况进行定期评价，将其作为车间生产的考核指标；</w:t>
      </w:r>
    </w:p>
    <w:p>
      <w:pPr>
        <w:pStyle w:val="99"/>
        <w:ind w:firstLine="480"/>
        <w:rPr>
          <w:color w:val="auto"/>
          <w:szCs w:val="24"/>
          <w:highlight w:val="none"/>
        </w:rPr>
      </w:pPr>
      <w:r>
        <w:rPr>
          <w:rFonts w:hint="eastAsia"/>
          <w:color w:val="auto"/>
          <w:highlight w:val="none"/>
        </w:rPr>
        <w:t xml:space="preserve">(3) </w:t>
      </w:r>
      <w:r>
        <w:rPr>
          <w:color w:val="auto"/>
          <w:highlight w:val="none"/>
        </w:rPr>
        <w:t>加强对厂内污染物排放的监测，及时发现问题，调整生产及环保设施的操作参数，确保无污染事故发生。</w:t>
      </w:r>
    </w:p>
    <w:p>
      <w:pPr>
        <w:pStyle w:val="100"/>
        <w:spacing w:before="156"/>
        <w:rPr>
          <w:rFonts w:ascii="Times New Roman" w:hAnsi="Times New Roman"/>
          <w:color w:val="auto"/>
          <w:highlight w:val="none"/>
        </w:rPr>
      </w:pPr>
      <w:bookmarkStart w:id="293" w:name="_Toc57804784"/>
      <w:bookmarkStart w:id="294" w:name="_Toc66281309"/>
      <w:bookmarkStart w:id="295" w:name="_Toc20625"/>
      <w:r>
        <w:rPr>
          <w:rFonts w:ascii="Times New Roman" w:hAnsi="Times New Roman"/>
          <w:color w:val="auto"/>
          <w:highlight w:val="none"/>
        </w:rPr>
        <w:t>6.7小结</w:t>
      </w:r>
      <w:bookmarkEnd w:id="293"/>
      <w:bookmarkEnd w:id="294"/>
      <w:bookmarkEnd w:id="295"/>
    </w:p>
    <w:p>
      <w:pPr>
        <w:pStyle w:val="99"/>
        <w:ind w:firstLine="480"/>
        <w:rPr>
          <w:color w:val="auto"/>
          <w:szCs w:val="24"/>
          <w:highlight w:val="none"/>
        </w:rPr>
      </w:pPr>
      <w:r>
        <w:rPr>
          <w:color w:val="auto"/>
          <w:szCs w:val="24"/>
          <w:highlight w:val="none"/>
        </w:rPr>
        <w:t>综上所述，项目所采取的各类污染治理措施在技术上是可行的，经济上是合理的， 能够确保工程污染物达标排放。</w:t>
      </w: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9"/>
        <w:ind w:firstLine="480"/>
        <w:rPr>
          <w:color w:val="auto"/>
          <w:szCs w:val="24"/>
          <w:highlight w:val="none"/>
        </w:rPr>
      </w:pPr>
    </w:p>
    <w:p>
      <w:pPr>
        <w:pStyle w:val="98"/>
        <w:spacing w:before="156"/>
        <w:rPr>
          <w:rFonts w:ascii="Times New Roman" w:hAnsi="Times New Roman"/>
          <w:color w:val="auto"/>
          <w:highlight w:val="none"/>
        </w:rPr>
        <w:sectPr>
          <w:headerReference r:id="rId19" w:type="default"/>
          <w:headerReference r:id="rId20" w:type="even"/>
          <w:pgSz w:w="11906" w:h="16838"/>
          <w:pgMar w:top="1418" w:right="1418" w:bottom="1418" w:left="1701" w:header="851" w:footer="992" w:gutter="0"/>
          <w:pgBorders>
            <w:top w:val="none" w:sz="0" w:space="0"/>
            <w:left w:val="none" w:sz="0" w:space="0"/>
            <w:bottom w:val="none" w:sz="0" w:space="0"/>
            <w:right w:val="none" w:sz="0" w:space="0"/>
          </w:pgBorders>
          <w:cols w:space="425" w:num="1"/>
          <w:docGrid w:type="lines" w:linePitch="312" w:charSpace="0"/>
        </w:sectPr>
      </w:pPr>
    </w:p>
    <w:p>
      <w:pPr>
        <w:keepNext/>
        <w:keepLines/>
        <w:spacing w:before="156" w:beforeLines="50" w:line="360" w:lineRule="auto"/>
        <w:outlineLvl w:val="0"/>
        <w:rPr>
          <w:rFonts w:eastAsia="黑体"/>
          <w:bCs/>
          <w:color w:val="auto"/>
          <w:kern w:val="44"/>
          <w:sz w:val="32"/>
          <w:szCs w:val="44"/>
          <w:highlight w:val="none"/>
        </w:rPr>
      </w:pPr>
      <w:bookmarkStart w:id="296" w:name="_Toc17439"/>
      <w:bookmarkStart w:id="297" w:name="_Toc23322"/>
      <w:bookmarkStart w:id="298" w:name="_Toc66281310"/>
      <w:bookmarkStart w:id="299" w:name="_Toc57804785"/>
      <w:r>
        <w:rPr>
          <w:rFonts w:eastAsia="黑体"/>
          <w:bCs/>
          <w:color w:val="auto"/>
          <w:kern w:val="44"/>
          <w:sz w:val="32"/>
          <w:szCs w:val="44"/>
          <w:highlight w:val="none"/>
        </w:rPr>
        <w:t>7</w:t>
      </w:r>
      <w:r>
        <w:rPr>
          <w:rFonts w:hint="eastAsia" w:eastAsia="黑体"/>
          <w:bCs/>
          <w:color w:val="auto"/>
          <w:kern w:val="44"/>
          <w:sz w:val="32"/>
          <w:szCs w:val="44"/>
          <w:highlight w:val="none"/>
        </w:rPr>
        <w:t>.</w:t>
      </w:r>
      <w:r>
        <w:rPr>
          <w:rFonts w:eastAsia="黑体"/>
          <w:bCs/>
          <w:color w:val="auto"/>
          <w:kern w:val="44"/>
          <w:sz w:val="32"/>
          <w:szCs w:val="44"/>
          <w:highlight w:val="none"/>
        </w:rPr>
        <w:t>环境影响经济损益分析</w:t>
      </w:r>
      <w:bookmarkEnd w:id="296"/>
      <w:bookmarkEnd w:id="297"/>
    </w:p>
    <w:p>
      <w:pPr>
        <w:spacing w:line="360" w:lineRule="auto"/>
        <w:ind w:firstLine="480" w:firstLineChars="200"/>
        <w:rPr>
          <w:color w:val="auto"/>
          <w:sz w:val="24"/>
          <w:highlight w:val="none"/>
        </w:rPr>
      </w:pPr>
      <w:bookmarkStart w:id="300" w:name="_Toc251481415"/>
      <w:bookmarkStart w:id="301" w:name="_Toc212692343"/>
      <w:bookmarkStart w:id="302" w:name="_Toc199933803"/>
      <w:bookmarkStart w:id="303" w:name="_Toc184357449"/>
      <w:bookmarkStart w:id="304" w:name="_Toc59544149"/>
      <w:bookmarkStart w:id="305" w:name="_Toc184358080"/>
      <w:bookmarkStart w:id="306" w:name="_Toc184265508"/>
      <w:bookmarkStart w:id="307" w:name="_Toc184264521"/>
      <w:r>
        <w:rPr>
          <w:color w:val="auto"/>
          <w:sz w:val="24"/>
          <w:highlight w:val="none"/>
        </w:rPr>
        <w:t>环境经济损益分析是环境影响评价的一项重要内容，其重要任务是分析建设项目投入的环保资金所能收到的环境保护效果以及可能带来的社会效益和环境效益，是衡量环保设施投资在环保上是否合理的一个重要尺度。</w:t>
      </w:r>
    </w:p>
    <w:p>
      <w:pPr>
        <w:spacing w:line="360" w:lineRule="auto"/>
        <w:ind w:firstLine="480" w:firstLineChars="200"/>
        <w:rPr>
          <w:color w:val="auto"/>
          <w:sz w:val="24"/>
          <w:highlight w:val="none"/>
        </w:rPr>
      </w:pPr>
      <w:r>
        <w:rPr>
          <w:color w:val="auto"/>
          <w:sz w:val="24"/>
          <w:highlight w:val="none"/>
        </w:rPr>
        <w:t>关于建设项目的环境经济损益分析，国内目前尚无统一标准。此外，项目所排污染物作用于自然环境而造成的经济损失，其过程和机理是十分复杂的，其中有许多不确定因素。而且，许多因环境污染而造成的经济损失和由于污染防治而带来的环境收益，较难计量或是很难准确以货币形式来表达。为此，本报告在环境损益分析中，对于可计量部分给予定量表达，其它则采用类比分析方法予以估算，或者是给予忽略。因此，本章节分析的结果，只能反映一种趋势，谨供参考。</w:t>
      </w:r>
    </w:p>
    <w:p>
      <w:pPr>
        <w:pStyle w:val="100"/>
        <w:spacing w:before="156"/>
        <w:rPr>
          <w:rFonts w:ascii="Times New Roman" w:hAnsi="Times New Roman"/>
          <w:color w:val="auto"/>
          <w:highlight w:val="none"/>
        </w:rPr>
      </w:pPr>
      <w:bookmarkStart w:id="308" w:name="_Toc255401396"/>
      <w:bookmarkStart w:id="309" w:name="_Toc364232460"/>
      <w:bookmarkStart w:id="310" w:name="_Toc486585322"/>
      <w:bookmarkStart w:id="311" w:name="_Toc18327"/>
      <w:bookmarkStart w:id="312" w:name="_Toc8196"/>
      <w:r>
        <w:rPr>
          <w:rFonts w:ascii="Times New Roman" w:hAnsi="Times New Roman"/>
          <w:color w:val="auto"/>
          <w:highlight w:val="none"/>
        </w:rPr>
        <w:t>7.1</w:t>
      </w:r>
      <w:bookmarkEnd w:id="300"/>
      <w:bookmarkEnd w:id="301"/>
      <w:bookmarkEnd w:id="302"/>
      <w:bookmarkEnd w:id="303"/>
      <w:bookmarkEnd w:id="304"/>
      <w:bookmarkEnd w:id="305"/>
      <w:bookmarkEnd w:id="306"/>
      <w:bookmarkEnd w:id="307"/>
      <w:bookmarkEnd w:id="308"/>
      <w:bookmarkEnd w:id="309"/>
      <w:bookmarkEnd w:id="310"/>
      <w:r>
        <w:rPr>
          <w:rFonts w:ascii="Times New Roman" w:hAnsi="Times New Roman"/>
          <w:color w:val="auto"/>
          <w:highlight w:val="none"/>
        </w:rPr>
        <w:t>分析方法</w:t>
      </w:r>
      <w:bookmarkEnd w:id="311"/>
      <w:bookmarkEnd w:id="312"/>
    </w:p>
    <w:p>
      <w:pPr>
        <w:spacing w:line="360" w:lineRule="auto"/>
        <w:ind w:firstLine="480" w:firstLineChars="200"/>
        <w:rPr>
          <w:color w:val="auto"/>
          <w:sz w:val="24"/>
          <w:highlight w:val="none"/>
        </w:rPr>
      </w:pPr>
      <w:r>
        <w:rPr>
          <w:color w:val="auto"/>
          <w:sz w:val="24"/>
          <w:highlight w:val="none"/>
        </w:rPr>
        <w:t>本评价以资料分析为主，在详细了解项目的工程概况和污染物影响程度和范围的基础上，运用费用一效益分析方法对环境经济损益进行定性或定量的估算和分析评价。</w:t>
      </w:r>
    </w:p>
    <w:p>
      <w:pPr>
        <w:spacing w:line="360" w:lineRule="auto"/>
        <w:ind w:firstLine="480" w:firstLineChars="200"/>
        <w:rPr>
          <w:color w:val="auto"/>
          <w:sz w:val="24"/>
          <w:highlight w:val="none"/>
        </w:rPr>
      </w:pPr>
      <w:r>
        <w:rPr>
          <w:color w:val="auto"/>
          <w:sz w:val="24"/>
          <w:highlight w:val="none"/>
        </w:rPr>
        <w:t>费用一效益分析是最常用的建设项目环境经济损益分析方法和政策方法。利用该方法对建设项目进行分析将有利于正确分析项目的可行性。费用是总投资的一部分，而效益包括经济效益、社会效益和环境效益，即：</w:t>
      </w:r>
    </w:p>
    <w:p>
      <w:pPr>
        <w:spacing w:line="360" w:lineRule="auto"/>
        <w:ind w:firstLine="480" w:firstLineChars="200"/>
        <w:rPr>
          <w:color w:val="auto"/>
          <w:sz w:val="24"/>
          <w:highlight w:val="none"/>
        </w:rPr>
      </w:pPr>
      <w:r>
        <w:rPr>
          <w:color w:val="auto"/>
          <w:sz w:val="24"/>
          <w:highlight w:val="none"/>
        </w:rPr>
        <w:t>费用=生产成本+社会代价+环境损害</w:t>
      </w:r>
    </w:p>
    <w:p>
      <w:pPr>
        <w:spacing w:line="360" w:lineRule="auto"/>
        <w:ind w:firstLine="480" w:firstLineChars="200"/>
        <w:rPr>
          <w:color w:val="auto"/>
          <w:sz w:val="24"/>
          <w:highlight w:val="none"/>
        </w:rPr>
      </w:pPr>
      <w:r>
        <w:rPr>
          <w:color w:val="auto"/>
          <w:sz w:val="24"/>
          <w:highlight w:val="none"/>
        </w:rPr>
        <w:t>效益=经济效益+社会效益+环境效益</w:t>
      </w:r>
    </w:p>
    <w:p>
      <w:pPr>
        <w:pStyle w:val="100"/>
        <w:spacing w:before="156"/>
        <w:rPr>
          <w:rFonts w:ascii="Times New Roman" w:hAnsi="Times New Roman"/>
          <w:color w:val="auto"/>
          <w:highlight w:val="none"/>
        </w:rPr>
      </w:pPr>
      <w:bookmarkStart w:id="313" w:name="_Toc364232461"/>
      <w:bookmarkStart w:id="314" w:name="_Toc199933804"/>
      <w:bookmarkStart w:id="315" w:name="_Toc212692344"/>
      <w:bookmarkStart w:id="316" w:name="_Toc184264522"/>
      <w:bookmarkStart w:id="317" w:name="_Toc486585323"/>
      <w:bookmarkStart w:id="318" w:name="_Toc184358081"/>
      <w:bookmarkStart w:id="319" w:name="_Toc251481416"/>
      <w:bookmarkStart w:id="320" w:name="_Toc22424"/>
      <w:bookmarkStart w:id="321" w:name="_Toc255401397"/>
      <w:bookmarkStart w:id="322" w:name="_Toc184265509"/>
      <w:bookmarkStart w:id="323" w:name="_Toc21136"/>
      <w:bookmarkStart w:id="324" w:name="_Toc59544150"/>
      <w:bookmarkStart w:id="325" w:name="_Toc184357450"/>
      <w:r>
        <w:rPr>
          <w:rFonts w:ascii="Times New Roman" w:hAnsi="Times New Roman"/>
          <w:color w:val="auto"/>
          <w:highlight w:val="none"/>
        </w:rPr>
        <w:t>7.2经济效益分析</w:t>
      </w:r>
      <w:bookmarkEnd w:id="313"/>
      <w:bookmarkEnd w:id="314"/>
      <w:bookmarkEnd w:id="315"/>
      <w:bookmarkEnd w:id="316"/>
      <w:bookmarkEnd w:id="317"/>
      <w:bookmarkEnd w:id="318"/>
      <w:bookmarkEnd w:id="319"/>
      <w:bookmarkEnd w:id="320"/>
      <w:bookmarkEnd w:id="321"/>
      <w:bookmarkEnd w:id="322"/>
      <w:bookmarkEnd w:id="323"/>
      <w:bookmarkEnd w:id="324"/>
      <w:bookmarkEnd w:id="325"/>
    </w:p>
    <w:p>
      <w:pPr>
        <w:spacing w:line="360" w:lineRule="auto"/>
        <w:ind w:firstLine="480" w:firstLineChars="200"/>
        <w:rPr>
          <w:color w:val="auto"/>
          <w:highlight w:val="none"/>
        </w:rPr>
      </w:pPr>
      <w:r>
        <w:rPr>
          <w:color w:val="auto"/>
          <w:sz w:val="24"/>
          <w:highlight w:val="none"/>
        </w:rPr>
        <w:t>项目总投资约为</w:t>
      </w:r>
      <w:r>
        <w:rPr>
          <w:rFonts w:hint="eastAsia"/>
          <w:color w:val="auto"/>
          <w:sz w:val="24"/>
          <w:highlight w:val="none"/>
        </w:rPr>
        <w:t>14000</w:t>
      </w:r>
      <w:r>
        <w:rPr>
          <w:color w:val="auto"/>
          <w:sz w:val="24"/>
          <w:highlight w:val="none"/>
        </w:rPr>
        <w:t>万元，其中环保投资为</w:t>
      </w:r>
      <w:r>
        <w:rPr>
          <w:rFonts w:hint="eastAsia"/>
          <w:color w:val="auto"/>
          <w:sz w:val="24"/>
          <w:highlight w:val="none"/>
        </w:rPr>
        <w:t>115</w:t>
      </w:r>
      <w:r>
        <w:rPr>
          <w:color w:val="auto"/>
          <w:sz w:val="24"/>
          <w:highlight w:val="none"/>
        </w:rPr>
        <w:t>万元。项目投产后年营业收入18000万元，年平均利润总额</w:t>
      </w:r>
      <w:r>
        <w:rPr>
          <w:rFonts w:hint="eastAsia"/>
          <w:color w:val="auto"/>
          <w:sz w:val="24"/>
          <w:highlight w:val="none"/>
        </w:rPr>
        <w:t>1800</w:t>
      </w:r>
      <w:r>
        <w:rPr>
          <w:color w:val="auto"/>
          <w:sz w:val="24"/>
          <w:highlight w:val="none"/>
        </w:rPr>
        <w:t>万元，投资利润、利税较高，经济效益较好。</w:t>
      </w:r>
    </w:p>
    <w:p>
      <w:pPr>
        <w:pStyle w:val="100"/>
        <w:spacing w:before="156"/>
        <w:rPr>
          <w:rFonts w:ascii="Times New Roman" w:hAnsi="Times New Roman"/>
          <w:color w:val="auto"/>
          <w:highlight w:val="none"/>
        </w:rPr>
      </w:pPr>
      <w:bookmarkStart w:id="326" w:name="_Toc22149"/>
      <w:bookmarkStart w:id="327" w:name="_Toc16963"/>
      <w:r>
        <w:rPr>
          <w:rFonts w:ascii="Times New Roman" w:hAnsi="Times New Roman"/>
          <w:color w:val="auto"/>
          <w:highlight w:val="none"/>
        </w:rPr>
        <w:t>7.3</w:t>
      </w:r>
      <w:bookmarkStart w:id="328" w:name="_Toc184264523"/>
      <w:bookmarkStart w:id="329" w:name="_Toc184265510"/>
      <w:bookmarkStart w:id="330" w:name="_Toc364232462"/>
      <w:bookmarkStart w:id="331" w:name="_Toc212692345"/>
      <w:bookmarkStart w:id="332" w:name="_Toc358448054"/>
      <w:bookmarkStart w:id="333" w:name="_Toc497165281"/>
      <w:bookmarkStart w:id="334" w:name="_Toc8903"/>
      <w:bookmarkStart w:id="335" w:name="_Toc351472172"/>
      <w:bookmarkStart w:id="336" w:name="_Toc1237"/>
      <w:bookmarkStart w:id="337" w:name="_Toc350936098"/>
      <w:bookmarkStart w:id="338" w:name="_Toc255401398"/>
      <w:bookmarkStart w:id="339" w:name="_Toc22104"/>
      <w:r>
        <w:rPr>
          <w:rFonts w:ascii="Times New Roman" w:hAnsi="Times New Roman"/>
          <w:color w:val="auto"/>
          <w:highlight w:val="none"/>
        </w:rPr>
        <w:t>环保投资</w:t>
      </w:r>
      <w:bookmarkEnd w:id="328"/>
      <w:bookmarkEnd w:id="329"/>
      <w:r>
        <w:rPr>
          <w:rFonts w:ascii="Times New Roman" w:hAnsi="Times New Roman"/>
          <w:color w:val="auto"/>
          <w:highlight w:val="none"/>
        </w:rPr>
        <w:t>预算</w:t>
      </w:r>
      <w:bookmarkEnd w:id="326"/>
      <w:bookmarkEnd w:id="327"/>
      <w:bookmarkEnd w:id="330"/>
      <w:bookmarkEnd w:id="331"/>
      <w:bookmarkEnd w:id="332"/>
      <w:bookmarkEnd w:id="333"/>
      <w:bookmarkEnd w:id="334"/>
      <w:bookmarkEnd w:id="335"/>
      <w:bookmarkEnd w:id="336"/>
      <w:bookmarkEnd w:id="337"/>
      <w:bookmarkEnd w:id="338"/>
      <w:bookmarkEnd w:id="339"/>
    </w:p>
    <w:p>
      <w:pPr>
        <w:pStyle w:val="102"/>
        <w:ind w:firstLine="480"/>
        <w:rPr>
          <w:color w:val="auto"/>
          <w:highlight w:val="none"/>
        </w:rPr>
      </w:pPr>
      <w:bookmarkStart w:id="340" w:name="_Toc212692346"/>
      <w:bookmarkStart w:id="341" w:name="_Toc358448055"/>
      <w:bookmarkStart w:id="342" w:name="_Toc364232463"/>
      <w:bookmarkStart w:id="343" w:name="_Toc515"/>
      <w:bookmarkStart w:id="344" w:name="_Toc14231"/>
      <w:bookmarkStart w:id="345" w:name="_Toc350936099"/>
      <w:bookmarkStart w:id="346" w:name="_Toc184264524"/>
      <w:bookmarkStart w:id="347" w:name="_Toc184265511"/>
      <w:bookmarkStart w:id="348" w:name="_Toc255401399"/>
      <w:bookmarkStart w:id="349" w:name="_Toc59544151"/>
      <w:bookmarkStart w:id="350" w:name="_Toc351472173"/>
      <w:bookmarkStart w:id="351" w:name="_Toc3896"/>
      <w:r>
        <w:rPr>
          <w:color w:val="auto"/>
          <w:szCs w:val="24"/>
          <w:highlight w:val="none"/>
        </w:rPr>
        <w:t>该项目总投资</w:t>
      </w:r>
      <w:r>
        <w:rPr>
          <w:rFonts w:hint="eastAsia"/>
          <w:color w:val="auto"/>
          <w:szCs w:val="24"/>
          <w:highlight w:val="none"/>
        </w:rPr>
        <w:t>14</w:t>
      </w:r>
      <w:r>
        <w:rPr>
          <w:color w:val="auto"/>
          <w:szCs w:val="24"/>
          <w:highlight w:val="none"/>
        </w:rPr>
        <w:t>000万元，其中，环保投资</w:t>
      </w:r>
      <w:r>
        <w:rPr>
          <w:rFonts w:hint="eastAsia"/>
          <w:color w:val="auto"/>
          <w:szCs w:val="24"/>
          <w:highlight w:val="none"/>
        </w:rPr>
        <w:t>115</w:t>
      </w:r>
      <w:r>
        <w:rPr>
          <w:color w:val="auto"/>
          <w:szCs w:val="24"/>
          <w:highlight w:val="none"/>
        </w:rPr>
        <w:t>万元。</w:t>
      </w:r>
      <w:r>
        <w:rPr>
          <w:color w:val="auto"/>
          <w:highlight w:val="none"/>
        </w:rPr>
        <w:t>包括废气净化装置、</w:t>
      </w:r>
      <w:r>
        <w:rPr>
          <w:rFonts w:hint="eastAsia"/>
          <w:color w:val="auto"/>
          <w:highlight w:val="none"/>
        </w:rPr>
        <w:t>污水</w:t>
      </w:r>
      <w:r>
        <w:rPr>
          <w:color w:val="auto"/>
          <w:highlight w:val="none"/>
        </w:rPr>
        <w:t>雨污管网、防渗</w:t>
      </w:r>
      <w:r>
        <w:rPr>
          <w:color w:val="auto"/>
          <w:szCs w:val="21"/>
          <w:highlight w:val="none"/>
        </w:rPr>
        <w:t>等</w:t>
      </w:r>
      <w:r>
        <w:rPr>
          <w:color w:val="auto"/>
          <w:highlight w:val="none"/>
        </w:rPr>
        <w:t>，约占工程总投资的</w:t>
      </w:r>
      <w:r>
        <w:rPr>
          <w:rFonts w:hint="eastAsia"/>
          <w:color w:val="auto"/>
          <w:highlight w:val="none"/>
        </w:rPr>
        <w:t>0.82</w:t>
      </w:r>
      <w:r>
        <w:rPr>
          <w:color w:val="auto"/>
          <w:highlight w:val="none"/>
        </w:rPr>
        <w:t>%。环保项目及投资估算见表7.3-1。</w:t>
      </w:r>
    </w:p>
    <w:p>
      <w:pPr>
        <w:pStyle w:val="103"/>
        <w:rPr>
          <w:rFonts w:ascii="Times New Roman" w:hAnsi="Times New Roman"/>
          <w:color w:val="auto"/>
          <w:highlight w:val="none"/>
        </w:rPr>
      </w:pPr>
      <w:r>
        <w:rPr>
          <w:rFonts w:ascii="Times New Roman" w:hAnsi="Times New Roman"/>
          <w:color w:val="auto"/>
          <w:highlight w:val="none"/>
        </w:rPr>
        <w:t>表7.3-1  本项目环保投资一览表   单位：万元</w:t>
      </w:r>
    </w:p>
    <w:tbl>
      <w:tblPr>
        <w:tblStyle w:val="59"/>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19"/>
        <w:gridCol w:w="3167"/>
        <w:gridCol w:w="3487"/>
        <w:gridCol w:w="147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7" w:type="pct"/>
            <w:tcMar>
              <w:left w:w="28" w:type="dxa"/>
              <w:right w:w="28" w:type="dxa"/>
            </w:tcMar>
            <w:vAlign w:val="center"/>
          </w:tcPr>
          <w:p>
            <w:pPr>
              <w:pStyle w:val="105"/>
              <w:rPr>
                <w:color w:val="auto"/>
                <w:highlight w:val="none"/>
              </w:rPr>
            </w:pPr>
            <w:r>
              <w:rPr>
                <w:color w:val="auto"/>
                <w:highlight w:val="none"/>
              </w:rPr>
              <w:t>类别</w:t>
            </w:r>
          </w:p>
        </w:tc>
        <w:tc>
          <w:tcPr>
            <w:tcW w:w="1790" w:type="pct"/>
            <w:vAlign w:val="center"/>
          </w:tcPr>
          <w:p>
            <w:pPr>
              <w:pStyle w:val="105"/>
              <w:rPr>
                <w:color w:val="auto"/>
                <w:highlight w:val="none"/>
              </w:rPr>
            </w:pPr>
            <w:r>
              <w:rPr>
                <w:color w:val="auto"/>
                <w:highlight w:val="none"/>
              </w:rPr>
              <w:t>污染源</w:t>
            </w:r>
          </w:p>
        </w:tc>
        <w:tc>
          <w:tcPr>
            <w:tcW w:w="1971" w:type="pct"/>
            <w:tcMar>
              <w:left w:w="28" w:type="dxa"/>
              <w:right w:w="28" w:type="dxa"/>
            </w:tcMar>
            <w:vAlign w:val="center"/>
          </w:tcPr>
          <w:p>
            <w:pPr>
              <w:pStyle w:val="105"/>
              <w:rPr>
                <w:color w:val="auto"/>
                <w:highlight w:val="none"/>
              </w:rPr>
            </w:pPr>
            <w:r>
              <w:rPr>
                <w:color w:val="auto"/>
                <w:highlight w:val="none"/>
              </w:rPr>
              <w:t>环保设施名称</w:t>
            </w:r>
          </w:p>
        </w:tc>
        <w:tc>
          <w:tcPr>
            <w:tcW w:w="831" w:type="pct"/>
            <w:tcMar>
              <w:left w:w="28" w:type="dxa"/>
              <w:right w:w="28" w:type="dxa"/>
            </w:tcMar>
            <w:vAlign w:val="center"/>
          </w:tcPr>
          <w:p>
            <w:pPr>
              <w:pStyle w:val="105"/>
              <w:rPr>
                <w:color w:val="auto"/>
                <w:highlight w:val="none"/>
              </w:rPr>
            </w:pPr>
            <w:r>
              <w:rPr>
                <w:color w:val="auto"/>
                <w:highlight w:val="none"/>
              </w:rPr>
              <w:t>投资额</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7" w:type="pct"/>
            <w:vMerge w:val="restart"/>
            <w:tcMar>
              <w:left w:w="28" w:type="dxa"/>
              <w:right w:w="28" w:type="dxa"/>
            </w:tcMar>
            <w:vAlign w:val="center"/>
          </w:tcPr>
          <w:p>
            <w:pPr>
              <w:pStyle w:val="105"/>
              <w:rPr>
                <w:color w:val="auto"/>
                <w:highlight w:val="none"/>
              </w:rPr>
            </w:pPr>
            <w:r>
              <w:rPr>
                <w:color w:val="auto"/>
                <w:highlight w:val="none"/>
              </w:rPr>
              <w:t>废气</w:t>
            </w:r>
          </w:p>
        </w:tc>
        <w:tc>
          <w:tcPr>
            <w:tcW w:w="1790" w:type="pct"/>
            <w:vAlign w:val="center"/>
          </w:tcPr>
          <w:p>
            <w:pPr>
              <w:pStyle w:val="105"/>
              <w:rPr>
                <w:color w:val="auto"/>
                <w:szCs w:val="21"/>
                <w:highlight w:val="none"/>
              </w:rPr>
            </w:pPr>
            <w:r>
              <w:rPr>
                <w:rFonts w:hint="eastAsia"/>
                <w:color w:val="auto"/>
                <w:highlight w:val="none"/>
              </w:rPr>
              <w:t>熔融造粒、挤出成型及其注塑工序废气</w:t>
            </w:r>
          </w:p>
        </w:tc>
        <w:tc>
          <w:tcPr>
            <w:tcW w:w="1971" w:type="pct"/>
            <w:tcMar>
              <w:left w:w="28" w:type="dxa"/>
              <w:right w:w="28" w:type="dxa"/>
            </w:tcMar>
            <w:vAlign w:val="center"/>
          </w:tcPr>
          <w:p>
            <w:pPr>
              <w:pStyle w:val="105"/>
              <w:rPr>
                <w:color w:val="auto"/>
                <w:highlight w:val="none"/>
              </w:rPr>
            </w:pPr>
            <w:r>
              <w:rPr>
                <w:rFonts w:hint="eastAsia"/>
                <w:color w:val="auto"/>
                <w:highlight w:val="none"/>
              </w:rPr>
              <w:t>布袋除尘+活性炭吸附浓缩+催化燃烧+</w:t>
            </w:r>
            <w:r>
              <w:rPr>
                <w:rFonts w:hint="eastAsia"/>
                <w:color w:val="auto"/>
                <w:highlight w:val="none"/>
                <w:lang w:eastAsia="zh-CN"/>
              </w:rPr>
              <w:t>20m</w:t>
            </w:r>
            <w:r>
              <w:rPr>
                <w:rFonts w:hint="eastAsia"/>
                <w:color w:val="auto"/>
                <w:highlight w:val="none"/>
              </w:rPr>
              <w:t>高排气筒</w:t>
            </w:r>
          </w:p>
        </w:tc>
        <w:tc>
          <w:tcPr>
            <w:tcW w:w="831" w:type="pct"/>
            <w:tcMar>
              <w:left w:w="28" w:type="dxa"/>
              <w:right w:w="28" w:type="dxa"/>
            </w:tcMar>
            <w:vAlign w:val="center"/>
          </w:tcPr>
          <w:p>
            <w:pPr>
              <w:pStyle w:val="105"/>
              <w:rPr>
                <w:color w:val="auto"/>
                <w:highlight w:val="none"/>
              </w:rPr>
            </w:pPr>
            <w:r>
              <w:rPr>
                <w:rFonts w:hint="eastAsia"/>
                <w:color w:val="auto"/>
                <w:highlight w:val="none"/>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7" w:type="pct"/>
            <w:vMerge w:val="continue"/>
            <w:tcMar>
              <w:left w:w="28" w:type="dxa"/>
              <w:right w:w="28" w:type="dxa"/>
            </w:tcMar>
            <w:vAlign w:val="center"/>
          </w:tcPr>
          <w:p>
            <w:pPr>
              <w:pStyle w:val="105"/>
              <w:rPr>
                <w:color w:val="auto"/>
                <w:highlight w:val="none"/>
              </w:rPr>
            </w:pPr>
          </w:p>
        </w:tc>
        <w:tc>
          <w:tcPr>
            <w:tcW w:w="1790" w:type="pct"/>
            <w:vAlign w:val="center"/>
          </w:tcPr>
          <w:p>
            <w:pPr>
              <w:pStyle w:val="105"/>
              <w:rPr>
                <w:color w:val="auto"/>
                <w:highlight w:val="none"/>
              </w:rPr>
            </w:pPr>
            <w:r>
              <w:rPr>
                <w:rFonts w:hint="eastAsia"/>
                <w:color w:val="auto"/>
                <w:highlight w:val="none"/>
              </w:rPr>
              <w:t>生产车间</w:t>
            </w:r>
          </w:p>
        </w:tc>
        <w:tc>
          <w:tcPr>
            <w:tcW w:w="1971" w:type="pct"/>
            <w:tcMar>
              <w:left w:w="28" w:type="dxa"/>
              <w:right w:w="28" w:type="dxa"/>
            </w:tcMar>
            <w:vAlign w:val="center"/>
          </w:tcPr>
          <w:p>
            <w:pPr>
              <w:pStyle w:val="105"/>
              <w:rPr>
                <w:color w:val="auto"/>
                <w:szCs w:val="21"/>
                <w:highlight w:val="none"/>
              </w:rPr>
            </w:pPr>
            <w:r>
              <w:rPr>
                <w:rFonts w:hint="eastAsia"/>
                <w:color w:val="auto"/>
                <w:szCs w:val="21"/>
                <w:highlight w:val="none"/>
              </w:rPr>
              <w:t>车间通风</w:t>
            </w:r>
          </w:p>
        </w:tc>
        <w:tc>
          <w:tcPr>
            <w:tcW w:w="831" w:type="pct"/>
            <w:tcMar>
              <w:left w:w="28" w:type="dxa"/>
              <w:right w:w="28" w:type="dxa"/>
            </w:tcMar>
            <w:vAlign w:val="center"/>
          </w:tcPr>
          <w:p>
            <w:pPr>
              <w:pStyle w:val="105"/>
              <w:rPr>
                <w:color w:val="auto"/>
                <w:highlight w:val="none"/>
              </w:rPr>
            </w:pPr>
            <w:r>
              <w:rPr>
                <w:rFonts w:hint="eastAsia"/>
                <w:color w:val="auto"/>
                <w:highlight w:val="none"/>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7" w:type="pct"/>
            <w:tcMar>
              <w:left w:w="28" w:type="dxa"/>
              <w:right w:w="28" w:type="dxa"/>
            </w:tcMar>
            <w:vAlign w:val="center"/>
          </w:tcPr>
          <w:p>
            <w:pPr>
              <w:pStyle w:val="105"/>
              <w:rPr>
                <w:color w:val="auto"/>
                <w:highlight w:val="none"/>
              </w:rPr>
            </w:pPr>
            <w:r>
              <w:rPr>
                <w:color w:val="auto"/>
                <w:highlight w:val="none"/>
              </w:rPr>
              <w:t>废水</w:t>
            </w:r>
          </w:p>
        </w:tc>
        <w:tc>
          <w:tcPr>
            <w:tcW w:w="1790" w:type="pct"/>
            <w:vAlign w:val="center"/>
          </w:tcPr>
          <w:p>
            <w:pPr>
              <w:pStyle w:val="105"/>
              <w:rPr>
                <w:color w:val="auto"/>
                <w:highlight w:val="none"/>
              </w:rPr>
            </w:pPr>
            <w:r>
              <w:rPr>
                <w:color w:val="auto"/>
                <w:highlight w:val="none"/>
              </w:rPr>
              <w:t>生活污水</w:t>
            </w:r>
          </w:p>
        </w:tc>
        <w:tc>
          <w:tcPr>
            <w:tcW w:w="1971" w:type="pct"/>
            <w:tcMar>
              <w:left w:w="28" w:type="dxa"/>
              <w:right w:w="28" w:type="dxa"/>
            </w:tcMar>
            <w:vAlign w:val="center"/>
          </w:tcPr>
          <w:p>
            <w:pPr>
              <w:pStyle w:val="105"/>
              <w:rPr>
                <w:color w:val="auto"/>
                <w:highlight w:val="none"/>
              </w:rPr>
            </w:pPr>
            <w:r>
              <w:rPr>
                <w:color w:val="auto"/>
                <w:highlight w:val="none"/>
              </w:rPr>
              <w:t>雨污管网、化粪池</w:t>
            </w:r>
          </w:p>
        </w:tc>
        <w:tc>
          <w:tcPr>
            <w:tcW w:w="831" w:type="pct"/>
            <w:tcMar>
              <w:left w:w="28" w:type="dxa"/>
              <w:right w:w="28" w:type="dxa"/>
            </w:tcMar>
            <w:vAlign w:val="center"/>
          </w:tcPr>
          <w:p>
            <w:pPr>
              <w:pStyle w:val="105"/>
              <w:rPr>
                <w:color w:val="auto"/>
                <w:highlight w:val="none"/>
              </w:rPr>
            </w:pPr>
            <w:r>
              <w:rPr>
                <w:rFonts w:hint="eastAsia"/>
                <w:color w:val="auto"/>
                <w:highlight w:val="none"/>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7" w:type="pct"/>
            <w:tcMar>
              <w:left w:w="28" w:type="dxa"/>
              <w:right w:w="28" w:type="dxa"/>
            </w:tcMar>
            <w:vAlign w:val="center"/>
          </w:tcPr>
          <w:p>
            <w:pPr>
              <w:pStyle w:val="105"/>
              <w:rPr>
                <w:color w:val="auto"/>
                <w:highlight w:val="none"/>
              </w:rPr>
            </w:pPr>
            <w:r>
              <w:rPr>
                <w:color w:val="auto"/>
                <w:highlight w:val="none"/>
              </w:rPr>
              <w:t>固废</w:t>
            </w:r>
          </w:p>
        </w:tc>
        <w:tc>
          <w:tcPr>
            <w:tcW w:w="1790" w:type="pct"/>
            <w:vAlign w:val="center"/>
          </w:tcPr>
          <w:p>
            <w:pPr>
              <w:pStyle w:val="105"/>
              <w:rPr>
                <w:color w:val="auto"/>
                <w:highlight w:val="none"/>
              </w:rPr>
            </w:pPr>
            <w:r>
              <w:rPr>
                <w:rFonts w:hint="eastAsia"/>
                <w:color w:val="auto"/>
                <w:highlight w:val="none"/>
              </w:rPr>
              <w:t>职工办公生活、生产活动</w:t>
            </w:r>
          </w:p>
        </w:tc>
        <w:tc>
          <w:tcPr>
            <w:tcW w:w="1971" w:type="pct"/>
            <w:tcMar>
              <w:left w:w="28" w:type="dxa"/>
              <w:right w:w="28" w:type="dxa"/>
            </w:tcMar>
            <w:vAlign w:val="center"/>
          </w:tcPr>
          <w:p>
            <w:pPr>
              <w:pStyle w:val="105"/>
              <w:rPr>
                <w:color w:val="auto"/>
                <w:highlight w:val="none"/>
              </w:rPr>
            </w:pPr>
            <w:r>
              <w:rPr>
                <w:color w:val="auto"/>
                <w:highlight w:val="none"/>
              </w:rPr>
              <w:t>危废暂存间、一般固废暂存</w:t>
            </w:r>
            <w:r>
              <w:rPr>
                <w:rFonts w:hint="eastAsia"/>
                <w:color w:val="auto"/>
                <w:highlight w:val="none"/>
              </w:rPr>
              <w:t>处</w:t>
            </w:r>
            <w:r>
              <w:rPr>
                <w:color w:val="auto"/>
                <w:highlight w:val="none"/>
              </w:rPr>
              <w:t>、生活垃圾收集桶</w:t>
            </w:r>
          </w:p>
        </w:tc>
        <w:tc>
          <w:tcPr>
            <w:tcW w:w="831" w:type="pct"/>
            <w:tcMar>
              <w:left w:w="28" w:type="dxa"/>
              <w:right w:w="28" w:type="dxa"/>
            </w:tcMar>
            <w:vAlign w:val="center"/>
          </w:tcPr>
          <w:p>
            <w:pPr>
              <w:pStyle w:val="105"/>
              <w:rPr>
                <w:color w:val="auto"/>
                <w:highlight w:val="none"/>
              </w:rPr>
            </w:pPr>
            <w:r>
              <w:rPr>
                <w:rFonts w:hint="eastAsia"/>
                <w:color w:val="auto"/>
                <w:highlight w:val="none"/>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7" w:type="pct"/>
            <w:tcMar>
              <w:left w:w="28" w:type="dxa"/>
              <w:right w:w="28" w:type="dxa"/>
            </w:tcMar>
            <w:vAlign w:val="center"/>
          </w:tcPr>
          <w:p>
            <w:pPr>
              <w:pStyle w:val="105"/>
              <w:rPr>
                <w:color w:val="auto"/>
                <w:highlight w:val="none"/>
              </w:rPr>
            </w:pPr>
            <w:r>
              <w:rPr>
                <w:color w:val="auto"/>
                <w:highlight w:val="none"/>
              </w:rPr>
              <w:t>噪声</w:t>
            </w:r>
          </w:p>
        </w:tc>
        <w:tc>
          <w:tcPr>
            <w:tcW w:w="1790" w:type="pct"/>
            <w:vAlign w:val="center"/>
          </w:tcPr>
          <w:p>
            <w:pPr>
              <w:pStyle w:val="105"/>
              <w:rPr>
                <w:color w:val="auto"/>
                <w:highlight w:val="none"/>
              </w:rPr>
            </w:pPr>
            <w:r>
              <w:rPr>
                <w:color w:val="auto"/>
                <w:highlight w:val="none"/>
              </w:rPr>
              <w:t>各类泵类</w:t>
            </w:r>
            <w:r>
              <w:rPr>
                <w:rFonts w:hint="eastAsia"/>
                <w:color w:val="auto"/>
                <w:highlight w:val="none"/>
              </w:rPr>
              <w:t>、</w:t>
            </w:r>
            <w:r>
              <w:rPr>
                <w:color w:val="auto"/>
                <w:highlight w:val="none"/>
              </w:rPr>
              <w:t>风机及其生产设备</w:t>
            </w:r>
          </w:p>
        </w:tc>
        <w:tc>
          <w:tcPr>
            <w:tcW w:w="1971" w:type="pct"/>
            <w:tcMar>
              <w:left w:w="28" w:type="dxa"/>
              <w:right w:w="28" w:type="dxa"/>
            </w:tcMar>
            <w:vAlign w:val="center"/>
          </w:tcPr>
          <w:p>
            <w:pPr>
              <w:pStyle w:val="105"/>
              <w:rPr>
                <w:color w:val="auto"/>
                <w:highlight w:val="none"/>
              </w:rPr>
            </w:pPr>
            <w:r>
              <w:rPr>
                <w:color w:val="auto"/>
                <w:highlight w:val="none"/>
              </w:rPr>
              <w:t>低噪声设备选型、基础减振、隔声罩、消声器等降噪措施</w:t>
            </w:r>
          </w:p>
        </w:tc>
        <w:tc>
          <w:tcPr>
            <w:tcW w:w="831" w:type="pct"/>
            <w:tcMar>
              <w:left w:w="28" w:type="dxa"/>
              <w:right w:w="28" w:type="dxa"/>
            </w:tcMar>
            <w:vAlign w:val="center"/>
          </w:tcPr>
          <w:p>
            <w:pPr>
              <w:pStyle w:val="105"/>
              <w:rPr>
                <w:color w:val="auto"/>
                <w:highlight w:val="none"/>
              </w:rPr>
            </w:pPr>
            <w:r>
              <w:rPr>
                <w:rFonts w:hint="eastAsia"/>
                <w:color w:val="auto"/>
                <w:highlight w:val="none"/>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97" w:type="pct"/>
            <w:gridSpan w:val="2"/>
            <w:tcMar>
              <w:left w:w="28" w:type="dxa"/>
              <w:right w:w="28" w:type="dxa"/>
            </w:tcMar>
            <w:vAlign w:val="center"/>
          </w:tcPr>
          <w:p>
            <w:pPr>
              <w:pStyle w:val="105"/>
              <w:rPr>
                <w:color w:val="auto"/>
                <w:highlight w:val="none"/>
              </w:rPr>
            </w:pPr>
            <w:r>
              <w:rPr>
                <w:color w:val="auto"/>
                <w:highlight w:val="none"/>
              </w:rPr>
              <w:t>防渗</w:t>
            </w:r>
          </w:p>
        </w:tc>
        <w:tc>
          <w:tcPr>
            <w:tcW w:w="1971" w:type="pct"/>
            <w:tcMar>
              <w:left w:w="28" w:type="dxa"/>
              <w:right w:w="28" w:type="dxa"/>
            </w:tcMar>
            <w:vAlign w:val="center"/>
          </w:tcPr>
          <w:p>
            <w:pPr>
              <w:pStyle w:val="105"/>
              <w:rPr>
                <w:color w:val="auto"/>
                <w:highlight w:val="none"/>
              </w:rPr>
            </w:pPr>
            <w:r>
              <w:rPr>
                <w:color w:val="auto"/>
                <w:highlight w:val="none"/>
              </w:rPr>
              <w:t>危废间、污水管网等防渗措施</w:t>
            </w:r>
          </w:p>
        </w:tc>
        <w:tc>
          <w:tcPr>
            <w:tcW w:w="831" w:type="pct"/>
            <w:tcMar>
              <w:left w:w="28" w:type="dxa"/>
              <w:right w:w="28" w:type="dxa"/>
            </w:tcMar>
            <w:vAlign w:val="center"/>
          </w:tcPr>
          <w:p>
            <w:pPr>
              <w:pStyle w:val="105"/>
              <w:rPr>
                <w:color w:val="auto"/>
                <w:highlight w:val="none"/>
              </w:rPr>
            </w:pPr>
            <w:r>
              <w:rPr>
                <w:rFonts w:hint="eastAsia"/>
                <w:color w:val="auto"/>
                <w:highlight w:val="none"/>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168" w:type="pct"/>
            <w:gridSpan w:val="3"/>
            <w:tcMar>
              <w:left w:w="28" w:type="dxa"/>
              <w:right w:w="28" w:type="dxa"/>
            </w:tcMar>
            <w:vAlign w:val="center"/>
          </w:tcPr>
          <w:p>
            <w:pPr>
              <w:pStyle w:val="105"/>
              <w:rPr>
                <w:color w:val="auto"/>
                <w:highlight w:val="none"/>
              </w:rPr>
            </w:pPr>
            <w:r>
              <w:rPr>
                <w:color w:val="auto"/>
                <w:highlight w:val="none"/>
              </w:rPr>
              <w:t>合计</w:t>
            </w:r>
          </w:p>
        </w:tc>
        <w:tc>
          <w:tcPr>
            <w:tcW w:w="831" w:type="pct"/>
            <w:tcMar>
              <w:left w:w="28" w:type="dxa"/>
              <w:right w:w="28" w:type="dxa"/>
            </w:tcMar>
            <w:vAlign w:val="center"/>
          </w:tcPr>
          <w:p>
            <w:pPr>
              <w:pStyle w:val="105"/>
              <w:rPr>
                <w:color w:val="auto"/>
                <w:highlight w:val="none"/>
              </w:rPr>
            </w:pPr>
            <w:r>
              <w:rPr>
                <w:rFonts w:hint="eastAsia"/>
                <w:color w:val="auto"/>
                <w:highlight w:val="none"/>
              </w:rPr>
              <w:t>115</w:t>
            </w:r>
          </w:p>
        </w:tc>
      </w:tr>
    </w:tbl>
    <w:p>
      <w:pPr>
        <w:pStyle w:val="100"/>
        <w:spacing w:before="156"/>
        <w:rPr>
          <w:rFonts w:ascii="Times New Roman" w:hAnsi="Times New Roman"/>
          <w:color w:val="auto"/>
          <w:highlight w:val="none"/>
        </w:rPr>
      </w:pPr>
      <w:bookmarkStart w:id="352" w:name="_Toc22900"/>
      <w:bookmarkStart w:id="353" w:name="_Toc13438"/>
      <w:r>
        <w:rPr>
          <w:rFonts w:ascii="Times New Roman" w:hAnsi="Times New Roman"/>
          <w:color w:val="auto"/>
          <w:highlight w:val="none"/>
        </w:rPr>
        <w:t>7.4损失估算</w:t>
      </w:r>
      <w:bookmarkEnd w:id="352"/>
      <w:bookmarkEnd w:id="353"/>
    </w:p>
    <w:p>
      <w:pPr>
        <w:pStyle w:val="101"/>
        <w:spacing w:before="93" w:beforeLines="30"/>
        <w:jc w:val="left"/>
        <w:rPr>
          <w:rFonts w:ascii="Times New Roman" w:hAnsi="Times New Roman"/>
          <w:color w:val="auto"/>
          <w:highlight w:val="none"/>
        </w:rPr>
      </w:pPr>
      <w:bookmarkStart w:id="354" w:name="_bookmark148"/>
      <w:bookmarkEnd w:id="354"/>
      <w:bookmarkStart w:id="355" w:name="_Toc535853352"/>
      <w:bookmarkStart w:id="356" w:name="_Toc2683"/>
      <w:bookmarkStart w:id="357" w:name="_Toc536199227"/>
      <w:bookmarkStart w:id="358" w:name="_Toc27629"/>
      <w:r>
        <w:rPr>
          <w:rFonts w:ascii="Times New Roman" w:hAnsi="Times New Roman"/>
          <w:color w:val="auto"/>
          <w:highlight w:val="none"/>
        </w:rPr>
        <w:t>7.4.1资源流失的损失</w:t>
      </w:r>
      <w:bookmarkEnd w:id="355"/>
      <w:bookmarkEnd w:id="356"/>
      <w:bookmarkEnd w:id="357"/>
      <w:bookmarkEnd w:id="358"/>
    </w:p>
    <w:p>
      <w:pPr>
        <w:tabs>
          <w:tab w:val="left" w:pos="3402"/>
        </w:tabs>
        <w:spacing w:line="360" w:lineRule="auto"/>
        <w:ind w:firstLine="480" w:firstLineChars="200"/>
        <w:rPr>
          <w:color w:val="auto"/>
          <w:sz w:val="24"/>
          <w:highlight w:val="none"/>
        </w:rPr>
      </w:pPr>
      <w:r>
        <w:rPr>
          <w:color w:val="auto"/>
          <w:sz w:val="24"/>
          <w:highlight w:val="none"/>
        </w:rPr>
        <w:t>结合项目工程分析可知，项目流失的资源主要为</w:t>
      </w:r>
      <w:r>
        <w:rPr>
          <w:rFonts w:hint="eastAsia"/>
          <w:color w:val="auto"/>
          <w:sz w:val="24"/>
          <w:highlight w:val="none"/>
        </w:rPr>
        <w:t>颗粒物和</w:t>
      </w:r>
      <w:r>
        <w:rPr>
          <w:color w:val="auto"/>
          <w:sz w:val="24"/>
          <w:highlight w:val="none"/>
        </w:rPr>
        <w:t>VOCs。</w:t>
      </w:r>
    </w:p>
    <w:p>
      <w:pPr>
        <w:pStyle w:val="101"/>
        <w:tabs>
          <w:tab w:val="left" w:pos="3402"/>
        </w:tabs>
        <w:spacing w:before="93" w:beforeLines="30"/>
        <w:jc w:val="left"/>
        <w:rPr>
          <w:rFonts w:ascii="Times New Roman" w:hAnsi="Times New Roman"/>
          <w:color w:val="auto"/>
          <w:highlight w:val="none"/>
        </w:rPr>
      </w:pPr>
      <w:bookmarkStart w:id="359" w:name="_bookmark149"/>
      <w:bookmarkEnd w:id="359"/>
      <w:bookmarkStart w:id="360" w:name="_Toc535853353"/>
      <w:bookmarkStart w:id="361" w:name="_Toc536199228"/>
      <w:bookmarkStart w:id="362" w:name="_Toc8865"/>
      <w:bookmarkStart w:id="363" w:name="_Toc19361"/>
      <w:r>
        <w:rPr>
          <w:rFonts w:ascii="Times New Roman" w:hAnsi="Times New Roman"/>
          <w:color w:val="auto"/>
          <w:highlight w:val="none"/>
        </w:rPr>
        <w:t>7.4.2排放污染物的环境污染损失</w:t>
      </w:r>
      <w:bookmarkEnd w:id="360"/>
      <w:bookmarkEnd w:id="361"/>
      <w:bookmarkEnd w:id="362"/>
      <w:bookmarkEnd w:id="363"/>
    </w:p>
    <w:p>
      <w:pPr>
        <w:spacing w:line="360" w:lineRule="auto"/>
        <w:ind w:firstLine="480" w:firstLineChars="200"/>
        <w:rPr>
          <w:color w:val="auto"/>
          <w:sz w:val="24"/>
          <w:highlight w:val="none"/>
        </w:rPr>
      </w:pPr>
      <w:r>
        <w:rPr>
          <w:color w:val="auto"/>
          <w:sz w:val="24"/>
          <w:highlight w:val="none"/>
        </w:rPr>
        <w:t>项目排放的污染物将对环境造成一定的污染损失，主要包括对公共设施、建筑物、水生生物等的环境污染损失。此类损失很难计算。</w:t>
      </w:r>
    </w:p>
    <w:p>
      <w:pPr>
        <w:pStyle w:val="101"/>
        <w:tabs>
          <w:tab w:val="left" w:pos="3402"/>
        </w:tabs>
        <w:spacing w:before="93" w:beforeLines="30"/>
        <w:jc w:val="left"/>
        <w:rPr>
          <w:rFonts w:ascii="Times New Roman" w:hAnsi="Times New Roman"/>
          <w:color w:val="auto"/>
          <w:highlight w:val="none"/>
        </w:rPr>
      </w:pPr>
      <w:bookmarkStart w:id="364" w:name="_bookmark150"/>
      <w:bookmarkEnd w:id="364"/>
      <w:bookmarkStart w:id="365" w:name="_Toc2430"/>
      <w:bookmarkStart w:id="366" w:name="_Toc536199229"/>
      <w:bookmarkStart w:id="367" w:name="_Toc27735"/>
      <w:bookmarkStart w:id="368" w:name="_Toc535853354"/>
      <w:r>
        <w:rPr>
          <w:rFonts w:ascii="Times New Roman" w:hAnsi="Times New Roman"/>
          <w:color w:val="auto"/>
          <w:highlight w:val="none"/>
        </w:rPr>
        <w:t>7.4.3污染物对人体健康的损害</w:t>
      </w:r>
      <w:bookmarkEnd w:id="365"/>
      <w:bookmarkEnd w:id="366"/>
      <w:bookmarkEnd w:id="367"/>
      <w:bookmarkEnd w:id="368"/>
    </w:p>
    <w:p>
      <w:pPr>
        <w:spacing w:line="360" w:lineRule="auto"/>
        <w:ind w:firstLine="480" w:firstLineChars="200"/>
        <w:rPr>
          <w:color w:val="auto"/>
          <w:sz w:val="24"/>
          <w:highlight w:val="none"/>
        </w:rPr>
      </w:pPr>
      <w:r>
        <w:rPr>
          <w:color w:val="auto"/>
          <w:sz w:val="24"/>
          <w:highlight w:val="none"/>
        </w:rPr>
        <w:t>项目所有污染源均达标排放，但是仍有可能对评价区内人群健康带来一些影响， 而这种影响是污染物多年对人体作用而累积产生的，此类损失也难以估算。</w:t>
      </w:r>
    </w:p>
    <w:p>
      <w:pPr>
        <w:pStyle w:val="100"/>
        <w:spacing w:before="156"/>
        <w:rPr>
          <w:rFonts w:ascii="Times New Roman" w:hAnsi="Times New Roman"/>
          <w:color w:val="auto"/>
          <w:highlight w:val="none"/>
        </w:rPr>
      </w:pPr>
      <w:bookmarkStart w:id="369" w:name="_bookmark151"/>
      <w:bookmarkEnd w:id="369"/>
      <w:bookmarkStart w:id="370" w:name="_Toc31536"/>
      <w:bookmarkStart w:id="371" w:name="_Toc21449"/>
      <w:r>
        <w:rPr>
          <w:rFonts w:ascii="Times New Roman" w:hAnsi="Times New Roman"/>
          <w:color w:val="auto"/>
          <w:highlight w:val="none"/>
        </w:rPr>
        <w:t>7.5项目的经济与社会效益</w:t>
      </w:r>
      <w:bookmarkEnd w:id="370"/>
      <w:bookmarkEnd w:id="371"/>
    </w:p>
    <w:p>
      <w:pPr>
        <w:spacing w:line="360" w:lineRule="auto"/>
        <w:ind w:firstLine="480" w:firstLineChars="200"/>
        <w:rPr>
          <w:color w:val="auto"/>
          <w:sz w:val="24"/>
          <w:highlight w:val="none"/>
        </w:rPr>
      </w:pPr>
      <w:r>
        <w:rPr>
          <w:color w:val="auto"/>
          <w:sz w:val="24"/>
          <w:highlight w:val="none"/>
        </w:rPr>
        <w:t>项目的经济和社会效益主要体现在以下几个方面：</w:t>
      </w:r>
    </w:p>
    <w:p>
      <w:pPr>
        <w:spacing w:line="360" w:lineRule="auto"/>
        <w:ind w:firstLine="480" w:firstLineChars="200"/>
        <w:rPr>
          <w:color w:val="auto"/>
          <w:sz w:val="24"/>
          <w:highlight w:val="none"/>
        </w:rPr>
      </w:pPr>
      <w:r>
        <w:rPr>
          <w:color w:val="auto"/>
          <w:sz w:val="24"/>
          <w:highlight w:val="none"/>
        </w:rPr>
        <w:t>1、本项目年总产值</w:t>
      </w:r>
      <w:r>
        <w:rPr>
          <w:rFonts w:hint="eastAsia"/>
          <w:color w:val="auto"/>
          <w:sz w:val="24"/>
          <w:highlight w:val="none"/>
        </w:rPr>
        <w:t>18000</w:t>
      </w:r>
      <w:r>
        <w:rPr>
          <w:color w:val="auto"/>
          <w:sz w:val="24"/>
          <w:highlight w:val="none"/>
        </w:rPr>
        <w:t>万元，年均净利润</w:t>
      </w:r>
      <w:r>
        <w:rPr>
          <w:rFonts w:hint="eastAsia"/>
          <w:color w:val="auto"/>
          <w:sz w:val="24"/>
          <w:highlight w:val="none"/>
        </w:rPr>
        <w:t>1800</w:t>
      </w:r>
      <w:r>
        <w:rPr>
          <w:color w:val="auto"/>
          <w:sz w:val="24"/>
          <w:highlight w:val="none"/>
        </w:rPr>
        <w:t>万元，具有良好的经济效益。</w:t>
      </w:r>
    </w:p>
    <w:p>
      <w:pPr>
        <w:spacing w:line="360" w:lineRule="auto"/>
        <w:ind w:firstLine="480" w:firstLineChars="200"/>
        <w:rPr>
          <w:color w:val="auto"/>
          <w:sz w:val="24"/>
          <w:highlight w:val="none"/>
        </w:rPr>
      </w:pPr>
      <w:r>
        <w:rPr>
          <w:color w:val="auto"/>
          <w:sz w:val="24"/>
          <w:highlight w:val="none"/>
        </w:rPr>
        <w:t>2、本项目的建设能够有效解决就业问题，提高当地人民生活水平，对维护社会治安的稳定和发展起到促进作用。</w:t>
      </w:r>
    </w:p>
    <w:p>
      <w:pPr>
        <w:pStyle w:val="100"/>
        <w:spacing w:before="156"/>
        <w:rPr>
          <w:rFonts w:ascii="Times New Roman" w:hAnsi="Times New Roman"/>
          <w:color w:val="auto"/>
          <w:highlight w:val="none"/>
        </w:rPr>
      </w:pPr>
      <w:bookmarkStart w:id="372" w:name="_Toc11743"/>
      <w:bookmarkStart w:id="373" w:name="_Toc10850"/>
      <w:r>
        <w:rPr>
          <w:rFonts w:ascii="Times New Roman" w:hAnsi="Times New Roman"/>
          <w:color w:val="auto"/>
          <w:highlight w:val="none"/>
        </w:rPr>
        <w:t>7.6环境经济指标与评价</w:t>
      </w:r>
      <w:bookmarkEnd w:id="372"/>
      <w:bookmarkEnd w:id="373"/>
    </w:p>
    <w:p>
      <w:pPr>
        <w:spacing w:line="360" w:lineRule="auto"/>
        <w:ind w:firstLine="480" w:firstLineChars="200"/>
        <w:rPr>
          <w:color w:val="auto"/>
          <w:sz w:val="24"/>
          <w:highlight w:val="none"/>
        </w:rPr>
      </w:pPr>
      <w:r>
        <w:rPr>
          <w:color w:val="auto"/>
          <w:sz w:val="24"/>
          <w:highlight w:val="none"/>
        </w:rPr>
        <w:t>1、环保费用与项目总产值的比例</w:t>
      </w:r>
    </w:p>
    <w:p>
      <w:pPr>
        <w:spacing w:line="360" w:lineRule="auto"/>
        <w:ind w:firstLine="480" w:firstLineChars="200"/>
        <w:rPr>
          <w:color w:val="auto"/>
          <w:sz w:val="24"/>
          <w:highlight w:val="none"/>
        </w:rPr>
      </w:pPr>
      <w:r>
        <w:rPr>
          <w:color w:val="auto"/>
          <w:sz w:val="24"/>
          <w:highlight w:val="none"/>
        </w:rPr>
        <w:t>本处所指的环保费用有环境保护投资和环保费用组成。其中，环保年费用主要包括“三废”处理设施运转费等。项目投产后环保年费用约为</w:t>
      </w:r>
      <w:r>
        <w:rPr>
          <w:rFonts w:hint="eastAsia"/>
          <w:color w:val="auto"/>
          <w:sz w:val="24"/>
          <w:highlight w:val="none"/>
        </w:rPr>
        <w:t>10</w:t>
      </w:r>
      <w:r>
        <w:rPr>
          <w:color w:val="auto"/>
          <w:sz w:val="24"/>
          <w:highlight w:val="none"/>
        </w:rPr>
        <w:t>万元(污染治理设施年运行费用-环保设施收益)。</w:t>
      </w:r>
    </w:p>
    <w:p>
      <w:pPr>
        <w:spacing w:line="360" w:lineRule="auto"/>
        <w:ind w:firstLine="480" w:firstLineChars="200"/>
        <w:rPr>
          <w:color w:val="auto"/>
          <w:sz w:val="24"/>
          <w:highlight w:val="none"/>
        </w:rPr>
      </w:pPr>
      <w:r>
        <w:rPr>
          <w:color w:val="auto"/>
          <w:sz w:val="24"/>
          <w:highlight w:val="none"/>
        </w:rPr>
        <w:t>本项目销售收入可达1</w:t>
      </w:r>
      <w:r>
        <w:rPr>
          <w:rFonts w:hint="eastAsia"/>
          <w:color w:val="auto"/>
          <w:sz w:val="24"/>
          <w:highlight w:val="none"/>
        </w:rPr>
        <w:t>.</w:t>
      </w:r>
      <w:r>
        <w:rPr>
          <w:color w:val="auto"/>
          <w:sz w:val="24"/>
          <w:highlight w:val="none"/>
        </w:rPr>
        <w:t>8亿元。项目环保费用与年销售收入的比例为：</w:t>
      </w:r>
    </w:p>
    <w:p>
      <w:pPr>
        <w:spacing w:line="360" w:lineRule="auto"/>
        <w:ind w:firstLine="480" w:firstLineChars="200"/>
        <w:rPr>
          <w:color w:val="auto"/>
          <w:sz w:val="24"/>
          <w:highlight w:val="none"/>
        </w:rPr>
      </w:pPr>
      <w:r>
        <w:rPr>
          <w:color w:val="auto"/>
          <w:sz w:val="24"/>
          <w:highlight w:val="none"/>
        </w:rPr>
        <w:t>HZ＝(环境保护投资+环保年费用)/年销售收入＝(</w:t>
      </w:r>
      <w:r>
        <w:rPr>
          <w:rFonts w:hint="eastAsia"/>
          <w:color w:val="auto"/>
          <w:sz w:val="24"/>
          <w:highlight w:val="none"/>
        </w:rPr>
        <w:t>115</w:t>
      </w:r>
      <w:r>
        <w:rPr>
          <w:color w:val="auto"/>
          <w:sz w:val="24"/>
          <w:highlight w:val="none"/>
        </w:rPr>
        <w:t>＋</w:t>
      </w:r>
      <w:r>
        <w:rPr>
          <w:rFonts w:hint="eastAsia"/>
          <w:color w:val="auto"/>
          <w:sz w:val="24"/>
          <w:highlight w:val="none"/>
        </w:rPr>
        <w:t>1</w:t>
      </w:r>
      <w:r>
        <w:rPr>
          <w:color w:val="auto"/>
          <w:sz w:val="24"/>
          <w:highlight w:val="none"/>
        </w:rPr>
        <w:t>0)/18000＝0.</w:t>
      </w:r>
      <w:r>
        <w:rPr>
          <w:rFonts w:hint="eastAsia"/>
          <w:color w:val="auto"/>
          <w:sz w:val="24"/>
          <w:highlight w:val="none"/>
        </w:rPr>
        <w:t>69</w:t>
      </w:r>
      <w:r>
        <w:rPr>
          <w:color w:val="auto"/>
          <w:sz w:val="24"/>
          <w:highlight w:val="none"/>
        </w:rPr>
        <w:t>%</w:t>
      </w:r>
    </w:p>
    <w:p>
      <w:pPr>
        <w:spacing w:line="360" w:lineRule="auto"/>
        <w:ind w:firstLine="480" w:firstLineChars="200"/>
        <w:rPr>
          <w:color w:val="auto"/>
          <w:sz w:val="24"/>
          <w:highlight w:val="none"/>
        </w:rPr>
      </w:pPr>
      <w:r>
        <w:rPr>
          <w:color w:val="auto"/>
          <w:sz w:val="24"/>
          <w:highlight w:val="none"/>
        </w:rPr>
        <w:t>2、环保费用与项目总投资的比例</w:t>
      </w:r>
    </w:p>
    <w:p>
      <w:pPr>
        <w:spacing w:line="360" w:lineRule="auto"/>
        <w:ind w:firstLine="480" w:firstLineChars="200"/>
        <w:rPr>
          <w:color w:val="auto"/>
          <w:sz w:val="24"/>
          <w:highlight w:val="none"/>
        </w:rPr>
      </w:pPr>
      <w:r>
        <w:rPr>
          <w:color w:val="auto"/>
          <w:sz w:val="24"/>
          <w:highlight w:val="none"/>
        </w:rPr>
        <w:t>HJ＝(环境保护投资+环保年费用)/项目总投资＝(</w:t>
      </w:r>
      <w:r>
        <w:rPr>
          <w:rFonts w:hint="eastAsia"/>
          <w:color w:val="auto"/>
          <w:sz w:val="24"/>
          <w:highlight w:val="none"/>
        </w:rPr>
        <w:t>115</w:t>
      </w:r>
      <w:r>
        <w:rPr>
          <w:color w:val="auto"/>
          <w:sz w:val="24"/>
          <w:highlight w:val="none"/>
        </w:rPr>
        <w:t>＋</w:t>
      </w:r>
      <w:r>
        <w:rPr>
          <w:rFonts w:hint="eastAsia"/>
          <w:color w:val="auto"/>
          <w:sz w:val="24"/>
          <w:highlight w:val="none"/>
        </w:rPr>
        <w:t>1</w:t>
      </w:r>
      <w:r>
        <w:rPr>
          <w:color w:val="auto"/>
          <w:sz w:val="24"/>
          <w:highlight w:val="none"/>
        </w:rPr>
        <w:t>0)/</w:t>
      </w:r>
      <w:r>
        <w:rPr>
          <w:rFonts w:hint="eastAsia"/>
          <w:color w:val="auto"/>
          <w:sz w:val="24"/>
          <w:highlight w:val="none"/>
        </w:rPr>
        <w:t>1</w:t>
      </w:r>
      <w:r>
        <w:rPr>
          <w:rFonts w:hint="eastAsia"/>
          <w:color w:val="auto"/>
          <w:sz w:val="24"/>
          <w:highlight w:val="none"/>
          <w:lang w:val="en-US" w:eastAsia="zh-CN"/>
        </w:rPr>
        <w:t>40</w:t>
      </w:r>
      <w:r>
        <w:rPr>
          <w:rFonts w:hint="eastAsia"/>
          <w:color w:val="auto"/>
          <w:sz w:val="24"/>
          <w:highlight w:val="none"/>
        </w:rPr>
        <w:t>00</w:t>
      </w:r>
      <w:r>
        <w:rPr>
          <w:color w:val="auto"/>
          <w:sz w:val="24"/>
          <w:highlight w:val="none"/>
        </w:rPr>
        <w:t>＝</w:t>
      </w:r>
      <w:r>
        <w:rPr>
          <w:rFonts w:hint="eastAsia"/>
          <w:color w:val="auto"/>
          <w:sz w:val="24"/>
          <w:highlight w:val="none"/>
          <w:lang w:val="en-US" w:eastAsia="zh-CN"/>
        </w:rPr>
        <w:t>0.89</w:t>
      </w:r>
      <w:r>
        <w:rPr>
          <w:color w:val="auto"/>
          <w:sz w:val="24"/>
          <w:highlight w:val="none"/>
        </w:rPr>
        <w:t>%</w:t>
      </w:r>
    </w:p>
    <w:p>
      <w:pPr>
        <w:spacing w:line="360" w:lineRule="auto"/>
        <w:ind w:firstLine="480" w:firstLineChars="200"/>
        <w:rPr>
          <w:color w:val="auto"/>
          <w:sz w:val="24"/>
          <w:highlight w:val="none"/>
        </w:rPr>
      </w:pPr>
      <w:r>
        <w:rPr>
          <w:color w:val="auto"/>
          <w:sz w:val="24"/>
          <w:highlight w:val="none"/>
        </w:rPr>
        <w:t>3、环保费用与污染损失的比例</w:t>
      </w:r>
    </w:p>
    <w:p>
      <w:pPr>
        <w:spacing w:line="360" w:lineRule="auto"/>
        <w:ind w:firstLine="480" w:firstLineChars="200"/>
        <w:rPr>
          <w:color w:val="auto"/>
          <w:sz w:val="24"/>
          <w:highlight w:val="none"/>
        </w:rPr>
      </w:pPr>
      <w:r>
        <w:rPr>
          <w:color w:val="auto"/>
          <w:sz w:val="24"/>
          <w:highlight w:val="none"/>
        </w:rPr>
        <w:t>本评价的污染损失是指所排放的污染物对当地环境所造成的经济损失。按照经验，污染损失一般为污染防治投资为2～3倍，本评价取3倍计算。在不采取污染控制措施时，环境污染损失约为</w:t>
      </w:r>
      <w:r>
        <w:rPr>
          <w:rFonts w:hint="eastAsia"/>
          <w:color w:val="auto"/>
          <w:sz w:val="24"/>
          <w:highlight w:val="none"/>
        </w:rPr>
        <w:t>345</w:t>
      </w:r>
      <w:r>
        <w:rPr>
          <w:color w:val="auto"/>
          <w:sz w:val="24"/>
          <w:highlight w:val="none"/>
        </w:rPr>
        <w:t>万元/a。采取有效的污染控制措施后，环境污染损失按照0元/a计算，减少的环境污染损失为上述两者之差，即</w:t>
      </w:r>
      <w:r>
        <w:rPr>
          <w:rFonts w:hint="eastAsia"/>
          <w:color w:val="auto"/>
          <w:sz w:val="24"/>
          <w:highlight w:val="none"/>
        </w:rPr>
        <w:t>345</w:t>
      </w:r>
      <w:r>
        <w:rPr>
          <w:color w:val="auto"/>
          <w:sz w:val="24"/>
          <w:highlight w:val="none"/>
        </w:rPr>
        <w:t>万元/a。</w:t>
      </w:r>
    </w:p>
    <w:p>
      <w:pPr>
        <w:spacing w:line="360" w:lineRule="auto"/>
        <w:ind w:firstLine="480" w:firstLineChars="200"/>
        <w:rPr>
          <w:color w:val="auto"/>
          <w:sz w:val="24"/>
          <w:highlight w:val="none"/>
        </w:rPr>
      </w:pPr>
      <w:r>
        <w:rPr>
          <w:color w:val="auto"/>
          <w:sz w:val="24"/>
          <w:highlight w:val="none"/>
        </w:rPr>
        <w:t>环保费用与环境污染损失的比例为：</w:t>
      </w:r>
    </w:p>
    <w:p>
      <w:pPr>
        <w:spacing w:line="360" w:lineRule="auto"/>
        <w:ind w:firstLine="480" w:firstLineChars="200"/>
        <w:rPr>
          <w:color w:val="auto"/>
          <w:sz w:val="24"/>
          <w:highlight w:val="none"/>
        </w:rPr>
      </w:pPr>
      <w:r>
        <w:rPr>
          <w:color w:val="auto"/>
          <w:sz w:val="24"/>
          <w:highlight w:val="none"/>
        </w:rPr>
        <w:t>HS＝(环境保护投资+环保年费用)/减少的环境污染损失＝(</w:t>
      </w:r>
      <w:r>
        <w:rPr>
          <w:rFonts w:hint="eastAsia"/>
          <w:color w:val="auto"/>
          <w:sz w:val="24"/>
          <w:highlight w:val="none"/>
        </w:rPr>
        <w:t>115</w:t>
      </w:r>
      <w:r>
        <w:rPr>
          <w:color w:val="auto"/>
          <w:sz w:val="24"/>
          <w:highlight w:val="none"/>
        </w:rPr>
        <w:t>＋</w:t>
      </w:r>
      <w:r>
        <w:rPr>
          <w:rFonts w:hint="eastAsia"/>
          <w:color w:val="auto"/>
          <w:sz w:val="24"/>
          <w:highlight w:val="none"/>
        </w:rPr>
        <w:t>1</w:t>
      </w:r>
      <w:r>
        <w:rPr>
          <w:color w:val="auto"/>
          <w:sz w:val="24"/>
          <w:highlight w:val="none"/>
        </w:rPr>
        <w:t>0)/</w:t>
      </w:r>
      <w:r>
        <w:rPr>
          <w:rFonts w:hint="eastAsia"/>
          <w:color w:val="auto"/>
          <w:sz w:val="24"/>
          <w:highlight w:val="none"/>
        </w:rPr>
        <w:t>345</w:t>
      </w:r>
      <w:r>
        <w:rPr>
          <w:color w:val="auto"/>
          <w:sz w:val="24"/>
          <w:highlight w:val="none"/>
        </w:rPr>
        <w:t>＝3</w:t>
      </w:r>
      <w:r>
        <w:rPr>
          <w:rFonts w:hint="eastAsia"/>
          <w:color w:val="auto"/>
          <w:sz w:val="24"/>
          <w:highlight w:val="none"/>
        </w:rPr>
        <w:t>6.2</w:t>
      </w:r>
      <w:r>
        <w:rPr>
          <w:color w:val="auto"/>
          <w:sz w:val="24"/>
          <w:highlight w:val="none"/>
        </w:rPr>
        <w:t>%。</w:t>
      </w:r>
    </w:p>
    <w:p>
      <w:pPr>
        <w:spacing w:line="360" w:lineRule="auto"/>
        <w:ind w:firstLine="480" w:firstLineChars="200"/>
        <w:rPr>
          <w:color w:val="auto"/>
          <w:sz w:val="24"/>
          <w:highlight w:val="none"/>
        </w:rPr>
      </w:pPr>
      <w:r>
        <w:rPr>
          <w:color w:val="auto"/>
          <w:sz w:val="24"/>
          <w:highlight w:val="none"/>
        </w:rPr>
        <w:t>4、环境保护投资的环境效益</w:t>
      </w:r>
    </w:p>
    <w:p>
      <w:pPr>
        <w:spacing w:line="360" w:lineRule="auto"/>
        <w:ind w:firstLine="480" w:firstLineChars="200"/>
        <w:rPr>
          <w:color w:val="auto"/>
          <w:highlight w:val="none"/>
        </w:rPr>
      </w:pPr>
      <w:r>
        <w:rPr>
          <w:color w:val="auto"/>
          <w:sz w:val="24"/>
          <w:highlight w:val="none"/>
        </w:rPr>
        <w:t>ES＝(减少的环境污染损失－环保年费用)/环境保护投资＝(</w:t>
      </w:r>
      <w:r>
        <w:rPr>
          <w:rFonts w:hint="eastAsia"/>
          <w:color w:val="auto"/>
          <w:sz w:val="24"/>
          <w:highlight w:val="none"/>
        </w:rPr>
        <w:t>345</w:t>
      </w:r>
      <w:r>
        <w:rPr>
          <w:color w:val="auto"/>
          <w:sz w:val="24"/>
          <w:highlight w:val="none"/>
        </w:rPr>
        <w:t>-</w:t>
      </w:r>
      <w:r>
        <w:rPr>
          <w:rFonts w:hint="eastAsia"/>
          <w:color w:val="auto"/>
          <w:sz w:val="24"/>
          <w:highlight w:val="none"/>
        </w:rPr>
        <w:t>1</w:t>
      </w:r>
      <w:r>
        <w:rPr>
          <w:color w:val="auto"/>
          <w:sz w:val="24"/>
          <w:highlight w:val="none"/>
        </w:rPr>
        <w:t>0)/</w:t>
      </w:r>
      <w:r>
        <w:rPr>
          <w:rFonts w:hint="eastAsia"/>
          <w:color w:val="auto"/>
          <w:sz w:val="24"/>
          <w:highlight w:val="none"/>
        </w:rPr>
        <w:t>115</w:t>
      </w:r>
      <w:r>
        <w:rPr>
          <w:color w:val="auto"/>
          <w:sz w:val="24"/>
          <w:highlight w:val="none"/>
        </w:rPr>
        <w:t>＝2.</w:t>
      </w:r>
      <w:r>
        <w:rPr>
          <w:rFonts w:hint="eastAsia"/>
          <w:color w:val="auto"/>
          <w:sz w:val="24"/>
          <w:highlight w:val="none"/>
        </w:rPr>
        <w:t>91</w:t>
      </w:r>
      <w:r>
        <w:rPr>
          <w:color w:val="auto"/>
          <w:sz w:val="24"/>
          <w:highlight w:val="none"/>
        </w:rPr>
        <w:t>。</w:t>
      </w:r>
    </w:p>
    <w:p>
      <w:pPr>
        <w:spacing w:line="360" w:lineRule="auto"/>
        <w:ind w:firstLine="480" w:firstLineChars="200"/>
        <w:rPr>
          <w:color w:val="auto"/>
          <w:sz w:val="24"/>
          <w:highlight w:val="none"/>
        </w:rPr>
      </w:pPr>
      <w:r>
        <w:rPr>
          <w:color w:val="auto"/>
          <w:sz w:val="24"/>
          <w:highlight w:val="none"/>
        </w:rPr>
        <w:t>5、环保年费用的环境效益</w:t>
      </w:r>
    </w:p>
    <w:p>
      <w:pPr>
        <w:spacing w:line="360" w:lineRule="auto"/>
        <w:ind w:firstLine="480" w:firstLineChars="200"/>
        <w:rPr>
          <w:color w:val="auto"/>
          <w:sz w:val="24"/>
          <w:highlight w:val="none"/>
        </w:rPr>
      </w:pPr>
      <w:r>
        <w:rPr>
          <w:color w:val="auto"/>
          <w:sz w:val="24"/>
          <w:highlight w:val="none"/>
        </w:rPr>
        <w:t>Ei＝减少的环境污染损失/环保年费用＝</w:t>
      </w:r>
      <w:r>
        <w:rPr>
          <w:rFonts w:hint="eastAsia"/>
          <w:color w:val="auto"/>
          <w:sz w:val="24"/>
          <w:highlight w:val="none"/>
        </w:rPr>
        <w:t>345</w:t>
      </w:r>
      <w:r>
        <w:rPr>
          <w:color w:val="auto"/>
          <w:sz w:val="24"/>
          <w:highlight w:val="none"/>
        </w:rPr>
        <w:t>/</w:t>
      </w:r>
      <w:r>
        <w:rPr>
          <w:rFonts w:hint="eastAsia"/>
          <w:color w:val="auto"/>
          <w:sz w:val="24"/>
          <w:highlight w:val="none"/>
        </w:rPr>
        <w:t>1</w:t>
      </w:r>
      <w:r>
        <w:rPr>
          <w:color w:val="auto"/>
          <w:sz w:val="24"/>
          <w:highlight w:val="none"/>
        </w:rPr>
        <w:t>0＝</w:t>
      </w:r>
      <w:r>
        <w:rPr>
          <w:rFonts w:hint="eastAsia"/>
          <w:color w:val="auto"/>
          <w:sz w:val="24"/>
          <w:highlight w:val="none"/>
        </w:rPr>
        <w:t>34.5</w:t>
      </w:r>
      <w:r>
        <w:rPr>
          <w:color w:val="auto"/>
          <w:sz w:val="24"/>
          <w:highlight w:val="none"/>
        </w:rPr>
        <w:t>。</w:t>
      </w:r>
    </w:p>
    <w:p>
      <w:pPr>
        <w:spacing w:line="360" w:lineRule="auto"/>
        <w:ind w:firstLine="480" w:firstLineChars="200"/>
        <w:rPr>
          <w:color w:val="auto"/>
          <w:sz w:val="24"/>
          <w:highlight w:val="none"/>
        </w:rPr>
      </w:pPr>
      <w:r>
        <w:rPr>
          <w:color w:val="auto"/>
          <w:sz w:val="24"/>
          <w:highlight w:val="none"/>
        </w:rPr>
        <w:t>6、综合分析</w:t>
      </w:r>
    </w:p>
    <w:p>
      <w:pPr>
        <w:spacing w:line="360" w:lineRule="auto"/>
        <w:ind w:firstLine="480" w:firstLineChars="200"/>
        <w:rPr>
          <w:color w:val="auto"/>
          <w:sz w:val="24"/>
          <w:highlight w:val="none"/>
        </w:rPr>
      </w:pPr>
      <w:r>
        <w:rPr>
          <w:color w:val="auto"/>
          <w:sz w:val="24"/>
          <w:highlight w:val="none"/>
        </w:rPr>
        <w:t>(1) HJ值分析</w:t>
      </w:r>
    </w:p>
    <w:p>
      <w:pPr>
        <w:spacing w:line="360" w:lineRule="auto"/>
        <w:ind w:firstLine="480" w:firstLineChars="200"/>
        <w:rPr>
          <w:color w:val="auto"/>
          <w:sz w:val="24"/>
          <w:highlight w:val="none"/>
        </w:rPr>
      </w:pPr>
      <w:r>
        <w:rPr>
          <w:color w:val="auto"/>
          <w:sz w:val="24"/>
          <w:highlight w:val="none"/>
        </w:rPr>
        <w:t>按照相关统计情况，工业企业环保投资以5～10%为宜，本项目HJ(环保费用与项目总投资的比例)为</w:t>
      </w:r>
      <w:r>
        <w:rPr>
          <w:rFonts w:hint="eastAsia"/>
          <w:color w:val="auto"/>
          <w:sz w:val="24"/>
          <w:highlight w:val="none"/>
        </w:rPr>
        <w:t>6.94</w:t>
      </w:r>
      <w:r>
        <w:rPr>
          <w:color w:val="auto"/>
          <w:sz w:val="24"/>
          <w:highlight w:val="none"/>
        </w:rPr>
        <w:t>%，故本项目HJ基本合理。</w:t>
      </w:r>
    </w:p>
    <w:p>
      <w:pPr>
        <w:spacing w:line="360" w:lineRule="auto"/>
        <w:ind w:firstLine="480" w:firstLineChars="200"/>
        <w:rPr>
          <w:color w:val="auto"/>
          <w:sz w:val="24"/>
          <w:highlight w:val="none"/>
        </w:rPr>
      </w:pPr>
      <w:r>
        <w:rPr>
          <w:color w:val="auto"/>
          <w:sz w:val="24"/>
          <w:highlight w:val="none"/>
        </w:rPr>
        <w:t>(2) HS值分析</w:t>
      </w:r>
    </w:p>
    <w:p>
      <w:pPr>
        <w:spacing w:line="360" w:lineRule="auto"/>
        <w:ind w:firstLine="480" w:firstLineChars="200"/>
        <w:rPr>
          <w:color w:val="auto"/>
          <w:sz w:val="24"/>
          <w:highlight w:val="none"/>
        </w:rPr>
      </w:pPr>
      <w:r>
        <w:rPr>
          <w:color w:val="auto"/>
          <w:sz w:val="24"/>
          <w:highlight w:val="none"/>
        </w:rPr>
        <w:t>关于HS值，我国一般污染企业大约为22.7%～43.5%之间(1:2.30～1:4.40之间)。本项目HS值为</w:t>
      </w:r>
      <w:r>
        <w:rPr>
          <w:rFonts w:hint="eastAsia"/>
          <w:color w:val="auto"/>
          <w:sz w:val="24"/>
          <w:highlight w:val="none"/>
        </w:rPr>
        <w:t>36.2</w:t>
      </w:r>
      <w:r>
        <w:rPr>
          <w:color w:val="auto"/>
          <w:sz w:val="24"/>
          <w:highlight w:val="none"/>
        </w:rPr>
        <w:t>%，HS值合理。</w:t>
      </w:r>
    </w:p>
    <w:p>
      <w:pPr>
        <w:spacing w:line="360" w:lineRule="auto"/>
        <w:ind w:firstLine="480" w:firstLineChars="200"/>
        <w:rPr>
          <w:color w:val="auto"/>
          <w:sz w:val="24"/>
          <w:highlight w:val="none"/>
        </w:rPr>
      </w:pPr>
      <w:r>
        <w:rPr>
          <w:color w:val="auto"/>
          <w:sz w:val="24"/>
          <w:highlight w:val="none"/>
        </w:rPr>
        <w:t>(3) 环保投资的总经济效益</w:t>
      </w:r>
    </w:p>
    <w:p>
      <w:pPr>
        <w:spacing w:line="360" w:lineRule="auto"/>
        <w:ind w:firstLine="480" w:firstLineChars="200"/>
        <w:rPr>
          <w:color w:val="auto"/>
          <w:sz w:val="24"/>
          <w:highlight w:val="none"/>
        </w:rPr>
      </w:pPr>
      <w:r>
        <w:rPr>
          <w:color w:val="auto"/>
          <w:sz w:val="24"/>
          <w:highlight w:val="none"/>
        </w:rPr>
        <w:t>项目ES值为2.</w:t>
      </w:r>
      <w:r>
        <w:rPr>
          <w:rFonts w:hint="eastAsia"/>
          <w:color w:val="auto"/>
          <w:sz w:val="24"/>
          <w:highlight w:val="none"/>
        </w:rPr>
        <w:t>91</w:t>
      </w:r>
      <w:r>
        <w:rPr>
          <w:color w:val="auto"/>
          <w:sz w:val="24"/>
          <w:highlight w:val="none"/>
        </w:rPr>
        <w:t>，这意味着每增加1万元的环保投资，每年将减少</w:t>
      </w:r>
      <w:r>
        <w:rPr>
          <w:rFonts w:hint="eastAsia"/>
          <w:color w:val="auto"/>
          <w:sz w:val="24"/>
          <w:highlight w:val="none"/>
        </w:rPr>
        <w:t>2.91</w:t>
      </w:r>
      <w:r>
        <w:rPr>
          <w:color w:val="auto"/>
          <w:sz w:val="24"/>
          <w:highlight w:val="none"/>
        </w:rPr>
        <w:t>万元的环保经济损失，环保投资是合算的。</w:t>
      </w:r>
    </w:p>
    <w:p>
      <w:pPr>
        <w:spacing w:line="360" w:lineRule="auto"/>
        <w:ind w:firstLine="480" w:firstLineChars="200"/>
        <w:rPr>
          <w:color w:val="auto"/>
          <w:sz w:val="24"/>
          <w:highlight w:val="none"/>
        </w:rPr>
      </w:pPr>
      <w:r>
        <w:rPr>
          <w:color w:val="auto"/>
          <w:sz w:val="24"/>
          <w:highlight w:val="none"/>
        </w:rPr>
        <w:t>(4) Ei值分析</w:t>
      </w:r>
    </w:p>
    <w:p>
      <w:pPr>
        <w:spacing w:line="360" w:lineRule="auto"/>
        <w:ind w:firstLine="480" w:firstLineChars="200"/>
        <w:rPr>
          <w:color w:val="auto"/>
          <w:sz w:val="24"/>
          <w:highlight w:val="none"/>
        </w:rPr>
      </w:pPr>
      <w:r>
        <w:rPr>
          <w:color w:val="auto"/>
          <w:sz w:val="24"/>
          <w:highlight w:val="none"/>
        </w:rPr>
        <w:t>本项目Ei值为</w:t>
      </w:r>
      <w:r>
        <w:rPr>
          <w:rFonts w:hint="eastAsia"/>
          <w:color w:val="auto"/>
          <w:sz w:val="24"/>
          <w:highlight w:val="none"/>
        </w:rPr>
        <w:t>34.5</w:t>
      </w:r>
      <w:r>
        <w:rPr>
          <w:color w:val="auto"/>
          <w:sz w:val="24"/>
          <w:highlight w:val="none"/>
        </w:rPr>
        <w:t>，亦即1元的环保年费用可得到</w:t>
      </w:r>
      <w:r>
        <w:rPr>
          <w:rFonts w:hint="eastAsia"/>
          <w:color w:val="auto"/>
          <w:sz w:val="24"/>
          <w:highlight w:val="none"/>
        </w:rPr>
        <w:t>34.5</w:t>
      </w:r>
      <w:r>
        <w:rPr>
          <w:color w:val="auto"/>
          <w:sz w:val="24"/>
          <w:highlight w:val="none"/>
        </w:rPr>
        <w:t>元的收益，可以说明本项目环保年费用的效用明显，对于企业有着较强的促进作用。</w:t>
      </w:r>
    </w:p>
    <w:p>
      <w:pPr>
        <w:spacing w:line="360" w:lineRule="auto"/>
        <w:ind w:firstLine="480" w:firstLineChars="200"/>
        <w:rPr>
          <w:color w:val="auto"/>
          <w:sz w:val="24"/>
          <w:highlight w:val="none"/>
        </w:rPr>
      </w:pPr>
      <w:r>
        <w:rPr>
          <w:color w:val="auto"/>
          <w:sz w:val="24"/>
          <w:highlight w:val="none"/>
        </w:rPr>
        <w:t>本项目环境经济评价指标汇总见表7.6-1。</w:t>
      </w:r>
    </w:p>
    <w:p>
      <w:pPr>
        <w:pStyle w:val="158"/>
        <w:spacing w:before="0" w:after="0" w:afterAutospacing="0"/>
        <w:rPr>
          <w:color w:val="auto"/>
          <w:highlight w:val="none"/>
        </w:rPr>
      </w:pPr>
      <w:r>
        <w:rPr>
          <w:color w:val="auto"/>
          <w:highlight w:val="none"/>
        </w:rPr>
        <w:t>表7.6-1  本项目环境经济评价指标汇总</w:t>
      </w:r>
    </w:p>
    <w:tbl>
      <w:tblPr>
        <w:tblStyle w:val="59"/>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83"/>
        <w:gridCol w:w="1281"/>
        <w:gridCol w:w="1046"/>
        <w:gridCol w:w="584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783" w:type="dxa"/>
            <w:tcBorders>
              <w:left w:val="nil"/>
              <w:bottom w:val="single" w:color="000000" w:sz="6" w:space="0"/>
              <w:right w:val="single" w:color="000000" w:sz="6" w:space="0"/>
            </w:tcBorders>
            <w:vAlign w:val="center"/>
          </w:tcPr>
          <w:p>
            <w:pPr>
              <w:pStyle w:val="137"/>
              <w:spacing w:before="36"/>
              <w:ind w:left="150" w:right="97"/>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序号</w:t>
            </w:r>
          </w:p>
        </w:tc>
        <w:tc>
          <w:tcPr>
            <w:tcW w:w="1281" w:type="dxa"/>
            <w:tcBorders>
              <w:left w:val="single" w:color="000000" w:sz="6" w:space="0"/>
              <w:bottom w:val="single" w:color="000000" w:sz="6" w:space="0"/>
              <w:right w:val="single" w:color="000000" w:sz="6" w:space="0"/>
            </w:tcBorders>
            <w:vAlign w:val="center"/>
          </w:tcPr>
          <w:p>
            <w:pPr>
              <w:pStyle w:val="137"/>
              <w:spacing w:before="36"/>
              <w:ind w:left="180" w:right="146"/>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指标名称</w:t>
            </w:r>
          </w:p>
        </w:tc>
        <w:tc>
          <w:tcPr>
            <w:tcW w:w="1046" w:type="dxa"/>
            <w:tcBorders>
              <w:left w:val="single" w:color="000000" w:sz="6" w:space="0"/>
              <w:bottom w:val="single" w:color="000000" w:sz="6" w:space="0"/>
              <w:right w:val="single" w:color="000000" w:sz="6" w:space="0"/>
            </w:tcBorders>
            <w:vAlign w:val="center"/>
          </w:tcPr>
          <w:p>
            <w:pPr>
              <w:pStyle w:val="137"/>
              <w:spacing w:before="36"/>
              <w:ind w:left="161" w:right="13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数值</w:t>
            </w:r>
          </w:p>
        </w:tc>
        <w:tc>
          <w:tcPr>
            <w:tcW w:w="5848" w:type="dxa"/>
            <w:tcBorders>
              <w:left w:val="single" w:color="000000" w:sz="6" w:space="0"/>
              <w:bottom w:val="single" w:color="000000" w:sz="6" w:space="0"/>
              <w:right w:val="nil"/>
            </w:tcBorders>
            <w:vAlign w:val="center"/>
          </w:tcPr>
          <w:p>
            <w:pPr>
              <w:pStyle w:val="137"/>
              <w:spacing w:before="36"/>
              <w:ind w:left="473" w:right="445"/>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83" w:type="dxa"/>
            <w:tcBorders>
              <w:top w:val="single" w:color="000000" w:sz="6" w:space="0"/>
              <w:left w:val="nil"/>
              <w:bottom w:val="single" w:color="000000" w:sz="6" w:space="0"/>
              <w:right w:val="single" w:color="000000" w:sz="6" w:space="0"/>
            </w:tcBorders>
            <w:vAlign w:val="center"/>
          </w:tcPr>
          <w:p>
            <w:pPr>
              <w:pStyle w:val="137"/>
              <w:spacing w:before="51"/>
              <w:ind w:left="48"/>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1</w:t>
            </w:r>
          </w:p>
        </w:tc>
        <w:tc>
          <w:tcPr>
            <w:tcW w:w="1281" w:type="dxa"/>
            <w:tcBorders>
              <w:top w:val="single" w:color="000000" w:sz="6" w:space="0"/>
              <w:left w:val="single" w:color="000000" w:sz="6" w:space="0"/>
              <w:bottom w:val="single" w:color="000000" w:sz="6" w:space="0"/>
              <w:right w:val="single" w:color="000000" w:sz="6" w:space="0"/>
            </w:tcBorders>
            <w:vAlign w:val="center"/>
          </w:tcPr>
          <w:p>
            <w:pPr>
              <w:pStyle w:val="137"/>
              <w:spacing w:before="51"/>
              <w:ind w:left="178" w:right="146"/>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HZ</w:t>
            </w:r>
          </w:p>
        </w:tc>
        <w:tc>
          <w:tcPr>
            <w:tcW w:w="1046" w:type="dxa"/>
            <w:tcBorders>
              <w:top w:val="single" w:color="000000" w:sz="6" w:space="0"/>
              <w:left w:val="single" w:color="000000" w:sz="6" w:space="0"/>
              <w:bottom w:val="single" w:color="000000" w:sz="6" w:space="0"/>
              <w:right w:val="single" w:color="000000" w:sz="6" w:space="0"/>
            </w:tcBorders>
            <w:vAlign w:val="center"/>
          </w:tcPr>
          <w:p>
            <w:pPr>
              <w:pStyle w:val="137"/>
              <w:spacing w:before="51"/>
              <w:ind w:left="164" w:right="13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lang w:eastAsia="zh-CN"/>
              </w:rPr>
              <w:t>0.</w:t>
            </w:r>
            <w:r>
              <w:rPr>
                <w:rFonts w:hint="eastAsia" w:ascii="Times New Roman" w:hAnsi="Times New Roman" w:eastAsia="宋体"/>
                <w:color w:val="auto"/>
                <w:sz w:val="21"/>
                <w:szCs w:val="21"/>
                <w:highlight w:val="none"/>
                <w:lang w:eastAsia="zh-CN"/>
              </w:rPr>
              <w:t>69</w:t>
            </w:r>
            <w:r>
              <w:rPr>
                <w:rFonts w:ascii="Times New Roman" w:hAnsi="Times New Roman" w:eastAsia="宋体"/>
                <w:color w:val="auto"/>
                <w:sz w:val="21"/>
                <w:szCs w:val="21"/>
                <w:highlight w:val="none"/>
              </w:rPr>
              <w:t>%</w:t>
            </w:r>
          </w:p>
        </w:tc>
        <w:tc>
          <w:tcPr>
            <w:tcW w:w="5848" w:type="dxa"/>
            <w:tcBorders>
              <w:top w:val="single" w:color="000000" w:sz="6" w:space="0"/>
              <w:left w:val="single" w:color="000000" w:sz="6" w:space="0"/>
              <w:bottom w:val="single" w:color="000000" w:sz="6" w:space="0"/>
              <w:right w:val="nil"/>
            </w:tcBorders>
            <w:vAlign w:val="center"/>
          </w:tcPr>
          <w:p>
            <w:pPr>
              <w:pStyle w:val="137"/>
              <w:spacing w:before="37"/>
              <w:ind w:left="473" w:right="443"/>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环保费用/年销售收入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83" w:type="dxa"/>
            <w:tcBorders>
              <w:top w:val="single" w:color="000000" w:sz="6" w:space="0"/>
              <w:left w:val="nil"/>
              <w:bottom w:val="single" w:color="000000" w:sz="6" w:space="0"/>
              <w:right w:val="single" w:color="000000" w:sz="6" w:space="0"/>
            </w:tcBorders>
            <w:vAlign w:val="center"/>
          </w:tcPr>
          <w:p>
            <w:pPr>
              <w:pStyle w:val="137"/>
              <w:spacing w:before="51"/>
              <w:ind w:left="48"/>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2</w:t>
            </w:r>
          </w:p>
        </w:tc>
        <w:tc>
          <w:tcPr>
            <w:tcW w:w="1281" w:type="dxa"/>
            <w:tcBorders>
              <w:top w:val="single" w:color="000000" w:sz="6" w:space="0"/>
              <w:left w:val="single" w:color="000000" w:sz="6" w:space="0"/>
              <w:bottom w:val="single" w:color="000000" w:sz="6" w:space="0"/>
              <w:right w:val="single" w:color="000000" w:sz="6" w:space="0"/>
            </w:tcBorders>
            <w:vAlign w:val="center"/>
          </w:tcPr>
          <w:p>
            <w:pPr>
              <w:pStyle w:val="137"/>
              <w:spacing w:before="51"/>
              <w:ind w:left="175" w:right="146"/>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HJ</w:t>
            </w:r>
          </w:p>
        </w:tc>
        <w:tc>
          <w:tcPr>
            <w:tcW w:w="1046" w:type="dxa"/>
            <w:tcBorders>
              <w:top w:val="single" w:color="000000" w:sz="6" w:space="0"/>
              <w:left w:val="single" w:color="000000" w:sz="6" w:space="0"/>
              <w:bottom w:val="single" w:color="000000" w:sz="6" w:space="0"/>
              <w:right w:val="single" w:color="000000" w:sz="6" w:space="0"/>
            </w:tcBorders>
            <w:vAlign w:val="center"/>
          </w:tcPr>
          <w:p>
            <w:pPr>
              <w:pStyle w:val="137"/>
              <w:spacing w:before="51"/>
              <w:ind w:left="164" w:right="13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0.89</w:t>
            </w:r>
            <w:r>
              <w:rPr>
                <w:rFonts w:ascii="Times New Roman" w:hAnsi="Times New Roman" w:eastAsia="宋体"/>
                <w:color w:val="auto"/>
                <w:sz w:val="21"/>
                <w:szCs w:val="21"/>
                <w:highlight w:val="none"/>
              </w:rPr>
              <w:t>%</w:t>
            </w:r>
          </w:p>
        </w:tc>
        <w:tc>
          <w:tcPr>
            <w:tcW w:w="5848" w:type="dxa"/>
            <w:tcBorders>
              <w:top w:val="single" w:color="000000" w:sz="6" w:space="0"/>
              <w:left w:val="single" w:color="000000" w:sz="6" w:space="0"/>
              <w:bottom w:val="single" w:color="000000" w:sz="6" w:space="0"/>
              <w:right w:val="nil"/>
            </w:tcBorders>
            <w:vAlign w:val="center"/>
          </w:tcPr>
          <w:p>
            <w:pPr>
              <w:pStyle w:val="137"/>
              <w:spacing w:before="37"/>
              <w:ind w:left="473" w:right="443"/>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环保费用/项目总投资</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83" w:type="dxa"/>
            <w:tcBorders>
              <w:top w:val="single" w:color="000000" w:sz="6" w:space="0"/>
              <w:left w:val="nil"/>
              <w:bottom w:val="single" w:color="000000" w:sz="6" w:space="0"/>
              <w:right w:val="single" w:color="000000" w:sz="6" w:space="0"/>
            </w:tcBorders>
            <w:vAlign w:val="center"/>
          </w:tcPr>
          <w:p>
            <w:pPr>
              <w:pStyle w:val="137"/>
              <w:spacing w:before="51"/>
              <w:ind w:left="48"/>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3</w:t>
            </w:r>
          </w:p>
        </w:tc>
        <w:tc>
          <w:tcPr>
            <w:tcW w:w="1281" w:type="dxa"/>
            <w:tcBorders>
              <w:top w:val="single" w:color="000000" w:sz="6" w:space="0"/>
              <w:left w:val="single" w:color="000000" w:sz="6" w:space="0"/>
              <w:bottom w:val="single" w:color="000000" w:sz="6" w:space="0"/>
              <w:right w:val="single" w:color="000000" w:sz="6" w:space="0"/>
            </w:tcBorders>
            <w:vAlign w:val="center"/>
          </w:tcPr>
          <w:p>
            <w:pPr>
              <w:pStyle w:val="137"/>
              <w:spacing w:before="51"/>
              <w:ind w:left="180" w:right="145"/>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HS</w:t>
            </w:r>
          </w:p>
        </w:tc>
        <w:tc>
          <w:tcPr>
            <w:tcW w:w="1046" w:type="dxa"/>
            <w:tcBorders>
              <w:top w:val="single" w:color="000000" w:sz="6" w:space="0"/>
              <w:left w:val="single" w:color="000000" w:sz="6" w:space="0"/>
              <w:bottom w:val="single" w:color="000000" w:sz="6" w:space="0"/>
              <w:right w:val="single" w:color="000000" w:sz="6" w:space="0"/>
            </w:tcBorders>
            <w:vAlign w:val="center"/>
          </w:tcPr>
          <w:p>
            <w:pPr>
              <w:pStyle w:val="137"/>
              <w:spacing w:before="51"/>
              <w:ind w:left="164" w:right="13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3</w:t>
            </w:r>
            <w:r>
              <w:rPr>
                <w:rFonts w:hint="eastAsia" w:ascii="Times New Roman" w:hAnsi="Times New Roman" w:eastAsia="宋体"/>
                <w:color w:val="auto"/>
                <w:sz w:val="21"/>
                <w:szCs w:val="21"/>
                <w:highlight w:val="none"/>
                <w:lang w:eastAsia="zh-CN"/>
              </w:rPr>
              <w:t>6.2</w:t>
            </w:r>
            <w:r>
              <w:rPr>
                <w:rFonts w:ascii="Times New Roman" w:hAnsi="Times New Roman" w:eastAsia="宋体"/>
                <w:color w:val="auto"/>
                <w:sz w:val="21"/>
                <w:szCs w:val="21"/>
                <w:highlight w:val="none"/>
              </w:rPr>
              <w:t>%</w:t>
            </w:r>
          </w:p>
        </w:tc>
        <w:tc>
          <w:tcPr>
            <w:tcW w:w="5848" w:type="dxa"/>
            <w:tcBorders>
              <w:top w:val="single" w:color="000000" w:sz="6" w:space="0"/>
              <w:left w:val="single" w:color="000000" w:sz="6" w:space="0"/>
              <w:bottom w:val="single" w:color="000000" w:sz="6" w:space="0"/>
              <w:right w:val="nil"/>
            </w:tcBorders>
            <w:vAlign w:val="center"/>
          </w:tcPr>
          <w:p>
            <w:pPr>
              <w:pStyle w:val="137"/>
              <w:spacing w:before="37"/>
              <w:ind w:left="473" w:right="445"/>
              <w:jc w:val="center"/>
              <w:rPr>
                <w:rFonts w:ascii="Times New Roman" w:hAnsi="Times New Roman" w:eastAsia="宋体"/>
                <w:color w:val="auto"/>
                <w:sz w:val="21"/>
                <w:szCs w:val="21"/>
                <w:highlight w:val="none"/>
                <w:lang w:eastAsia="zh-CN"/>
              </w:rPr>
            </w:pPr>
            <w:r>
              <w:rPr>
                <w:rFonts w:ascii="Times New Roman" w:hAnsi="Times New Roman" w:eastAsia="宋体"/>
                <w:color w:val="auto"/>
                <w:sz w:val="21"/>
                <w:szCs w:val="21"/>
                <w:highlight w:val="none"/>
                <w:lang w:eastAsia="zh-CN"/>
              </w:rPr>
              <w:t>环保费用/环境污染损失</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83" w:type="dxa"/>
            <w:tcBorders>
              <w:top w:val="single" w:color="000000" w:sz="6" w:space="0"/>
              <w:left w:val="nil"/>
              <w:bottom w:val="single" w:color="000000" w:sz="6" w:space="0"/>
              <w:right w:val="single" w:color="000000" w:sz="6" w:space="0"/>
            </w:tcBorders>
            <w:vAlign w:val="center"/>
          </w:tcPr>
          <w:p>
            <w:pPr>
              <w:pStyle w:val="137"/>
              <w:spacing w:before="51"/>
              <w:ind w:left="48"/>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4</w:t>
            </w:r>
          </w:p>
        </w:tc>
        <w:tc>
          <w:tcPr>
            <w:tcW w:w="1281" w:type="dxa"/>
            <w:tcBorders>
              <w:top w:val="single" w:color="000000" w:sz="6" w:space="0"/>
              <w:left w:val="single" w:color="000000" w:sz="6" w:space="0"/>
              <w:bottom w:val="single" w:color="000000" w:sz="6" w:space="0"/>
              <w:right w:val="single" w:color="000000" w:sz="6" w:space="0"/>
            </w:tcBorders>
            <w:vAlign w:val="center"/>
          </w:tcPr>
          <w:p>
            <w:pPr>
              <w:pStyle w:val="137"/>
              <w:spacing w:before="51"/>
              <w:ind w:left="180" w:right="145"/>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ES</w:t>
            </w:r>
          </w:p>
        </w:tc>
        <w:tc>
          <w:tcPr>
            <w:tcW w:w="1046" w:type="dxa"/>
            <w:tcBorders>
              <w:top w:val="single" w:color="000000" w:sz="6" w:space="0"/>
              <w:left w:val="single" w:color="000000" w:sz="6" w:space="0"/>
              <w:bottom w:val="single" w:color="000000" w:sz="6" w:space="0"/>
              <w:right w:val="single" w:color="000000" w:sz="6" w:space="0"/>
            </w:tcBorders>
            <w:vAlign w:val="center"/>
          </w:tcPr>
          <w:p>
            <w:pPr>
              <w:pStyle w:val="137"/>
              <w:spacing w:before="51"/>
              <w:ind w:left="161" w:right="130"/>
              <w:jc w:val="center"/>
              <w:rPr>
                <w:rFonts w:ascii="Times New Roman" w:hAnsi="Times New Roman" w:eastAsia="宋体"/>
                <w:color w:val="auto"/>
                <w:sz w:val="21"/>
                <w:szCs w:val="21"/>
                <w:highlight w:val="none"/>
                <w:lang w:eastAsia="zh-CN"/>
              </w:rPr>
            </w:pPr>
            <w:r>
              <w:rPr>
                <w:rFonts w:ascii="Times New Roman" w:hAnsi="Times New Roman" w:eastAsia="宋体"/>
                <w:color w:val="auto"/>
                <w:sz w:val="21"/>
                <w:szCs w:val="21"/>
                <w:highlight w:val="none"/>
                <w:lang w:eastAsia="zh-CN"/>
              </w:rPr>
              <w:t>2.</w:t>
            </w:r>
            <w:r>
              <w:rPr>
                <w:rFonts w:hint="eastAsia" w:ascii="Times New Roman" w:hAnsi="Times New Roman" w:eastAsia="宋体"/>
                <w:color w:val="auto"/>
                <w:sz w:val="21"/>
                <w:szCs w:val="21"/>
                <w:highlight w:val="none"/>
                <w:lang w:eastAsia="zh-CN"/>
              </w:rPr>
              <w:t>91</w:t>
            </w:r>
          </w:p>
        </w:tc>
        <w:tc>
          <w:tcPr>
            <w:tcW w:w="5848" w:type="dxa"/>
            <w:tcBorders>
              <w:top w:val="single" w:color="000000" w:sz="6" w:space="0"/>
              <w:left w:val="single" w:color="000000" w:sz="6" w:space="0"/>
              <w:bottom w:val="single" w:color="000000" w:sz="6" w:space="0"/>
              <w:right w:val="nil"/>
            </w:tcBorders>
            <w:vAlign w:val="center"/>
          </w:tcPr>
          <w:p>
            <w:pPr>
              <w:pStyle w:val="137"/>
              <w:spacing w:before="37"/>
              <w:ind w:left="473" w:right="445"/>
              <w:jc w:val="center"/>
              <w:rPr>
                <w:rFonts w:ascii="Times New Roman" w:hAnsi="Times New Roman" w:eastAsia="宋体"/>
                <w:color w:val="auto"/>
                <w:sz w:val="21"/>
                <w:szCs w:val="21"/>
                <w:highlight w:val="none"/>
                <w:lang w:eastAsia="zh-CN"/>
              </w:rPr>
            </w:pPr>
            <w:r>
              <w:rPr>
                <w:rFonts w:ascii="Times New Roman" w:hAnsi="Times New Roman" w:eastAsia="宋体"/>
                <w:color w:val="auto"/>
                <w:sz w:val="21"/>
                <w:szCs w:val="21"/>
                <w:highlight w:val="none"/>
                <w:lang w:eastAsia="zh-CN"/>
              </w:rPr>
              <w:t>(减少的环境污染损失－环保年费用)/环境保护投资</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783" w:type="dxa"/>
            <w:tcBorders>
              <w:top w:val="single" w:color="000000" w:sz="6" w:space="0"/>
              <w:left w:val="nil"/>
              <w:right w:val="single" w:color="000000" w:sz="6" w:space="0"/>
            </w:tcBorders>
            <w:vAlign w:val="center"/>
          </w:tcPr>
          <w:p>
            <w:pPr>
              <w:pStyle w:val="137"/>
              <w:spacing w:before="51"/>
              <w:ind w:left="48"/>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5</w:t>
            </w:r>
          </w:p>
        </w:tc>
        <w:tc>
          <w:tcPr>
            <w:tcW w:w="1281" w:type="dxa"/>
            <w:tcBorders>
              <w:top w:val="single" w:color="000000" w:sz="6" w:space="0"/>
              <w:left w:val="single" w:color="000000" w:sz="6" w:space="0"/>
              <w:right w:val="single" w:color="000000" w:sz="6" w:space="0"/>
            </w:tcBorders>
            <w:vAlign w:val="center"/>
          </w:tcPr>
          <w:p>
            <w:pPr>
              <w:pStyle w:val="137"/>
              <w:spacing w:before="51"/>
              <w:ind w:left="180" w:right="146"/>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Ei</w:t>
            </w:r>
          </w:p>
        </w:tc>
        <w:tc>
          <w:tcPr>
            <w:tcW w:w="1046" w:type="dxa"/>
            <w:tcBorders>
              <w:top w:val="single" w:color="000000" w:sz="6" w:space="0"/>
              <w:left w:val="single" w:color="000000" w:sz="6" w:space="0"/>
              <w:right w:val="single" w:color="000000" w:sz="6" w:space="0"/>
            </w:tcBorders>
            <w:vAlign w:val="center"/>
          </w:tcPr>
          <w:p>
            <w:pPr>
              <w:pStyle w:val="137"/>
              <w:spacing w:before="51"/>
              <w:ind w:left="162" w:right="130"/>
              <w:jc w:val="center"/>
              <w:rPr>
                <w:rFonts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eastAsia="zh-CN"/>
              </w:rPr>
              <w:t>34.5</w:t>
            </w:r>
          </w:p>
        </w:tc>
        <w:tc>
          <w:tcPr>
            <w:tcW w:w="5848" w:type="dxa"/>
            <w:tcBorders>
              <w:top w:val="single" w:color="000000" w:sz="6" w:space="0"/>
              <w:left w:val="single" w:color="000000" w:sz="6" w:space="0"/>
              <w:right w:val="nil"/>
            </w:tcBorders>
            <w:vAlign w:val="center"/>
          </w:tcPr>
          <w:p>
            <w:pPr>
              <w:pStyle w:val="137"/>
              <w:spacing w:before="37"/>
              <w:ind w:left="473" w:right="443"/>
              <w:jc w:val="center"/>
              <w:rPr>
                <w:rFonts w:ascii="Times New Roman" w:hAnsi="Times New Roman" w:eastAsia="宋体"/>
                <w:color w:val="auto"/>
                <w:sz w:val="21"/>
                <w:szCs w:val="21"/>
                <w:highlight w:val="none"/>
                <w:lang w:eastAsia="zh-CN"/>
              </w:rPr>
            </w:pPr>
            <w:r>
              <w:rPr>
                <w:rFonts w:ascii="Times New Roman" w:hAnsi="Times New Roman" w:eastAsia="宋体"/>
                <w:color w:val="auto"/>
                <w:sz w:val="21"/>
                <w:szCs w:val="21"/>
                <w:highlight w:val="none"/>
                <w:lang w:eastAsia="zh-CN"/>
              </w:rPr>
              <w:t>减少的环境污染损失/环保年费用</w:t>
            </w:r>
          </w:p>
        </w:tc>
      </w:tr>
    </w:tbl>
    <w:p>
      <w:pPr>
        <w:pStyle w:val="100"/>
        <w:spacing w:before="156"/>
        <w:rPr>
          <w:rFonts w:ascii="Times New Roman" w:hAnsi="Times New Roman"/>
          <w:color w:val="auto"/>
          <w:highlight w:val="none"/>
        </w:rPr>
      </w:pPr>
      <w:bookmarkStart w:id="374" w:name="_bookmark153"/>
      <w:bookmarkEnd w:id="374"/>
      <w:bookmarkStart w:id="375" w:name="_Toc27114"/>
      <w:bookmarkStart w:id="376" w:name="_Toc15753"/>
      <w:r>
        <w:rPr>
          <w:rFonts w:ascii="Times New Roman" w:hAnsi="Times New Roman"/>
          <w:color w:val="auto"/>
          <w:highlight w:val="none"/>
        </w:rPr>
        <w:t>7.7小结</w:t>
      </w:r>
      <w:bookmarkEnd w:id="375"/>
      <w:bookmarkEnd w:id="376"/>
    </w:p>
    <w:p>
      <w:pPr>
        <w:spacing w:line="360" w:lineRule="auto"/>
        <w:ind w:firstLine="480" w:firstLineChars="200"/>
        <w:rPr>
          <w:color w:val="auto"/>
          <w:sz w:val="24"/>
          <w:highlight w:val="none"/>
        </w:rPr>
      </w:pPr>
      <w:r>
        <w:rPr>
          <w:color w:val="auto"/>
          <w:sz w:val="24"/>
          <w:highlight w:val="none"/>
        </w:rPr>
        <w:t>本项目环保投资为</w:t>
      </w:r>
      <w:r>
        <w:rPr>
          <w:rFonts w:hint="eastAsia"/>
          <w:color w:val="auto"/>
          <w:sz w:val="24"/>
          <w:highlight w:val="none"/>
        </w:rPr>
        <w:t>115</w:t>
      </w:r>
      <w:r>
        <w:rPr>
          <w:color w:val="auto"/>
          <w:sz w:val="24"/>
          <w:highlight w:val="none"/>
        </w:rPr>
        <w:t>万元，占总投资的0.</w:t>
      </w:r>
      <w:r>
        <w:rPr>
          <w:rFonts w:hint="eastAsia"/>
          <w:color w:val="auto"/>
          <w:sz w:val="24"/>
          <w:highlight w:val="none"/>
        </w:rPr>
        <w:t>68</w:t>
      </w:r>
      <w:r>
        <w:rPr>
          <w:color w:val="auto"/>
          <w:sz w:val="24"/>
          <w:highlight w:val="none"/>
        </w:rPr>
        <w:t>%，项目的运行在一定程度上会对周围环境造成影响，但通过推行清洁生产和有效的污染防治对策后，其对环境的影响将得以控制，且不会对周围环境造成明显的不利影响，同时项目的建设又可带来较好的经济效益，促进当地经济发展。因此，项目的建设能够实现经济效益、社会效益和环境效益的协调发展。</w:t>
      </w:r>
    </w:p>
    <w:bookmarkEnd w:id="298"/>
    <w:bookmarkEnd w:id="299"/>
    <w:bookmarkEnd w:id="340"/>
    <w:bookmarkEnd w:id="341"/>
    <w:bookmarkEnd w:id="342"/>
    <w:bookmarkEnd w:id="343"/>
    <w:bookmarkEnd w:id="344"/>
    <w:bookmarkEnd w:id="345"/>
    <w:bookmarkEnd w:id="346"/>
    <w:bookmarkEnd w:id="347"/>
    <w:bookmarkEnd w:id="348"/>
    <w:bookmarkEnd w:id="349"/>
    <w:bookmarkEnd w:id="350"/>
    <w:bookmarkEnd w:id="351"/>
    <w:p>
      <w:pPr>
        <w:pStyle w:val="99"/>
        <w:ind w:firstLine="480"/>
        <w:rPr>
          <w:color w:val="auto"/>
          <w:highlight w:val="none"/>
        </w:rPr>
      </w:pPr>
    </w:p>
    <w:p>
      <w:pPr>
        <w:pStyle w:val="98"/>
        <w:spacing w:before="156"/>
        <w:rPr>
          <w:rFonts w:ascii="Times New Roman" w:hAnsi="Times New Roman"/>
          <w:color w:val="auto"/>
          <w:highlight w:val="none"/>
        </w:rPr>
        <w:sectPr>
          <w:headerReference r:id="rId21" w:type="default"/>
          <w:headerReference r:id="rId22" w:type="even"/>
          <w:pgSz w:w="11906" w:h="16838"/>
          <w:pgMar w:top="1418" w:right="1418" w:bottom="1418" w:left="1701" w:header="851" w:footer="992" w:gutter="0"/>
          <w:pgBorders>
            <w:top w:val="none" w:sz="0" w:space="0"/>
            <w:left w:val="none" w:sz="0" w:space="0"/>
            <w:bottom w:val="none" w:sz="0" w:space="0"/>
            <w:right w:val="none" w:sz="0" w:space="0"/>
          </w:pgBorders>
          <w:cols w:space="425" w:num="1"/>
          <w:docGrid w:type="lines" w:linePitch="312" w:charSpace="0"/>
        </w:sectPr>
      </w:pPr>
    </w:p>
    <w:p>
      <w:pPr>
        <w:pStyle w:val="98"/>
        <w:spacing w:before="156"/>
        <w:rPr>
          <w:rFonts w:ascii="Times New Roman" w:hAnsi="Times New Roman"/>
          <w:color w:val="auto"/>
          <w:highlight w:val="none"/>
        </w:rPr>
      </w:pPr>
      <w:bookmarkStart w:id="377" w:name="_Toc66281315"/>
      <w:bookmarkStart w:id="378" w:name="_Toc16470"/>
      <w:bookmarkStart w:id="379" w:name="_Toc57804790"/>
      <w:r>
        <w:rPr>
          <w:rFonts w:ascii="Times New Roman" w:hAnsi="Times New Roman"/>
          <w:color w:val="auto"/>
          <w:highlight w:val="none"/>
        </w:rPr>
        <w:t>8.环境管理及监测计划</w:t>
      </w:r>
      <w:bookmarkEnd w:id="377"/>
      <w:bookmarkEnd w:id="378"/>
      <w:bookmarkEnd w:id="379"/>
    </w:p>
    <w:p>
      <w:pPr>
        <w:pStyle w:val="99"/>
        <w:ind w:firstLine="480"/>
        <w:rPr>
          <w:rStyle w:val="122"/>
          <w:rFonts w:hint="default" w:ascii="Times New Roman" w:hAnsi="Times New Roman"/>
          <w:color w:val="auto"/>
          <w:highlight w:val="none"/>
        </w:rPr>
      </w:pPr>
      <w:r>
        <w:rPr>
          <w:rStyle w:val="122"/>
          <w:rFonts w:hint="default" w:ascii="Times New Roman" w:hAnsi="Times New Roman"/>
          <w:color w:val="auto"/>
          <w:highlight w:val="none"/>
        </w:rPr>
        <w:t>建设项目的环境管理与监测计划是落实环境保护工作的保障，为把环评的有关方案或建议纳入项目开发建设规划、实施、运行、监督与管理的全过程，帮助建设单位</w:t>
      </w:r>
      <w:r>
        <w:rPr>
          <w:rStyle w:val="139"/>
          <w:rFonts w:ascii="Times New Roman" w:hAnsi="Times New Roman"/>
          <w:color w:val="auto"/>
          <w:highlight w:val="none"/>
        </w:rPr>
        <w:t>(</w:t>
      </w:r>
      <w:r>
        <w:rPr>
          <w:rStyle w:val="122"/>
          <w:rFonts w:hint="default" w:ascii="Times New Roman" w:hAnsi="Times New Roman"/>
          <w:color w:val="auto"/>
          <w:highlight w:val="none"/>
        </w:rPr>
        <w:t>也是项目建成后的维护和管理单位</w:t>
      </w:r>
      <w:r>
        <w:rPr>
          <w:rStyle w:val="139"/>
          <w:rFonts w:ascii="Times New Roman" w:hAnsi="Times New Roman"/>
          <w:color w:val="auto"/>
          <w:highlight w:val="none"/>
        </w:rPr>
        <w:t>)</w:t>
      </w:r>
      <w:r>
        <w:rPr>
          <w:rStyle w:val="122"/>
          <w:rFonts w:hint="default" w:ascii="Times New Roman" w:hAnsi="Times New Roman"/>
          <w:color w:val="auto"/>
          <w:highlight w:val="none"/>
        </w:rPr>
        <w:t>协调项目建设与区域环境保护的关系，有必要建立一套结构化的环境管理与监测计划体系。在项目建设期，该体系可纳入工程建设管理体系；在项目建成后，该体系可纳入项目厂区行政管理体系。在每一种体系内都应强化环境管理与监测计划体系，并落实好各阶段的环保措施。</w:t>
      </w:r>
    </w:p>
    <w:p>
      <w:pPr>
        <w:pStyle w:val="100"/>
        <w:spacing w:before="156"/>
        <w:rPr>
          <w:rFonts w:ascii="Times New Roman" w:hAnsi="Times New Roman"/>
          <w:color w:val="auto"/>
          <w:highlight w:val="none"/>
        </w:rPr>
      </w:pPr>
      <w:bookmarkStart w:id="380" w:name="_Toc8474"/>
      <w:bookmarkStart w:id="381" w:name="_Toc66281316"/>
      <w:bookmarkStart w:id="382" w:name="_Toc57804791"/>
      <w:r>
        <w:rPr>
          <w:rFonts w:ascii="Times New Roman" w:hAnsi="Times New Roman"/>
          <w:color w:val="auto"/>
          <w:highlight w:val="none"/>
        </w:rPr>
        <w:t>8.1环境管理机构及制度</w:t>
      </w:r>
      <w:bookmarkEnd w:id="380"/>
      <w:bookmarkEnd w:id="381"/>
      <w:bookmarkEnd w:id="382"/>
    </w:p>
    <w:p>
      <w:pPr>
        <w:pStyle w:val="101"/>
        <w:spacing w:before="78"/>
        <w:rPr>
          <w:rFonts w:ascii="Times New Roman" w:hAnsi="Times New Roman"/>
          <w:color w:val="auto"/>
          <w:highlight w:val="none"/>
        </w:rPr>
      </w:pPr>
      <w:r>
        <w:rPr>
          <w:rFonts w:ascii="Times New Roman" w:hAnsi="Times New Roman"/>
          <w:color w:val="auto"/>
          <w:highlight w:val="none"/>
        </w:rPr>
        <w:t>8.1.1环境管理目的</w:t>
      </w:r>
    </w:p>
    <w:p>
      <w:pPr>
        <w:pStyle w:val="99"/>
        <w:ind w:firstLine="480"/>
        <w:rPr>
          <w:color w:val="auto"/>
          <w:highlight w:val="none"/>
        </w:rPr>
      </w:pPr>
      <w:r>
        <w:rPr>
          <w:color w:val="auto"/>
          <w:highlight w:val="none"/>
        </w:rPr>
        <w:t>按照“三同时”制度的指导思想，在本项目完成后，必须加强环境管理和监测计划，使各种污染物的排放达到国家有关排放标准要求，从而提高企业的管理水平和社会环境质量，使企业得以最优化发展。为此，本项目应当配备专门的环境管理及监测机构，并确定相应的职责，制定监测计划。</w:t>
      </w:r>
    </w:p>
    <w:p>
      <w:pPr>
        <w:pStyle w:val="101"/>
        <w:spacing w:before="78"/>
        <w:rPr>
          <w:rFonts w:ascii="Times New Roman" w:hAnsi="Times New Roman"/>
          <w:color w:val="auto"/>
          <w:highlight w:val="none"/>
        </w:rPr>
      </w:pPr>
      <w:r>
        <w:rPr>
          <w:rFonts w:ascii="Times New Roman" w:hAnsi="Times New Roman"/>
          <w:color w:val="auto"/>
          <w:highlight w:val="none"/>
        </w:rPr>
        <w:t>8.1.2机构设置</w:t>
      </w:r>
    </w:p>
    <w:p>
      <w:pPr>
        <w:pStyle w:val="99"/>
        <w:ind w:firstLine="480"/>
        <w:rPr>
          <w:color w:val="auto"/>
          <w:highlight w:val="none"/>
        </w:rPr>
      </w:pPr>
      <w:r>
        <w:rPr>
          <w:color w:val="auto"/>
          <w:highlight w:val="none"/>
        </w:rPr>
        <w:t>公司将设置专门的环境管理机构，对厂区内的环境问题进行管理。根据本项目规模和特点，将设置安环科。安环科直属总经理领导，下设科长1名，科员1名，负责环境管理、监测数据的统计和整理、应急监测工作，以防止污染事故的发生。</w:t>
      </w:r>
    </w:p>
    <w:p>
      <w:pPr>
        <w:pStyle w:val="101"/>
        <w:spacing w:before="78"/>
        <w:rPr>
          <w:rFonts w:ascii="Times New Roman" w:hAnsi="Times New Roman"/>
          <w:color w:val="auto"/>
          <w:highlight w:val="none"/>
        </w:rPr>
      </w:pPr>
      <w:r>
        <w:rPr>
          <w:rFonts w:ascii="Times New Roman" w:hAnsi="Times New Roman"/>
          <w:color w:val="auto"/>
          <w:highlight w:val="none"/>
        </w:rPr>
        <w:t>8.1.3机构任务及主要内容</w:t>
      </w:r>
    </w:p>
    <w:p>
      <w:pPr>
        <w:pStyle w:val="99"/>
        <w:ind w:firstLine="480"/>
        <w:rPr>
          <w:color w:val="auto"/>
          <w:highlight w:val="none"/>
        </w:rPr>
      </w:pPr>
      <w:r>
        <w:rPr>
          <w:color w:val="auto"/>
          <w:highlight w:val="none"/>
        </w:rPr>
        <w:t>安环科主要负责日常环境及安全生产管理工作，其环境管理方面的主要职责由以下几项内容组成：</w:t>
      </w:r>
    </w:p>
    <w:p>
      <w:pPr>
        <w:pStyle w:val="99"/>
        <w:ind w:firstLine="480"/>
        <w:rPr>
          <w:color w:val="auto"/>
          <w:highlight w:val="none"/>
        </w:rPr>
      </w:pPr>
      <w:r>
        <w:rPr>
          <w:color w:val="auto"/>
          <w:highlight w:val="none"/>
        </w:rPr>
        <w:t>1、贯彻执行环境保护法律法规和标准的有关规定；</w:t>
      </w:r>
    </w:p>
    <w:p>
      <w:pPr>
        <w:pStyle w:val="99"/>
        <w:ind w:firstLine="480"/>
        <w:rPr>
          <w:color w:val="auto"/>
          <w:highlight w:val="none"/>
        </w:rPr>
      </w:pPr>
      <w:r>
        <w:rPr>
          <w:color w:val="auto"/>
          <w:highlight w:val="none"/>
        </w:rPr>
        <w:t>2、组织制定和修改企业环境保护管理规章制度并监督执行；</w:t>
      </w:r>
    </w:p>
    <w:p>
      <w:pPr>
        <w:pStyle w:val="99"/>
        <w:ind w:firstLine="480"/>
        <w:rPr>
          <w:color w:val="auto"/>
          <w:highlight w:val="none"/>
        </w:rPr>
      </w:pPr>
      <w:r>
        <w:rPr>
          <w:color w:val="auto"/>
          <w:highlight w:val="none"/>
        </w:rPr>
        <w:t>3、制定并组织实施环境保护规划和计划；</w:t>
      </w:r>
    </w:p>
    <w:p>
      <w:pPr>
        <w:pStyle w:val="99"/>
        <w:ind w:firstLine="480"/>
        <w:rPr>
          <w:color w:val="auto"/>
          <w:highlight w:val="none"/>
        </w:rPr>
      </w:pPr>
      <w:r>
        <w:rPr>
          <w:color w:val="auto"/>
          <w:highlight w:val="none"/>
        </w:rPr>
        <w:t>4、领导和组织环境监测；</w:t>
      </w:r>
    </w:p>
    <w:p>
      <w:pPr>
        <w:pStyle w:val="99"/>
        <w:ind w:firstLine="480"/>
        <w:rPr>
          <w:color w:val="auto"/>
          <w:highlight w:val="none"/>
        </w:rPr>
      </w:pPr>
      <w:r>
        <w:rPr>
          <w:color w:val="auto"/>
          <w:highlight w:val="none"/>
        </w:rPr>
        <w:t>5、检查环境保护设施的运行情况，发现问题及时提出整改措施与建议；</w:t>
      </w:r>
    </w:p>
    <w:p>
      <w:pPr>
        <w:pStyle w:val="99"/>
        <w:ind w:firstLine="480"/>
        <w:rPr>
          <w:color w:val="auto"/>
          <w:szCs w:val="24"/>
          <w:highlight w:val="none"/>
        </w:rPr>
      </w:pPr>
      <w:r>
        <w:rPr>
          <w:rFonts w:eastAsia="等线"/>
          <w:color w:val="auto"/>
          <w:szCs w:val="24"/>
          <w:highlight w:val="none"/>
        </w:rPr>
        <w:t>6</w:t>
      </w:r>
      <w:r>
        <w:rPr>
          <w:color w:val="auto"/>
          <w:szCs w:val="24"/>
          <w:highlight w:val="none"/>
        </w:rPr>
        <w:t>、推广应用环境保护先进技术和经验，推进清洁生产新工艺；</w:t>
      </w:r>
    </w:p>
    <w:p>
      <w:pPr>
        <w:pStyle w:val="99"/>
        <w:ind w:firstLine="480"/>
        <w:rPr>
          <w:color w:val="auto"/>
          <w:szCs w:val="24"/>
          <w:highlight w:val="none"/>
        </w:rPr>
      </w:pPr>
      <w:r>
        <w:rPr>
          <w:rFonts w:eastAsia="等线"/>
          <w:color w:val="auto"/>
          <w:szCs w:val="24"/>
          <w:highlight w:val="none"/>
        </w:rPr>
        <w:t>7</w:t>
      </w:r>
      <w:r>
        <w:rPr>
          <w:color w:val="auto"/>
          <w:szCs w:val="24"/>
          <w:highlight w:val="none"/>
        </w:rPr>
        <w:t>、组织开展环境保护科研和学术交流；</w:t>
      </w:r>
    </w:p>
    <w:p>
      <w:pPr>
        <w:pStyle w:val="99"/>
        <w:ind w:firstLine="480"/>
        <w:rPr>
          <w:color w:val="auto"/>
          <w:szCs w:val="24"/>
          <w:highlight w:val="none"/>
        </w:rPr>
      </w:pPr>
      <w:r>
        <w:rPr>
          <w:rFonts w:eastAsia="等线"/>
          <w:color w:val="auto"/>
          <w:szCs w:val="24"/>
          <w:highlight w:val="none"/>
        </w:rPr>
        <w:t>8</w:t>
      </w:r>
      <w:r>
        <w:rPr>
          <w:color w:val="auto"/>
          <w:szCs w:val="24"/>
          <w:highlight w:val="none"/>
        </w:rPr>
        <w:t>、按照上级环保主管部门的要求，制定环保监测计划并组织、协调完成监测计划；</w:t>
      </w:r>
    </w:p>
    <w:p>
      <w:pPr>
        <w:pStyle w:val="99"/>
        <w:ind w:firstLine="480"/>
        <w:rPr>
          <w:color w:val="auto"/>
          <w:szCs w:val="24"/>
          <w:highlight w:val="none"/>
        </w:rPr>
      </w:pPr>
      <w:r>
        <w:rPr>
          <w:rFonts w:eastAsia="等线"/>
          <w:color w:val="auto"/>
          <w:szCs w:val="24"/>
          <w:highlight w:val="none"/>
        </w:rPr>
        <w:t>9</w:t>
      </w:r>
      <w:r>
        <w:rPr>
          <w:color w:val="auto"/>
          <w:szCs w:val="24"/>
          <w:highlight w:val="none"/>
        </w:rPr>
        <w:t>、组织开展环境保护专业技术培训，提高人员素质水平；</w:t>
      </w:r>
    </w:p>
    <w:p>
      <w:pPr>
        <w:pStyle w:val="99"/>
        <w:ind w:firstLine="480"/>
        <w:rPr>
          <w:color w:val="auto"/>
          <w:szCs w:val="24"/>
          <w:highlight w:val="none"/>
        </w:rPr>
      </w:pPr>
      <w:r>
        <w:rPr>
          <w:rFonts w:eastAsia="等线"/>
          <w:color w:val="auto"/>
          <w:szCs w:val="24"/>
          <w:highlight w:val="none"/>
        </w:rPr>
        <w:t>10</w:t>
      </w:r>
      <w:r>
        <w:rPr>
          <w:color w:val="auto"/>
          <w:szCs w:val="24"/>
          <w:highlight w:val="none"/>
        </w:rPr>
        <w:t>、组织污染源调查，弄清和掌握厂区污染状况，建立污染源档案，并做好环境统计工作；</w:t>
      </w:r>
    </w:p>
    <w:p>
      <w:pPr>
        <w:pStyle w:val="99"/>
        <w:ind w:firstLine="480"/>
        <w:rPr>
          <w:color w:val="auto"/>
          <w:szCs w:val="24"/>
          <w:highlight w:val="none"/>
        </w:rPr>
      </w:pPr>
      <w:r>
        <w:rPr>
          <w:rFonts w:eastAsia="等线"/>
          <w:color w:val="auto"/>
          <w:szCs w:val="24"/>
          <w:highlight w:val="none"/>
        </w:rPr>
        <w:t>11</w:t>
      </w:r>
      <w:r>
        <w:rPr>
          <w:color w:val="auto"/>
          <w:szCs w:val="24"/>
          <w:highlight w:val="none"/>
        </w:rPr>
        <w:t>、定期协调监测部门监测排放污染物是否符合国家或省、市地方规定的排放标准，定期监测可能受本项目影响的环境敏感点是否符合国家制定的环境质量标准；</w:t>
      </w:r>
    </w:p>
    <w:p>
      <w:pPr>
        <w:pStyle w:val="99"/>
        <w:ind w:firstLine="480"/>
        <w:rPr>
          <w:color w:val="auto"/>
          <w:szCs w:val="24"/>
          <w:highlight w:val="none"/>
        </w:rPr>
      </w:pPr>
      <w:r>
        <w:rPr>
          <w:rFonts w:eastAsia="等线"/>
          <w:color w:val="auto"/>
          <w:szCs w:val="24"/>
          <w:highlight w:val="none"/>
        </w:rPr>
        <w:t>12</w:t>
      </w:r>
      <w:r>
        <w:rPr>
          <w:color w:val="auto"/>
          <w:szCs w:val="24"/>
          <w:highlight w:val="none"/>
        </w:rPr>
        <w:t>、建立环境监测数据统计档案和填报环境报告；</w:t>
      </w:r>
    </w:p>
    <w:p>
      <w:pPr>
        <w:pStyle w:val="99"/>
        <w:ind w:firstLine="480"/>
        <w:rPr>
          <w:color w:val="auto"/>
          <w:szCs w:val="24"/>
          <w:highlight w:val="none"/>
        </w:rPr>
      </w:pPr>
      <w:r>
        <w:rPr>
          <w:rFonts w:eastAsia="等线"/>
          <w:color w:val="auto"/>
          <w:szCs w:val="24"/>
          <w:highlight w:val="none"/>
        </w:rPr>
        <w:t>13</w:t>
      </w:r>
      <w:r>
        <w:rPr>
          <w:color w:val="auto"/>
          <w:szCs w:val="24"/>
          <w:highlight w:val="none"/>
        </w:rPr>
        <w:t>、分析所排污染物的变化规律，为改进污染控制措施提供依据；</w:t>
      </w:r>
    </w:p>
    <w:p>
      <w:pPr>
        <w:pStyle w:val="99"/>
        <w:ind w:firstLine="480"/>
        <w:rPr>
          <w:color w:val="auto"/>
          <w:szCs w:val="24"/>
          <w:highlight w:val="none"/>
        </w:rPr>
      </w:pPr>
      <w:r>
        <w:rPr>
          <w:rFonts w:eastAsia="等线"/>
          <w:color w:val="auto"/>
          <w:szCs w:val="24"/>
          <w:highlight w:val="none"/>
        </w:rPr>
        <w:t>14</w:t>
      </w:r>
      <w:r>
        <w:rPr>
          <w:color w:val="auto"/>
          <w:szCs w:val="24"/>
          <w:highlight w:val="none"/>
        </w:rPr>
        <w:t>、对已有污染物处理设施的运行进行监督，提供运行数据；</w:t>
      </w:r>
    </w:p>
    <w:p>
      <w:pPr>
        <w:pStyle w:val="99"/>
        <w:ind w:firstLine="480"/>
        <w:rPr>
          <w:color w:val="auto"/>
          <w:szCs w:val="24"/>
          <w:highlight w:val="none"/>
        </w:rPr>
      </w:pPr>
      <w:r>
        <w:rPr>
          <w:rFonts w:eastAsia="等线"/>
          <w:color w:val="auto"/>
          <w:szCs w:val="24"/>
          <w:highlight w:val="none"/>
        </w:rPr>
        <w:t>15</w:t>
      </w:r>
      <w:r>
        <w:rPr>
          <w:color w:val="auto"/>
          <w:szCs w:val="24"/>
          <w:highlight w:val="none"/>
        </w:rPr>
        <w:t>、制定环境保护紧急情况处理措施及预案，负责启动和实施；</w:t>
      </w:r>
    </w:p>
    <w:p>
      <w:pPr>
        <w:pStyle w:val="99"/>
        <w:ind w:firstLine="480"/>
        <w:rPr>
          <w:color w:val="auto"/>
          <w:highlight w:val="none"/>
        </w:rPr>
      </w:pPr>
      <w:r>
        <w:rPr>
          <w:rFonts w:eastAsia="等线"/>
          <w:color w:val="auto"/>
          <w:szCs w:val="24"/>
          <w:highlight w:val="none"/>
        </w:rPr>
        <w:t>16</w:t>
      </w:r>
      <w:r>
        <w:rPr>
          <w:color w:val="auto"/>
          <w:szCs w:val="24"/>
          <w:highlight w:val="none"/>
        </w:rPr>
        <w:t>、应急监测和监控监测。</w:t>
      </w:r>
    </w:p>
    <w:p>
      <w:pPr>
        <w:pStyle w:val="101"/>
        <w:spacing w:before="78"/>
        <w:rPr>
          <w:rFonts w:ascii="Times New Roman" w:hAnsi="Times New Roman"/>
          <w:color w:val="auto"/>
          <w:highlight w:val="none"/>
        </w:rPr>
      </w:pPr>
      <w:r>
        <w:rPr>
          <w:rFonts w:ascii="Times New Roman" w:hAnsi="Times New Roman"/>
          <w:color w:val="auto"/>
          <w:highlight w:val="none"/>
        </w:rPr>
        <w:t>8.1.4环保管理制度</w:t>
      </w:r>
    </w:p>
    <w:p>
      <w:pPr>
        <w:pStyle w:val="99"/>
        <w:ind w:firstLine="480"/>
        <w:rPr>
          <w:color w:val="auto"/>
          <w:highlight w:val="none"/>
        </w:rPr>
      </w:pPr>
      <w:r>
        <w:rPr>
          <w:color w:val="auto"/>
          <w:highlight w:val="none"/>
        </w:rPr>
        <w:t>为规范企业环保管理，</w:t>
      </w:r>
      <w:r>
        <w:rPr>
          <w:rFonts w:hint="eastAsia"/>
          <w:color w:val="auto"/>
          <w:highlight w:val="none"/>
        </w:rPr>
        <w:t>山东付新环保科技有限公司</w:t>
      </w:r>
      <w:r>
        <w:rPr>
          <w:color w:val="auto"/>
          <w:highlight w:val="none"/>
        </w:rPr>
        <w:t>应根据本项目的特点制定一系列的环保管理制度，主要包括：《三废管理规程》《环境因素辨识、风险评价控制管理规程》《污染环境防治责任管理规程》《危废标识管理规程》《危废管理计划管理规程》《危废申报登记管理规程》《危废源头分类管理规程》《危废转移联单管理规程》《危废经营许可证管理规程》《危废应急预案备案管理规程》《危废储存设施管理规程》《危废管理业务培训管理规程》《环境风险事故应急预案》等。</w:t>
      </w:r>
    </w:p>
    <w:p>
      <w:pPr>
        <w:pStyle w:val="100"/>
        <w:spacing w:before="0" w:beforeLines="0"/>
        <w:rPr>
          <w:rFonts w:ascii="Times New Roman" w:hAnsi="Times New Roman"/>
          <w:color w:val="auto"/>
          <w:highlight w:val="none"/>
        </w:rPr>
      </w:pPr>
      <w:bookmarkStart w:id="383" w:name="_Toc57804792"/>
      <w:bookmarkStart w:id="384" w:name="_Toc1956"/>
      <w:bookmarkStart w:id="385" w:name="_Toc66281317"/>
      <w:r>
        <w:rPr>
          <w:rFonts w:ascii="Times New Roman" w:hAnsi="Times New Roman"/>
          <w:color w:val="auto"/>
          <w:highlight w:val="none"/>
        </w:rPr>
        <w:t>8.2污染物排放管理</w:t>
      </w:r>
      <w:bookmarkEnd w:id="383"/>
      <w:bookmarkEnd w:id="384"/>
      <w:bookmarkEnd w:id="385"/>
    </w:p>
    <w:p>
      <w:pPr>
        <w:pStyle w:val="101"/>
        <w:spacing w:before="78"/>
        <w:rPr>
          <w:rFonts w:ascii="Times New Roman" w:hAnsi="Times New Roman"/>
          <w:color w:val="auto"/>
          <w:highlight w:val="none"/>
        </w:rPr>
      </w:pPr>
      <w:r>
        <w:rPr>
          <w:rFonts w:ascii="Times New Roman" w:hAnsi="Times New Roman"/>
          <w:color w:val="auto"/>
          <w:highlight w:val="none"/>
        </w:rPr>
        <w:t>8.2.1污染物排放清单</w:t>
      </w:r>
    </w:p>
    <w:p>
      <w:pPr>
        <w:pStyle w:val="99"/>
        <w:ind w:firstLine="480"/>
        <w:rPr>
          <w:color w:val="auto"/>
          <w:highlight w:val="none"/>
        </w:rPr>
      </w:pPr>
      <w:r>
        <w:rPr>
          <w:color w:val="auto"/>
          <w:highlight w:val="none"/>
        </w:rPr>
        <w:t>拟建项目污染源主要信息见表8.2-1。</w:t>
      </w: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103"/>
        <w:rPr>
          <w:rFonts w:ascii="Times New Roman" w:hAnsi="Times New Roman"/>
          <w:color w:val="auto"/>
          <w:highlight w:val="none"/>
        </w:rPr>
      </w:pPr>
      <w:r>
        <w:rPr>
          <w:rFonts w:ascii="Times New Roman" w:hAnsi="Times New Roman"/>
          <w:color w:val="auto"/>
          <w:highlight w:val="none"/>
        </w:rPr>
        <w:t>表8.2-1  拟建项目污染源排放清单</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61"/>
        <w:gridCol w:w="457"/>
        <w:gridCol w:w="1136"/>
        <w:gridCol w:w="1459"/>
        <w:gridCol w:w="1121"/>
        <w:gridCol w:w="1047"/>
        <w:gridCol w:w="320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blHeader/>
          <w:jc w:val="center"/>
        </w:trPr>
        <w:tc>
          <w:tcPr>
            <w:tcW w:w="2608" w:type="pct"/>
            <w:gridSpan w:val="5"/>
            <w:tcMar>
              <w:top w:w="0" w:type="dxa"/>
              <w:left w:w="51" w:type="dxa"/>
              <w:bottom w:w="0" w:type="dxa"/>
              <w:right w:w="51" w:type="dxa"/>
            </w:tcMar>
            <w:vAlign w:val="center"/>
          </w:tcPr>
          <w:p>
            <w:pPr>
              <w:spacing w:line="240" w:lineRule="exact"/>
              <w:jc w:val="center"/>
              <w:rPr>
                <w:b/>
                <w:color w:val="auto"/>
                <w:szCs w:val="21"/>
                <w:highlight w:val="none"/>
              </w:rPr>
            </w:pPr>
            <w:r>
              <w:rPr>
                <w:b/>
                <w:color w:val="auto"/>
                <w:szCs w:val="21"/>
                <w:highlight w:val="none"/>
              </w:rPr>
              <w:t>项目</w:t>
            </w:r>
          </w:p>
        </w:tc>
        <w:tc>
          <w:tcPr>
            <w:tcW w:w="589" w:type="pct"/>
            <w:tcMar>
              <w:top w:w="0" w:type="dxa"/>
              <w:left w:w="51" w:type="dxa"/>
              <w:bottom w:w="0" w:type="dxa"/>
              <w:right w:w="51" w:type="dxa"/>
            </w:tcMar>
            <w:vAlign w:val="center"/>
          </w:tcPr>
          <w:p>
            <w:pPr>
              <w:spacing w:line="240" w:lineRule="exact"/>
              <w:jc w:val="center"/>
              <w:rPr>
                <w:b/>
                <w:color w:val="auto"/>
                <w:szCs w:val="21"/>
                <w:highlight w:val="none"/>
              </w:rPr>
            </w:pPr>
            <w:r>
              <w:rPr>
                <w:rFonts w:hint="eastAsia"/>
                <w:b/>
                <w:color w:val="auto"/>
                <w:szCs w:val="21"/>
                <w:highlight w:val="none"/>
              </w:rPr>
              <w:t>排放量</w:t>
            </w:r>
            <w:r>
              <w:rPr>
                <w:b/>
                <w:color w:val="auto"/>
                <w:szCs w:val="21"/>
                <w:highlight w:val="none"/>
              </w:rPr>
              <w:t>(</w:t>
            </w:r>
            <w:r>
              <w:rPr>
                <w:color w:val="auto"/>
                <w:szCs w:val="21"/>
                <w:highlight w:val="none"/>
              </w:rPr>
              <w:t>t/a</w:t>
            </w:r>
            <w:r>
              <w:rPr>
                <w:b/>
                <w:color w:val="auto"/>
                <w:szCs w:val="21"/>
                <w:highlight w:val="none"/>
              </w:rPr>
              <w:t>)</w:t>
            </w:r>
          </w:p>
        </w:tc>
        <w:tc>
          <w:tcPr>
            <w:tcW w:w="1802" w:type="pct"/>
            <w:tcMar>
              <w:top w:w="0" w:type="dxa"/>
              <w:left w:w="51" w:type="dxa"/>
              <w:bottom w:w="0" w:type="dxa"/>
              <w:right w:w="51" w:type="dxa"/>
            </w:tcMar>
            <w:vAlign w:val="center"/>
          </w:tcPr>
          <w:p>
            <w:pPr>
              <w:spacing w:line="240" w:lineRule="exact"/>
              <w:jc w:val="center"/>
              <w:rPr>
                <w:b/>
                <w:color w:val="auto"/>
                <w:szCs w:val="21"/>
                <w:highlight w:val="none"/>
              </w:rPr>
            </w:pPr>
            <w:r>
              <w:rPr>
                <w:b/>
                <w:color w:val="auto"/>
                <w:szCs w:val="21"/>
                <w:highlight w:val="none"/>
              </w:rPr>
              <w:t>处理处置措施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blHeader/>
          <w:jc w:val="center"/>
        </w:trPr>
        <w:tc>
          <w:tcPr>
            <w:tcW w:w="260" w:type="pct"/>
            <w:vMerge w:val="restart"/>
            <w:tcMar>
              <w:top w:w="0" w:type="dxa"/>
              <w:left w:w="51" w:type="dxa"/>
              <w:bottom w:w="0" w:type="dxa"/>
              <w:right w:w="51" w:type="dxa"/>
            </w:tcMar>
            <w:vAlign w:val="center"/>
          </w:tcPr>
          <w:p>
            <w:pPr>
              <w:spacing w:line="240" w:lineRule="exact"/>
              <w:jc w:val="center"/>
              <w:rPr>
                <w:color w:val="auto"/>
                <w:szCs w:val="21"/>
                <w:highlight w:val="none"/>
              </w:rPr>
            </w:pPr>
            <w:r>
              <w:rPr>
                <w:color w:val="auto"/>
                <w:szCs w:val="21"/>
                <w:highlight w:val="none"/>
              </w:rPr>
              <w:t>废水</w:t>
            </w:r>
          </w:p>
        </w:tc>
        <w:tc>
          <w:tcPr>
            <w:tcW w:w="895" w:type="pct"/>
            <w:gridSpan w:val="2"/>
            <w:vMerge w:val="restart"/>
            <w:tcMar>
              <w:top w:w="0" w:type="dxa"/>
              <w:left w:w="51" w:type="dxa"/>
              <w:bottom w:w="0" w:type="dxa"/>
              <w:right w:w="51" w:type="dxa"/>
            </w:tcMar>
            <w:vAlign w:val="center"/>
          </w:tcPr>
          <w:p>
            <w:pPr>
              <w:spacing w:line="240" w:lineRule="exact"/>
              <w:jc w:val="center"/>
              <w:rPr>
                <w:color w:val="auto"/>
                <w:szCs w:val="21"/>
                <w:highlight w:val="none"/>
              </w:rPr>
            </w:pPr>
            <w:r>
              <w:rPr>
                <w:color w:val="auto"/>
                <w:szCs w:val="21"/>
                <w:highlight w:val="none"/>
              </w:rPr>
              <w:t>生活</w:t>
            </w:r>
          </w:p>
        </w:tc>
        <w:tc>
          <w:tcPr>
            <w:tcW w:w="1451" w:type="pct"/>
            <w:gridSpan w:val="2"/>
            <w:tcMar>
              <w:top w:w="0" w:type="dxa"/>
              <w:left w:w="51" w:type="dxa"/>
              <w:bottom w:w="0" w:type="dxa"/>
              <w:right w:w="51" w:type="dxa"/>
            </w:tcMar>
            <w:vAlign w:val="center"/>
          </w:tcPr>
          <w:p>
            <w:pPr>
              <w:spacing w:line="240" w:lineRule="exact"/>
              <w:jc w:val="center"/>
              <w:rPr>
                <w:color w:val="auto"/>
                <w:szCs w:val="21"/>
                <w:highlight w:val="none"/>
              </w:rPr>
            </w:pPr>
            <w:r>
              <w:rPr>
                <w:color w:val="auto"/>
                <w:szCs w:val="21"/>
                <w:highlight w:val="none"/>
              </w:rPr>
              <w:t>废水量</w:t>
            </w:r>
          </w:p>
        </w:tc>
        <w:tc>
          <w:tcPr>
            <w:tcW w:w="589" w:type="pct"/>
            <w:tcMar>
              <w:top w:w="0" w:type="dxa"/>
              <w:left w:w="51" w:type="dxa"/>
              <w:bottom w:w="0" w:type="dxa"/>
              <w:right w:w="51" w:type="dxa"/>
            </w:tcMar>
            <w:vAlign w:val="center"/>
          </w:tcPr>
          <w:p>
            <w:pPr>
              <w:widowControl/>
              <w:spacing w:line="240" w:lineRule="exact"/>
              <w:jc w:val="center"/>
              <w:rPr>
                <w:color w:val="auto"/>
                <w:szCs w:val="21"/>
                <w:highlight w:val="none"/>
              </w:rPr>
            </w:pPr>
            <w:r>
              <w:rPr>
                <w:color w:val="auto"/>
                <w:szCs w:val="21"/>
                <w:highlight w:val="none"/>
              </w:rPr>
              <w:t>0</w:t>
            </w:r>
          </w:p>
        </w:tc>
        <w:tc>
          <w:tcPr>
            <w:tcW w:w="1802" w:type="pct"/>
            <w:vMerge w:val="restart"/>
            <w:tcMar>
              <w:top w:w="0" w:type="dxa"/>
              <w:left w:w="51" w:type="dxa"/>
              <w:bottom w:w="0" w:type="dxa"/>
              <w:right w:w="51" w:type="dxa"/>
            </w:tcMar>
            <w:vAlign w:val="center"/>
          </w:tcPr>
          <w:p>
            <w:pPr>
              <w:spacing w:line="240" w:lineRule="exact"/>
              <w:jc w:val="center"/>
              <w:rPr>
                <w:color w:val="auto"/>
                <w:szCs w:val="21"/>
                <w:highlight w:val="none"/>
              </w:rPr>
            </w:pPr>
            <w:r>
              <w:rPr>
                <w:bCs/>
                <w:color w:val="auto"/>
                <w:szCs w:val="21"/>
                <w:highlight w:val="none"/>
              </w:rPr>
              <w:t>经化粪池收集后由环卫部门定期清运，不外排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blHeader/>
          <w:jc w:val="center"/>
        </w:trPr>
        <w:tc>
          <w:tcPr>
            <w:tcW w:w="260" w:type="pct"/>
            <w:vMerge w:val="continue"/>
            <w:tcMar>
              <w:top w:w="0" w:type="dxa"/>
              <w:left w:w="51" w:type="dxa"/>
              <w:bottom w:w="0" w:type="dxa"/>
              <w:right w:w="51" w:type="dxa"/>
            </w:tcMar>
            <w:vAlign w:val="center"/>
          </w:tcPr>
          <w:p>
            <w:pPr>
              <w:spacing w:line="240" w:lineRule="exact"/>
              <w:jc w:val="center"/>
              <w:rPr>
                <w:color w:val="auto"/>
                <w:szCs w:val="21"/>
                <w:highlight w:val="none"/>
              </w:rPr>
            </w:pPr>
          </w:p>
        </w:tc>
        <w:tc>
          <w:tcPr>
            <w:tcW w:w="895" w:type="pct"/>
            <w:gridSpan w:val="2"/>
            <w:vMerge w:val="continue"/>
            <w:tcMar>
              <w:top w:w="0" w:type="dxa"/>
              <w:left w:w="51" w:type="dxa"/>
              <w:bottom w:w="0" w:type="dxa"/>
              <w:right w:w="51" w:type="dxa"/>
            </w:tcMar>
            <w:vAlign w:val="center"/>
          </w:tcPr>
          <w:p>
            <w:pPr>
              <w:spacing w:line="240" w:lineRule="exact"/>
              <w:jc w:val="center"/>
              <w:rPr>
                <w:color w:val="auto"/>
                <w:szCs w:val="21"/>
                <w:highlight w:val="none"/>
              </w:rPr>
            </w:pPr>
          </w:p>
        </w:tc>
        <w:tc>
          <w:tcPr>
            <w:tcW w:w="1451" w:type="pct"/>
            <w:gridSpan w:val="2"/>
            <w:tcMar>
              <w:top w:w="0" w:type="dxa"/>
              <w:left w:w="51" w:type="dxa"/>
              <w:bottom w:w="0" w:type="dxa"/>
              <w:right w:w="51" w:type="dxa"/>
            </w:tcMar>
            <w:vAlign w:val="center"/>
          </w:tcPr>
          <w:p>
            <w:pPr>
              <w:spacing w:line="240" w:lineRule="exact"/>
              <w:jc w:val="center"/>
              <w:rPr>
                <w:color w:val="auto"/>
                <w:szCs w:val="21"/>
                <w:highlight w:val="none"/>
              </w:rPr>
            </w:pPr>
            <w:r>
              <w:rPr>
                <w:color w:val="auto"/>
                <w:szCs w:val="21"/>
                <w:highlight w:val="none"/>
              </w:rPr>
              <w:t>COD</w:t>
            </w:r>
            <w:r>
              <w:rPr>
                <w:color w:val="auto"/>
                <w:szCs w:val="21"/>
                <w:highlight w:val="none"/>
                <w:vertAlign w:val="subscript"/>
              </w:rPr>
              <w:t>Cr</w:t>
            </w:r>
          </w:p>
        </w:tc>
        <w:tc>
          <w:tcPr>
            <w:tcW w:w="589" w:type="pct"/>
            <w:tcMar>
              <w:top w:w="0" w:type="dxa"/>
              <w:left w:w="51" w:type="dxa"/>
              <w:bottom w:w="0" w:type="dxa"/>
              <w:right w:w="51" w:type="dxa"/>
            </w:tcMar>
            <w:vAlign w:val="center"/>
          </w:tcPr>
          <w:p>
            <w:pPr>
              <w:widowControl/>
              <w:spacing w:line="240" w:lineRule="exact"/>
              <w:jc w:val="center"/>
              <w:rPr>
                <w:color w:val="auto"/>
                <w:szCs w:val="21"/>
                <w:highlight w:val="none"/>
              </w:rPr>
            </w:pPr>
            <w:r>
              <w:rPr>
                <w:color w:val="auto"/>
                <w:szCs w:val="21"/>
                <w:highlight w:val="none"/>
              </w:rPr>
              <w:t>0</w:t>
            </w:r>
          </w:p>
        </w:tc>
        <w:tc>
          <w:tcPr>
            <w:tcW w:w="1802" w:type="pct"/>
            <w:vMerge w:val="continue"/>
            <w:tcMar>
              <w:top w:w="0" w:type="dxa"/>
              <w:left w:w="51" w:type="dxa"/>
              <w:bottom w:w="0" w:type="dxa"/>
              <w:right w:w="51" w:type="dxa"/>
            </w:tcMar>
            <w:vAlign w:val="center"/>
          </w:tcPr>
          <w:p>
            <w:pPr>
              <w:spacing w:line="240" w:lineRule="exact"/>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blHeader/>
          <w:jc w:val="center"/>
        </w:trPr>
        <w:tc>
          <w:tcPr>
            <w:tcW w:w="260" w:type="pct"/>
            <w:vMerge w:val="continue"/>
            <w:tcMar>
              <w:top w:w="0" w:type="dxa"/>
              <w:left w:w="51" w:type="dxa"/>
              <w:bottom w:w="0" w:type="dxa"/>
              <w:right w:w="51" w:type="dxa"/>
            </w:tcMar>
            <w:vAlign w:val="center"/>
          </w:tcPr>
          <w:p>
            <w:pPr>
              <w:spacing w:line="240" w:lineRule="exact"/>
              <w:jc w:val="center"/>
              <w:rPr>
                <w:color w:val="auto"/>
                <w:szCs w:val="21"/>
                <w:highlight w:val="none"/>
              </w:rPr>
            </w:pPr>
          </w:p>
        </w:tc>
        <w:tc>
          <w:tcPr>
            <w:tcW w:w="895" w:type="pct"/>
            <w:gridSpan w:val="2"/>
            <w:vMerge w:val="continue"/>
            <w:tcMar>
              <w:top w:w="0" w:type="dxa"/>
              <w:left w:w="51" w:type="dxa"/>
              <w:bottom w:w="0" w:type="dxa"/>
              <w:right w:w="51" w:type="dxa"/>
            </w:tcMar>
            <w:vAlign w:val="center"/>
          </w:tcPr>
          <w:p>
            <w:pPr>
              <w:spacing w:line="240" w:lineRule="exact"/>
              <w:jc w:val="center"/>
              <w:rPr>
                <w:color w:val="auto"/>
                <w:szCs w:val="21"/>
                <w:highlight w:val="none"/>
              </w:rPr>
            </w:pPr>
          </w:p>
        </w:tc>
        <w:tc>
          <w:tcPr>
            <w:tcW w:w="1451" w:type="pct"/>
            <w:gridSpan w:val="2"/>
            <w:tcMar>
              <w:top w:w="0" w:type="dxa"/>
              <w:left w:w="51" w:type="dxa"/>
              <w:bottom w:w="0" w:type="dxa"/>
              <w:right w:w="51" w:type="dxa"/>
            </w:tcMar>
            <w:vAlign w:val="center"/>
          </w:tcPr>
          <w:p>
            <w:pPr>
              <w:spacing w:line="240" w:lineRule="exact"/>
              <w:jc w:val="center"/>
              <w:rPr>
                <w:color w:val="auto"/>
                <w:szCs w:val="21"/>
                <w:highlight w:val="none"/>
              </w:rPr>
            </w:pPr>
            <w:r>
              <w:rPr>
                <w:color w:val="auto"/>
                <w:szCs w:val="21"/>
                <w:highlight w:val="none"/>
              </w:rPr>
              <w:t>氨氮</w:t>
            </w:r>
          </w:p>
        </w:tc>
        <w:tc>
          <w:tcPr>
            <w:tcW w:w="589" w:type="pct"/>
            <w:tcMar>
              <w:top w:w="0" w:type="dxa"/>
              <w:left w:w="51" w:type="dxa"/>
              <w:bottom w:w="0" w:type="dxa"/>
              <w:right w:w="51" w:type="dxa"/>
            </w:tcMar>
            <w:vAlign w:val="center"/>
          </w:tcPr>
          <w:p>
            <w:pPr>
              <w:widowControl/>
              <w:spacing w:line="240" w:lineRule="exact"/>
              <w:jc w:val="center"/>
              <w:rPr>
                <w:color w:val="auto"/>
                <w:szCs w:val="21"/>
                <w:highlight w:val="none"/>
              </w:rPr>
            </w:pPr>
            <w:r>
              <w:rPr>
                <w:color w:val="auto"/>
                <w:szCs w:val="21"/>
                <w:highlight w:val="none"/>
              </w:rPr>
              <w:t>0</w:t>
            </w:r>
          </w:p>
        </w:tc>
        <w:tc>
          <w:tcPr>
            <w:tcW w:w="1802" w:type="pct"/>
            <w:vMerge w:val="continue"/>
            <w:tcMar>
              <w:top w:w="0" w:type="dxa"/>
              <w:left w:w="51" w:type="dxa"/>
              <w:bottom w:w="0" w:type="dxa"/>
              <w:right w:w="51" w:type="dxa"/>
            </w:tcMar>
            <w:vAlign w:val="center"/>
          </w:tcPr>
          <w:p>
            <w:pPr>
              <w:spacing w:line="240" w:lineRule="exact"/>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blHeader/>
          <w:jc w:val="center"/>
        </w:trPr>
        <w:tc>
          <w:tcPr>
            <w:tcW w:w="260" w:type="pct"/>
            <w:vMerge w:val="restart"/>
            <w:vAlign w:val="center"/>
          </w:tcPr>
          <w:p>
            <w:pPr>
              <w:pStyle w:val="46"/>
              <w:overflowPunct w:val="0"/>
              <w:spacing w:line="240" w:lineRule="exact"/>
              <w:rPr>
                <w:rFonts w:ascii="Times New Roman" w:eastAsia="宋体"/>
                <w:bCs/>
                <w:color w:val="auto"/>
                <w:sz w:val="21"/>
                <w:szCs w:val="21"/>
                <w:highlight w:val="none"/>
              </w:rPr>
            </w:pPr>
            <w:r>
              <w:rPr>
                <w:rFonts w:ascii="Times New Roman" w:eastAsia="宋体"/>
                <w:bCs/>
                <w:color w:val="auto"/>
                <w:sz w:val="21"/>
                <w:szCs w:val="21"/>
                <w:highlight w:val="none"/>
              </w:rPr>
              <w:t>废气</w:t>
            </w:r>
          </w:p>
        </w:tc>
        <w:tc>
          <w:tcPr>
            <w:tcW w:w="257" w:type="pct"/>
            <w:vMerge w:val="restart"/>
            <w:vAlign w:val="center"/>
          </w:tcPr>
          <w:p>
            <w:pPr>
              <w:pStyle w:val="46"/>
              <w:overflowPunct w:val="0"/>
              <w:spacing w:line="240" w:lineRule="exact"/>
              <w:rPr>
                <w:rFonts w:ascii="Times New Roman" w:eastAsia="宋体"/>
                <w:bCs/>
                <w:color w:val="auto"/>
                <w:sz w:val="21"/>
                <w:szCs w:val="21"/>
                <w:highlight w:val="none"/>
              </w:rPr>
            </w:pPr>
            <w:r>
              <w:rPr>
                <w:rFonts w:ascii="Times New Roman" w:eastAsia="宋体"/>
                <w:bCs/>
                <w:color w:val="auto"/>
                <w:sz w:val="21"/>
                <w:szCs w:val="21"/>
                <w:highlight w:val="none"/>
              </w:rPr>
              <w:t>有组织</w:t>
            </w:r>
          </w:p>
        </w:tc>
        <w:tc>
          <w:tcPr>
            <w:tcW w:w="638" w:type="pct"/>
            <w:vMerge w:val="restart"/>
            <w:vAlign w:val="center"/>
          </w:tcPr>
          <w:p>
            <w:pPr>
              <w:pStyle w:val="46"/>
              <w:overflowPunct w:val="0"/>
              <w:spacing w:line="240" w:lineRule="exact"/>
              <w:rPr>
                <w:rFonts w:ascii="Times New Roman" w:eastAsia="宋体"/>
                <w:bCs/>
                <w:color w:val="auto"/>
                <w:sz w:val="21"/>
                <w:szCs w:val="21"/>
                <w:highlight w:val="none"/>
              </w:rPr>
            </w:pPr>
            <w:r>
              <w:rPr>
                <w:rFonts w:ascii="Times New Roman" w:eastAsia="宋体"/>
                <w:bCs/>
                <w:color w:val="auto"/>
                <w:sz w:val="21"/>
                <w:szCs w:val="21"/>
                <w:highlight w:val="none"/>
              </w:rPr>
              <w:t>DA001</w:t>
            </w:r>
          </w:p>
        </w:tc>
        <w:tc>
          <w:tcPr>
            <w:tcW w:w="821" w:type="pct"/>
            <w:vMerge w:val="restart"/>
            <w:vAlign w:val="center"/>
          </w:tcPr>
          <w:p>
            <w:pPr>
              <w:pStyle w:val="46"/>
              <w:overflowPunct w:val="0"/>
              <w:spacing w:line="240" w:lineRule="exact"/>
              <w:rPr>
                <w:rFonts w:ascii="Times New Roman" w:eastAsia="宋体"/>
                <w:bCs/>
                <w:color w:val="auto"/>
                <w:sz w:val="21"/>
                <w:szCs w:val="21"/>
                <w:highlight w:val="none"/>
              </w:rPr>
            </w:pPr>
            <w:r>
              <w:rPr>
                <w:rFonts w:ascii="Times New Roman" w:eastAsia="宋体"/>
                <w:bCs/>
                <w:color w:val="auto"/>
                <w:sz w:val="21"/>
                <w:szCs w:val="21"/>
                <w:highlight w:val="none"/>
              </w:rPr>
              <w:t>挤出成型、熔融造粒、注塑废气</w:t>
            </w:r>
          </w:p>
        </w:tc>
        <w:tc>
          <w:tcPr>
            <w:tcW w:w="630" w:type="pct"/>
            <w:vAlign w:val="center"/>
          </w:tcPr>
          <w:p>
            <w:pPr>
              <w:spacing w:line="240" w:lineRule="exact"/>
              <w:jc w:val="center"/>
              <w:rPr>
                <w:bCs/>
                <w:color w:val="auto"/>
                <w:szCs w:val="21"/>
                <w:highlight w:val="none"/>
              </w:rPr>
            </w:pPr>
            <w:r>
              <w:rPr>
                <w:color w:val="auto"/>
                <w:szCs w:val="21"/>
                <w:highlight w:val="none"/>
              </w:rPr>
              <w:t>VOCs</w:t>
            </w:r>
          </w:p>
        </w:tc>
        <w:tc>
          <w:tcPr>
            <w:tcW w:w="1047" w:type="dxa"/>
            <w:tcMar>
              <w:top w:w="0" w:type="dxa"/>
              <w:left w:w="51" w:type="dxa"/>
              <w:bottom w:w="0" w:type="dxa"/>
              <w:right w:w="51" w:type="dxa"/>
            </w:tcMar>
            <w:vAlign w:val="center"/>
          </w:tcPr>
          <w:p>
            <w:pPr>
              <w:jc w:val="center"/>
              <w:rPr>
                <w:bCs/>
                <w:color w:val="auto"/>
                <w:szCs w:val="21"/>
                <w:highlight w:val="none"/>
              </w:rPr>
            </w:pPr>
            <w:r>
              <w:rPr>
                <w:rFonts w:hint="eastAsia"/>
                <w:color w:val="auto"/>
                <w:sz w:val="21"/>
                <w:szCs w:val="21"/>
                <w:highlight w:val="none"/>
                <w:lang w:val="en-US" w:eastAsia="zh-CN"/>
              </w:rPr>
              <w:t>0.398</w:t>
            </w:r>
          </w:p>
        </w:tc>
        <w:tc>
          <w:tcPr>
            <w:tcW w:w="1802" w:type="pct"/>
            <w:vMerge w:val="restart"/>
            <w:tcMar>
              <w:top w:w="0" w:type="dxa"/>
              <w:left w:w="51" w:type="dxa"/>
              <w:bottom w:w="0" w:type="dxa"/>
              <w:right w:w="51" w:type="dxa"/>
            </w:tcMar>
            <w:vAlign w:val="center"/>
          </w:tcPr>
          <w:p>
            <w:pPr>
              <w:spacing w:line="240" w:lineRule="exact"/>
              <w:jc w:val="center"/>
              <w:rPr>
                <w:bCs/>
                <w:color w:val="auto"/>
                <w:szCs w:val="21"/>
                <w:highlight w:val="none"/>
              </w:rPr>
            </w:pPr>
            <w:r>
              <w:rPr>
                <w:color w:val="auto"/>
                <w:szCs w:val="21"/>
                <w:highlight w:val="none"/>
              </w:rPr>
              <w:t>布袋除尘+活性炭吸附浓缩+催化燃烧+</w:t>
            </w:r>
            <w:r>
              <w:rPr>
                <w:rFonts w:hint="eastAsia"/>
                <w:color w:val="auto"/>
                <w:szCs w:val="21"/>
                <w:highlight w:val="none"/>
                <w:lang w:eastAsia="zh-CN"/>
              </w:rPr>
              <w:t>20m</w:t>
            </w:r>
            <w:r>
              <w:rPr>
                <w:color w:val="auto"/>
                <w:szCs w:val="21"/>
                <w:highlight w:val="none"/>
              </w:rPr>
              <w:t>高排气筒</w:t>
            </w:r>
            <w:r>
              <w:rPr>
                <w:rFonts w:hint="eastAsia"/>
                <w:color w:val="auto"/>
                <w:szCs w:val="21"/>
                <w:highlight w:val="none"/>
              </w:rPr>
              <w:t>（DA001）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blHeader/>
          <w:jc w:val="center"/>
        </w:trPr>
        <w:tc>
          <w:tcPr>
            <w:tcW w:w="260" w:type="pct"/>
            <w:vMerge w:val="continue"/>
            <w:vAlign w:val="center"/>
          </w:tcPr>
          <w:p>
            <w:pPr>
              <w:pStyle w:val="46"/>
              <w:overflowPunct w:val="0"/>
              <w:spacing w:line="240" w:lineRule="exact"/>
              <w:rPr>
                <w:rFonts w:ascii="Times New Roman" w:eastAsia="宋体"/>
                <w:bCs/>
                <w:color w:val="auto"/>
                <w:sz w:val="21"/>
                <w:szCs w:val="21"/>
                <w:highlight w:val="none"/>
              </w:rPr>
            </w:pPr>
          </w:p>
        </w:tc>
        <w:tc>
          <w:tcPr>
            <w:tcW w:w="257" w:type="pct"/>
            <w:vMerge w:val="continue"/>
            <w:vAlign w:val="center"/>
          </w:tcPr>
          <w:p>
            <w:pPr>
              <w:pStyle w:val="46"/>
              <w:overflowPunct w:val="0"/>
              <w:spacing w:line="240" w:lineRule="exact"/>
              <w:rPr>
                <w:rFonts w:ascii="Times New Roman" w:eastAsia="宋体"/>
                <w:bCs/>
                <w:color w:val="auto"/>
                <w:sz w:val="21"/>
                <w:szCs w:val="21"/>
                <w:highlight w:val="none"/>
              </w:rPr>
            </w:pPr>
          </w:p>
        </w:tc>
        <w:tc>
          <w:tcPr>
            <w:tcW w:w="638" w:type="pct"/>
            <w:vMerge w:val="continue"/>
            <w:vAlign w:val="center"/>
          </w:tcPr>
          <w:p>
            <w:pPr>
              <w:pStyle w:val="46"/>
              <w:overflowPunct w:val="0"/>
              <w:spacing w:line="240" w:lineRule="exact"/>
              <w:rPr>
                <w:rFonts w:ascii="Times New Roman" w:eastAsia="宋体"/>
                <w:bCs/>
                <w:color w:val="auto"/>
                <w:sz w:val="21"/>
                <w:szCs w:val="21"/>
                <w:highlight w:val="none"/>
              </w:rPr>
            </w:pPr>
          </w:p>
        </w:tc>
        <w:tc>
          <w:tcPr>
            <w:tcW w:w="821" w:type="pct"/>
            <w:vMerge w:val="continue"/>
            <w:vAlign w:val="center"/>
          </w:tcPr>
          <w:p>
            <w:pPr>
              <w:pStyle w:val="46"/>
              <w:overflowPunct w:val="0"/>
              <w:spacing w:line="240" w:lineRule="exact"/>
              <w:rPr>
                <w:rFonts w:ascii="Times New Roman" w:eastAsia="宋体"/>
                <w:bCs/>
                <w:color w:val="auto"/>
                <w:sz w:val="21"/>
                <w:szCs w:val="21"/>
                <w:highlight w:val="none"/>
              </w:rPr>
            </w:pPr>
          </w:p>
        </w:tc>
        <w:tc>
          <w:tcPr>
            <w:tcW w:w="630" w:type="pct"/>
            <w:vAlign w:val="center"/>
          </w:tcPr>
          <w:p>
            <w:pPr>
              <w:spacing w:line="240" w:lineRule="exact"/>
              <w:jc w:val="center"/>
              <w:rPr>
                <w:bCs/>
                <w:color w:val="auto"/>
                <w:szCs w:val="21"/>
                <w:highlight w:val="none"/>
              </w:rPr>
            </w:pPr>
            <w:r>
              <w:rPr>
                <w:color w:val="auto"/>
                <w:szCs w:val="21"/>
                <w:highlight w:val="none"/>
              </w:rPr>
              <w:t>颗粒物</w:t>
            </w:r>
          </w:p>
        </w:tc>
        <w:tc>
          <w:tcPr>
            <w:tcW w:w="1047" w:type="dxa"/>
            <w:tcMar>
              <w:top w:w="0" w:type="dxa"/>
              <w:left w:w="51" w:type="dxa"/>
              <w:bottom w:w="0" w:type="dxa"/>
              <w:right w:w="51" w:type="dxa"/>
            </w:tcMar>
            <w:vAlign w:val="center"/>
          </w:tcPr>
          <w:p>
            <w:pPr>
              <w:jc w:val="center"/>
              <w:rPr>
                <w:bCs/>
                <w:color w:val="auto"/>
                <w:szCs w:val="21"/>
                <w:highlight w:val="none"/>
              </w:rPr>
            </w:pPr>
            <w:r>
              <w:rPr>
                <w:rFonts w:hint="eastAsia"/>
                <w:color w:val="auto"/>
                <w:highlight w:val="none"/>
                <w:lang w:val="en-US" w:eastAsia="zh-CN"/>
              </w:rPr>
              <w:t>0.173</w:t>
            </w:r>
          </w:p>
        </w:tc>
        <w:tc>
          <w:tcPr>
            <w:tcW w:w="1802" w:type="pct"/>
            <w:vMerge w:val="continue"/>
            <w:tcMar>
              <w:top w:w="0" w:type="dxa"/>
              <w:left w:w="51" w:type="dxa"/>
              <w:bottom w:w="0" w:type="dxa"/>
              <w:right w:w="51" w:type="dxa"/>
            </w:tcMar>
            <w:vAlign w:val="center"/>
          </w:tcPr>
          <w:p>
            <w:pPr>
              <w:spacing w:line="240" w:lineRule="exact"/>
              <w:jc w:val="center"/>
              <w:rPr>
                <w:bCs/>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blHeader/>
          <w:jc w:val="center"/>
        </w:trPr>
        <w:tc>
          <w:tcPr>
            <w:tcW w:w="260" w:type="pct"/>
            <w:vMerge w:val="continue"/>
            <w:vAlign w:val="center"/>
          </w:tcPr>
          <w:p>
            <w:pPr>
              <w:pStyle w:val="46"/>
              <w:overflowPunct w:val="0"/>
              <w:spacing w:line="240" w:lineRule="exact"/>
              <w:rPr>
                <w:rFonts w:ascii="Times New Roman" w:eastAsia="宋体"/>
                <w:bCs/>
                <w:color w:val="auto"/>
                <w:sz w:val="21"/>
                <w:szCs w:val="21"/>
                <w:highlight w:val="none"/>
              </w:rPr>
            </w:pPr>
          </w:p>
        </w:tc>
        <w:tc>
          <w:tcPr>
            <w:tcW w:w="895" w:type="pct"/>
            <w:gridSpan w:val="2"/>
            <w:vMerge w:val="restart"/>
            <w:vAlign w:val="center"/>
          </w:tcPr>
          <w:p>
            <w:pPr>
              <w:pStyle w:val="46"/>
              <w:overflowPunct w:val="0"/>
              <w:spacing w:line="240" w:lineRule="exact"/>
              <w:rPr>
                <w:rFonts w:ascii="Times New Roman" w:eastAsia="宋体"/>
                <w:bCs/>
                <w:color w:val="auto"/>
                <w:sz w:val="21"/>
                <w:szCs w:val="21"/>
                <w:highlight w:val="none"/>
              </w:rPr>
            </w:pPr>
            <w:r>
              <w:rPr>
                <w:rFonts w:ascii="Times New Roman" w:eastAsia="宋体"/>
                <w:bCs/>
                <w:color w:val="auto"/>
                <w:sz w:val="21"/>
                <w:szCs w:val="21"/>
                <w:highlight w:val="none"/>
              </w:rPr>
              <w:t>无组织</w:t>
            </w:r>
          </w:p>
        </w:tc>
        <w:tc>
          <w:tcPr>
            <w:tcW w:w="821" w:type="pct"/>
            <w:vMerge w:val="restart"/>
            <w:vAlign w:val="center"/>
          </w:tcPr>
          <w:p>
            <w:pPr>
              <w:spacing w:line="240" w:lineRule="exact"/>
              <w:jc w:val="center"/>
              <w:rPr>
                <w:bCs/>
                <w:color w:val="auto"/>
                <w:szCs w:val="21"/>
                <w:highlight w:val="none"/>
              </w:rPr>
            </w:pPr>
            <w:r>
              <w:rPr>
                <w:rFonts w:hint="eastAsia"/>
                <w:color w:val="auto"/>
                <w:kern w:val="0"/>
                <w:szCs w:val="21"/>
                <w:highlight w:val="none"/>
              </w:rPr>
              <w:t>生产</w:t>
            </w:r>
            <w:r>
              <w:rPr>
                <w:color w:val="auto"/>
                <w:szCs w:val="21"/>
                <w:highlight w:val="none"/>
              </w:rPr>
              <w:t>车间</w:t>
            </w:r>
          </w:p>
        </w:tc>
        <w:tc>
          <w:tcPr>
            <w:tcW w:w="630" w:type="pct"/>
            <w:vAlign w:val="center"/>
          </w:tcPr>
          <w:p>
            <w:pPr>
              <w:pStyle w:val="127"/>
              <w:adjustRightInd/>
              <w:snapToGrid/>
              <w:spacing w:line="240" w:lineRule="exact"/>
              <w:rPr>
                <w:rFonts w:eastAsia="宋体"/>
                <w:bCs/>
                <w:color w:val="auto"/>
                <w:sz w:val="21"/>
                <w:szCs w:val="21"/>
                <w:highlight w:val="none"/>
              </w:rPr>
            </w:pPr>
            <w:r>
              <w:rPr>
                <w:rFonts w:hint="eastAsia" w:eastAsia="宋体"/>
                <w:bCs/>
                <w:color w:val="auto"/>
                <w:sz w:val="21"/>
                <w:szCs w:val="21"/>
                <w:highlight w:val="none"/>
              </w:rPr>
              <w:t>VOCs</w:t>
            </w:r>
          </w:p>
        </w:tc>
        <w:tc>
          <w:tcPr>
            <w:tcW w:w="1047" w:type="dxa"/>
            <w:tcMar>
              <w:top w:w="0" w:type="dxa"/>
              <w:left w:w="51" w:type="dxa"/>
              <w:bottom w:w="0" w:type="dxa"/>
              <w:right w:w="51" w:type="dxa"/>
            </w:tcMar>
            <w:vAlign w:val="center"/>
          </w:tcPr>
          <w:p>
            <w:pPr>
              <w:pStyle w:val="46"/>
              <w:overflowPunct w:val="0"/>
              <w:spacing w:line="240" w:lineRule="exact"/>
              <w:rPr>
                <w:rFonts w:ascii="Times New Roman" w:eastAsia="宋体"/>
                <w:bCs/>
                <w:color w:val="auto"/>
                <w:sz w:val="21"/>
                <w:szCs w:val="21"/>
                <w:highlight w:val="none"/>
              </w:rPr>
            </w:pPr>
            <w:r>
              <w:rPr>
                <w:rFonts w:hint="eastAsia" w:ascii="Times New Roman" w:eastAsia="宋体"/>
                <w:bCs/>
                <w:color w:val="auto"/>
                <w:sz w:val="21"/>
                <w:szCs w:val="21"/>
                <w:highlight w:val="none"/>
              </w:rPr>
              <w:t>0.885</w:t>
            </w:r>
          </w:p>
        </w:tc>
        <w:tc>
          <w:tcPr>
            <w:tcW w:w="1802" w:type="pct"/>
            <w:vMerge w:val="restart"/>
            <w:tcMar>
              <w:top w:w="0" w:type="dxa"/>
              <w:left w:w="51" w:type="dxa"/>
              <w:bottom w:w="0" w:type="dxa"/>
              <w:right w:w="51" w:type="dxa"/>
            </w:tcMar>
            <w:vAlign w:val="center"/>
          </w:tcPr>
          <w:p>
            <w:pPr>
              <w:pStyle w:val="46"/>
              <w:overflowPunct w:val="0"/>
              <w:spacing w:line="240" w:lineRule="exact"/>
              <w:rPr>
                <w:rFonts w:ascii="Times New Roman" w:eastAsia="宋体"/>
                <w:bCs/>
                <w:color w:val="auto"/>
                <w:sz w:val="21"/>
                <w:szCs w:val="21"/>
                <w:highlight w:val="none"/>
              </w:rPr>
            </w:pPr>
            <w:r>
              <w:rPr>
                <w:rFonts w:hint="eastAsia" w:ascii="Times New Roman" w:eastAsia="宋体"/>
                <w:bCs/>
                <w:color w:val="auto"/>
                <w:sz w:val="21"/>
                <w:szCs w:val="21"/>
                <w:highlight w:val="none"/>
              </w:rPr>
              <w:t>车间通风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blHeader/>
          <w:jc w:val="center"/>
        </w:trPr>
        <w:tc>
          <w:tcPr>
            <w:tcW w:w="260" w:type="pct"/>
            <w:vMerge w:val="continue"/>
            <w:vAlign w:val="center"/>
          </w:tcPr>
          <w:p>
            <w:pPr>
              <w:pStyle w:val="46"/>
              <w:overflowPunct w:val="0"/>
              <w:spacing w:line="240" w:lineRule="exact"/>
              <w:rPr>
                <w:rFonts w:ascii="Times New Roman" w:eastAsia="宋体"/>
                <w:bCs/>
                <w:color w:val="auto"/>
                <w:sz w:val="21"/>
                <w:szCs w:val="21"/>
                <w:highlight w:val="none"/>
              </w:rPr>
            </w:pPr>
          </w:p>
        </w:tc>
        <w:tc>
          <w:tcPr>
            <w:tcW w:w="895" w:type="pct"/>
            <w:gridSpan w:val="2"/>
            <w:vMerge w:val="continue"/>
            <w:vAlign w:val="center"/>
          </w:tcPr>
          <w:p>
            <w:pPr>
              <w:pStyle w:val="46"/>
              <w:overflowPunct w:val="0"/>
              <w:spacing w:line="240" w:lineRule="exact"/>
              <w:rPr>
                <w:rFonts w:ascii="Times New Roman" w:eastAsia="宋体"/>
                <w:bCs/>
                <w:color w:val="auto"/>
                <w:sz w:val="21"/>
                <w:szCs w:val="21"/>
                <w:highlight w:val="none"/>
              </w:rPr>
            </w:pPr>
          </w:p>
        </w:tc>
        <w:tc>
          <w:tcPr>
            <w:tcW w:w="821" w:type="pct"/>
            <w:vMerge w:val="continue"/>
            <w:vAlign w:val="center"/>
          </w:tcPr>
          <w:p>
            <w:pPr>
              <w:spacing w:line="240" w:lineRule="exact"/>
              <w:jc w:val="center"/>
              <w:rPr>
                <w:bCs/>
                <w:color w:val="auto"/>
                <w:szCs w:val="21"/>
                <w:highlight w:val="none"/>
              </w:rPr>
            </w:pPr>
          </w:p>
        </w:tc>
        <w:tc>
          <w:tcPr>
            <w:tcW w:w="630" w:type="pct"/>
            <w:tcBorders>
              <w:bottom w:val="single" w:color="auto" w:sz="4" w:space="0"/>
            </w:tcBorders>
            <w:vAlign w:val="center"/>
          </w:tcPr>
          <w:p>
            <w:pPr>
              <w:pStyle w:val="127"/>
              <w:adjustRightInd/>
              <w:snapToGrid/>
              <w:spacing w:line="240" w:lineRule="exact"/>
              <w:rPr>
                <w:rFonts w:eastAsia="宋体"/>
                <w:bCs/>
                <w:color w:val="auto"/>
                <w:sz w:val="21"/>
                <w:szCs w:val="21"/>
                <w:highlight w:val="none"/>
              </w:rPr>
            </w:pPr>
            <w:r>
              <w:rPr>
                <w:rFonts w:eastAsia="宋体"/>
                <w:color w:val="auto"/>
                <w:sz w:val="21"/>
                <w:szCs w:val="21"/>
                <w:highlight w:val="none"/>
                <w:lang w:val="zh-CN"/>
              </w:rPr>
              <w:t>颗粒物</w:t>
            </w:r>
          </w:p>
        </w:tc>
        <w:tc>
          <w:tcPr>
            <w:tcW w:w="1047" w:type="dxa"/>
            <w:tcBorders>
              <w:bottom w:val="single" w:color="auto" w:sz="4" w:space="0"/>
            </w:tcBorders>
            <w:tcMar>
              <w:top w:w="0" w:type="dxa"/>
              <w:left w:w="51" w:type="dxa"/>
              <w:bottom w:w="0" w:type="dxa"/>
              <w:right w:w="51" w:type="dxa"/>
            </w:tcMar>
            <w:vAlign w:val="center"/>
          </w:tcPr>
          <w:p>
            <w:pPr>
              <w:pStyle w:val="46"/>
              <w:overflowPunct w:val="0"/>
              <w:spacing w:line="240" w:lineRule="exact"/>
              <w:rPr>
                <w:rFonts w:ascii="Times New Roman" w:eastAsia="宋体"/>
                <w:bCs/>
                <w:color w:val="auto"/>
                <w:sz w:val="21"/>
                <w:szCs w:val="21"/>
                <w:highlight w:val="none"/>
              </w:rPr>
            </w:pPr>
            <w:r>
              <w:rPr>
                <w:rFonts w:hint="eastAsia" w:ascii="Times New Roman" w:eastAsia="宋体"/>
                <w:bCs/>
                <w:color w:val="auto"/>
                <w:sz w:val="21"/>
                <w:szCs w:val="21"/>
                <w:highlight w:val="none"/>
              </w:rPr>
              <w:t>0.384</w:t>
            </w:r>
          </w:p>
        </w:tc>
        <w:tc>
          <w:tcPr>
            <w:tcW w:w="1802" w:type="pct"/>
            <w:vMerge w:val="continue"/>
            <w:tcMar>
              <w:top w:w="0" w:type="dxa"/>
              <w:left w:w="51" w:type="dxa"/>
              <w:bottom w:w="0" w:type="dxa"/>
              <w:right w:w="51" w:type="dxa"/>
            </w:tcMar>
            <w:vAlign w:val="center"/>
          </w:tcPr>
          <w:p>
            <w:pPr>
              <w:pStyle w:val="46"/>
              <w:overflowPunct w:val="0"/>
              <w:spacing w:line="240" w:lineRule="exact"/>
              <w:rPr>
                <w:rFonts w:ascii="Times New Roman" w:eastAsia="宋体"/>
                <w:bCs/>
                <w:color w:val="auto"/>
                <w:sz w:val="21"/>
                <w:szCs w:val="21"/>
                <w:highlight w:val="none"/>
                <w:lang w:val="en-GB"/>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blHeader/>
          <w:jc w:val="center"/>
        </w:trPr>
        <w:tc>
          <w:tcPr>
            <w:tcW w:w="260" w:type="pct"/>
            <w:vMerge w:val="restart"/>
            <w:tcMar>
              <w:top w:w="0" w:type="dxa"/>
              <w:left w:w="51" w:type="dxa"/>
              <w:bottom w:w="0" w:type="dxa"/>
              <w:right w:w="51" w:type="dxa"/>
            </w:tcMar>
            <w:vAlign w:val="center"/>
          </w:tcPr>
          <w:p>
            <w:pPr>
              <w:spacing w:line="240" w:lineRule="exact"/>
              <w:jc w:val="center"/>
              <w:rPr>
                <w:color w:val="auto"/>
                <w:szCs w:val="21"/>
                <w:highlight w:val="none"/>
              </w:rPr>
            </w:pPr>
            <w:r>
              <w:rPr>
                <w:color w:val="auto"/>
                <w:szCs w:val="21"/>
                <w:highlight w:val="none"/>
              </w:rPr>
              <w:t>固废</w:t>
            </w:r>
          </w:p>
        </w:tc>
        <w:tc>
          <w:tcPr>
            <w:tcW w:w="895" w:type="pct"/>
            <w:gridSpan w:val="2"/>
            <w:tcMar>
              <w:top w:w="0" w:type="dxa"/>
              <w:left w:w="51" w:type="dxa"/>
              <w:bottom w:w="0" w:type="dxa"/>
              <w:right w:w="51" w:type="dxa"/>
            </w:tcMar>
            <w:vAlign w:val="center"/>
          </w:tcPr>
          <w:p>
            <w:pPr>
              <w:pStyle w:val="46"/>
              <w:overflowPunct w:val="0"/>
              <w:spacing w:line="240" w:lineRule="exact"/>
              <w:rPr>
                <w:rFonts w:ascii="Times New Roman" w:eastAsia="宋体"/>
                <w:bCs/>
                <w:color w:val="auto"/>
                <w:sz w:val="21"/>
                <w:szCs w:val="21"/>
                <w:highlight w:val="none"/>
              </w:rPr>
            </w:pPr>
            <w:r>
              <w:rPr>
                <w:rFonts w:hint="eastAsia" w:ascii="Times New Roman" w:eastAsia="宋体"/>
                <w:bCs/>
                <w:color w:val="auto"/>
                <w:sz w:val="21"/>
                <w:szCs w:val="21"/>
                <w:highlight w:val="none"/>
              </w:rPr>
              <w:t>管道及配件生产切割下脚料、质检不合格产品</w:t>
            </w:r>
          </w:p>
        </w:tc>
        <w:tc>
          <w:tcPr>
            <w:tcW w:w="1451" w:type="pct"/>
            <w:gridSpan w:val="2"/>
            <w:tcMar>
              <w:top w:w="0" w:type="dxa"/>
              <w:left w:w="51" w:type="dxa"/>
              <w:bottom w:w="0" w:type="dxa"/>
              <w:right w:w="51" w:type="dxa"/>
            </w:tcMar>
            <w:vAlign w:val="center"/>
          </w:tcPr>
          <w:p>
            <w:pPr>
              <w:pStyle w:val="46"/>
              <w:overflowPunct w:val="0"/>
              <w:spacing w:line="240" w:lineRule="exact"/>
              <w:rPr>
                <w:rFonts w:ascii="Times New Roman" w:eastAsia="宋体"/>
                <w:bCs/>
                <w:color w:val="auto"/>
                <w:sz w:val="21"/>
                <w:szCs w:val="21"/>
                <w:highlight w:val="none"/>
              </w:rPr>
            </w:pPr>
            <w:r>
              <w:rPr>
                <w:rFonts w:ascii="Times New Roman" w:eastAsia="宋体"/>
                <w:bCs/>
                <w:color w:val="auto"/>
                <w:sz w:val="21"/>
                <w:szCs w:val="21"/>
                <w:highlight w:val="none"/>
              </w:rPr>
              <w:t>废</w:t>
            </w:r>
            <w:r>
              <w:rPr>
                <w:rFonts w:hint="eastAsia" w:ascii="Times New Roman" w:eastAsia="宋体"/>
                <w:bCs/>
                <w:color w:val="auto"/>
                <w:sz w:val="21"/>
                <w:szCs w:val="21"/>
                <w:highlight w:val="none"/>
              </w:rPr>
              <w:t>塑料</w:t>
            </w:r>
          </w:p>
        </w:tc>
        <w:tc>
          <w:tcPr>
            <w:tcW w:w="589" w:type="pct"/>
            <w:tcMar>
              <w:top w:w="0" w:type="dxa"/>
              <w:left w:w="51" w:type="dxa"/>
              <w:bottom w:w="0" w:type="dxa"/>
              <w:right w:w="51" w:type="dxa"/>
            </w:tcMar>
            <w:vAlign w:val="center"/>
          </w:tcPr>
          <w:p>
            <w:pPr>
              <w:spacing w:line="240" w:lineRule="exact"/>
              <w:jc w:val="center"/>
              <w:rPr>
                <w:color w:val="auto"/>
                <w:szCs w:val="21"/>
                <w:highlight w:val="none"/>
              </w:rPr>
            </w:pPr>
            <w:r>
              <w:rPr>
                <w:rFonts w:hint="eastAsia"/>
                <w:color w:val="auto"/>
                <w:szCs w:val="21"/>
                <w:highlight w:val="none"/>
              </w:rPr>
              <w:t>0</w:t>
            </w:r>
          </w:p>
        </w:tc>
        <w:tc>
          <w:tcPr>
            <w:tcW w:w="1802" w:type="pct"/>
            <w:tcMar>
              <w:top w:w="0" w:type="dxa"/>
              <w:left w:w="51" w:type="dxa"/>
              <w:bottom w:w="0" w:type="dxa"/>
              <w:right w:w="51" w:type="dxa"/>
            </w:tcMar>
            <w:vAlign w:val="center"/>
          </w:tcPr>
          <w:p>
            <w:pPr>
              <w:pStyle w:val="137"/>
              <w:spacing w:line="240" w:lineRule="exact"/>
              <w:jc w:val="center"/>
              <w:rPr>
                <w:color w:val="auto"/>
                <w:highlight w:val="none"/>
                <w:lang w:eastAsia="zh-CN"/>
              </w:rPr>
            </w:pPr>
            <w:r>
              <w:rPr>
                <w:rFonts w:ascii="Times New Roman" w:hAnsi="Times New Roman"/>
                <w:color w:val="auto"/>
                <w:sz w:val="21"/>
                <w:szCs w:val="21"/>
                <w:highlight w:val="none"/>
                <w:lang w:eastAsia="zh-CN"/>
              </w:rPr>
              <w:t>经破碎后回用于造粒工序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blHeader/>
          <w:jc w:val="center"/>
        </w:trPr>
        <w:tc>
          <w:tcPr>
            <w:tcW w:w="260" w:type="pct"/>
            <w:vMerge w:val="continue"/>
            <w:tcMar>
              <w:top w:w="0" w:type="dxa"/>
              <w:left w:w="51" w:type="dxa"/>
              <w:bottom w:w="0" w:type="dxa"/>
              <w:right w:w="51" w:type="dxa"/>
            </w:tcMar>
            <w:vAlign w:val="center"/>
          </w:tcPr>
          <w:p>
            <w:pPr>
              <w:spacing w:line="240" w:lineRule="exact"/>
              <w:jc w:val="center"/>
              <w:rPr>
                <w:color w:val="auto"/>
                <w:szCs w:val="21"/>
                <w:highlight w:val="none"/>
              </w:rPr>
            </w:pPr>
          </w:p>
        </w:tc>
        <w:tc>
          <w:tcPr>
            <w:tcW w:w="895" w:type="pct"/>
            <w:gridSpan w:val="2"/>
            <w:tcBorders>
              <w:bottom w:val="single" w:color="auto" w:sz="4" w:space="0"/>
            </w:tcBorders>
            <w:tcMar>
              <w:top w:w="0" w:type="dxa"/>
              <w:left w:w="51" w:type="dxa"/>
              <w:bottom w:w="0" w:type="dxa"/>
              <w:right w:w="51" w:type="dxa"/>
            </w:tcMar>
            <w:vAlign w:val="center"/>
          </w:tcPr>
          <w:p>
            <w:pPr>
              <w:pStyle w:val="137"/>
              <w:spacing w:line="240" w:lineRule="exact"/>
              <w:jc w:val="center"/>
              <w:rPr>
                <w:color w:val="auto"/>
                <w:highlight w:val="none"/>
                <w:lang w:eastAsia="zh-CN"/>
              </w:rPr>
            </w:pPr>
            <w:r>
              <w:rPr>
                <w:rFonts w:ascii="Times New Roman" w:hAnsi="Times New Roman"/>
                <w:color w:val="auto"/>
                <w:sz w:val="21"/>
                <w:szCs w:val="21"/>
                <w:highlight w:val="none"/>
                <w:lang w:eastAsia="zh-CN"/>
              </w:rPr>
              <w:t>造粒工序熔融挤出废料</w:t>
            </w:r>
          </w:p>
        </w:tc>
        <w:tc>
          <w:tcPr>
            <w:tcW w:w="1451" w:type="pct"/>
            <w:gridSpan w:val="2"/>
            <w:tcBorders>
              <w:bottom w:val="single" w:color="auto" w:sz="4" w:space="0"/>
            </w:tcBorders>
            <w:tcMar>
              <w:top w:w="0" w:type="dxa"/>
              <w:left w:w="51" w:type="dxa"/>
              <w:bottom w:w="0" w:type="dxa"/>
              <w:right w:w="51" w:type="dxa"/>
            </w:tcMar>
            <w:vAlign w:val="center"/>
          </w:tcPr>
          <w:p>
            <w:pPr>
              <w:pStyle w:val="137"/>
              <w:spacing w:line="240" w:lineRule="exact"/>
              <w:jc w:val="center"/>
              <w:rPr>
                <w:color w:val="auto"/>
                <w:highlight w:val="none"/>
              </w:rPr>
            </w:pPr>
            <w:r>
              <w:rPr>
                <w:rFonts w:ascii="Times New Roman" w:eastAsia="宋体"/>
                <w:bCs/>
                <w:color w:val="auto"/>
                <w:sz w:val="21"/>
                <w:szCs w:val="21"/>
                <w:highlight w:val="none"/>
              </w:rPr>
              <w:t>废</w:t>
            </w:r>
            <w:r>
              <w:rPr>
                <w:rFonts w:hint="eastAsia" w:ascii="Times New Roman" w:eastAsia="宋体"/>
                <w:bCs/>
                <w:color w:val="auto"/>
                <w:sz w:val="21"/>
                <w:szCs w:val="21"/>
                <w:highlight w:val="none"/>
                <w:lang w:eastAsia="zh-CN"/>
              </w:rPr>
              <w:t>塑料</w:t>
            </w:r>
          </w:p>
        </w:tc>
        <w:tc>
          <w:tcPr>
            <w:tcW w:w="589" w:type="pct"/>
            <w:tcBorders>
              <w:bottom w:val="single" w:color="auto" w:sz="4" w:space="0"/>
            </w:tcBorders>
            <w:tcMar>
              <w:top w:w="0" w:type="dxa"/>
              <w:left w:w="51" w:type="dxa"/>
              <w:bottom w:w="0" w:type="dxa"/>
              <w:right w:w="51" w:type="dxa"/>
            </w:tcMar>
            <w:vAlign w:val="center"/>
          </w:tcPr>
          <w:p>
            <w:pPr>
              <w:spacing w:line="240" w:lineRule="exact"/>
              <w:jc w:val="center"/>
              <w:rPr>
                <w:color w:val="auto"/>
                <w:szCs w:val="21"/>
                <w:highlight w:val="none"/>
              </w:rPr>
            </w:pPr>
            <w:r>
              <w:rPr>
                <w:color w:val="auto"/>
                <w:szCs w:val="21"/>
                <w:highlight w:val="none"/>
              </w:rPr>
              <w:t>0</w:t>
            </w:r>
          </w:p>
        </w:tc>
        <w:tc>
          <w:tcPr>
            <w:tcW w:w="1802" w:type="pct"/>
            <w:tcBorders>
              <w:bottom w:val="single" w:color="auto" w:sz="4" w:space="0"/>
            </w:tcBorders>
            <w:tcMar>
              <w:top w:w="0" w:type="dxa"/>
              <w:left w:w="51" w:type="dxa"/>
              <w:bottom w:w="0" w:type="dxa"/>
              <w:right w:w="51" w:type="dxa"/>
            </w:tcMar>
            <w:vAlign w:val="center"/>
          </w:tcPr>
          <w:p>
            <w:pPr>
              <w:spacing w:line="240" w:lineRule="exact"/>
              <w:jc w:val="center"/>
              <w:rPr>
                <w:color w:val="auto"/>
                <w:szCs w:val="21"/>
                <w:highlight w:val="none"/>
              </w:rPr>
            </w:pPr>
            <w:r>
              <w:rPr>
                <w:color w:val="auto"/>
                <w:szCs w:val="21"/>
                <w:highlight w:val="none"/>
              </w:rPr>
              <w:t>外售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blHeader/>
          <w:jc w:val="center"/>
        </w:trPr>
        <w:tc>
          <w:tcPr>
            <w:tcW w:w="260" w:type="pct"/>
            <w:vMerge w:val="continue"/>
            <w:tcMar>
              <w:top w:w="0" w:type="dxa"/>
              <w:left w:w="51" w:type="dxa"/>
              <w:bottom w:w="0" w:type="dxa"/>
              <w:right w:w="51" w:type="dxa"/>
            </w:tcMar>
            <w:vAlign w:val="center"/>
          </w:tcPr>
          <w:p>
            <w:pPr>
              <w:spacing w:line="240" w:lineRule="exact"/>
              <w:jc w:val="center"/>
              <w:rPr>
                <w:color w:val="auto"/>
                <w:szCs w:val="21"/>
                <w:highlight w:val="none"/>
              </w:rPr>
            </w:pPr>
          </w:p>
        </w:tc>
        <w:tc>
          <w:tcPr>
            <w:tcW w:w="895" w:type="pct"/>
            <w:gridSpan w:val="2"/>
            <w:tcBorders>
              <w:top w:val="single" w:color="auto" w:sz="4" w:space="0"/>
            </w:tcBorders>
            <w:tcMar>
              <w:top w:w="0" w:type="dxa"/>
              <w:left w:w="51" w:type="dxa"/>
              <w:bottom w:w="0" w:type="dxa"/>
              <w:right w:w="51" w:type="dxa"/>
            </w:tcMar>
            <w:vAlign w:val="center"/>
          </w:tcPr>
          <w:p>
            <w:pPr>
              <w:pStyle w:val="137"/>
              <w:spacing w:line="240" w:lineRule="exact"/>
              <w:jc w:val="center"/>
              <w:rPr>
                <w:color w:val="auto"/>
                <w:highlight w:val="none"/>
              </w:rPr>
            </w:pPr>
            <w:r>
              <w:rPr>
                <w:rFonts w:ascii="Times New Roman" w:hAnsi="Times New Roman"/>
                <w:color w:val="auto"/>
                <w:sz w:val="21"/>
                <w:szCs w:val="21"/>
                <w:highlight w:val="none"/>
                <w:lang w:eastAsia="zh-CN"/>
              </w:rPr>
              <w:t>废滤网</w:t>
            </w:r>
          </w:p>
        </w:tc>
        <w:tc>
          <w:tcPr>
            <w:tcW w:w="1451" w:type="pct"/>
            <w:gridSpan w:val="2"/>
            <w:tcBorders>
              <w:top w:val="single" w:color="auto" w:sz="4" w:space="0"/>
            </w:tcBorders>
            <w:tcMar>
              <w:top w:w="0" w:type="dxa"/>
              <w:left w:w="51" w:type="dxa"/>
              <w:bottom w:w="0" w:type="dxa"/>
              <w:right w:w="51" w:type="dxa"/>
            </w:tcMar>
            <w:vAlign w:val="center"/>
          </w:tcPr>
          <w:p>
            <w:pPr>
              <w:pStyle w:val="137"/>
              <w:spacing w:line="240" w:lineRule="exact"/>
              <w:jc w:val="center"/>
              <w:rPr>
                <w:color w:val="auto"/>
                <w:highlight w:val="none"/>
              </w:rPr>
            </w:pPr>
            <w:r>
              <w:rPr>
                <w:rFonts w:ascii="Times New Roman" w:hAnsi="Times New Roman"/>
                <w:color w:val="auto"/>
                <w:sz w:val="21"/>
                <w:szCs w:val="21"/>
                <w:highlight w:val="none"/>
                <w:lang w:eastAsia="zh-CN"/>
              </w:rPr>
              <w:t>废铁</w:t>
            </w:r>
            <w:r>
              <w:rPr>
                <w:rFonts w:ascii="Times New Roman" w:hAnsi="Times New Roman"/>
                <w:color w:val="auto"/>
                <w:sz w:val="21"/>
                <w:szCs w:val="21"/>
                <w:highlight w:val="none"/>
              </w:rPr>
              <w:t>等</w:t>
            </w:r>
          </w:p>
        </w:tc>
        <w:tc>
          <w:tcPr>
            <w:tcW w:w="589" w:type="pct"/>
            <w:tcBorders>
              <w:top w:val="single" w:color="auto" w:sz="4" w:space="0"/>
            </w:tcBorders>
            <w:tcMar>
              <w:top w:w="0" w:type="dxa"/>
              <w:left w:w="51" w:type="dxa"/>
              <w:bottom w:w="0" w:type="dxa"/>
              <w:right w:w="51" w:type="dxa"/>
            </w:tcMar>
            <w:vAlign w:val="center"/>
          </w:tcPr>
          <w:p>
            <w:pPr>
              <w:spacing w:line="240" w:lineRule="exact"/>
              <w:jc w:val="center"/>
              <w:rPr>
                <w:color w:val="auto"/>
                <w:szCs w:val="21"/>
                <w:highlight w:val="none"/>
              </w:rPr>
            </w:pPr>
            <w:r>
              <w:rPr>
                <w:color w:val="auto"/>
                <w:szCs w:val="21"/>
                <w:highlight w:val="none"/>
              </w:rPr>
              <w:t>0</w:t>
            </w:r>
          </w:p>
        </w:tc>
        <w:tc>
          <w:tcPr>
            <w:tcW w:w="1802" w:type="pct"/>
            <w:tcBorders>
              <w:top w:val="single" w:color="auto" w:sz="4" w:space="0"/>
            </w:tcBorders>
            <w:tcMar>
              <w:top w:w="0" w:type="dxa"/>
              <w:left w:w="51" w:type="dxa"/>
              <w:bottom w:w="0" w:type="dxa"/>
              <w:right w:w="51" w:type="dxa"/>
            </w:tcMar>
            <w:vAlign w:val="center"/>
          </w:tcPr>
          <w:p>
            <w:pPr>
              <w:pStyle w:val="137"/>
              <w:spacing w:line="240" w:lineRule="exact"/>
              <w:jc w:val="center"/>
              <w:rPr>
                <w:color w:val="auto"/>
                <w:szCs w:val="21"/>
                <w:highlight w:val="none"/>
                <w:lang w:eastAsia="zh-CN"/>
              </w:rPr>
            </w:pPr>
            <w:r>
              <w:rPr>
                <w:rFonts w:ascii="Times New Roman" w:hAnsi="Times New Roman"/>
                <w:color w:val="auto"/>
                <w:sz w:val="21"/>
                <w:szCs w:val="21"/>
                <w:highlight w:val="none"/>
              </w:rPr>
              <w:t>外售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blHeader/>
          <w:jc w:val="center"/>
        </w:trPr>
        <w:tc>
          <w:tcPr>
            <w:tcW w:w="260" w:type="pct"/>
            <w:vMerge w:val="continue"/>
            <w:tcMar>
              <w:top w:w="0" w:type="dxa"/>
              <w:left w:w="51" w:type="dxa"/>
              <w:bottom w:w="0" w:type="dxa"/>
              <w:right w:w="51" w:type="dxa"/>
            </w:tcMar>
            <w:vAlign w:val="center"/>
          </w:tcPr>
          <w:p>
            <w:pPr>
              <w:spacing w:line="240" w:lineRule="exact"/>
              <w:jc w:val="center"/>
              <w:rPr>
                <w:color w:val="auto"/>
                <w:szCs w:val="21"/>
                <w:highlight w:val="none"/>
              </w:rPr>
            </w:pPr>
          </w:p>
        </w:tc>
        <w:tc>
          <w:tcPr>
            <w:tcW w:w="895" w:type="pct"/>
            <w:gridSpan w:val="2"/>
            <w:tcMar>
              <w:top w:w="0" w:type="dxa"/>
              <w:left w:w="51" w:type="dxa"/>
              <w:bottom w:w="0" w:type="dxa"/>
              <w:right w:w="51" w:type="dxa"/>
            </w:tcMar>
            <w:vAlign w:val="center"/>
          </w:tcPr>
          <w:p>
            <w:pPr>
              <w:spacing w:line="240" w:lineRule="exact"/>
              <w:jc w:val="center"/>
              <w:rPr>
                <w:color w:val="auto"/>
                <w:highlight w:val="none"/>
              </w:rPr>
            </w:pPr>
            <w:r>
              <w:rPr>
                <w:color w:val="auto"/>
                <w:szCs w:val="21"/>
                <w:highlight w:val="none"/>
              </w:rPr>
              <w:t>废活性炭</w:t>
            </w:r>
          </w:p>
        </w:tc>
        <w:tc>
          <w:tcPr>
            <w:tcW w:w="1451" w:type="pct"/>
            <w:gridSpan w:val="2"/>
            <w:tcBorders>
              <w:bottom w:val="single" w:color="auto" w:sz="4" w:space="0"/>
            </w:tcBorders>
            <w:tcMar>
              <w:top w:w="0" w:type="dxa"/>
              <w:left w:w="51" w:type="dxa"/>
              <w:bottom w:w="0" w:type="dxa"/>
              <w:right w:w="51" w:type="dxa"/>
            </w:tcMar>
            <w:vAlign w:val="center"/>
          </w:tcPr>
          <w:p>
            <w:pPr>
              <w:spacing w:line="240" w:lineRule="exact"/>
              <w:jc w:val="center"/>
              <w:rPr>
                <w:color w:val="auto"/>
                <w:highlight w:val="none"/>
              </w:rPr>
            </w:pPr>
            <w:r>
              <w:rPr>
                <w:color w:val="auto"/>
                <w:szCs w:val="21"/>
                <w:highlight w:val="none"/>
              </w:rPr>
              <w:t>有机物等</w:t>
            </w:r>
          </w:p>
        </w:tc>
        <w:tc>
          <w:tcPr>
            <w:tcW w:w="589" w:type="pct"/>
            <w:tcBorders>
              <w:bottom w:val="single" w:color="auto" w:sz="4" w:space="0"/>
            </w:tcBorders>
            <w:tcMar>
              <w:top w:w="0" w:type="dxa"/>
              <w:left w:w="51" w:type="dxa"/>
              <w:bottom w:w="0" w:type="dxa"/>
              <w:right w:w="51" w:type="dxa"/>
            </w:tcMar>
            <w:vAlign w:val="center"/>
          </w:tcPr>
          <w:p>
            <w:pPr>
              <w:spacing w:line="240" w:lineRule="exact"/>
              <w:jc w:val="center"/>
              <w:rPr>
                <w:color w:val="auto"/>
                <w:szCs w:val="21"/>
                <w:highlight w:val="none"/>
              </w:rPr>
            </w:pPr>
            <w:r>
              <w:rPr>
                <w:color w:val="auto"/>
                <w:szCs w:val="21"/>
                <w:highlight w:val="none"/>
              </w:rPr>
              <w:t>0</w:t>
            </w:r>
          </w:p>
        </w:tc>
        <w:tc>
          <w:tcPr>
            <w:tcW w:w="1802" w:type="pct"/>
            <w:vMerge w:val="restart"/>
            <w:tcMar>
              <w:top w:w="0" w:type="dxa"/>
              <w:left w:w="51" w:type="dxa"/>
              <w:bottom w:w="0" w:type="dxa"/>
              <w:right w:w="51" w:type="dxa"/>
            </w:tcMar>
            <w:vAlign w:val="center"/>
          </w:tcPr>
          <w:p>
            <w:pPr>
              <w:pStyle w:val="137"/>
              <w:spacing w:line="240" w:lineRule="exact"/>
              <w:jc w:val="center"/>
              <w:rPr>
                <w:color w:val="auto"/>
                <w:szCs w:val="21"/>
                <w:highlight w:val="none"/>
                <w:lang w:eastAsia="zh-CN"/>
              </w:rPr>
            </w:pPr>
            <w:r>
              <w:rPr>
                <w:color w:val="auto"/>
                <w:sz w:val="21"/>
                <w:szCs w:val="21"/>
                <w:highlight w:val="none"/>
                <w:lang w:eastAsia="zh-CN"/>
              </w:rPr>
              <w:t>委托有资质单位处置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blHeader/>
          <w:jc w:val="center"/>
        </w:trPr>
        <w:tc>
          <w:tcPr>
            <w:tcW w:w="260" w:type="pct"/>
            <w:vMerge w:val="continue"/>
            <w:tcMar>
              <w:top w:w="0" w:type="dxa"/>
              <w:left w:w="51" w:type="dxa"/>
              <w:bottom w:w="0" w:type="dxa"/>
              <w:right w:w="51" w:type="dxa"/>
            </w:tcMar>
            <w:vAlign w:val="center"/>
          </w:tcPr>
          <w:p>
            <w:pPr>
              <w:spacing w:line="240" w:lineRule="exact"/>
              <w:jc w:val="center"/>
              <w:rPr>
                <w:color w:val="auto"/>
                <w:szCs w:val="21"/>
                <w:highlight w:val="none"/>
              </w:rPr>
            </w:pPr>
          </w:p>
        </w:tc>
        <w:tc>
          <w:tcPr>
            <w:tcW w:w="895" w:type="pct"/>
            <w:gridSpan w:val="2"/>
            <w:tcBorders>
              <w:bottom w:val="single" w:color="auto" w:sz="4" w:space="0"/>
            </w:tcBorders>
            <w:tcMar>
              <w:top w:w="0" w:type="dxa"/>
              <w:left w:w="51" w:type="dxa"/>
              <w:bottom w:w="0" w:type="dxa"/>
              <w:right w:w="51" w:type="dxa"/>
            </w:tcMar>
            <w:vAlign w:val="center"/>
          </w:tcPr>
          <w:p>
            <w:pPr>
              <w:spacing w:line="240" w:lineRule="exact"/>
              <w:jc w:val="center"/>
              <w:rPr>
                <w:color w:val="auto"/>
                <w:szCs w:val="21"/>
                <w:highlight w:val="none"/>
              </w:rPr>
            </w:pPr>
            <w:r>
              <w:rPr>
                <w:color w:val="auto"/>
                <w:szCs w:val="21"/>
                <w:highlight w:val="none"/>
              </w:rPr>
              <w:t>废催化剂</w:t>
            </w:r>
          </w:p>
        </w:tc>
        <w:tc>
          <w:tcPr>
            <w:tcW w:w="1451" w:type="pct"/>
            <w:gridSpan w:val="2"/>
            <w:tcBorders>
              <w:top w:val="single" w:color="auto" w:sz="4" w:space="0"/>
              <w:bottom w:val="single" w:color="auto" w:sz="4" w:space="0"/>
            </w:tcBorders>
            <w:tcMar>
              <w:top w:w="0" w:type="dxa"/>
              <w:left w:w="51" w:type="dxa"/>
              <w:bottom w:w="0" w:type="dxa"/>
              <w:right w:w="51" w:type="dxa"/>
            </w:tcMar>
            <w:vAlign w:val="center"/>
          </w:tcPr>
          <w:p>
            <w:pPr>
              <w:spacing w:line="240" w:lineRule="exact"/>
              <w:jc w:val="center"/>
              <w:rPr>
                <w:color w:val="auto"/>
                <w:highlight w:val="none"/>
              </w:rPr>
            </w:pPr>
            <w:r>
              <w:rPr>
                <w:color w:val="auto"/>
                <w:szCs w:val="21"/>
                <w:highlight w:val="none"/>
              </w:rPr>
              <w:t>铂等重金属</w:t>
            </w:r>
          </w:p>
        </w:tc>
        <w:tc>
          <w:tcPr>
            <w:tcW w:w="589" w:type="pct"/>
            <w:tcBorders>
              <w:top w:val="single" w:color="auto" w:sz="4" w:space="0"/>
              <w:bottom w:val="single" w:color="auto" w:sz="4" w:space="0"/>
            </w:tcBorders>
            <w:tcMar>
              <w:top w:w="0" w:type="dxa"/>
              <w:left w:w="51" w:type="dxa"/>
              <w:bottom w:w="0" w:type="dxa"/>
              <w:right w:w="51" w:type="dxa"/>
            </w:tcMar>
            <w:vAlign w:val="center"/>
          </w:tcPr>
          <w:p>
            <w:pPr>
              <w:spacing w:line="240" w:lineRule="exact"/>
              <w:jc w:val="center"/>
              <w:rPr>
                <w:color w:val="auto"/>
                <w:szCs w:val="21"/>
                <w:highlight w:val="none"/>
              </w:rPr>
            </w:pPr>
            <w:r>
              <w:rPr>
                <w:rFonts w:hint="eastAsia"/>
                <w:color w:val="auto"/>
                <w:szCs w:val="21"/>
                <w:highlight w:val="none"/>
              </w:rPr>
              <w:t>0</w:t>
            </w:r>
          </w:p>
        </w:tc>
        <w:tc>
          <w:tcPr>
            <w:tcW w:w="1802" w:type="pct"/>
            <w:vMerge w:val="continue"/>
            <w:tcMar>
              <w:top w:w="0" w:type="dxa"/>
              <w:left w:w="51" w:type="dxa"/>
              <w:bottom w:w="0" w:type="dxa"/>
              <w:right w:w="51" w:type="dxa"/>
            </w:tcMar>
            <w:vAlign w:val="center"/>
          </w:tcPr>
          <w:p>
            <w:pPr>
              <w:spacing w:line="240" w:lineRule="exact"/>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blHeader/>
          <w:jc w:val="center"/>
        </w:trPr>
        <w:tc>
          <w:tcPr>
            <w:tcW w:w="260" w:type="pct"/>
            <w:vMerge w:val="continue"/>
            <w:tcMar>
              <w:top w:w="0" w:type="dxa"/>
              <w:left w:w="51" w:type="dxa"/>
              <w:bottom w:w="0" w:type="dxa"/>
              <w:right w:w="51" w:type="dxa"/>
            </w:tcMar>
            <w:vAlign w:val="center"/>
          </w:tcPr>
          <w:p>
            <w:pPr>
              <w:spacing w:line="240" w:lineRule="exact"/>
              <w:jc w:val="center"/>
              <w:rPr>
                <w:color w:val="auto"/>
                <w:szCs w:val="21"/>
                <w:highlight w:val="none"/>
              </w:rPr>
            </w:pPr>
          </w:p>
        </w:tc>
        <w:tc>
          <w:tcPr>
            <w:tcW w:w="895" w:type="pct"/>
            <w:gridSpan w:val="2"/>
            <w:tcBorders>
              <w:top w:val="single" w:color="auto" w:sz="4" w:space="0"/>
              <w:bottom w:val="single" w:color="auto" w:sz="4" w:space="0"/>
            </w:tcBorders>
            <w:tcMar>
              <w:top w:w="0" w:type="dxa"/>
              <w:left w:w="51" w:type="dxa"/>
              <w:bottom w:w="0" w:type="dxa"/>
              <w:right w:w="51" w:type="dxa"/>
            </w:tcMar>
            <w:vAlign w:val="center"/>
          </w:tcPr>
          <w:p>
            <w:pPr>
              <w:pStyle w:val="137"/>
              <w:spacing w:line="240" w:lineRule="exact"/>
              <w:jc w:val="center"/>
              <w:rPr>
                <w:color w:val="auto"/>
                <w:highlight w:val="none"/>
                <w:lang w:eastAsia="zh-CN"/>
              </w:rPr>
            </w:pPr>
            <w:r>
              <w:rPr>
                <w:rFonts w:ascii="Times New Roman" w:hAnsi="Times New Roman"/>
                <w:color w:val="auto"/>
                <w:sz w:val="21"/>
                <w:szCs w:val="21"/>
                <w:highlight w:val="none"/>
              </w:rPr>
              <w:t>废矿物油及其空桶</w:t>
            </w:r>
          </w:p>
        </w:tc>
        <w:tc>
          <w:tcPr>
            <w:tcW w:w="1451" w:type="pct"/>
            <w:gridSpan w:val="2"/>
            <w:tcBorders>
              <w:top w:val="single" w:color="auto" w:sz="4" w:space="0"/>
              <w:bottom w:val="single" w:color="auto" w:sz="4" w:space="0"/>
            </w:tcBorders>
            <w:tcMar>
              <w:top w:w="0" w:type="dxa"/>
              <w:left w:w="51" w:type="dxa"/>
              <w:bottom w:w="0" w:type="dxa"/>
              <w:right w:w="51" w:type="dxa"/>
            </w:tcMar>
            <w:vAlign w:val="center"/>
          </w:tcPr>
          <w:p>
            <w:pPr>
              <w:pStyle w:val="137"/>
              <w:spacing w:line="240" w:lineRule="exact"/>
              <w:jc w:val="center"/>
              <w:rPr>
                <w:color w:val="auto"/>
                <w:highlight w:val="none"/>
                <w:lang w:eastAsia="zh-CN"/>
              </w:rPr>
            </w:pPr>
            <w:r>
              <w:rPr>
                <w:rFonts w:ascii="Times New Roman" w:hAnsi="Times New Roman"/>
                <w:color w:val="auto"/>
                <w:sz w:val="21"/>
                <w:szCs w:val="21"/>
                <w:highlight w:val="none"/>
              </w:rPr>
              <w:t>废矿物油</w:t>
            </w:r>
          </w:p>
        </w:tc>
        <w:tc>
          <w:tcPr>
            <w:tcW w:w="589" w:type="pct"/>
            <w:tcBorders>
              <w:top w:val="single" w:color="auto" w:sz="4" w:space="0"/>
              <w:bottom w:val="single" w:color="auto" w:sz="4" w:space="0"/>
            </w:tcBorders>
            <w:tcMar>
              <w:top w:w="0" w:type="dxa"/>
              <w:left w:w="51" w:type="dxa"/>
              <w:bottom w:w="0" w:type="dxa"/>
              <w:right w:w="51" w:type="dxa"/>
            </w:tcMar>
            <w:vAlign w:val="center"/>
          </w:tcPr>
          <w:p>
            <w:pPr>
              <w:spacing w:line="240" w:lineRule="exact"/>
              <w:jc w:val="center"/>
              <w:rPr>
                <w:color w:val="auto"/>
                <w:szCs w:val="21"/>
                <w:highlight w:val="none"/>
              </w:rPr>
            </w:pPr>
            <w:r>
              <w:rPr>
                <w:color w:val="auto"/>
                <w:szCs w:val="21"/>
                <w:highlight w:val="none"/>
              </w:rPr>
              <w:t>0</w:t>
            </w:r>
          </w:p>
        </w:tc>
        <w:tc>
          <w:tcPr>
            <w:tcW w:w="1802" w:type="pct"/>
            <w:vMerge w:val="continue"/>
            <w:tcMar>
              <w:top w:w="0" w:type="dxa"/>
              <w:left w:w="51" w:type="dxa"/>
              <w:bottom w:w="0" w:type="dxa"/>
              <w:right w:w="51" w:type="dxa"/>
            </w:tcMar>
            <w:vAlign w:val="center"/>
          </w:tcPr>
          <w:p>
            <w:pPr>
              <w:spacing w:line="240" w:lineRule="exact"/>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blHeader/>
          <w:jc w:val="center"/>
        </w:trPr>
        <w:tc>
          <w:tcPr>
            <w:tcW w:w="260" w:type="pct"/>
            <w:vMerge w:val="continue"/>
            <w:tcMar>
              <w:top w:w="0" w:type="dxa"/>
              <w:left w:w="51" w:type="dxa"/>
              <w:bottom w:w="0" w:type="dxa"/>
              <w:right w:w="51" w:type="dxa"/>
            </w:tcMar>
            <w:vAlign w:val="center"/>
          </w:tcPr>
          <w:p>
            <w:pPr>
              <w:spacing w:line="240" w:lineRule="exact"/>
              <w:jc w:val="center"/>
              <w:rPr>
                <w:color w:val="auto"/>
                <w:szCs w:val="21"/>
                <w:highlight w:val="none"/>
              </w:rPr>
            </w:pPr>
          </w:p>
        </w:tc>
        <w:tc>
          <w:tcPr>
            <w:tcW w:w="895" w:type="pct"/>
            <w:gridSpan w:val="2"/>
            <w:tcMar>
              <w:top w:w="0" w:type="dxa"/>
              <w:left w:w="51" w:type="dxa"/>
              <w:bottom w:w="0" w:type="dxa"/>
              <w:right w:w="51" w:type="dxa"/>
            </w:tcMar>
            <w:vAlign w:val="center"/>
          </w:tcPr>
          <w:p>
            <w:pPr>
              <w:pStyle w:val="1321"/>
              <w:adjustRightInd/>
              <w:snapToGrid/>
              <w:spacing w:line="240" w:lineRule="exact"/>
              <w:rPr>
                <w:color w:val="auto"/>
                <w:highlight w:val="none"/>
              </w:rPr>
            </w:pPr>
            <w:r>
              <w:rPr>
                <w:color w:val="auto"/>
                <w:highlight w:val="none"/>
              </w:rPr>
              <w:t>办公生活</w:t>
            </w:r>
          </w:p>
        </w:tc>
        <w:tc>
          <w:tcPr>
            <w:tcW w:w="1451" w:type="pct"/>
            <w:gridSpan w:val="2"/>
            <w:tcMar>
              <w:top w:w="0" w:type="dxa"/>
              <w:left w:w="51" w:type="dxa"/>
              <w:bottom w:w="0" w:type="dxa"/>
              <w:right w:w="51" w:type="dxa"/>
            </w:tcMar>
            <w:vAlign w:val="center"/>
          </w:tcPr>
          <w:p>
            <w:pPr>
              <w:pStyle w:val="1321"/>
              <w:adjustRightInd/>
              <w:snapToGrid/>
              <w:spacing w:line="240" w:lineRule="exact"/>
              <w:rPr>
                <w:color w:val="auto"/>
                <w:highlight w:val="none"/>
              </w:rPr>
            </w:pPr>
            <w:r>
              <w:rPr>
                <w:color w:val="auto"/>
                <w:highlight w:val="none"/>
              </w:rPr>
              <w:t>生活垃圾</w:t>
            </w:r>
          </w:p>
        </w:tc>
        <w:tc>
          <w:tcPr>
            <w:tcW w:w="589" w:type="pct"/>
            <w:tcMar>
              <w:top w:w="0" w:type="dxa"/>
              <w:left w:w="51" w:type="dxa"/>
              <w:bottom w:w="0" w:type="dxa"/>
              <w:right w:w="51" w:type="dxa"/>
            </w:tcMar>
            <w:vAlign w:val="center"/>
          </w:tcPr>
          <w:p>
            <w:pPr>
              <w:spacing w:line="240" w:lineRule="exact"/>
              <w:jc w:val="center"/>
              <w:rPr>
                <w:color w:val="auto"/>
                <w:szCs w:val="21"/>
                <w:highlight w:val="none"/>
              </w:rPr>
            </w:pPr>
            <w:r>
              <w:rPr>
                <w:color w:val="auto"/>
                <w:szCs w:val="21"/>
                <w:highlight w:val="none"/>
              </w:rPr>
              <w:t>0</w:t>
            </w:r>
          </w:p>
        </w:tc>
        <w:tc>
          <w:tcPr>
            <w:tcW w:w="1802" w:type="pct"/>
            <w:tcMar>
              <w:top w:w="0" w:type="dxa"/>
              <w:left w:w="51" w:type="dxa"/>
              <w:bottom w:w="0" w:type="dxa"/>
              <w:right w:w="51" w:type="dxa"/>
            </w:tcMar>
            <w:vAlign w:val="center"/>
          </w:tcPr>
          <w:p>
            <w:pPr>
              <w:pStyle w:val="137"/>
              <w:spacing w:line="240" w:lineRule="exact"/>
              <w:jc w:val="center"/>
              <w:rPr>
                <w:color w:val="auto"/>
                <w:szCs w:val="21"/>
                <w:highlight w:val="none"/>
              </w:rPr>
            </w:pPr>
            <w:r>
              <w:rPr>
                <w:color w:val="auto"/>
                <w:sz w:val="21"/>
                <w:szCs w:val="21"/>
                <w:highlight w:val="none"/>
              </w:rPr>
              <w:t>环卫部门处置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blHeader/>
          <w:jc w:val="center"/>
        </w:trPr>
        <w:tc>
          <w:tcPr>
            <w:tcW w:w="1156" w:type="pct"/>
            <w:gridSpan w:val="3"/>
            <w:tcMar>
              <w:top w:w="0" w:type="dxa"/>
              <w:left w:w="51" w:type="dxa"/>
              <w:bottom w:w="0" w:type="dxa"/>
              <w:right w:w="51" w:type="dxa"/>
            </w:tcMar>
            <w:vAlign w:val="center"/>
          </w:tcPr>
          <w:p>
            <w:pPr>
              <w:spacing w:line="240" w:lineRule="exact"/>
              <w:jc w:val="center"/>
              <w:rPr>
                <w:color w:val="auto"/>
                <w:szCs w:val="21"/>
                <w:highlight w:val="none"/>
              </w:rPr>
            </w:pPr>
            <w:r>
              <w:rPr>
                <w:color w:val="auto"/>
                <w:szCs w:val="21"/>
                <w:highlight w:val="none"/>
              </w:rPr>
              <w:t>噪声</w:t>
            </w:r>
          </w:p>
        </w:tc>
        <w:tc>
          <w:tcPr>
            <w:tcW w:w="3843" w:type="pct"/>
            <w:gridSpan w:val="4"/>
            <w:tcMar>
              <w:top w:w="0" w:type="dxa"/>
              <w:left w:w="51" w:type="dxa"/>
              <w:bottom w:w="0" w:type="dxa"/>
              <w:right w:w="51" w:type="dxa"/>
            </w:tcMar>
            <w:vAlign w:val="center"/>
          </w:tcPr>
          <w:p>
            <w:pPr>
              <w:spacing w:line="240" w:lineRule="exact"/>
              <w:jc w:val="center"/>
              <w:rPr>
                <w:color w:val="auto"/>
                <w:highlight w:val="none"/>
              </w:rPr>
            </w:pPr>
            <w:r>
              <w:rPr>
                <w:color w:val="auto"/>
                <w:highlight w:val="none"/>
              </w:rPr>
              <w:t>噪声主要来源于</w:t>
            </w:r>
            <w:r>
              <w:rPr>
                <w:rFonts w:hint="eastAsia"/>
                <w:color w:val="auto"/>
                <w:highlight w:val="none"/>
              </w:rPr>
              <w:t>挤出机、牵引机、切割锯、成型机、注塑机、造粒机、切粒机、风机及各种泵类</w:t>
            </w:r>
            <w:r>
              <w:rPr>
                <w:color w:val="auto"/>
                <w:highlight w:val="none"/>
              </w:rPr>
              <w:t>等生产设备，噪声值约为</w:t>
            </w:r>
            <w:r>
              <w:rPr>
                <w:rFonts w:hint="eastAsia"/>
                <w:color w:val="auto"/>
                <w:highlight w:val="none"/>
              </w:rPr>
              <w:t>65</w:t>
            </w:r>
            <w:r>
              <w:rPr>
                <w:color w:val="auto"/>
                <w:highlight w:val="none"/>
              </w:rPr>
              <w:t>~</w:t>
            </w:r>
            <w:r>
              <w:rPr>
                <w:rFonts w:hint="eastAsia"/>
                <w:color w:val="auto"/>
                <w:highlight w:val="none"/>
              </w:rPr>
              <w:t>8</w:t>
            </w:r>
            <w:r>
              <w:rPr>
                <w:rFonts w:hint="eastAsia"/>
                <w:color w:val="auto"/>
                <w:highlight w:val="none"/>
                <w:lang w:val="en-US" w:eastAsia="zh-CN"/>
              </w:rPr>
              <w:t>5</w:t>
            </w:r>
            <w:r>
              <w:rPr>
                <w:color w:val="auto"/>
                <w:highlight w:val="none"/>
              </w:rPr>
              <w:t>dB(A)</w:t>
            </w:r>
            <w:r>
              <w:rPr>
                <w:color w:val="auto"/>
                <w:szCs w:val="21"/>
                <w:highlight w:val="none"/>
              </w:rPr>
              <w:t>，采取一定的降噪措施后，厂界噪声可以满足《工业企业厂界环境噪声排放标准》（GB12348-2008）</w:t>
            </w:r>
            <w:r>
              <w:rPr>
                <w:rFonts w:hint="eastAsia"/>
                <w:color w:val="auto"/>
                <w:szCs w:val="21"/>
                <w:highlight w:val="none"/>
              </w:rPr>
              <w:t>2</w:t>
            </w:r>
            <w:r>
              <w:rPr>
                <w:color w:val="auto"/>
                <w:szCs w:val="21"/>
                <w:highlight w:val="none"/>
              </w:rPr>
              <w:t>类标准要求。</w:t>
            </w:r>
          </w:p>
        </w:tc>
      </w:tr>
    </w:tbl>
    <w:p>
      <w:pPr>
        <w:pStyle w:val="101"/>
        <w:spacing w:before="78"/>
        <w:rPr>
          <w:rFonts w:ascii="Times New Roman" w:hAnsi="Times New Roman"/>
          <w:color w:val="auto"/>
          <w:highlight w:val="none"/>
        </w:rPr>
      </w:pPr>
      <w:r>
        <w:rPr>
          <w:rFonts w:ascii="Times New Roman" w:hAnsi="Times New Roman"/>
          <w:color w:val="auto"/>
          <w:highlight w:val="none"/>
        </w:rPr>
        <w:t>8.2.2废气排气口规范化</w:t>
      </w:r>
    </w:p>
    <w:p>
      <w:pPr>
        <w:pStyle w:val="99"/>
        <w:ind w:firstLine="480"/>
        <w:rPr>
          <w:color w:val="auto"/>
          <w:highlight w:val="none"/>
        </w:rPr>
      </w:pPr>
      <w:r>
        <w:rPr>
          <w:color w:val="auto"/>
          <w:highlight w:val="none"/>
        </w:rPr>
        <w:t>废气排气口应根据《固定源废气监测技术规范》</w:t>
      </w:r>
      <w:r>
        <w:rPr>
          <w:rFonts w:hint="eastAsia"/>
          <w:color w:val="auto"/>
          <w:highlight w:val="none"/>
        </w:rPr>
        <w:t>(</w:t>
      </w:r>
      <w:r>
        <w:rPr>
          <w:color w:val="auto"/>
          <w:highlight w:val="none"/>
        </w:rPr>
        <w:t>HJ/T397-2007</w:t>
      </w:r>
      <w:r>
        <w:rPr>
          <w:rFonts w:hint="eastAsia"/>
          <w:color w:val="auto"/>
          <w:highlight w:val="none"/>
        </w:rPr>
        <w:t>)</w:t>
      </w:r>
      <w:r>
        <w:rPr>
          <w:color w:val="auto"/>
          <w:highlight w:val="none"/>
        </w:rPr>
        <w:t>、《环境保护图形标志-排放口》</w:t>
      </w:r>
      <w:r>
        <w:rPr>
          <w:rFonts w:hint="eastAsia"/>
          <w:color w:val="auto"/>
          <w:highlight w:val="none"/>
        </w:rPr>
        <w:t>(</w:t>
      </w:r>
      <w:r>
        <w:rPr>
          <w:color w:val="auto"/>
          <w:highlight w:val="none"/>
        </w:rPr>
        <w:t>GB 15562.1-1995</w:t>
      </w:r>
      <w:r>
        <w:rPr>
          <w:rFonts w:hint="eastAsia"/>
          <w:color w:val="auto"/>
          <w:highlight w:val="none"/>
        </w:rPr>
        <w:t>)</w:t>
      </w:r>
      <w:r>
        <w:rPr>
          <w:color w:val="auto"/>
          <w:highlight w:val="none"/>
        </w:rPr>
        <w:t>、《排污口规范化整治技术要求</w:t>
      </w:r>
      <w:r>
        <w:rPr>
          <w:rFonts w:hint="eastAsia"/>
          <w:color w:val="auto"/>
          <w:highlight w:val="none"/>
        </w:rPr>
        <w:t>(</w:t>
      </w:r>
      <w:r>
        <w:rPr>
          <w:color w:val="auto"/>
          <w:highlight w:val="none"/>
        </w:rPr>
        <w:t>试行</w:t>
      </w:r>
      <w:r>
        <w:rPr>
          <w:rFonts w:hint="eastAsia"/>
          <w:color w:val="auto"/>
          <w:highlight w:val="none"/>
        </w:rPr>
        <w:t>)</w:t>
      </w:r>
      <w:r>
        <w:rPr>
          <w:color w:val="auto"/>
          <w:highlight w:val="none"/>
        </w:rPr>
        <w:t>》、《关于印发排放口标志牌技术规格的通知》</w:t>
      </w:r>
      <w:r>
        <w:rPr>
          <w:rFonts w:hint="eastAsia"/>
          <w:color w:val="auto"/>
          <w:highlight w:val="none"/>
        </w:rPr>
        <w:t>(</w:t>
      </w:r>
      <w:r>
        <w:rPr>
          <w:color w:val="auto"/>
          <w:highlight w:val="none"/>
        </w:rPr>
        <w:t>环办[2003]95号</w:t>
      </w:r>
      <w:r>
        <w:rPr>
          <w:rFonts w:hint="eastAsia"/>
          <w:color w:val="auto"/>
          <w:highlight w:val="none"/>
        </w:rPr>
        <w:t>)</w:t>
      </w:r>
      <w:r>
        <w:rPr>
          <w:color w:val="auto"/>
          <w:highlight w:val="none"/>
        </w:rPr>
        <w:t>等相关规范进行规范化设置。具体要求如下：</w:t>
      </w:r>
    </w:p>
    <w:p>
      <w:pPr>
        <w:pStyle w:val="99"/>
        <w:ind w:firstLine="480"/>
        <w:rPr>
          <w:color w:val="auto"/>
          <w:highlight w:val="none"/>
        </w:rPr>
      </w:pPr>
      <w:r>
        <w:rPr>
          <w:color w:val="auto"/>
          <w:highlight w:val="none"/>
        </w:rPr>
        <w:t>1、所有排气筒均应高于</w:t>
      </w:r>
      <w:r>
        <w:rPr>
          <w:rFonts w:hint="eastAsia"/>
          <w:color w:val="auto"/>
          <w:highlight w:val="none"/>
          <w:lang w:eastAsia="zh-CN"/>
        </w:rPr>
        <w:t>20m</w:t>
      </w:r>
      <w:r>
        <w:rPr>
          <w:color w:val="auto"/>
          <w:highlight w:val="none"/>
        </w:rPr>
        <w:t>，且应高出周围半径200m范围内建筑物3m以上，应设采样孔和采样平台。</w:t>
      </w:r>
    </w:p>
    <w:p>
      <w:pPr>
        <w:pStyle w:val="99"/>
        <w:ind w:firstLine="480"/>
        <w:rPr>
          <w:color w:val="auto"/>
          <w:highlight w:val="none"/>
        </w:rPr>
      </w:pPr>
      <w:r>
        <w:rPr>
          <w:color w:val="auto"/>
          <w:highlight w:val="none"/>
        </w:rPr>
        <w:t>2、采样位置应优先选择在垂直管段，应设置在距弯头、阀门、变径管下游方向不小于6倍直径，和距上述部件上游方向不小于3倍直径处。对矩形烟道，其当量直径D=2AB/（A+B），式中A、B为边长。很难满足上述要求时，采样断面与弯头等至少是烟道直径的1.5倍。对于气态污染物，由于混合比较均匀，其采样位置可不受上述规定限制，但应避开涡流区。如果同时测定排气流量，采样位置仍应按上述要求选取。</w:t>
      </w:r>
    </w:p>
    <w:p>
      <w:pPr>
        <w:pStyle w:val="99"/>
        <w:ind w:firstLine="480"/>
        <w:rPr>
          <w:color w:val="auto"/>
          <w:highlight w:val="none"/>
        </w:rPr>
      </w:pPr>
      <w:r>
        <w:rPr>
          <w:color w:val="auto"/>
          <w:highlight w:val="none"/>
        </w:rPr>
        <w:t>3、在选定的测定位置上开设采样孔，采样孔的内径应不小于80mm，采样孔管长应不大于50mm。不使用时应用盖板、管堵或管帽封闭</w:t>
      </w:r>
      <w:r>
        <w:rPr>
          <w:rFonts w:hint="eastAsia"/>
          <w:color w:val="auto"/>
          <w:highlight w:val="none"/>
        </w:rPr>
        <w:t>(</w:t>
      </w:r>
      <w:r>
        <w:rPr>
          <w:color w:val="auto"/>
          <w:highlight w:val="none"/>
        </w:rPr>
        <w:t>图8.2-1</w:t>
      </w:r>
      <w:r>
        <w:rPr>
          <w:rFonts w:hint="eastAsia"/>
          <w:color w:val="auto"/>
          <w:highlight w:val="none"/>
        </w:rPr>
        <w:t>)</w:t>
      </w:r>
      <w:r>
        <w:rPr>
          <w:color w:val="auto"/>
          <w:highlight w:val="none"/>
        </w:rPr>
        <w:t>。当采样孔仅用于采集气态污染物时，其内径应不小于40mm。</w:t>
      </w:r>
    </w:p>
    <w:p>
      <w:pPr>
        <w:pStyle w:val="99"/>
        <w:ind w:firstLine="0" w:firstLineChars="0"/>
        <w:jc w:val="center"/>
        <w:rPr>
          <w:color w:val="auto"/>
          <w:highlight w:val="none"/>
        </w:rPr>
      </w:pPr>
      <w:r>
        <w:rPr>
          <w:color w:val="auto"/>
          <w:highlight w:val="none"/>
        </w:rPr>
        <w:drawing>
          <wp:inline distT="0" distB="0" distL="0" distR="0">
            <wp:extent cx="5229225" cy="190500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62">
                      <a:extLst>
                        <a:ext uri="{28A0092B-C50C-407E-A947-70E740481C1C}">
                          <a14:useLocalDpi xmlns:a14="http://schemas.microsoft.com/office/drawing/2010/main" val="0"/>
                        </a:ext>
                      </a:extLst>
                    </a:blip>
                    <a:srcRect t="11745" b="8894"/>
                    <a:stretch>
                      <a:fillRect/>
                    </a:stretch>
                  </pic:blipFill>
                  <pic:spPr>
                    <a:xfrm>
                      <a:off x="0" y="0"/>
                      <a:ext cx="5229225" cy="1905000"/>
                    </a:xfrm>
                    <a:prstGeom prst="rect">
                      <a:avLst/>
                    </a:prstGeom>
                    <a:noFill/>
                    <a:ln>
                      <a:noFill/>
                    </a:ln>
                  </pic:spPr>
                </pic:pic>
              </a:graphicData>
            </a:graphic>
          </wp:inline>
        </w:drawing>
      </w:r>
    </w:p>
    <w:p>
      <w:pPr>
        <w:pStyle w:val="103"/>
        <w:rPr>
          <w:rFonts w:ascii="Times New Roman" w:hAnsi="Times New Roman"/>
          <w:color w:val="auto"/>
          <w:highlight w:val="none"/>
        </w:rPr>
      </w:pPr>
      <w:r>
        <w:rPr>
          <w:rFonts w:ascii="Times New Roman" w:hAnsi="Times New Roman"/>
          <w:color w:val="auto"/>
          <w:highlight w:val="none"/>
        </w:rPr>
        <w:t>表8.2-1  采样孔设置示意图</w:t>
      </w:r>
    </w:p>
    <w:p>
      <w:pPr>
        <w:pStyle w:val="99"/>
        <w:ind w:firstLine="480"/>
        <w:rPr>
          <w:color w:val="auto"/>
          <w:highlight w:val="none"/>
        </w:rPr>
      </w:pPr>
      <w:r>
        <w:rPr>
          <w:color w:val="auto"/>
          <w:highlight w:val="none"/>
        </w:rPr>
        <w:t>对正压下输送高温或有毒气体的烟道，应采用带有闸板阀的密封采样孔</w:t>
      </w:r>
      <w:r>
        <w:rPr>
          <w:rFonts w:hint="eastAsia"/>
          <w:color w:val="auto"/>
          <w:highlight w:val="none"/>
        </w:rPr>
        <w:t>(</w:t>
      </w:r>
      <w:r>
        <w:rPr>
          <w:color w:val="auto"/>
          <w:highlight w:val="none"/>
        </w:rPr>
        <w:t>图8.2-2</w:t>
      </w:r>
      <w:r>
        <w:rPr>
          <w:rFonts w:hint="eastAsia"/>
          <w:color w:val="auto"/>
          <w:highlight w:val="none"/>
        </w:rPr>
        <w:t>)</w:t>
      </w:r>
      <w:r>
        <w:rPr>
          <w:color w:val="auto"/>
          <w:highlight w:val="none"/>
        </w:rPr>
        <w:t>。</w:t>
      </w:r>
    </w:p>
    <w:p>
      <w:pPr>
        <w:pStyle w:val="99"/>
        <w:ind w:firstLine="0" w:firstLineChars="0"/>
        <w:jc w:val="center"/>
        <w:rPr>
          <w:color w:val="auto"/>
          <w:highlight w:val="none"/>
        </w:rPr>
      </w:pPr>
      <w:r>
        <w:rPr>
          <w:color w:val="auto"/>
          <w:highlight w:val="none"/>
        </w:rPr>
        <w:drawing>
          <wp:inline distT="0" distB="0" distL="0" distR="0">
            <wp:extent cx="2876550" cy="18859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63">
                      <a:extLst>
                        <a:ext uri="{28A0092B-C50C-407E-A947-70E740481C1C}">
                          <a14:useLocalDpi xmlns:a14="http://schemas.microsoft.com/office/drawing/2010/main" val="0"/>
                        </a:ext>
                      </a:extLst>
                    </a:blip>
                    <a:srcRect b="15817"/>
                    <a:stretch>
                      <a:fillRect/>
                    </a:stretch>
                  </pic:blipFill>
                  <pic:spPr>
                    <a:xfrm>
                      <a:off x="0" y="0"/>
                      <a:ext cx="2876550" cy="1885950"/>
                    </a:xfrm>
                    <a:prstGeom prst="rect">
                      <a:avLst/>
                    </a:prstGeom>
                    <a:noFill/>
                    <a:ln>
                      <a:noFill/>
                    </a:ln>
                  </pic:spPr>
                </pic:pic>
              </a:graphicData>
            </a:graphic>
          </wp:inline>
        </w:drawing>
      </w:r>
    </w:p>
    <w:p>
      <w:pPr>
        <w:pStyle w:val="103"/>
        <w:rPr>
          <w:rFonts w:ascii="Times New Roman" w:hAnsi="Times New Roman"/>
          <w:color w:val="auto"/>
          <w:highlight w:val="none"/>
        </w:rPr>
      </w:pPr>
      <w:r>
        <w:rPr>
          <w:rFonts w:ascii="Times New Roman" w:hAnsi="Times New Roman"/>
          <w:color w:val="auto"/>
          <w:highlight w:val="none"/>
        </w:rPr>
        <w:t>图8.2-2  带有闸板阀的密封采样孔</w:t>
      </w:r>
    </w:p>
    <w:p>
      <w:pPr>
        <w:pStyle w:val="99"/>
        <w:ind w:firstLine="480"/>
        <w:rPr>
          <w:color w:val="auto"/>
          <w:highlight w:val="none"/>
        </w:rPr>
      </w:pPr>
      <w:r>
        <w:rPr>
          <w:color w:val="auto"/>
          <w:highlight w:val="none"/>
        </w:rPr>
        <w:t>对圆形烟道，采样孔应设在包括各测定点在内的互相垂直的直径线上。烟道直径小于或等于0.6m，设一个采样孔；烟道直径大于0.6m，在同一断面设二个互相垂直的采样孔。</w:t>
      </w:r>
    </w:p>
    <w:p>
      <w:pPr>
        <w:pStyle w:val="99"/>
        <w:ind w:firstLine="480"/>
        <w:rPr>
          <w:color w:val="auto"/>
          <w:highlight w:val="none"/>
        </w:rPr>
      </w:pPr>
      <w:r>
        <w:rPr>
          <w:color w:val="auto"/>
          <w:highlight w:val="none"/>
        </w:rPr>
        <w:t>对矩形或方形烟道，采样孔应设在包括各测定点在内的延长线上。在同一断面的一侧，烟道断面面积小于0.2m</w:t>
      </w:r>
      <w:r>
        <w:rPr>
          <w:color w:val="auto"/>
          <w:highlight w:val="none"/>
          <w:vertAlign w:val="superscript"/>
        </w:rPr>
        <w:t>2</w:t>
      </w:r>
      <w:r>
        <w:rPr>
          <w:color w:val="auto"/>
          <w:highlight w:val="none"/>
        </w:rPr>
        <w:t>，中间设一个采样孔；烟道断面面积0.2-1.0m</w:t>
      </w:r>
      <w:r>
        <w:rPr>
          <w:color w:val="auto"/>
          <w:highlight w:val="none"/>
          <w:vertAlign w:val="superscript"/>
        </w:rPr>
        <w:t>2</w:t>
      </w:r>
      <w:r>
        <w:rPr>
          <w:color w:val="auto"/>
          <w:highlight w:val="none"/>
        </w:rPr>
        <w:t>，等距设二个采样孔；烟道断面面积1.0-4.0m</w:t>
      </w:r>
      <w:r>
        <w:rPr>
          <w:color w:val="auto"/>
          <w:highlight w:val="none"/>
          <w:vertAlign w:val="superscript"/>
        </w:rPr>
        <w:t>2</w:t>
      </w:r>
      <w:r>
        <w:rPr>
          <w:color w:val="auto"/>
          <w:highlight w:val="none"/>
        </w:rPr>
        <w:t>，等距设三个采样孔；烟道断面面积4.0-9.0m</w:t>
      </w:r>
      <w:r>
        <w:rPr>
          <w:color w:val="auto"/>
          <w:highlight w:val="none"/>
          <w:vertAlign w:val="superscript"/>
        </w:rPr>
        <w:t>2</w:t>
      </w:r>
      <w:r>
        <w:rPr>
          <w:color w:val="auto"/>
          <w:highlight w:val="none"/>
        </w:rPr>
        <w:t>，等距设四个采样孔；烟道面积9.0-15m</w:t>
      </w:r>
      <w:r>
        <w:rPr>
          <w:color w:val="auto"/>
          <w:highlight w:val="none"/>
          <w:vertAlign w:val="superscript"/>
        </w:rPr>
        <w:t>2</w:t>
      </w:r>
      <w:r>
        <w:rPr>
          <w:color w:val="auto"/>
          <w:highlight w:val="none"/>
        </w:rPr>
        <w:t>，等距设五个采样孔；烟道面积大于15.0m</w:t>
      </w:r>
      <w:r>
        <w:rPr>
          <w:color w:val="auto"/>
          <w:highlight w:val="none"/>
          <w:vertAlign w:val="superscript"/>
        </w:rPr>
        <w:t>2</w:t>
      </w:r>
      <w:r>
        <w:rPr>
          <w:color w:val="auto"/>
          <w:highlight w:val="none"/>
        </w:rPr>
        <w:t>，等距设六至七个采样孔。</w:t>
      </w:r>
    </w:p>
    <w:p>
      <w:pPr>
        <w:pStyle w:val="99"/>
        <w:ind w:firstLine="480"/>
        <w:rPr>
          <w:color w:val="auto"/>
          <w:highlight w:val="none"/>
        </w:rPr>
      </w:pPr>
      <w:r>
        <w:rPr>
          <w:color w:val="auto"/>
          <w:highlight w:val="none"/>
        </w:rPr>
        <w:t>4、必要时应设置采样平台，采样平台应有足够的工作面积使工作人员安全、方便地操作。平台面积应不小于1.5m</w:t>
      </w:r>
      <w:r>
        <w:rPr>
          <w:color w:val="auto"/>
          <w:highlight w:val="none"/>
          <w:vertAlign w:val="superscript"/>
        </w:rPr>
        <w:t>2</w:t>
      </w:r>
      <w:r>
        <w:rPr>
          <w:color w:val="auto"/>
          <w:highlight w:val="none"/>
        </w:rPr>
        <w:t>，并设有1.1m高的护栏和不低于10cm的脚部挡板，采样平台的承重应不小于200kg/m</w:t>
      </w:r>
      <w:r>
        <w:rPr>
          <w:color w:val="auto"/>
          <w:highlight w:val="none"/>
          <w:vertAlign w:val="superscript"/>
        </w:rPr>
        <w:t>2</w:t>
      </w:r>
      <w:r>
        <w:rPr>
          <w:rFonts w:hint="eastAsia"/>
          <w:color w:val="auto"/>
          <w:highlight w:val="none"/>
        </w:rPr>
        <w:t>，</w:t>
      </w:r>
      <w:r>
        <w:rPr>
          <w:color w:val="auto"/>
          <w:highlight w:val="none"/>
        </w:rPr>
        <w:t>采样孔距平台面约为1.2m～1.3m。采样平台应设置永久性的电源。平台上方应建有防雨棚。</w:t>
      </w:r>
    </w:p>
    <w:p>
      <w:pPr>
        <w:pStyle w:val="99"/>
        <w:ind w:firstLine="480"/>
        <w:rPr>
          <w:color w:val="auto"/>
          <w:highlight w:val="none"/>
        </w:rPr>
      </w:pPr>
      <w:r>
        <w:rPr>
          <w:color w:val="auto"/>
          <w:highlight w:val="none"/>
        </w:rPr>
        <w:t>5、采样平台应易于人员到达，应建设监测安全通道。当采样平台距地面高度不超过2m时，可使用固定式钢直梯达到采样平台。当采样平台距地面高度超过2m时，因携带监测设备需要，应设计并建设安全、方便抵达采样平台的方式，基准面与采样平台之间必须建设固定式钢制斜梯、Z字梯或旋转梯，切勿设置猪笼梯等不安全通道。爬梯与水平面的倾角不大于45°，爬梯防护护栏高度不低于1.2m，爬梯无障碍宽度不小于750mm。</w:t>
      </w:r>
    </w:p>
    <w:p>
      <w:pPr>
        <w:pStyle w:val="99"/>
        <w:ind w:firstLine="480"/>
        <w:rPr>
          <w:color w:val="auto"/>
          <w:highlight w:val="none"/>
        </w:rPr>
      </w:pPr>
      <w:r>
        <w:rPr>
          <w:color w:val="auto"/>
          <w:highlight w:val="none"/>
        </w:rPr>
        <w:t>6、采样平台易于人员到达，应建设监测安全通道。当采样平台设置高于地面时，应有通往平台的Z字梯/旋梯/升降梯，切勿设置猪笼梯等不安全通道。</w:t>
      </w:r>
    </w:p>
    <w:p>
      <w:pPr>
        <w:pStyle w:val="99"/>
        <w:ind w:firstLine="480"/>
        <w:rPr>
          <w:color w:val="auto"/>
          <w:highlight w:val="none"/>
        </w:rPr>
      </w:pPr>
      <w:r>
        <w:rPr>
          <w:color w:val="auto"/>
          <w:highlight w:val="none"/>
        </w:rPr>
        <w:t>7、应设置标志牌。平面标志牌，适合于室内外悬挂。尺寸：480×300mm。立式标志牌，适合于室内外独立摆放或树立。正、背面尺寸：420×420mm，立柱高度：标志牌最上端距地面2m地下0.3m。</w:t>
      </w:r>
    </w:p>
    <w:p>
      <w:pPr>
        <w:pStyle w:val="99"/>
        <w:ind w:firstLine="0" w:firstLineChars="0"/>
        <w:jc w:val="center"/>
        <w:rPr>
          <w:color w:val="auto"/>
          <w:highlight w:val="none"/>
        </w:rPr>
      </w:pPr>
      <w:r>
        <w:rPr>
          <w:color w:val="auto"/>
          <w:highlight w:val="none"/>
        </w:rPr>
        <w:drawing>
          <wp:inline distT="0" distB="0" distL="0" distR="0">
            <wp:extent cx="3324225" cy="196215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3324225" cy="1962150"/>
                    </a:xfrm>
                    <a:prstGeom prst="rect">
                      <a:avLst/>
                    </a:prstGeom>
                    <a:noFill/>
                    <a:ln>
                      <a:noFill/>
                    </a:ln>
                  </pic:spPr>
                </pic:pic>
              </a:graphicData>
            </a:graphic>
          </wp:inline>
        </w:drawing>
      </w:r>
    </w:p>
    <w:p>
      <w:pPr>
        <w:pStyle w:val="103"/>
        <w:rPr>
          <w:rFonts w:ascii="Times New Roman" w:hAnsi="Times New Roman"/>
          <w:color w:val="auto"/>
          <w:highlight w:val="none"/>
        </w:rPr>
      </w:pPr>
      <w:r>
        <w:rPr>
          <w:rFonts w:ascii="Times New Roman" w:hAnsi="Times New Roman"/>
          <w:color w:val="auto"/>
          <w:highlight w:val="none"/>
        </w:rPr>
        <w:t>图8.2-3  废气排放口标志牌样式</w:t>
      </w:r>
    </w:p>
    <w:p>
      <w:pPr>
        <w:pStyle w:val="101"/>
        <w:spacing w:before="78"/>
        <w:rPr>
          <w:rFonts w:ascii="Times New Roman" w:hAnsi="Times New Roman"/>
          <w:color w:val="auto"/>
          <w:highlight w:val="none"/>
        </w:rPr>
      </w:pPr>
      <w:r>
        <w:rPr>
          <w:rFonts w:ascii="Times New Roman" w:hAnsi="Times New Roman"/>
          <w:color w:val="auto"/>
          <w:highlight w:val="none"/>
        </w:rPr>
        <w:t>8.2.3废水排放口规范化管理</w:t>
      </w:r>
    </w:p>
    <w:p>
      <w:pPr>
        <w:spacing w:line="360" w:lineRule="auto"/>
        <w:ind w:firstLine="480" w:firstLineChars="200"/>
        <w:rPr>
          <w:color w:val="auto"/>
          <w:sz w:val="24"/>
          <w:highlight w:val="none"/>
        </w:rPr>
      </w:pPr>
      <w:r>
        <w:rPr>
          <w:color w:val="auto"/>
          <w:sz w:val="24"/>
          <w:highlight w:val="none"/>
        </w:rPr>
        <w:t>本项目无生产废水产生，生活污水经化粪池预处理，全部由当地环卫部门定期清运，不设置外排口。</w:t>
      </w:r>
    </w:p>
    <w:p>
      <w:pPr>
        <w:pStyle w:val="101"/>
        <w:spacing w:before="78"/>
        <w:rPr>
          <w:rFonts w:ascii="Times New Roman" w:hAnsi="Times New Roman"/>
          <w:color w:val="auto"/>
          <w:highlight w:val="none"/>
        </w:rPr>
      </w:pPr>
      <w:r>
        <w:rPr>
          <w:rFonts w:ascii="Times New Roman" w:hAnsi="Times New Roman"/>
          <w:color w:val="auto"/>
          <w:highlight w:val="none"/>
        </w:rPr>
        <w:t>8.2.4危废暂存间规范化管理</w:t>
      </w:r>
    </w:p>
    <w:p>
      <w:pPr>
        <w:pStyle w:val="99"/>
        <w:ind w:firstLine="480"/>
        <w:rPr>
          <w:color w:val="auto"/>
          <w:highlight w:val="none"/>
        </w:rPr>
      </w:pPr>
      <w:r>
        <w:rPr>
          <w:color w:val="auto"/>
          <w:highlight w:val="none"/>
        </w:rPr>
        <w:t>企业应根据《危险废物贮存污染控制标准》</w:t>
      </w:r>
      <w:r>
        <w:rPr>
          <w:rFonts w:hint="eastAsia"/>
          <w:color w:val="auto"/>
          <w:highlight w:val="none"/>
        </w:rPr>
        <w:t>(</w:t>
      </w:r>
      <w:r>
        <w:rPr>
          <w:color w:val="auto"/>
          <w:highlight w:val="none"/>
        </w:rPr>
        <w:t>GB 18597-2001</w:t>
      </w:r>
      <w:r>
        <w:rPr>
          <w:rFonts w:hint="eastAsia"/>
          <w:color w:val="auto"/>
          <w:highlight w:val="none"/>
        </w:rPr>
        <w:t>)</w:t>
      </w:r>
      <w:r>
        <w:rPr>
          <w:color w:val="auto"/>
          <w:highlight w:val="none"/>
        </w:rPr>
        <w:t>、《危险废物收集贮存运输技术规范》</w:t>
      </w:r>
      <w:r>
        <w:rPr>
          <w:rFonts w:hint="eastAsia"/>
          <w:color w:val="auto"/>
          <w:highlight w:val="none"/>
        </w:rPr>
        <w:t>(</w:t>
      </w:r>
      <w:r>
        <w:rPr>
          <w:color w:val="auto"/>
          <w:highlight w:val="none"/>
        </w:rPr>
        <w:t>HJ 2025-2012</w:t>
      </w:r>
      <w:r>
        <w:rPr>
          <w:rFonts w:hint="eastAsia"/>
          <w:color w:val="auto"/>
          <w:highlight w:val="none"/>
        </w:rPr>
        <w:t>)</w:t>
      </w:r>
      <w:r>
        <w:rPr>
          <w:color w:val="auto"/>
          <w:highlight w:val="none"/>
        </w:rPr>
        <w:t>、《危险废物污染防治技术政策》</w:t>
      </w:r>
      <w:r>
        <w:rPr>
          <w:rFonts w:hint="eastAsia"/>
          <w:color w:val="auto"/>
          <w:highlight w:val="none"/>
        </w:rPr>
        <w:t>(</w:t>
      </w:r>
      <w:r>
        <w:rPr>
          <w:color w:val="auto"/>
          <w:highlight w:val="none"/>
        </w:rPr>
        <w:t>环发[2001]199号</w:t>
      </w:r>
      <w:r>
        <w:rPr>
          <w:rFonts w:hint="eastAsia"/>
          <w:color w:val="auto"/>
          <w:highlight w:val="none"/>
        </w:rPr>
        <w:t>)</w:t>
      </w:r>
      <w:r>
        <w:rPr>
          <w:color w:val="auto"/>
          <w:highlight w:val="none"/>
        </w:rPr>
        <w:t>、《排放口标志牌固体废物贮存</w:t>
      </w:r>
      <w:r>
        <w:rPr>
          <w:rFonts w:hint="eastAsia"/>
          <w:color w:val="auto"/>
          <w:highlight w:val="none"/>
        </w:rPr>
        <w:t>(</w:t>
      </w:r>
      <w:r>
        <w:rPr>
          <w:color w:val="auto"/>
          <w:highlight w:val="none"/>
        </w:rPr>
        <w:t>处置</w:t>
      </w:r>
      <w:r>
        <w:rPr>
          <w:rFonts w:hint="eastAsia"/>
          <w:color w:val="auto"/>
          <w:highlight w:val="none"/>
        </w:rPr>
        <w:t>)</w:t>
      </w:r>
      <w:r>
        <w:rPr>
          <w:color w:val="auto"/>
          <w:highlight w:val="none"/>
        </w:rPr>
        <w:t>场》</w:t>
      </w:r>
      <w:r>
        <w:rPr>
          <w:rFonts w:hint="eastAsia"/>
          <w:color w:val="auto"/>
          <w:highlight w:val="none"/>
        </w:rPr>
        <w:t>(</w:t>
      </w:r>
      <w:r>
        <w:rPr>
          <w:color w:val="auto"/>
          <w:highlight w:val="none"/>
        </w:rPr>
        <w:t>GB15562.2-1995</w:t>
      </w:r>
      <w:r>
        <w:rPr>
          <w:rFonts w:hint="eastAsia"/>
          <w:color w:val="auto"/>
          <w:highlight w:val="none"/>
        </w:rPr>
        <w:t>)</w:t>
      </w:r>
      <w:r>
        <w:rPr>
          <w:color w:val="auto"/>
          <w:highlight w:val="none"/>
        </w:rPr>
        <w:t>等相关要求，进行危废管理，具体要求如下：</w:t>
      </w:r>
    </w:p>
    <w:p>
      <w:pPr>
        <w:pStyle w:val="99"/>
        <w:ind w:firstLine="480"/>
        <w:rPr>
          <w:color w:val="auto"/>
          <w:highlight w:val="none"/>
        </w:rPr>
      </w:pPr>
      <w:r>
        <w:rPr>
          <w:color w:val="auto"/>
          <w:highlight w:val="none"/>
        </w:rPr>
        <w:t>1、对危险废物的容器和包装物以及收集、贮存、运输、处置危险废物的设施、场所，必须设置危险废物识别标志。</w:t>
      </w:r>
    </w:p>
    <w:p>
      <w:pPr>
        <w:pStyle w:val="99"/>
        <w:ind w:firstLine="480"/>
        <w:rPr>
          <w:color w:val="auto"/>
          <w:highlight w:val="none"/>
        </w:rPr>
      </w:pPr>
      <w:r>
        <w:rPr>
          <w:color w:val="auto"/>
          <w:highlight w:val="none"/>
        </w:rPr>
        <w:t>2、产生危险废物的单位，必须按照国家有关规定制定危险废物管理计划，并报所在地环保主管部门备案。</w:t>
      </w:r>
    </w:p>
    <w:p>
      <w:pPr>
        <w:pStyle w:val="99"/>
        <w:ind w:firstLine="480"/>
        <w:rPr>
          <w:color w:val="auto"/>
          <w:highlight w:val="none"/>
        </w:rPr>
      </w:pPr>
      <w:r>
        <w:rPr>
          <w:color w:val="auto"/>
          <w:highlight w:val="none"/>
        </w:rPr>
        <w:t>3、从事收集、贮存、处置危险废物经营活动的单位，必须向所在地环保主管部门申请领取经营许可证；从事利用危险废物经营活动的单位，必须向环保部或省环保厅申请领取经营许可证。</w:t>
      </w:r>
    </w:p>
    <w:p>
      <w:pPr>
        <w:pStyle w:val="99"/>
        <w:ind w:firstLine="480"/>
        <w:rPr>
          <w:color w:val="auto"/>
          <w:highlight w:val="none"/>
        </w:rPr>
      </w:pPr>
      <w:r>
        <w:rPr>
          <w:color w:val="auto"/>
          <w:highlight w:val="none"/>
        </w:rPr>
        <w:t>4、禁止将危险废物提供或者委托给无经营许可证的单位从事收集、贮存、利用、处置的经营活动。</w:t>
      </w:r>
    </w:p>
    <w:p>
      <w:pPr>
        <w:pStyle w:val="99"/>
        <w:ind w:firstLine="480"/>
        <w:rPr>
          <w:color w:val="auto"/>
          <w:highlight w:val="none"/>
        </w:rPr>
      </w:pPr>
      <w:r>
        <w:rPr>
          <w:color w:val="auto"/>
          <w:highlight w:val="none"/>
        </w:rPr>
        <w:t>5、收集、贮存危险废物，必须按照危险废物特性分类进行。厂内最长贮存时间不得超过一年。禁止将危险废物混入非危险废物中贮存。</w:t>
      </w:r>
    </w:p>
    <w:p>
      <w:pPr>
        <w:pStyle w:val="99"/>
        <w:ind w:firstLine="480"/>
        <w:rPr>
          <w:color w:val="auto"/>
          <w:highlight w:val="none"/>
        </w:rPr>
      </w:pPr>
      <w:r>
        <w:rPr>
          <w:color w:val="auto"/>
          <w:highlight w:val="none"/>
        </w:rPr>
        <w:t>6、转移危险废物的，必须填写危险废物转移联单。跨省转移危险废物的，应当向危险废物移出地省环保厅申请。</w:t>
      </w:r>
    </w:p>
    <w:p>
      <w:pPr>
        <w:pStyle w:val="99"/>
        <w:ind w:firstLine="480"/>
        <w:rPr>
          <w:color w:val="auto"/>
          <w:highlight w:val="none"/>
        </w:rPr>
      </w:pPr>
      <w:r>
        <w:rPr>
          <w:color w:val="auto"/>
          <w:highlight w:val="none"/>
        </w:rPr>
        <w:t>7、产生、收集、贮存、运输、利用、处置危险废物的单位，应当制定意外事故的防范措施和应急预案，并向所在地环保主管部门备案；</w:t>
      </w:r>
    </w:p>
    <w:p>
      <w:pPr>
        <w:pStyle w:val="99"/>
        <w:ind w:firstLine="480"/>
        <w:rPr>
          <w:color w:val="auto"/>
          <w:highlight w:val="none"/>
        </w:rPr>
      </w:pPr>
      <w:r>
        <w:rPr>
          <w:color w:val="auto"/>
          <w:highlight w:val="none"/>
        </w:rPr>
        <w:t>8、危险废物产生单位在转移危险废物前，须按照国家有关规定报批危险废物转移计划；经批准后，产生单位应当向移出地环境保护行政主管部门申请领取联单。产生单位应当在危险废物转移前三日内报告移出地环境保护行政主管部门，并同时将预期到达时间报告接受地环境保护行政主管部门。</w:t>
      </w:r>
    </w:p>
    <w:p>
      <w:pPr>
        <w:pStyle w:val="99"/>
        <w:ind w:firstLine="480"/>
        <w:rPr>
          <w:color w:val="auto"/>
          <w:highlight w:val="none"/>
        </w:rPr>
      </w:pPr>
      <w:r>
        <w:rPr>
          <w:color w:val="auto"/>
          <w:highlight w:val="none"/>
        </w:rPr>
        <w:t>9、产生危险废物的企业应建设危险废物暂存间，危废暂存间应防风防雨防渗防盗。危废暂存间地面须硬化处理，并涂至少2mm厚环氧树脂，以防渗漏和腐蚀。存放液体性危险废物的贮存场所需设计收集沟及收集井，以收集渗滤液，防止外溢流失。不相容的危险废物必须分开存放，并设有隔离间隔断。</w:t>
      </w:r>
    </w:p>
    <w:p>
      <w:pPr>
        <w:pStyle w:val="99"/>
        <w:ind w:firstLine="480"/>
        <w:rPr>
          <w:color w:val="auto"/>
          <w:highlight w:val="none"/>
        </w:rPr>
      </w:pPr>
      <w:r>
        <w:rPr>
          <w:color w:val="auto"/>
          <w:highlight w:val="none"/>
        </w:rPr>
        <w:t>10、应建立危险废物管理台账，并悬挂于危废间内，转入及转出(处置、自利用)需要填写危废种类、数量、时间及负责人员姓名。</w:t>
      </w:r>
    </w:p>
    <w:p>
      <w:pPr>
        <w:pStyle w:val="99"/>
        <w:ind w:firstLine="480"/>
        <w:rPr>
          <w:color w:val="auto"/>
          <w:highlight w:val="none"/>
        </w:rPr>
      </w:pPr>
      <w:r>
        <w:rPr>
          <w:color w:val="auto"/>
          <w:highlight w:val="none"/>
        </w:rPr>
        <w:t>11、危险废物贮存间门口需张贴标准规范的危险废物标识和危废信息板，屋内张贴企业《危险废物管理制度》。</w:t>
      </w:r>
    </w:p>
    <w:p>
      <w:pPr>
        <w:pStyle w:val="99"/>
        <w:ind w:firstLine="0" w:firstLineChars="0"/>
        <w:jc w:val="center"/>
        <w:rPr>
          <w:color w:val="auto"/>
          <w:highlight w:val="none"/>
        </w:rPr>
      </w:pPr>
      <w:r>
        <w:rPr>
          <w:color w:val="auto"/>
          <w:highlight w:val="none"/>
        </w:rPr>
        <w:drawing>
          <wp:inline distT="0" distB="0" distL="0" distR="0">
            <wp:extent cx="4295775" cy="220980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65">
                      <a:extLst>
                        <a:ext uri="{28A0092B-C50C-407E-A947-70E740481C1C}">
                          <a14:useLocalDpi xmlns:a14="http://schemas.microsoft.com/office/drawing/2010/main" val="0"/>
                        </a:ext>
                      </a:extLst>
                    </a:blip>
                    <a:srcRect t="20749"/>
                    <a:stretch>
                      <a:fillRect/>
                    </a:stretch>
                  </pic:blipFill>
                  <pic:spPr>
                    <a:xfrm>
                      <a:off x="0" y="0"/>
                      <a:ext cx="4295775" cy="2209800"/>
                    </a:xfrm>
                    <a:prstGeom prst="rect">
                      <a:avLst/>
                    </a:prstGeom>
                    <a:noFill/>
                    <a:ln>
                      <a:noFill/>
                    </a:ln>
                  </pic:spPr>
                </pic:pic>
              </a:graphicData>
            </a:graphic>
          </wp:inline>
        </w:drawing>
      </w:r>
    </w:p>
    <w:p>
      <w:pPr>
        <w:pStyle w:val="103"/>
        <w:rPr>
          <w:rFonts w:ascii="Times New Roman" w:hAnsi="Times New Roman"/>
          <w:color w:val="auto"/>
          <w:highlight w:val="none"/>
        </w:rPr>
      </w:pPr>
      <w:r>
        <w:rPr>
          <w:rFonts w:ascii="Times New Roman" w:hAnsi="Times New Roman"/>
          <w:color w:val="auto"/>
          <w:highlight w:val="none"/>
        </w:rPr>
        <w:t>图8.2-</w:t>
      </w:r>
      <w:r>
        <w:rPr>
          <w:rFonts w:hint="eastAsia" w:ascii="Times New Roman" w:hAnsi="Times New Roman"/>
          <w:color w:val="auto"/>
          <w:highlight w:val="none"/>
        </w:rPr>
        <w:t>4</w:t>
      </w:r>
      <w:r>
        <w:rPr>
          <w:rFonts w:ascii="Times New Roman" w:hAnsi="Times New Roman"/>
          <w:color w:val="auto"/>
          <w:highlight w:val="none"/>
        </w:rPr>
        <w:t xml:space="preserve">  危险废物标识和危废信息板</w:t>
      </w:r>
    </w:p>
    <w:p>
      <w:pPr>
        <w:pStyle w:val="100"/>
        <w:spacing w:before="156"/>
        <w:rPr>
          <w:rFonts w:ascii="Times New Roman" w:hAnsi="Times New Roman"/>
          <w:color w:val="auto"/>
          <w:highlight w:val="none"/>
        </w:rPr>
      </w:pPr>
      <w:bookmarkStart w:id="386" w:name="_Toc23219"/>
      <w:bookmarkStart w:id="387" w:name="_Toc66281318"/>
      <w:bookmarkStart w:id="388" w:name="_Toc57804793"/>
      <w:r>
        <w:rPr>
          <w:rFonts w:ascii="Times New Roman" w:hAnsi="Times New Roman"/>
          <w:color w:val="auto"/>
          <w:highlight w:val="none"/>
        </w:rPr>
        <w:t>8.3自行监测及管理台账</w:t>
      </w:r>
      <w:bookmarkEnd w:id="386"/>
      <w:bookmarkEnd w:id="387"/>
      <w:bookmarkEnd w:id="388"/>
    </w:p>
    <w:p>
      <w:pPr>
        <w:pStyle w:val="101"/>
        <w:spacing w:before="78"/>
        <w:rPr>
          <w:rFonts w:ascii="Times New Roman" w:hAnsi="Times New Roman"/>
          <w:color w:val="auto"/>
          <w:highlight w:val="none"/>
        </w:rPr>
      </w:pPr>
      <w:r>
        <w:rPr>
          <w:rFonts w:ascii="Times New Roman" w:hAnsi="Times New Roman"/>
          <w:color w:val="auto"/>
          <w:highlight w:val="none"/>
        </w:rPr>
        <w:t>8.3.1自行监测计划</w:t>
      </w:r>
    </w:p>
    <w:p>
      <w:pPr>
        <w:pStyle w:val="99"/>
        <w:ind w:firstLine="480"/>
        <w:rPr>
          <w:color w:val="auto"/>
          <w:highlight w:val="none"/>
        </w:rPr>
      </w:pPr>
      <w:r>
        <w:rPr>
          <w:color w:val="auto"/>
          <w:highlight w:val="none"/>
        </w:rPr>
        <w:t>企业应根据《排污单位自行监测技术指南 总则》</w:t>
      </w:r>
      <w:r>
        <w:rPr>
          <w:rFonts w:hint="eastAsia"/>
          <w:color w:val="auto"/>
          <w:highlight w:val="none"/>
        </w:rPr>
        <w:t>(</w:t>
      </w:r>
      <w:r>
        <w:rPr>
          <w:color w:val="auto"/>
          <w:highlight w:val="none"/>
        </w:rPr>
        <w:t>HJ819-2017</w:t>
      </w:r>
      <w:r>
        <w:rPr>
          <w:rFonts w:hint="eastAsia"/>
          <w:color w:val="auto"/>
          <w:highlight w:val="none"/>
        </w:rPr>
        <w:t>)、《排污许可证申请与核发技术规范 橡胶和塑料制品工业》(HJ1122-2020)及《排污许可证申请与核发技术规范 废弃资源加工工业》(HJ1034-2019)</w:t>
      </w:r>
      <w:r>
        <w:rPr>
          <w:color w:val="auto"/>
          <w:highlight w:val="none"/>
        </w:rPr>
        <w:t>制定企业自行监测计划，并定期委托监测。企业自行监测计划可参考下表制定。</w:t>
      </w:r>
    </w:p>
    <w:p>
      <w:pPr>
        <w:pStyle w:val="103"/>
        <w:ind w:firstLine="480"/>
        <w:rPr>
          <w:rFonts w:ascii="Times New Roman" w:hAnsi="Times New Roman"/>
          <w:color w:val="auto"/>
          <w:highlight w:val="none"/>
        </w:rPr>
      </w:pPr>
      <w:r>
        <w:rPr>
          <w:rFonts w:ascii="Times New Roman" w:hAnsi="Times New Roman"/>
          <w:color w:val="auto"/>
          <w:highlight w:val="none"/>
        </w:rPr>
        <w:t>表8.3-1  环境监测计划一览表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autofit"/>
        <w:tblCellMar>
          <w:top w:w="0" w:type="dxa"/>
          <w:left w:w="108" w:type="dxa"/>
          <w:bottom w:w="0" w:type="dxa"/>
          <w:right w:w="108" w:type="dxa"/>
        </w:tblCellMar>
      </w:tblPr>
      <w:tblGrid>
        <w:gridCol w:w="553"/>
        <w:gridCol w:w="1248"/>
        <w:gridCol w:w="2641"/>
        <w:gridCol w:w="899"/>
        <w:gridCol w:w="3662"/>
      </w:tblGrid>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jc w:val="center"/>
        </w:trPr>
        <w:tc>
          <w:tcPr>
            <w:tcW w:w="307" w:type="pct"/>
            <w:vAlign w:val="center"/>
          </w:tcPr>
          <w:p>
            <w:pPr>
              <w:pStyle w:val="105"/>
              <w:rPr>
                <w:color w:val="auto"/>
                <w:szCs w:val="21"/>
                <w:highlight w:val="none"/>
              </w:rPr>
            </w:pPr>
            <w:r>
              <w:rPr>
                <w:color w:val="auto"/>
                <w:szCs w:val="21"/>
                <w:highlight w:val="none"/>
              </w:rPr>
              <w:t>分类</w:t>
            </w:r>
          </w:p>
        </w:tc>
        <w:tc>
          <w:tcPr>
            <w:tcW w:w="693" w:type="pct"/>
            <w:vAlign w:val="center"/>
          </w:tcPr>
          <w:p>
            <w:pPr>
              <w:pStyle w:val="105"/>
              <w:rPr>
                <w:color w:val="auto"/>
                <w:szCs w:val="21"/>
                <w:highlight w:val="none"/>
              </w:rPr>
            </w:pPr>
            <w:r>
              <w:rPr>
                <w:color w:val="auto"/>
                <w:szCs w:val="21"/>
                <w:highlight w:val="none"/>
              </w:rPr>
              <w:t>监测位置</w:t>
            </w:r>
          </w:p>
        </w:tc>
        <w:tc>
          <w:tcPr>
            <w:tcW w:w="1466" w:type="pct"/>
            <w:vAlign w:val="center"/>
          </w:tcPr>
          <w:p>
            <w:pPr>
              <w:pStyle w:val="105"/>
              <w:rPr>
                <w:color w:val="auto"/>
                <w:szCs w:val="21"/>
                <w:highlight w:val="none"/>
              </w:rPr>
            </w:pPr>
            <w:r>
              <w:rPr>
                <w:color w:val="auto"/>
                <w:szCs w:val="21"/>
                <w:highlight w:val="none"/>
              </w:rPr>
              <w:t>监测项目</w:t>
            </w:r>
          </w:p>
        </w:tc>
        <w:tc>
          <w:tcPr>
            <w:tcW w:w="499" w:type="pct"/>
            <w:vAlign w:val="center"/>
          </w:tcPr>
          <w:p>
            <w:pPr>
              <w:pStyle w:val="105"/>
              <w:rPr>
                <w:color w:val="auto"/>
                <w:szCs w:val="21"/>
                <w:highlight w:val="none"/>
              </w:rPr>
            </w:pPr>
            <w:r>
              <w:rPr>
                <w:color w:val="auto"/>
                <w:szCs w:val="21"/>
                <w:highlight w:val="none"/>
              </w:rPr>
              <w:t>监测频次</w:t>
            </w:r>
          </w:p>
        </w:tc>
        <w:tc>
          <w:tcPr>
            <w:tcW w:w="2033" w:type="pct"/>
            <w:vAlign w:val="center"/>
          </w:tcPr>
          <w:p>
            <w:pPr>
              <w:pStyle w:val="105"/>
              <w:rPr>
                <w:color w:val="auto"/>
                <w:szCs w:val="21"/>
                <w:highlight w:val="none"/>
              </w:rPr>
            </w:pPr>
            <w:r>
              <w:rPr>
                <w:rFonts w:hint="eastAsia"/>
                <w:color w:val="auto"/>
                <w:szCs w:val="21"/>
                <w:highlight w:val="none"/>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jc w:val="center"/>
        </w:trPr>
        <w:tc>
          <w:tcPr>
            <w:tcW w:w="307" w:type="pct"/>
            <w:vMerge w:val="restart"/>
            <w:vAlign w:val="center"/>
          </w:tcPr>
          <w:p>
            <w:pPr>
              <w:pStyle w:val="105"/>
              <w:rPr>
                <w:color w:val="auto"/>
                <w:szCs w:val="21"/>
                <w:highlight w:val="none"/>
              </w:rPr>
            </w:pPr>
            <w:r>
              <w:rPr>
                <w:color w:val="auto"/>
                <w:szCs w:val="21"/>
                <w:highlight w:val="none"/>
              </w:rPr>
              <w:t>废气</w:t>
            </w:r>
          </w:p>
        </w:tc>
        <w:tc>
          <w:tcPr>
            <w:tcW w:w="693" w:type="pct"/>
            <w:vAlign w:val="center"/>
          </w:tcPr>
          <w:p>
            <w:pPr>
              <w:widowControl/>
              <w:spacing w:line="240" w:lineRule="exact"/>
              <w:jc w:val="center"/>
              <w:rPr>
                <w:color w:val="auto"/>
                <w:szCs w:val="21"/>
                <w:highlight w:val="none"/>
              </w:rPr>
            </w:pPr>
            <w:r>
              <w:rPr>
                <w:rFonts w:hint="eastAsia"/>
                <w:color w:val="auto"/>
                <w:szCs w:val="21"/>
                <w:highlight w:val="none"/>
              </w:rPr>
              <w:t>挤出成型、熔融造粒、注塑废气废气排气筒</w:t>
            </w:r>
            <w:r>
              <w:rPr>
                <w:color w:val="auto"/>
                <w:szCs w:val="21"/>
                <w:highlight w:val="none"/>
              </w:rPr>
              <w:t>DA001</w:t>
            </w:r>
          </w:p>
        </w:tc>
        <w:tc>
          <w:tcPr>
            <w:tcW w:w="1466" w:type="pct"/>
            <w:vAlign w:val="center"/>
          </w:tcPr>
          <w:p>
            <w:pPr>
              <w:pStyle w:val="105"/>
              <w:rPr>
                <w:color w:val="auto"/>
                <w:szCs w:val="21"/>
                <w:highlight w:val="none"/>
              </w:rPr>
            </w:pPr>
            <w:r>
              <w:rPr>
                <w:color w:val="auto"/>
                <w:szCs w:val="21"/>
                <w:highlight w:val="none"/>
              </w:rPr>
              <w:t>废气量、VOCs</w:t>
            </w:r>
            <w:r>
              <w:rPr>
                <w:rFonts w:hint="eastAsia"/>
                <w:color w:val="auto"/>
                <w:szCs w:val="21"/>
                <w:highlight w:val="none"/>
              </w:rPr>
              <w:t>(以非甲烷总烃计)、颗粒物</w:t>
            </w:r>
          </w:p>
        </w:tc>
        <w:tc>
          <w:tcPr>
            <w:tcW w:w="499" w:type="pct"/>
            <w:vAlign w:val="center"/>
          </w:tcPr>
          <w:p>
            <w:pPr>
              <w:pStyle w:val="105"/>
              <w:rPr>
                <w:rFonts w:hint="default" w:eastAsia="宋体"/>
                <w:color w:val="auto"/>
                <w:szCs w:val="21"/>
                <w:highlight w:val="none"/>
                <w:lang w:val="en-US" w:eastAsia="zh-CN"/>
              </w:rPr>
            </w:pPr>
            <w:r>
              <w:rPr>
                <w:color w:val="auto"/>
                <w:szCs w:val="21"/>
                <w:highlight w:val="none"/>
              </w:rPr>
              <w:t>1次/</w:t>
            </w:r>
            <w:r>
              <w:rPr>
                <w:rFonts w:hint="eastAsia"/>
                <w:color w:val="auto"/>
                <w:szCs w:val="21"/>
                <w:highlight w:val="none"/>
              </w:rPr>
              <w:t>年</w:t>
            </w:r>
            <w:r>
              <w:rPr>
                <w:rFonts w:hint="eastAsia"/>
                <w:color w:val="auto"/>
                <w:szCs w:val="21"/>
                <w:highlight w:val="none"/>
                <w:lang w:eastAsia="zh-CN"/>
              </w:rPr>
              <w:t>，</w:t>
            </w:r>
            <w:r>
              <w:rPr>
                <w:rFonts w:hint="eastAsia"/>
                <w:color w:val="auto"/>
                <w:szCs w:val="21"/>
                <w:highlight w:val="none"/>
                <w:lang w:val="en-US" w:eastAsia="zh-CN"/>
              </w:rPr>
              <w:t>同时安装VOCs在线监测设备</w:t>
            </w:r>
          </w:p>
        </w:tc>
        <w:tc>
          <w:tcPr>
            <w:tcW w:w="2033" w:type="pct"/>
            <w:vAlign w:val="center"/>
          </w:tcPr>
          <w:p>
            <w:pPr>
              <w:pStyle w:val="105"/>
              <w:rPr>
                <w:color w:val="auto"/>
                <w:szCs w:val="21"/>
                <w:highlight w:val="none"/>
              </w:rPr>
            </w:pPr>
            <w:r>
              <w:rPr>
                <w:rFonts w:hint="eastAsia"/>
                <w:color w:val="auto"/>
                <w:szCs w:val="21"/>
                <w:highlight w:val="none"/>
              </w:rPr>
              <w:t>颗粒物执行《区域性大气污染物综合排放标准》(DB37/2376-2019)表1中</w:t>
            </w:r>
            <w:r>
              <w:rPr>
                <w:rFonts w:hint="eastAsia" w:ascii="TimesNewRomanPSMT" w:eastAsia="TimesNewRomanPSMT"/>
                <w:color w:val="auto"/>
                <w:szCs w:val="21"/>
                <w:highlight w:val="none"/>
              </w:rPr>
              <w:t>“</w:t>
            </w:r>
            <w:r>
              <w:rPr>
                <w:rFonts w:hint="eastAsia" w:eastAsia="TimesNewRomanPSMT"/>
                <w:color w:val="auto"/>
                <w:szCs w:val="21"/>
                <w:highlight w:val="none"/>
                <w:lang w:eastAsia="zh-CN"/>
              </w:rPr>
              <w:t>重点控制区</w:t>
            </w:r>
            <w:r>
              <w:rPr>
                <w:rFonts w:hint="eastAsia" w:ascii="TimesNewRomanPSMT" w:eastAsia="TimesNewRomanPSMT"/>
                <w:color w:val="auto"/>
                <w:szCs w:val="21"/>
                <w:highlight w:val="none"/>
              </w:rPr>
              <w:t>”</w:t>
            </w:r>
            <w:r>
              <w:rPr>
                <w:rFonts w:hint="eastAsia"/>
                <w:color w:val="auto"/>
                <w:szCs w:val="21"/>
                <w:highlight w:val="none"/>
              </w:rPr>
              <w:t>的排放浓度限值，VOCs执行《挥发性有机物排放标准 第6部分：有机化工行业》（DB37/2801.6-2018）表1</w:t>
            </w:r>
            <w:r>
              <w:rPr>
                <w:rFonts w:hint="eastAsia"/>
                <w:color w:val="auto"/>
                <w:highlight w:val="none"/>
              </w:rPr>
              <w:t>中</w:t>
            </w:r>
            <w:r>
              <w:rPr>
                <w:rFonts w:hint="eastAsia"/>
                <w:color w:val="auto"/>
                <w:highlight w:val="none"/>
              </w:rPr>
              <w:fldChar w:fldCharType="begin"/>
            </w:r>
            <w:r>
              <w:rPr>
                <w:rFonts w:hint="eastAsia"/>
                <w:color w:val="auto"/>
                <w:highlight w:val="none"/>
              </w:rPr>
              <w:instrText xml:space="preserve"> = 2 \* ROMAN \* MERGEFORMAT </w:instrText>
            </w:r>
            <w:r>
              <w:rPr>
                <w:rFonts w:hint="eastAsia"/>
                <w:color w:val="auto"/>
                <w:highlight w:val="none"/>
              </w:rPr>
              <w:fldChar w:fldCharType="separate"/>
            </w:r>
            <w:r>
              <w:rPr>
                <w:color w:val="auto"/>
                <w:highlight w:val="none"/>
              </w:rPr>
              <w:t>II</w:t>
            </w:r>
            <w:r>
              <w:rPr>
                <w:rFonts w:hint="eastAsia"/>
                <w:color w:val="auto"/>
                <w:highlight w:val="none"/>
              </w:rPr>
              <w:fldChar w:fldCharType="end"/>
            </w:r>
            <w:r>
              <w:rPr>
                <w:rFonts w:hint="eastAsia"/>
                <w:color w:val="auto"/>
                <w:highlight w:val="none"/>
              </w:rPr>
              <w:t>时段</w:t>
            </w:r>
            <w:r>
              <w:rPr>
                <w:rFonts w:hint="eastAsia"/>
                <w:color w:val="auto"/>
                <w:szCs w:val="21"/>
                <w:highlight w:val="none"/>
              </w:rPr>
              <w:t>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jc w:val="center"/>
        </w:trPr>
        <w:tc>
          <w:tcPr>
            <w:tcW w:w="307" w:type="pct"/>
            <w:vMerge w:val="continue"/>
            <w:vAlign w:val="center"/>
          </w:tcPr>
          <w:p>
            <w:pPr>
              <w:pStyle w:val="105"/>
              <w:rPr>
                <w:color w:val="auto"/>
                <w:szCs w:val="21"/>
                <w:highlight w:val="none"/>
              </w:rPr>
            </w:pPr>
          </w:p>
        </w:tc>
        <w:tc>
          <w:tcPr>
            <w:tcW w:w="693" w:type="pct"/>
            <w:vMerge w:val="restart"/>
            <w:vAlign w:val="center"/>
          </w:tcPr>
          <w:p>
            <w:pPr>
              <w:pStyle w:val="105"/>
              <w:rPr>
                <w:color w:val="auto"/>
                <w:szCs w:val="21"/>
                <w:highlight w:val="none"/>
              </w:rPr>
            </w:pPr>
            <w:r>
              <w:rPr>
                <w:color w:val="auto"/>
                <w:szCs w:val="21"/>
                <w:highlight w:val="none"/>
              </w:rPr>
              <w:t>厂界无组织</w:t>
            </w:r>
          </w:p>
        </w:tc>
        <w:tc>
          <w:tcPr>
            <w:tcW w:w="1466" w:type="pct"/>
            <w:vAlign w:val="center"/>
          </w:tcPr>
          <w:p>
            <w:pPr>
              <w:pStyle w:val="105"/>
              <w:rPr>
                <w:color w:val="auto"/>
                <w:szCs w:val="21"/>
                <w:highlight w:val="none"/>
              </w:rPr>
            </w:pPr>
            <w:r>
              <w:rPr>
                <w:rFonts w:hint="eastAsia"/>
                <w:color w:val="auto"/>
                <w:szCs w:val="21"/>
                <w:highlight w:val="none"/>
              </w:rPr>
              <w:t>颗粒物</w:t>
            </w:r>
          </w:p>
        </w:tc>
        <w:tc>
          <w:tcPr>
            <w:tcW w:w="499" w:type="pct"/>
            <w:vAlign w:val="center"/>
          </w:tcPr>
          <w:p>
            <w:pPr>
              <w:pStyle w:val="105"/>
              <w:rPr>
                <w:color w:val="auto"/>
                <w:szCs w:val="21"/>
                <w:highlight w:val="none"/>
              </w:rPr>
            </w:pPr>
            <w:r>
              <w:rPr>
                <w:color w:val="auto"/>
                <w:szCs w:val="21"/>
                <w:highlight w:val="none"/>
              </w:rPr>
              <w:t>1次/</w:t>
            </w:r>
            <w:r>
              <w:rPr>
                <w:rFonts w:hint="eastAsia"/>
                <w:color w:val="auto"/>
                <w:szCs w:val="21"/>
                <w:highlight w:val="none"/>
              </w:rPr>
              <w:t>年</w:t>
            </w:r>
          </w:p>
        </w:tc>
        <w:tc>
          <w:tcPr>
            <w:tcW w:w="2033" w:type="pct"/>
            <w:vAlign w:val="center"/>
          </w:tcPr>
          <w:p>
            <w:pPr>
              <w:pStyle w:val="105"/>
              <w:rPr>
                <w:color w:val="auto"/>
                <w:szCs w:val="21"/>
                <w:highlight w:val="none"/>
              </w:rPr>
            </w:pPr>
            <w:r>
              <w:rPr>
                <w:rFonts w:hint="eastAsia"/>
                <w:color w:val="auto"/>
                <w:szCs w:val="21"/>
                <w:highlight w:val="none"/>
              </w:rPr>
              <w:t>《大气污染物综合排放标准》(GB16297-1996)中表2无组织排放监控浓度限值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jc w:val="center"/>
        </w:trPr>
        <w:tc>
          <w:tcPr>
            <w:tcW w:w="307" w:type="pct"/>
            <w:vMerge w:val="continue"/>
            <w:vAlign w:val="center"/>
          </w:tcPr>
          <w:p>
            <w:pPr>
              <w:pStyle w:val="105"/>
              <w:rPr>
                <w:color w:val="auto"/>
                <w:szCs w:val="21"/>
                <w:highlight w:val="none"/>
              </w:rPr>
            </w:pPr>
          </w:p>
        </w:tc>
        <w:tc>
          <w:tcPr>
            <w:tcW w:w="693" w:type="pct"/>
            <w:vMerge w:val="continue"/>
            <w:vAlign w:val="center"/>
          </w:tcPr>
          <w:p>
            <w:pPr>
              <w:pStyle w:val="105"/>
              <w:rPr>
                <w:color w:val="auto"/>
                <w:szCs w:val="21"/>
                <w:highlight w:val="none"/>
              </w:rPr>
            </w:pPr>
          </w:p>
        </w:tc>
        <w:tc>
          <w:tcPr>
            <w:tcW w:w="1466" w:type="pct"/>
            <w:vAlign w:val="center"/>
          </w:tcPr>
          <w:p>
            <w:pPr>
              <w:pStyle w:val="105"/>
              <w:rPr>
                <w:color w:val="auto"/>
                <w:szCs w:val="21"/>
                <w:highlight w:val="none"/>
              </w:rPr>
            </w:pPr>
            <w:r>
              <w:rPr>
                <w:color w:val="auto"/>
                <w:szCs w:val="21"/>
                <w:highlight w:val="none"/>
              </w:rPr>
              <w:t>VOCs</w:t>
            </w:r>
          </w:p>
        </w:tc>
        <w:tc>
          <w:tcPr>
            <w:tcW w:w="499" w:type="pct"/>
            <w:vAlign w:val="center"/>
          </w:tcPr>
          <w:p>
            <w:pPr>
              <w:pStyle w:val="105"/>
              <w:rPr>
                <w:color w:val="auto"/>
                <w:szCs w:val="21"/>
                <w:highlight w:val="none"/>
              </w:rPr>
            </w:pPr>
            <w:r>
              <w:rPr>
                <w:color w:val="auto"/>
                <w:szCs w:val="21"/>
                <w:highlight w:val="none"/>
              </w:rPr>
              <w:t>1次/</w:t>
            </w:r>
            <w:r>
              <w:rPr>
                <w:rFonts w:hint="eastAsia"/>
                <w:color w:val="auto"/>
                <w:szCs w:val="21"/>
                <w:highlight w:val="none"/>
              </w:rPr>
              <w:t>年</w:t>
            </w:r>
          </w:p>
        </w:tc>
        <w:tc>
          <w:tcPr>
            <w:tcW w:w="2033" w:type="pct"/>
            <w:vAlign w:val="center"/>
          </w:tcPr>
          <w:p>
            <w:pPr>
              <w:pStyle w:val="105"/>
              <w:rPr>
                <w:color w:val="auto"/>
                <w:szCs w:val="21"/>
                <w:highlight w:val="none"/>
              </w:rPr>
            </w:pPr>
            <w:r>
              <w:rPr>
                <w:rFonts w:hint="eastAsia"/>
                <w:color w:val="auto"/>
                <w:szCs w:val="21"/>
                <w:highlight w:val="none"/>
              </w:rPr>
              <w:t>《挥发性有机物排放标准 第6部分：有机化工行业》（DB37/2801.6-2018）表3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jc w:val="center"/>
        </w:trPr>
        <w:tc>
          <w:tcPr>
            <w:tcW w:w="307" w:type="pct"/>
            <w:vAlign w:val="center"/>
          </w:tcPr>
          <w:p>
            <w:pPr>
              <w:pStyle w:val="105"/>
              <w:rPr>
                <w:color w:val="auto"/>
                <w:szCs w:val="21"/>
                <w:highlight w:val="none"/>
              </w:rPr>
            </w:pPr>
            <w:r>
              <w:rPr>
                <w:rFonts w:hint="eastAsia"/>
                <w:color w:val="auto"/>
                <w:szCs w:val="21"/>
                <w:highlight w:val="none"/>
              </w:rPr>
              <w:t>地下水</w:t>
            </w:r>
          </w:p>
        </w:tc>
        <w:tc>
          <w:tcPr>
            <w:tcW w:w="693" w:type="pct"/>
            <w:shd w:val="clear" w:color="auto" w:fill="auto"/>
            <w:vAlign w:val="center"/>
          </w:tcPr>
          <w:p>
            <w:pPr>
              <w:pStyle w:val="105"/>
              <w:rPr>
                <w:color w:val="auto"/>
                <w:szCs w:val="21"/>
                <w:highlight w:val="none"/>
              </w:rPr>
            </w:pPr>
            <w:r>
              <w:rPr>
                <w:rFonts w:hint="eastAsia"/>
                <w:color w:val="auto"/>
                <w:szCs w:val="21"/>
                <w:highlight w:val="none"/>
              </w:rPr>
              <w:t>地下水监控井</w:t>
            </w:r>
          </w:p>
        </w:tc>
        <w:tc>
          <w:tcPr>
            <w:tcW w:w="1466" w:type="pct"/>
            <w:shd w:val="clear" w:color="auto" w:fill="auto"/>
            <w:vAlign w:val="center"/>
          </w:tcPr>
          <w:p>
            <w:pPr>
              <w:pStyle w:val="105"/>
              <w:rPr>
                <w:color w:val="auto"/>
                <w:szCs w:val="21"/>
                <w:highlight w:val="none"/>
              </w:rPr>
            </w:pPr>
            <w:r>
              <w:rPr>
                <w:color w:val="auto"/>
                <w:highlight w:val="none"/>
              </w:rPr>
              <w:t>pH、总硬度、硫化物、硝酸盐氮、亚硝酸盐氮、硫酸盐、挥发酚、氨氮、氰化物、氟化物、砷、氯化物、六价铬、汞、苯系物、总大肠菌群</w:t>
            </w:r>
          </w:p>
        </w:tc>
        <w:tc>
          <w:tcPr>
            <w:tcW w:w="499" w:type="pct"/>
            <w:vAlign w:val="center"/>
          </w:tcPr>
          <w:p>
            <w:pPr>
              <w:pStyle w:val="105"/>
              <w:rPr>
                <w:color w:val="auto"/>
                <w:szCs w:val="21"/>
                <w:highlight w:val="none"/>
              </w:rPr>
            </w:pPr>
            <w:r>
              <w:rPr>
                <w:rFonts w:hint="eastAsia"/>
                <w:color w:val="auto"/>
                <w:szCs w:val="21"/>
                <w:highlight w:val="none"/>
              </w:rPr>
              <w:t>1次/年</w:t>
            </w:r>
          </w:p>
        </w:tc>
        <w:tc>
          <w:tcPr>
            <w:tcW w:w="2033" w:type="pct"/>
            <w:vAlign w:val="center"/>
          </w:tcPr>
          <w:p>
            <w:pPr>
              <w:pStyle w:val="105"/>
              <w:rPr>
                <w:color w:val="auto"/>
                <w:szCs w:val="21"/>
                <w:highlight w:val="none"/>
              </w:rPr>
            </w:pPr>
            <w:r>
              <w:rPr>
                <w:rFonts w:hint="eastAsia"/>
                <w:color w:val="auto"/>
                <w:szCs w:val="21"/>
                <w:highlight w:val="none"/>
              </w:rPr>
              <w:t>《地下水质量标准》(GB/T14848-2017)Ⅲ类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jc w:val="center"/>
        </w:trPr>
        <w:tc>
          <w:tcPr>
            <w:tcW w:w="307" w:type="pct"/>
            <w:vAlign w:val="center"/>
          </w:tcPr>
          <w:p>
            <w:pPr>
              <w:pStyle w:val="105"/>
              <w:rPr>
                <w:color w:val="auto"/>
                <w:szCs w:val="21"/>
                <w:highlight w:val="none"/>
              </w:rPr>
            </w:pPr>
            <w:r>
              <w:rPr>
                <w:rFonts w:hint="eastAsia"/>
                <w:color w:val="auto"/>
                <w:szCs w:val="21"/>
                <w:highlight w:val="none"/>
              </w:rPr>
              <w:t>固废</w:t>
            </w:r>
          </w:p>
        </w:tc>
        <w:tc>
          <w:tcPr>
            <w:tcW w:w="693" w:type="pct"/>
            <w:shd w:val="clear" w:color="auto" w:fill="auto"/>
            <w:vAlign w:val="center"/>
          </w:tcPr>
          <w:p>
            <w:pPr>
              <w:pStyle w:val="105"/>
              <w:rPr>
                <w:color w:val="auto"/>
                <w:szCs w:val="21"/>
                <w:highlight w:val="none"/>
              </w:rPr>
            </w:pPr>
            <w:r>
              <w:rPr>
                <w:rFonts w:hint="eastAsia"/>
                <w:color w:val="auto"/>
                <w:szCs w:val="21"/>
                <w:highlight w:val="none"/>
              </w:rPr>
              <w:t>全厂</w:t>
            </w:r>
          </w:p>
        </w:tc>
        <w:tc>
          <w:tcPr>
            <w:tcW w:w="1466" w:type="pct"/>
            <w:shd w:val="clear" w:color="auto" w:fill="auto"/>
            <w:vAlign w:val="center"/>
          </w:tcPr>
          <w:p>
            <w:pPr>
              <w:pStyle w:val="105"/>
              <w:rPr>
                <w:color w:val="auto"/>
                <w:szCs w:val="21"/>
                <w:highlight w:val="none"/>
              </w:rPr>
            </w:pPr>
            <w:r>
              <w:rPr>
                <w:rFonts w:hint="eastAsia"/>
                <w:color w:val="auto"/>
                <w:szCs w:val="21"/>
                <w:highlight w:val="none"/>
              </w:rPr>
              <w:t>固体废物种类(名称)、产生工序、属性(是否属危险废物)、产生量记录、去向等</w:t>
            </w:r>
          </w:p>
        </w:tc>
        <w:tc>
          <w:tcPr>
            <w:tcW w:w="499" w:type="pct"/>
            <w:vAlign w:val="center"/>
          </w:tcPr>
          <w:p>
            <w:pPr>
              <w:pStyle w:val="105"/>
              <w:rPr>
                <w:color w:val="auto"/>
                <w:szCs w:val="21"/>
                <w:highlight w:val="none"/>
              </w:rPr>
            </w:pPr>
            <w:r>
              <w:rPr>
                <w:rFonts w:hint="eastAsia"/>
                <w:color w:val="auto"/>
                <w:szCs w:val="21"/>
                <w:highlight w:val="none"/>
              </w:rPr>
              <w:t>1次/周</w:t>
            </w:r>
          </w:p>
        </w:tc>
        <w:tc>
          <w:tcPr>
            <w:tcW w:w="2033" w:type="pct"/>
            <w:vAlign w:val="center"/>
          </w:tcPr>
          <w:p>
            <w:pPr>
              <w:pStyle w:val="105"/>
              <w:rPr>
                <w:color w:val="auto"/>
                <w:szCs w:val="21"/>
                <w:highlight w:val="none"/>
              </w:rPr>
            </w:pPr>
            <w:r>
              <w:rPr>
                <w:rFonts w:hint="eastAsia"/>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jc w:val="center"/>
        </w:trPr>
        <w:tc>
          <w:tcPr>
            <w:tcW w:w="307" w:type="pct"/>
            <w:vAlign w:val="center"/>
          </w:tcPr>
          <w:p>
            <w:pPr>
              <w:pStyle w:val="105"/>
              <w:rPr>
                <w:color w:val="auto"/>
                <w:szCs w:val="21"/>
                <w:highlight w:val="none"/>
              </w:rPr>
            </w:pPr>
            <w:r>
              <w:rPr>
                <w:color w:val="auto"/>
                <w:szCs w:val="21"/>
                <w:highlight w:val="none"/>
              </w:rPr>
              <w:t>噪声</w:t>
            </w:r>
          </w:p>
        </w:tc>
        <w:tc>
          <w:tcPr>
            <w:tcW w:w="693" w:type="pct"/>
            <w:vAlign w:val="center"/>
          </w:tcPr>
          <w:p>
            <w:pPr>
              <w:pStyle w:val="105"/>
              <w:rPr>
                <w:color w:val="auto"/>
                <w:szCs w:val="21"/>
                <w:highlight w:val="none"/>
              </w:rPr>
            </w:pPr>
            <w:r>
              <w:rPr>
                <w:color w:val="auto"/>
                <w:szCs w:val="21"/>
                <w:highlight w:val="none"/>
              </w:rPr>
              <w:t>四厂界</w:t>
            </w:r>
          </w:p>
        </w:tc>
        <w:tc>
          <w:tcPr>
            <w:tcW w:w="1466" w:type="pct"/>
            <w:vAlign w:val="center"/>
          </w:tcPr>
          <w:p>
            <w:pPr>
              <w:pStyle w:val="105"/>
              <w:rPr>
                <w:color w:val="auto"/>
                <w:szCs w:val="21"/>
                <w:highlight w:val="none"/>
              </w:rPr>
            </w:pPr>
            <w:r>
              <w:rPr>
                <w:color w:val="auto"/>
                <w:szCs w:val="21"/>
                <w:highlight w:val="none"/>
              </w:rPr>
              <w:t>Leq(A)</w:t>
            </w:r>
          </w:p>
        </w:tc>
        <w:tc>
          <w:tcPr>
            <w:tcW w:w="499" w:type="pct"/>
            <w:vAlign w:val="center"/>
          </w:tcPr>
          <w:p>
            <w:pPr>
              <w:pStyle w:val="105"/>
              <w:rPr>
                <w:color w:val="auto"/>
                <w:szCs w:val="21"/>
                <w:highlight w:val="none"/>
              </w:rPr>
            </w:pPr>
            <w:r>
              <w:rPr>
                <w:color w:val="auto"/>
                <w:szCs w:val="21"/>
                <w:highlight w:val="none"/>
              </w:rPr>
              <w:t>1次季</w:t>
            </w:r>
          </w:p>
        </w:tc>
        <w:tc>
          <w:tcPr>
            <w:tcW w:w="2033" w:type="pct"/>
            <w:vAlign w:val="center"/>
          </w:tcPr>
          <w:p>
            <w:pPr>
              <w:pStyle w:val="105"/>
              <w:rPr>
                <w:color w:val="auto"/>
                <w:szCs w:val="21"/>
                <w:highlight w:val="none"/>
              </w:rPr>
            </w:pPr>
            <w:r>
              <w:rPr>
                <w:rFonts w:hint="eastAsia"/>
                <w:color w:val="auto"/>
                <w:szCs w:val="21"/>
                <w:highlight w:val="none"/>
              </w:rPr>
              <w:t>《工业企业厂界环境噪声排放标准》(GB12348-2008)2类</w:t>
            </w:r>
          </w:p>
        </w:tc>
      </w:tr>
    </w:tbl>
    <w:p>
      <w:pPr>
        <w:pStyle w:val="101"/>
        <w:spacing w:before="78"/>
        <w:rPr>
          <w:rFonts w:ascii="Times New Roman" w:hAnsi="Times New Roman"/>
          <w:color w:val="auto"/>
          <w:highlight w:val="none"/>
        </w:rPr>
      </w:pPr>
      <w:r>
        <w:rPr>
          <w:rFonts w:ascii="Times New Roman" w:hAnsi="Times New Roman"/>
          <w:color w:val="auto"/>
          <w:highlight w:val="none"/>
        </w:rPr>
        <w:t>8.3.2环境管理台账</w:t>
      </w:r>
    </w:p>
    <w:p>
      <w:pPr>
        <w:pStyle w:val="99"/>
        <w:ind w:firstLine="480"/>
        <w:rPr>
          <w:color w:val="auto"/>
          <w:highlight w:val="none"/>
        </w:rPr>
      </w:pPr>
      <w:r>
        <w:rPr>
          <w:color w:val="auto"/>
          <w:highlight w:val="none"/>
        </w:rPr>
        <w:t>企业应根据《排污单位自行监测技术指南 总则》</w:t>
      </w:r>
      <w:r>
        <w:rPr>
          <w:rFonts w:hint="eastAsia"/>
          <w:color w:val="auto"/>
          <w:highlight w:val="none"/>
        </w:rPr>
        <w:t>(</w:t>
      </w:r>
      <w:r>
        <w:rPr>
          <w:color w:val="auto"/>
          <w:highlight w:val="none"/>
        </w:rPr>
        <w:t>HJ819-2017</w:t>
      </w:r>
      <w:r>
        <w:rPr>
          <w:rFonts w:hint="eastAsia"/>
          <w:color w:val="auto"/>
          <w:highlight w:val="none"/>
        </w:rPr>
        <w:t>)、《排污许可证申请与核发技术规范 橡胶和塑料制品工业》(HJ1122-2020)及《排污许可证申请与核发技术规范 废弃资源加工工业》(HJ1034-2019)</w:t>
      </w:r>
      <w:r>
        <w:rPr>
          <w:color w:val="auto"/>
          <w:highlight w:val="none"/>
        </w:rPr>
        <w:t>等相关文件要求，健全相关环境管理台账。环境管理台账具体应包含的内容见表8.3-2。</w:t>
      </w:r>
    </w:p>
    <w:p>
      <w:pPr>
        <w:pStyle w:val="103"/>
        <w:rPr>
          <w:rFonts w:ascii="Times New Roman" w:hAnsi="Times New Roman"/>
          <w:color w:val="auto"/>
          <w:highlight w:val="none"/>
        </w:rPr>
      </w:pPr>
      <w:r>
        <w:rPr>
          <w:rFonts w:ascii="Times New Roman" w:hAnsi="Times New Roman"/>
          <w:color w:val="auto"/>
          <w:highlight w:val="none"/>
        </w:rPr>
        <w:t>表8.3-2  环境管理台账信息表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999"/>
        <w:gridCol w:w="3137"/>
        <w:gridCol w:w="1855"/>
        <w:gridCol w:w="1141"/>
        <w:gridCol w:w="11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3" w:type="pct"/>
            <w:tcMar>
              <w:top w:w="0" w:type="dxa"/>
              <w:left w:w="28" w:type="dxa"/>
              <w:bottom w:w="0" w:type="dxa"/>
              <w:right w:w="28" w:type="dxa"/>
            </w:tcMar>
            <w:vAlign w:val="center"/>
          </w:tcPr>
          <w:p>
            <w:pPr>
              <w:pStyle w:val="105"/>
              <w:rPr>
                <w:color w:val="auto"/>
                <w:highlight w:val="none"/>
              </w:rPr>
            </w:pPr>
            <w:r>
              <w:rPr>
                <w:color w:val="auto"/>
                <w:highlight w:val="none"/>
              </w:rPr>
              <w:t>序号</w:t>
            </w:r>
          </w:p>
        </w:tc>
        <w:tc>
          <w:tcPr>
            <w:tcW w:w="565" w:type="pct"/>
            <w:tcMar>
              <w:top w:w="0" w:type="dxa"/>
              <w:left w:w="28" w:type="dxa"/>
              <w:bottom w:w="0" w:type="dxa"/>
              <w:right w:w="28" w:type="dxa"/>
            </w:tcMar>
            <w:vAlign w:val="center"/>
          </w:tcPr>
          <w:p>
            <w:pPr>
              <w:pStyle w:val="105"/>
              <w:rPr>
                <w:color w:val="auto"/>
                <w:highlight w:val="none"/>
              </w:rPr>
            </w:pPr>
            <w:r>
              <w:rPr>
                <w:color w:val="auto"/>
                <w:highlight w:val="none"/>
              </w:rPr>
              <w:t>类别</w:t>
            </w:r>
          </w:p>
        </w:tc>
        <w:tc>
          <w:tcPr>
            <w:tcW w:w="1774" w:type="pct"/>
            <w:tcMar>
              <w:top w:w="0" w:type="dxa"/>
              <w:left w:w="28" w:type="dxa"/>
              <w:bottom w:w="0" w:type="dxa"/>
              <w:right w:w="28" w:type="dxa"/>
            </w:tcMar>
            <w:vAlign w:val="center"/>
          </w:tcPr>
          <w:p>
            <w:pPr>
              <w:pStyle w:val="105"/>
              <w:rPr>
                <w:color w:val="auto"/>
                <w:highlight w:val="none"/>
              </w:rPr>
            </w:pPr>
            <w:r>
              <w:rPr>
                <w:color w:val="auto"/>
                <w:highlight w:val="none"/>
              </w:rPr>
              <w:t>记录内容</w:t>
            </w:r>
          </w:p>
        </w:tc>
        <w:tc>
          <w:tcPr>
            <w:tcW w:w="1049" w:type="pct"/>
            <w:tcMar>
              <w:left w:w="28" w:type="dxa"/>
              <w:right w:w="28" w:type="dxa"/>
            </w:tcMar>
            <w:vAlign w:val="center"/>
          </w:tcPr>
          <w:p>
            <w:pPr>
              <w:pStyle w:val="105"/>
              <w:rPr>
                <w:color w:val="auto"/>
                <w:highlight w:val="none"/>
              </w:rPr>
            </w:pPr>
            <w:r>
              <w:rPr>
                <w:color w:val="auto"/>
                <w:highlight w:val="none"/>
              </w:rPr>
              <w:t>记录频次</w:t>
            </w:r>
          </w:p>
        </w:tc>
        <w:tc>
          <w:tcPr>
            <w:tcW w:w="645" w:type="pct"/>
            <w:tcMar>
              <w:top w:w="0" w:type="dxa"/>
              <w:left w:w="28" w:type="dxa"/>
              <w:bottom w:w="0" w:type="dxa"/>
              <w:right w:w="28" w:type="dxa"/>
            </w:tcMar>
            <w:vAlign w:val="center"/>
          </w:tcPr>
          <w:p>
            <w:pPr>
              <w:pStyle w:val="105"/>
              <w:rPr>
                <w:color w:val="auto"/>
                <w:highlight w:val="none"/>
              </w:rPr>
            </w:pPr>
            <w:r>
              <w:rPr>
                <w:color w:val="auto"/>
                <w:highlight w:val="none"/>
              </w:rPr>
              <w:t>记录形式</w:t>
            </w:r>
          </w:p>
        </w:tc>
        <w:tc>
          <w:tcPr>
            <w:tcW w:w="644" w:type="pct"/>
            <w:tcMar>
              <w:top w:w="0" w:type="dxa"/>
              <w:left w:w="28" w:type="dxa"/>
              <w:bottom w:w="0" w:type="dxa"/>
              <w:right w:w="28" w:type="dxa"/>
            </w:tcMar>
            <w:vAlign w:val="center"/>
          </w:tcPr>
          <w:p>
            <w:pPr>
              <w:pStyle w:val="105"/>
              <w:rPr>
                <w:color w:val="auto"/>
                <w:highlight w:val="none"/>
              </w:rPr>
            </w:pPr>
            <w:r>
              <w:rPr>
                <w:color w:val="auto"/>
                <w:highlight w:val="none"/>
              </w:rPr>
              <w:t>其他信息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3" w:type="pct"/>
            <w:tcMar>
              <w:left w:w="28" w:type="dxa"/>
              <w:right w:w="28" w:type="dxa"/>
            </w:tcMar>
            <w:vAlign w:val="center"/>
          </w:tcPr>
          <w:p>
            <w:pPr>
              <w:pStyle w:val="105"/>
              <w:rPr>
                <w:color w:val="auto"/>
                <w:highlight w:val="none"/>
              </w:rPr>
            </w:pPr>
            <w:r>
              <w:rPr>
                <w:color w:val="auto"/>
                <w:highlight w:val="none"/>
              </w:rPr>
              <w:t>1</w:t>
            </w:r>
          </w:p>
        </w:tc>
        <w:tc>
          <w:tcPr>
            <w:tcW w:w="565" w:type="pct"/>
            <w:tcMar>
              <w:top w:w="0" w:type="dxa"/>
              <w:left w:w="28" w:type="dxa"/>
              <w:bottom w:w="0" w:type="dxa"/>
              <w:right w:w="28" w:type="dxa"/>
            </w:tcMar>
            <w:vAlign w:val="center"/>
          </w:tcPr>
          <w:p>
            <w:pPr>
              <w:pStyle w:val="105"/>
              <w:rPr>
                <w:color w:val="auto"/>
                <w:highlight w:val="none"/>
              </w:rPr>
            </w:pPr>
            <w:r>
              <w:rPr>
                <w:color w:val="auto"/>
                <w:highlight w:val="none"/>
              </w:rPr>
              <w:t>基本信息</w:t>
            </w:r>
          </w:p>
        </w:tc>
        <w:tc>
          <w:tcPr>
            <w:tcW w:w="1774" w:type="pct"/>
            <w:tcMar>
              <w:top w:w="0" w:type="dxa"/>
              <w:left w:w="28" w:type="dxa"/>
              <w:bottom w:w="0" w:type="dxa"/>
              <w:right w:w="28" w:type="dxa"/>
            </w:tcMar>
            <w:vAlign w:val="center"/>
          </w:tcPr>
          <w:p>
            <w:pPr>
              <w:pStyle w:val="105"/>
              <w:rPr>
                <w:color w:val="auto"/>
                <w:highlight w:val="none"/>
              </w:rPr>
            </w:pPr>
            <w:r>
              <w:rPr>
                <w:color w:val="auto"/>
                <w:highlight w:val="none"/>
              </w:rPr>
              <w:t>企业名称、法人代表、统一社会信用代码、地址、生产规模；生产设施名称、编号、主要技术参数及设计值；污染防治设施名称、编号、设施规格型号、相关技术参数及设计值、防渗漏防泄漏措施落实和问题整改情况</w:t>
            </w:r>
          </w:p>
        </w:tc>
        <w:tc>
          <w:tcPr>
            <w:tcW w:w="1049" w:type="pct"/>
            <w:tcMar>
              <w:left w:w="28" w:type="dxa"/>
              <w:right w:w="28" w:type="dxa"/>
            </w:tcMar>
            <w:vAlign w:val="center"/>
          </w:tcPr>
          <w:p>
            <w:pPr>
              <w:pStyle w:val="105"/>
              <w:rPr>
                <w:color w:val="auto"/>
                <w:highlight w:val="none"/>
              </w:rPr>
            </w:pPr>
            <w:r>
              <w:rPr>
                <w:color w:val="auto"/>
                <w:highlight w:val="none"/>
              </w:rPr>
              <w:t>对于未发生变化的基本信息，按年记录，1次/年；对于发生变化的基本信息，在发生变化时记录1次</w:t>
            </w:r>
          </w:p>
        </w:tc>
        <w:tc>
          <w:tcPr>
            <w:tcW w:w="645" w:type="pct"/>
            <w:tcMar>
              <w:top w:w="0" w:type="dxa"/>
              <w:left w:w="28" w:type="dxa"/>
              <w:bottom w:w="0" w:type="dxa"/>
              <w:right w:w="28" w:type="dxa"/>
            </w:tcMar>
            <w:vAlign w:val="center"/>
          </w:tcPr>
          <w:p>
            <w:pPr>
              <w:pStyle w:val="105"/>
              <w:rPr>
                <w:color w:val="auto"/>
                <w:highlight w:val="none"/>
              </w:rPr>
            </w:pPr>
            <w:r>
              <w:rPr>
                <w:color w:val="auto"/>
                <w:highlight w:val="none"/>
              </w:rPr>
              <w:t>电子台账+纸质台账</w:t>
            </w:r>
          </w:p>
        </w:tc>
        <w:tc>
          <w:tcPr>
            <w:tcW w:w="644" w:type="pct"/>
            <w:tcMar>
              <w:top w:w="0" w:type="dxa"/>
              <w:left w:w="28" w:type="dxa"/>
              <w:bottom w:w="0" w:type="dxa"/>
              <w:right w:w="28" w:type="dxa"/>
            </w:tcMar>
            <w:vAlign w:val="center"/>
          </w:tcPr>
          <w:p>
            <w:pPr>
              <w:pStyle w:val="105"/>
              <w:rPr>
                <w:color w:val="auto"/>
                <w:highlight w:val="none"/>
              </w:rPr>
            </w:pPr>
            <w:r>
              <w:rPr>
                <w:color w:val="auto"/>
                <w:highlight w:val="none"/>
              </w:rPr>
              <w:t>台帐保存期限不得少于</w:t>
            </w:r>
            <w:r>
              <w:rPr>
                <w:rFonts w:hint="eastAsia"/>
                <w:color w:val="auto"/>
                <w:highlight w:val="none"/>
                <w:lang w:val="en-US" w:eastAsia="zh-CN"/>
              </w:rPr>
              <w:t>5</w:t>
            </w:r>
            <w:r>
              <w:rPr>
                <w:color w:val="auto"/>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3" w:type="pct"/>
            <w:tcMar>
              <w:left w:w="28" w:type="dxa"/>
              <w:right w:w="28" w:type="dxa"/>
            </w:tcMar>
            <w:vAlign w:val="center"/>
          </w:tcPr>
          <w:p>
            <w:pPr>
              <w:pStyle w:val="105"/>
              <w:rPr>
                <w:color w:val="auto"/>
                <w:highlight w:val="none"/>
              </w:rPr>
            </w:pPr>
            <w:r>
              <w:rPr>
                <w:color w:val="auto"/>
                <w:highlight w:val="none"/>
              </w:rPr>
              <w:t>2</w:t>
            </w:r>
          </w:p>
        </w:tc>
        <w:tc>
          <w:tcPr>
            <w:tcW w:w="565" w:type="pct"/>
            <w:tcMar>
              <w:top w:w="0" w:type="dxa"/>
              <w:left w:w="28" w:type="dxa"/>
              <w:bottom w:w="0" w:type="dxa"/>
              <w:right w:w="28" w:type="dxa"/>
            </w:tcMar>
            <w:vAlign w:val="center"/>
          </w:tcPr>
          <w:p>
            <w:pPr>
              <w:pStyle w:val="105"/>
              <w:rPr>
                <w:color w:val="auto"/>
                <w:highlight w:val="none"/>
              </w:rPr>
            </w:pPr>
            <w:r>
              <w:rPr>
                <w:color w:val="auto"/>
                <w:highlight w:val="none"/>
              </w:rPr>
              <w:t>生产设施运行管理信息</w:t>
            </w:r>
          </w:p>
        </w:tc>
        <w:tc>
          <w:tcPr>
            <w:tcW w:w="1774" w:type="pct"/>
            <w:tcMar>
              <w:top w:w="0" w:type="dxa"/>
              <w:left w:w="28" w:type="dxa"/>
              <w:bottom w:w="0" w:type="dxa"/>
              <w:right w:w="28" w:type="dxa"/>
            </w:tcMar>
            <w:vAlign w:val="center"/>
          </w:tcPr>
          <w:p>
            <w:pPr>
              <w:pStyle w:val="105"/>
              <w:rPr>
                <w:color w:val="auto"/>
                <w:highlight w:val="none"/>
              </w:rPr>
            </w:pPr>
            <w:r>
              <w:rPr>
                <w:color w:val="auto"/>
                <w:highlight w:val="none"/>
              </w:rPr>
              <w:t>记录生产设施运行时间、原辅料及燃料使用情况、主要产品产量；记录储罐、装载、循环水冷却系统运行信息；非正常工况起止时间、产品产量、原辅料、事件起因、应对措施、是否报告等。</w:t>
            </w:r>
          </w:p>
        </w:tc>
        <w:tc>
          <w:tcPr>
            <w:tcW w:w="1049" w:type="pct"/>
            <w:tcMar>
              <w:left w:w="28" w:type="dxa"/>
              <w:right w:w="28" w:type="dxa"/>
            </w:tcMar>
            <w:vAlign w:val="center"/>
          </w:tcPr>
          <w:p>
            <w:pPr>
              <w:pStyle w:val="105"/>
              <w:rPr>
                <w:color w:val="auto"/>
                <w:highlight w:val="none"/>
              </w:rPr>
            </w:pPr>
            <w:r>
              <w:rPr>
                <w:color w:val="auto"/>
                <w:highlight w:val="none"/>
              </w:rPr>
              <w:t>运行状态、生产负荷、产品产量、原辅料消耗量等按日记录，1次/日；原料采购按批次记录，1次/批；非正常工况按工况记录，1次/工况期。</w:t>
            </w:r>
          </w:p>
        </w:tc>
        <w:tc>
          <w:tcPr>
            <w:tcW w:w="645" w:type="pct"/>
            <w:tcMar>
              <w:top w:w="0" w:type="dxa"/>
              <w:left w:w="28" w:type="dxa"/>
              <w:bottom w:w="0" w:type="dxa"/>
              <w:right w:w="28" w:type="dxa"/>
            </w:tcMar>
            <w:vAlign w:val="center"/>
          </w:tcPr>
          <w:p>
            <w:pPr>
              <w:pStyle w:val="105"/>
              <w:rPr>
                <w:color w:val="auto"/>
                <w:highlight w:val="none"/>
              </w:rPr>
            </w:pPr>
            <w:r>
              <w:rPr>
                <w:color w:val="auto"/>
                <w:highlight w:val="none"/>
              </w:rPr>
              <w:t>电子台账+纸质台账</w:t>
            </w:r>
          </w:p>
        </w:tc>
        <w:tc>
          <w:tcPr>
            <w:tcW w:w="644" w:type="pct"/>
            <w:tcMar>
              <w:top w:w="0" w:type="dxa"/>
              <w:left w:w="28" w:type="dxa"/>
              <w:bottom w:w="0" w:type="dxa"/>
              <w:right w:w="28" w:type="dxa"/>
            </w:tcMar>
            <w:vAlign w:val="center"/>
          </w:tcPr>
          <w:p>
            <w:pPr>
              <w:pStyle w:val="105"/>
              <w:rPr>
                <w:color w:val="auto"/>
                <w:highlight w:val="none"/>
              </w:rPr>
            </w:pPr>
            <w:r>
              <w:rPr>
                <w:color w:val="auto"/>
                <w:highlight w:val="none"/>
              </w:rPr>
              <w:t>台帐保存期限不得少于</w:t>
            </w:r>
            <w:r>
              <w:rPr>
                <w:rFonts w:hint="eastAsia"/>
                <w:color w:val="auto"/>
                <w:highlight w:val="none"/>
                <w:lang w:val="en-US" w:eastAsia="zh-CN"/>
              </w:rPr>
              <w:t>5</w:t>
            </w:r>
            <w:r>
              <w:rPr>
                <w:color w:val="auto"/>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3" w:type="pct"/>
            <w:tcMar>
              <w:left w:w="28" w:type="dxa"/>
              <w:right w:w="28" w:type="dxa"/>
            </w:tcMar>
            <w:vAlign w:val="center"/>
          </w:tcPr>
          <w:p>
            <w:pPr>
              <w:pStyle w:val="105"/>
              <w:rPr>
                <w:color w:val="auto"/>
                <w:highlight w:val="none"/>
              </w:rPr>
            </w:pPr>
            <w:r>
              <w:rPr>
                <w:color w:val="auto"/>
                <w:highlight w:val="none"/>
              </w:rPr>
              <w:t>3</w:t>
            </w:r>
          </w:p>
        </w:tc>
        <w:tc>
          <w:tcPr>
            <w:tcW w:w="565" w:type="pct"/>
            <w:tcMar>
              <w:top w:w="0" w:type="dxa"/>
              <w:left w:w="28" w:type="dxa"/>
              <w:bottom w:w="0" w:type="dxa"/>
              <w:right w:w="28" w:type="dxa"/>
            </w:tcMar>
            <w:vAlign w:val="center"/>
          </w:tcPr>
          <w:p>
            <w:pPr>
              <w:pStyle w:val="105"/>
              <w:rPr>
                <w:color w:val="auto"/>
                <w:highlight w:val="none"/>
              </w:rPr>
            </w:pPr>
            <w:r>
              <w:rPr>
                <w:color w:val="auto"/>
                <w:highlight w:val="none"/>
              </w:rPr>
              <w:t>污染防治设施运行管理信息</w:t>
            </w:r>
          </w:p>
        </w:tc>
        <w:tc>
          <w:tcPr>
            <w:tcW w:w="1774" w:type="pct"/>
            <w:tcMar>
              <w:top w:w="0" w:type="dxa"/>
              <w:left w:w="28" w:type="dxa"/>
              <w:bottom w:w="0" w:type="dxa"/>
              <w:right w:w="28" w:type="dxa"/>
            </w:tcMar>
            <w:vAlign w:val="center"/>
          </w:tcPr>
          <w:p>
            <w:pPr>
              <w:pStyle w:val="105"/>
              <w:rPr>
                <w:color w:val="auto"/>
                <w:highlight w:val="none"/>
              </w:rPr>
            </w:pPr>
            <w:r>
              <w:rPr>
                <w:color w:val="auto"/>
                <w:highlight w:val="none"/>
              </w:rPr>
              <w:t>记录有组织废气治理设施运行时间、运行参数等；记录无组织废气排放控制措施执行情况，包括储罐、动静密封点、装卸的维护、保养、检查等运行管理情况；记录污染治理设施维运情况，包括设施是否正常运行、故障原因、维护过程、检查人、检查日期及班次。</w:t>
            </w:r>
          </w:p>
        </w:tc>
        <w:tc>
          <w:tcPr>
            <w:tcW w:w="1049" w:type="pct"/>
            <w:tcMar>
              <w:left w:w="28" w:type="dxa"/>
              <w:right w:w="28" w:type="dxa"/>
            </w:tcMar>
            <w:vAlign w:val="center"/>
          </w:tcPr>
          <w:p>
            <w:pPr>
              <w:pStyle w:val="105"/>
              <w:rPr>
                <w:color w:val="auto"/>
                <w:highlight w:val="none"/>
              </w:rPr>
            </w:pPr>
            <w:r>
              <w:rPr>
                <w:color w:val="auto"/>
                <w:highlight w:val="none"/>
              </w:rPr>
              <w:t>运行情况按日记录，1次/日；主要药剂添加情况按日或批次记录，1次/日或批次；异常情况按异常情况期记录，1次/异常情况期。</w:t>
            </w:r>
          </w:p>
        </w:tc>
        <w:tc>
          <w:tcPr>
            <w:tcW w:w="645" w:type="pct"/>
            <w:tcMar>
              <w:top w:w="0" w:type="dxa"/>
              <w:left w:w="28" w:type="dxa"/>
              <w:bottom w:w="0" w:type="dxa"/>
              <w:right w:w="28" w:type="dxa"/>
            </w:tcMar>
            <w:vAlign w:val="center"/>
          </w:tcPr>
          <w:p>
            <w:pPr>
              <w:pStyle w:val="105"/>
              <w:rPr>
                <w:color w:val="auto"/>
                <w:highlight w:val="none"/>
              </w:rPr>
            </w:pPr>
            <w:r>
              <w:rPr>
                <w:color w:val="auto"/>
                <w:highlight w:val="none"/>
              </w:rPr>
              <w:t>电子台账+纸质台账</w:t>
            </w:r>
          </w:p>
        </w:tc>
        <w:tc>
          <w:tcPr>
            <w:tcW w:w="644" w:type="pct"/>
            <w:tcMar>
              <w:top w:w="0" w:type="dxa"/>
              <w:left w:w="28" w:type="dxa"/>
              <w:bottom w:w="0" w:type="dxa"/>
              <w:right w:w="28" w:type="dxa"/>
            </w:tcMar>
            <w:vAlign w:val="center"/>
          </w:tcPr>
          <w:p>
            <w:pPr>
              <w:pStyle w:val="105"/>
              <w:rPr>
                <w:color w:val="auto"/>
                <w:highlight w:val="none"/>
              </w:rPr>
            </w:pPr>
            <w:r>
              <w:rPr>
                <w:color w:val="auto"/>
                <w:highlight w:val="none"/>
              </w:rPr>
              <w:t>台帐保存期限不得少于</w:t>
            </w:r>
            <w:r>
              <w:rPr>
                <w:rFonts w:hint="eastAsia"/>
                <w:color w:val="auto"/>
                <w:highlight w:val="none"/>
                <w:lang w:val="en-US" w:eastAsia="zh-CN"/>
              </w:rPr>
              <w:t>5</w:t>
            </w:r>
            <w:r>
              <w:rPr>
                <w:color w:val="auto"/>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3" w:type="pct"/>
            <w:tcMar>
              <w:left w:w="28" w:type="dxa"/>
              <w:right w:w="28" w:type="dxa"/>
            </w:tcMar>
            <w:vAlign w:val="center"/>
          </w:tcPr>
          <w:p>
            <w:pPr>
              <w:pStyle w:val="105"/>
              <w:rPr>
                <w:color w:val="auto"/>
                <w:highlight w:val="none"/>
              </w:rPr>
            </w:pPr>
            <w:r>
              <w:rPr>
                <w:color w:val="auto"/>
                <w:highlight w:val="none"/>
              </w:rPr>
              <w:t>4</w:t>
            </w:r>
          </w:p>
        </w:tc>
        <w:tc>
          <w:tcPr>
            <w:tcW w:w="565" w:type="pct"/>
            <w:tcMar>
              <w:top w:w="0" w:type="dxa"/>
              <w:left w:w="28" w:type="dxa"/>
              <w:bottom w:w="0" w:type="dxa"/>
              <w:right w:w="28" w:type="dxa"/>
            </w:tcMar>
            <w:vAlign w:val="center"/>
          </w:tcPr>
          <w:p>
            <w:pPr>
              <w:pStyle w:val="105"/>
              <w:rPr>
                <w:color w:val="auto"/>
                <w:highlight w:val="none"/>
              </w:rPr>
            </w:pPr>
            <w:r>
              <w:rPr>
                <w:color w:val="auto"/>
                <w:highlight w:val="none"/>
              </w:rPr>
              <w:t>监测记录信息</w:t>
            </w:r>
          </w:p>
        </w:tc>
        <w:tc>
          <w:tcPr>
            <w:tcW w:w="1774" w:type="pct"/>
            <w:tcMar>
              <w:top w:w="0" w:type="dxa"/>
              <w:left w:w="28" w:type="dxa"/>
              <w:bottom w:w="0" w:type="dxa"/>
              <w:right w:w="28" w:type="dxa"/>
            </w:tcMar>
            <w:vAlign w:val="center"/>
          </w:tcPr>
          <w:p>
            <w:pPr>
              <w:pStyle w:val="105"/>
              <w:rPr>
                <w:color w:val="auto"/>
                <w:highlight w:val="none"/>
              </w:rPr>
            </w:pPr>
            <w:r>
              <w:rPr>
                <w:color w:val="auto"/>
                <w:highlight w:val="none"/>
              </w:rPr>
              <w:t>监测期间逐次做好监测记录，并同步记录监测期间的生产工况</w:t>
            </w:r>
          </w:p>
        </w:tc>
        <w:tc>
          <w:tcPr>
            <w:tcW w:w="1049" w:type="pct"/>
            <w:tcMar>
              <w:left w:w="28" w:type="dxa"/>
              <w:right w:w="28" w:type="dxa"/>
            </w:tcMar>
            <w:vAlign w:val="center"/>
          </w:tcPr>
          <w:p>
            <w:pPr>
              <w:pStyle w:val="105"/>
              <w:rPr>
                <w:color w:val="auto"/>
                <w:highlight w:val="none"/>
              </w:rPr>
            </w:pPr>
            <w:r>
              <w:rPr>
                <w:color w:val="auto"/>
                <w:highlight w:val="none"/>
              </w:rPr>
              <w:t>按执行监测方案频次记录。</w:t>
            </w:r>
          </w:p>
        </w:tc>
        <w:tc>
          <w:tcPr>
            <w:tcW w:w="645" w:type="pct"/>
            <w:tcMar>
              <w:top w:w="0" w:type="dxa"/>
              <w:left w:w="28" w:type="dxa"/>
              <w:bottom w:w="0" w:type="dxa"/>
              <w:right w:w="28" w:type="dxa"/>
            </w:tcMar>
            <w:vAlign w:val="center"/>
          </w:tcPr>
          <w:p>
            <w:pPr>
              <w:pStyle w:val="105"/>
              <w:rPr>
                <w:color w:val="auto"/>
                <w:highlight w:val="none"/>
              </w:rPr>
            </w:pPr>
            <w:r>
              <w:rPr>
                <w:color w:val="auto"/>
                <w:highlight w:val="none"/>
              </w:rPr>
              <w:t>电子台账+纸质台账</w:t>
            </w:r>
          </w:p>
        </w:tc>
        <w:tc>
          <w:tcPr>
            <w:tcW w:w="644" w:type="pct"/>
            <w:tcMar>
              <w:top w:w="0" w:type="dxa"/>
              <w:left w:w="28" w:type="dxa"/>
              <w:bottom w:w="0" w:type="dxa"/>
              <w:right w:w="28" w:type="dxa"/>
            </w:tcMar>
            <w:vAlign w:val="center"/>
          </w:tcPr>
          <w:p>
            <w:pPr>
              <w:pStyle w:val="105"/>
              <w:rPr>
                <w:color w:val="auto"/>
                <w:highlight w:val="none"/>
              </w:rPr>
            </w:pPr>
            <w:r>
              <w:rPr>
                <w:color w:val="auto"/>
                <w:highlight w:val="none"/>
              </w:rPr>
              <w:t>台帐保存期限不得少于</w:t>
            </w:r>
            <w:r>
              <w:rPr>
                <w:rFonts w:hint="eastAsia"/>
                <w:color w:val="auto"/>
                <w:highlight w:val="none"/>
                <w:lang w:val="en-US" w:eastAsia="zh-CN"/>
              </w:rPr>
              <w:t>5</w:t>
            </w:r>
            <w:r>
              <w:rPr>
                <w:color w:val="auto"/>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3" w:type="pct"/>
            <w:tcMar>
              <w:left w:w="28" w:type="dxa"/>
              <w:right w:w="28" w:type="dxa"/>
            </w:tcMar>
            <w:vAlign w:val="center"/>
          </w:tcPr>
          <w:p>
            <w:pPr>
              <w:pStyle w:val="105"/>
              <w:rPr>
                <w:color w:val="auto"/>
                <w:highlight w:val="none"/>
              </w:rPr>
            </w:pPr>
            <w:r>
              <w:rPr>
                <w:color w:val="auto"/>
                <w:highlight w:val="none"/>
              </w:rPr>
              <w:t>5</w:t>
            </w:r>
          </w:p>
        </w:tc>
        <w:tc>
          <w:tcPr>
            <w:tcW w:w="565" w:type="pct"/>
            <w:tcMar>
              <w:top w:w="0" w:type="dxa"/>
              <w:left w:w="28" w:type="dxa"/>
              <w:bottom w:w="0" w:type="dxa"/>
              <w:right w:w="28" w:type="dxa"/>
            </w:tcMar>
            <w:vAlign w:val="center"/>
          </w:tcPr>
          <w:p>
            <w:pPr>
              <w:pStyle w:val="105"/>
              <w:rPr>
                <w:color w:val="auto"/>
                <w:highlight w:val="none"/>
              </w:rPr>
            </w:pPr>
            <w:r>
              <w:rPr>
                <w:color w:val="auto"/>
                <w:highlight w:val="none"/>
              </w:rPr>
              <w:t>其他环境管理信息</w:t>
            </w:r>
          </w:p>
        </w:tc>
        <w:tc>
          <w:tcPr>
            <w:tcW w:w="1774" w:type="pct"/>
            <w:tcMar>
              <w:top w:w="0" w:type="dxa"/>
              <w:left w:w="28" w:type="dxa"/>
              <w:bottom w:w="0" w:type="dxa"/>
              <w:right w:w="28" w:type="dxa"/>
            </w:tcMar>
            <w:vAlign w:val="center"/>
          </w:tcPr>
          <w:p>
            <w:pPr>
              <w:pStyle w:val="105"/>
              <w:rPr>
                <w:color w:val="auto"/>
                <w:highlight w:val="none"/>
              </w:rPr>
            </w:pPr>
            <w:r>
              <w:rPr>
                <w:color w:val="auto"/>
                <w:highlight w:val="none"/>
              </w:rPr>
              <w:t>如出现设施故障时，应记录故障时间、处理措施、污染物排放情况等；如生产设施开停工、检维修时，应记录起止时间、情形描述、应对措施、及污染物排放浓度等。</w:t>
            </w:r>
          </w:p>
        </w:tc>
        <w:tc>
          <w:tcPr>
            <w:tcW w:w="1049" w:type="pct"/>
            <w:tcMar>
              <w:left w:w="28" w:type="dxa"/>
              <w:right w:w="28" w:type="dxa"/>
            </w:tcMar>
            <w:vAlign w:val="center"/>
          </w:tcPr>
          <w:p>
            <w:pPr>
              <w:pStyle w:val="105"/>
              <w:rPr>
                <w:color w:val="auto"/>
                <w:highlight w:val="none"/>
              </w:rPr>
            </w:pPr>
            <w:r>
              <w:rPr>
                <w:color w:val="auto"/>
                <w:highlight w:val="none"/>
              </w:rPr>
              <w:t>发生时记录</w:t>
            </w:r>
          </w:p>
        </w:tc>
        <w:tc>
          <w:tcPr>
            <w:tcW w:w="645" w:type="pct"/>
            <w:tcMar>
              <w:top w:w="0" w:type="dxa"/>
              <w:left w:w="28" w:type="dxa"/>
              <w:bottom w:w="0" w:type="dxa"/>
              <w:right w:w="28" w:type="dxa"/>
            </w:tcMar>
            <w:vAlign w:val="center"/>
          </w:tcPr>
          <w:p>
            <w:pPr>
              <w:pStyle w:val="105"/>
              <w:rPr>
                <w:color w:val="auto"/>
                <w:highlight w:val="none"/>
              </w:rPr>
            </w:pPr>
            <w:r>
              <w:rPr>
                <w:color w:val="auto"/>
                <w:highlight w:val="none"/>
              </w:rPr>
              <w:t>电子台账+纸质台账</w:t>
            </w:r>
          </w:p>
        </w:tc>
        <w:tc>
          <w:tcPr>
            <w:tcW w:w="644" w:type="pct"/>
            <w:tcMar>
              <w:top w:w="0" w:type="dxa"/>
              <w:left w:w="28" w:type="dxa"/>
              <w:bottom w:w="0" w:type="dxa"/>
              <w:right w:w="28" w:type="dxa"/>
            </w:tcMar>
            <w:vAlign w:val="center"/>
          </w:tcPr>
          <w:p>
            <w:pPr>
              <w:pStyle w:val="105"/>
              <w:rPr>
                <w:color w:val="auto"/>
                <w:highlight w:val="none"/>
              </w:rPr>
            </w:pPr>
            <w:r>
              <w:rPr>
                <w:color w:val="auto"/>
                <w:highlight w:val="none"/>
              </w:rPr>
              <w:t>台帐保存期限不得少于</w:t>
            </w:r>
            <w:r>
              <w:rPr>
                <w:rFonts w:hint="eastAsia"/>
                <w:color w:val="auto"/>
                <w:highlight w:val="none"/>
                <w:lang w:val="en-US" w:eastAsia="zh-CN"/>
              </w:rPr>
              <w:t>5</w:t>
            </w:r>
            <w:r>
              <w:rPr>
                <w:color w:val="auto"/>
                <w:highlight w:val="none"/>
              </w:rPr>
              <w:t>年</w:t>
            </w:r>
          </w:p>
        </w:tc>
      </w:tr>
    </w:tbl>
    <w:p>
      <w:pPr>
        <w:pStyle w:val="101"/>
        <w:spacing w:before="78"/>
        <w:rPr>
          <w:rFonts w:ascii="Times New Roman" w:hAnsi="Times New Roman"/>
          <w:color w:val="auto"/>
          <w:highlight w:val="none"/>
        </w:rPr>
      </w:pPr>
      <w:r>
        <w:rPr>
          <w:rFonts w:ascii="Times New Roman" w:hAnsi="Times New Roman"/>
          <w:color w:val="auto"/>
          <w:highlight w:val="none"/>
        </w:rPr>
        <w:t>8.3.3环保信息公开</w:t>
      </w:r>
    </w:p>
    <w:p>
      <w:pPr>
        <w:pStyle w:val="99"/>
        <w:ind w:firstLine="480"/>
        <w:rPr>
          <w:color w:val="auto"/>
          <w:highlight w:val="none"/>
        </w:rPr>
      </w:pPr>
      <w:r>
        <w:rPr>
          <w:color w:val="auto"/>
          <w:highlight w:val="none"/>
        </w:rPr>
        <w:t>企业应根据《企业事业单位环境信息公开办法》等相关文件要求进行环保信息公开。如被纳入重点排污单位名单，应当公开下列信息：</w:t>
      </w:r>
    </w:p>
    <w:p>
      <w:pPr>
        <w:pStyle w:val="99"/>
        <w:ind w:firstLine="480"/>
        <w:rPr>
          <w:color w:val="auto"/>
          <w:highlight w:val="none"/>
        </w:rPr>
      </w:pPr>
      <w:r>
        <w:rPr>
          <w:color w:val="auto"/>
          <w:highlight w:val="none"/>
        </w:rPr>
        <w:t>1.基础信息，包括单位名称、组织机构代码、法定代表人、生产地址、联系方式，以及生产经营和管理服务的主要内容、产品及规模；</w:t>
      </w:r>
    </w:p>
    <w:p>
      <w:pPr>
        <w:pStyle w:val="99"/>
        <w:ind w:firstLine="480"/>
        <w:rPr>
          <w:color w:val="auto"/>
          <w:highlight w:val="none"/>
        </w:rPr>
      </w:pPr>
      <w:r>
        <w:rPr>
          <w:color w:val="auto"/>
          <w:highlight w:val="none"/>
        </w:rPr>
        <w:t>2.排污信息，包括主要污染物及特征污染物的名称、排放方式、排放口数量和分布情况、排放浓度和总量、超标情况，以及执行的污染物排放标准、核定的排放总量；</w:t>
      </w:r>
    </w:p>
    <w:p>
      <w:pPr>
        <w:pStyle w:val="99"/>
        <w:ind w:firstLine="480"/>
        <w:rPr>
          <w:color w:val="auto"/>
          <w:highlight w:val="none"/>
        </w:rPr>
      </w:pPr>
      <w:r>
        <w:rPr>
          <w:color w:val="auto"/>
          <w:highlight w:val="none"/>
        </w:rPr>
        <w:t>3.防治污染设施的建设和运行情况；</w:t>
      </w:r>
    </w:p>
    <w:p>
      <w:pPr>
        <w:pStyle w:val="99"/>
        <w:ind w:firstLine="480"/>
        <w:rPr>
          <w:color w:val="auto"/>
          <w:highlight w:val="none"/>
        </w:rPr>
      </w:pPr>
      <w:r>
        <w:rPr>
          <w:color w:val="auto"/>
          <w:highlight w:val="none"/>
        </w:rPr>
        <w:t>4.建设项目环境影响评价及其他环境保护行政许可情况；</w:t>
      </w:r>
    </w:p>
    <w:p>
      <w:pPr>
        <w:pStyle w:val="99"/>
        <w:ind w:firstLine="480"/>
        <w:rPr>
          <w:color w:val="auto"/>
          <w:highlight w:val="none"/>
        </w:rPr>
      </w:pPr>
      <w:r>
        <w:rPr>
          <w:color w:val="auto"/>
          <w:highlight w:val="none"/>
        </w:rPr>
        <w:t>5.突发环境事件应急预案；</w:t>
      </w:r>
    </w:p>
    <w:p>
      <w:pPr>
        <w:pStyle w:val="99"/>
        <w:ind w:firstLine="480"/>
        <w:rPr>
          <w:color w:val="auto"/>
          <w:highlight w:val="none"/>
        </w:rPr>
      </w:pPr>
      <w:r>
        <w:rPr>
          <w:color w:val="auto"/>
          <w:highlight w:val="none"/>
        </w:rPr>
        <w:t>6.其他应当公开的环境信息。</w:t>
      </w:r>
    </w:p>
    <w:p>
      <w:pPr>
        <w:pStyle w:val="99"/>
        <w:ind w:firstLine="480"/>
        <w:rPr>
          <w:color w:val="auto"/>
          <w:highlight w:val="none"/>
        </w:rPr>
      </w:pPr>
      <w:r>
        <w:rPr>
          <w:color w:val="auto"/>
          <w:highlight w:val="none"/>
        </w:rPr>
        <w:t>列入国家重点监控企业名单的重点排污单位还应当公开其环境自行监测方案。</w:t>
      </w:r>
    </w:p>
    <w:p>
      <w:pPr>
        <w:pStyle w:val="99"/>
        <w:ind w:firstLine="480"/>
        <w:rPr>
          <w:color w:val="auto"/>
          <w:highlight w:val="none"/>
        </w:rPr>
      </w:pPr>
      <w:r>
        <w:rPr>
          <w:color w:val="auto"/>
          <w:highlight w:val="none"/>
        </w:rPr>
        <w:t>重点排污单位应当通过其网站、企业事业单位环境信息公开平台或者当地报刊等便于公众知晓的方式公开环境信息，同时可以采取以下一种或者几种方式予以公开：</w:t>
      </w:r>
    </w:p>
    <w:p>
      <w:pPr>
        <w:pStyle w:val="99"/>
        <w:ind w:firstLine="480"/>
        <w:rPr>
          <w:color w:val="auto"/>
          <w:highlight w:val="none"/>
        </w:rPr>
      </w:pPr>
      <w:r>
        <w:rPr>
          <w:color w:val="auto"/>
          <w:highlight w:val="none"/>
        </w:rPr>
        <w:t>1.公告或者公开发行的信息专刊；</w:t>
      </w:r>
    </w:p>
    <w:p>
      <w:pPr>
        <w:pStyle w:val="99"/>
        <w:ind w:firstLine="480"/>
        <w:rPr>
          <w:color w:val="auto"/>
          <w:highlight w:val="none"/>
        </w:rPr>
      </w:pPr>
      <w:r>
        <w:rPr>
          <w:color w:val="auto"/>
          <w:highlight w:val="none"/>
        </w:rPr>
        <w:t>2.广播、电视等新闻媒体；</w:t>
      </w:r>
    </w:p>
    <w:p>
      <w:pPr>
        <w:pStyle w:val="99"/>
        <w:ind w:firstLine="480"/>
        <w:rPr>
          <w:color w:val="auto"/>
          <w:highlight w:val="none"/>
        </w:rPr>
      </w:pPr>
      <w:r>
        <w:rPr>
          <w:color w:val="auto"/>
          <w:highlight w:val="none"/>
        </w:rPr>
        <w:t>3.信息公开服务、监督热线电话；</w:t>
      </w:r>
    </w:p>
    <w:p>
      <w:pPr>
        <w:pStyle w:val="99"/>
        <w:ind w:firstLine="480"/>
        <w:rPr>
          <w:color w:val="auto"/>
          <w:highlight w:val="none"/>
        </w:rPr>
      </w:pPr>
      <w:r>
        <w:rPr>
          <w:color w:val="auto"/>
          <w:highlight w:val="none"/>
        </w:rPr>
        <w:t>4.本单位的资料索取点、信息公开栏、信息亭、电子屏幕、电子触摸屏等场所或者设施；</w:t>
      </w:r>
    </w:p>
    <w:p>
      <w:pPr>
        <w:pStyle w:val="99"/>
        <w:ind w:firstLine="480"/>
        <w:rPr>
          <w:color w:val="auto"/>
          <w:highlight w:val="none"/>
        </w:rPr>
      </w:pPr>
      <w:r>
        <w:rPr>
          <w:color w:val="auto"/>
          <w:highlight w:val="none"/>
        </w:rPr>
        <w:t>5.其他便于公众及时、准确获得信息的方式。</w:t>
      </w:r>
    </w:p>
    <w:p>
      <w:pPr>
        <w:pStyle w:val="99"/>
        <w:ind w:firstLine="480"/>
        <w:rPr>
          <w:color w:val="auto"/>
          <w:highlight w:val="none"/>
        </w:rPr>
      </w:pPr>
      <w:r>
        <w:rPr>
          <w:color w:val="auto"/>
          <w:highlight w:val="none"/>
        </w:rPr>
        <w:t>如未被纳入重点排污单位，可以参照上述规定公开其环境信息。</w:t>
      </w:r>
    </w:p>
    <w:p>
      <w:pPr>
        <w:pStyle w:val="100"/>
        <w:spacing w:before="156"/>
        <w:rPr>
          <w:rFonts w:ascii="Times New Roman" w:hAnsi="Times New Roman"/>
          <w:color w:val="auto"/>
          <w:highlight w:val="none"/>
        </w:rPr>
      </w:pPr>
      <w:bookmarkStart w:id="389" w:name="_Toc66281319"/>
      <w:bookmarkStart w:id="390" w:name="_Toc57804794"/>
      <w:bookmarkStart w:id="391" w:name="_Toc10736"/>
      <w:r>
        <w:rPr>
          <w:rFonts w:ascii="Times New Roman" w:hAnsi="Times New Roman"/>
          <w:color w:val="auto"/>
          <w:highlight w:val="none"/>
        </w:rPr>
        <w:t>8.4总量控制指标</w:t>
      </w:r>
      <w:bookmarkEnd w:id="389"/>
      <w:bookmarkEnd w:id="390"/>
      <w:bookmarkEnd w:id="391"/>
    </w:p>
    <w:p>
      <w:pPr>
        <w:pStyle w:val="101"/>
        <w:spacing w:before="78"/>
        <w:rPr>
          <w:rFonts w:ascii="Times New Roman" w:hAnsi="Times New Roman"/>
          <w:color w:val="auto"/>
          <w:highlight w:val="none"/>
        </w:rPr>
      </w:pPr>
      <w:r>
        <w:rPr>
          <w:rFonts w:ascii="Times New Roman" w:hAnsi="Times New Roman"/>
          <w:color w:val="auto"/>
          <w:highlight w:val="none"/>
        </w:rPr>
        <w:t>8.4.1总量控制的原则</w:t>
      </w:r>
    </w:p>
    <w:p>
      <w:pPr>
        <w:pStyle w:val="99"/>
        <w:ind w:firstLine="480"/>
        <w:rPr>
          <w:color w:val="auto"/>
          <w:szCs w:val="24"/>
          <w:highlight w:val="none"/>
        </w:rPr>
      </w:pPr>
      <w:r>
        <w:rPr>
          <w:color w:val="auto"/>
          <w:szCs w:val="24"/>
          <w:highlight w:val="none"/>
        </w:rPr>
        <w:t>污染物排放总量控制是我国环境保护管理的一项重要内容，是考核各级政府和企业环境保护目标责任制的重要指标，也是改善环境质量的具体措施之一。其原则是将污染物排放总量控制在某一限度之内。总量控制方案的确定，应在考虑区域总量控制目标及当地环境质量、环境功能和环境管理要求的基础上，结合拟建项目的实际条件和污染控制措施的经济技术可行性进行。目前，国家实施污染物总量控制的基本程序是：由各级政府层层分解、下达区域控制指标，各级政府再根据辖区内企业发展状况和污染防治规划情况，给企业分解、下达具体控制指标。</w:t>
      </w:r>
    </w:p>
    <w:p>
      <w:pPr>
        <w:pStyle w:val="101"/>
        <w:spacing w:before="78"/>
        <w:rPr>
          <w:rFonts w:ascii="Times New Roman" w:hAnsi="Times New Roman"/>
          <w:color w:val="auto"/>
          <w:highlight w:val="none"/>
        </w:rPr>
      </w:pPr>
      <w:r>
        <w:rPr>
          <w:rFonts w:ascii="Times New Roman" w:hAnsi="Times New Roman"/>
          <w:color w:val="auto"/>
          <w:highlight w:val="none"/>
        </w:rPr>
        <w:t>8.4.2总量控制的对象</w:t>
      </w:r>
    </w:p>
    <w:p>
      <w:pPr>
        <w:pStyle w:val="99"/>
        <w:ind w:firstLine="480"/>
        <w:rPr>
          <w:color w:val="auto"/>
          <w:szCs w:val="24"/>
          <w:highlight w:val="none"/>
        </w:rPr>
      </w:pPr>
      <w:r>
        <w:rPr>
          <w:rFonts w:hint="eastAsia"/>
          <w:color w:val="auto"/>
          <w:sz w:val="24"/>
          <w:highlight w:val="none"/>
        </w:rPr>
        <w:t>根据本项目特点，综合考虑建设项目周围环境质量现状以及当地环保部门的要求，本次评价总量控制对象确定为：颗粒物</w:t>
      </w:r>
      <w:r>
        <w:rPr>
          <w:rFonts w:hint="eastAsia"/>
          <w:color w:val="auto"/>
          <w:sz w:val="24"/>
          <w:highlight w:val="none"/>
          <w:lang w:eastAsia="zh-CN"/>
        </w:rPr>
        <w:t>、</w:t>
      </w:r>
      <w:r>
        <w:rPr>
          <w:rFonts w:hint="eastAsia"/>
          <w:color w:val="auto"/>
          <w:sz w:val="24"/>
          <w:highlight w:val="none"/>
        </w:rPr>
        <w:t>VOCs。</w:t>
      </w:r>
    </w:p>
    <w:p>
      <w:pPr>
        <w:pStyle w:val="101"/>
        <w:spacing w:before="78"/>
        <w:rPr>
          <w:rFonts w:ascii="Times New Roman" w:hAnsi="Times New Roman"/>
          <w:color w:val="auto"/>
          <w:highlight w:val="none"/>
        </w:rPr>
      </w:pPr>
      <w:r>
        <w:rPr>
          <w:rFonts w:ascii="Times New Roman" w:hAnsi="Times New Roman"/>
          <w:color w:val="auto"/>
          <w:highlight w:val="none"/>
        </w:rPr>
        <w:t>8.4.3总量分配的原则</w:t>
      </w:r>
    </w:p>
    <w:p>
      <w:pPr>
        <w:pStyle w:val="99"/>
        <w:ind w:firstLine="480"/>
        <w:rPr>
          <w:color w:val="auto"/>
          <w:szCs w:val="24"/>
          <w:highlight w:val="none"/>
        </w:rPr>
      </w:pPr>
      <w:r>
        <w:rPr>
          <w:rFonts w:eastAsia="等线"/>
          <w:color w:val="auto"/>
          <w:szCs w:val="24"/>
          <w:highlight w:val="none"/>
        </w:rPr>
        <w:t>1</w:t>
      </w:r>
      <w:r>
        <w:rPr>
          <w:color w:val="auto"/>
          <w:szCs w:val="24"/>
          <w:highlight w:val="none"/>
        </w:rPr>
        <w:t>、进入城镇污水处理厂和拟进入区域污水处理厂的污染源，参照行业标准、《污水排入城市下水道水质标准》</w:t>
      </w:r>
      <w:r>
        <w:rPr>
          <w:rFonts w:hint="eastAsia"/>
          <w:color w:val="auto"/>
          <w:szCs w:val="24"/>
          <w:highlight w:val="none"/>
        </w:rPr>
        <w:t>(</w:t>
      </w:r>
      <w:r>
        <w:rPr>
          <w:rFonts w:eastAsia="等线"/>
          <w:color w:val="auto"/>
          <w:szCs w:val="24"/>
          <w:highlight w:val="none"/>
        </w:rPr>
        <w:t>GB/T31962-2015</w:t>
      </w:r>
      <w:r>
        <w:rPr>
          <w:rFonts w:hint="eastAsia"/>
          <w:color w:val="auto"/>
          <w:szCs w:val="24"/>
          <w:highlight w:val="none"/>
        </w:rPr>
        <w:t>)</w:t>
      </w:r>
      <w:r>
        <w:rPr>
          <w:color w:val="auto"/>
          <w:szCs w:val="24"/>
          <w:highlight w:val="none"/>
        </w:rPr>
        <w:t>和污水处理厂规定的进水设计标准计算发放总量指标。此总量为参考控制指标，不参与辖区排污总量统计，不进行总量考核。</w:t>
      </w:r>
    </w:p>
    <w:p>
      <w:pPr>
        <w:pStyle w:val="99"/>
        <w:ind w:firstLine="480"/>
        <w:rPr>
          <w:color w:val="auto"/>
          <w:szCs w:val="24"/>
          <w:highlight w:val="none"/>
        </w:rPr>
      </w:pPr>
      <w:r>
        <w:rPr>
          <w:rFonts w:eastAsia="等线"/>
          <w:color w:val="auto"/>
          <w:szCs w:val="24"/>
          <w:highlight w:val="none"/>
        </w:rPr>
        <w:t>2</w:t>
      </w:r>
      <w:r>
        <w:rPr>
          <w:color w:val="auto"/>
          <w:szCs w:val="24"/>
          <w:highlight w:val="none"/>
        </w:rPr>
        <w:t>、对已经上级政府及有关部门批复获得排污总量，并通过环保部门批复环境影响报告书</w:t>
      </w:r>
      <w:r>
        <w:rPr>
          <w:rFonts w:hint="eastAsia"/>
          <w:color w:val="auto"/>
          <w:szCs w:val="24"/>
          <w:highlight w:val="none"/>
        </w:rPr>
        <w:t>(</w:t>
      </w:r>
      <w:r>
        <w:rPr>
          <w:color w:val="auto"/>
          <w:szCs w:val="24"/>
          <w:highlight w:val="none"/>
        </w:rPr>
        <w:t>表</w:t>
      </w:r>
      <w:r>
        <w:rPr>
          <w:rFonts w:hint="eastAsia"/>
          <w:color w:val="auto"/>
          <w:szCs w:val="24"/>
          <w:highlight w:val="none"/>
        </w:rPr>
        <w:t>)</w:t>
      </w:r>
      <w:r>
        <w:rPr>
          <w:color w:val="auto"/>
          <w:szCs w:val="24"/>
          <w:highlight w:val="none"/>
        </w:rPr>
        <w:t>的新建项目，总量指标按照上级批复执行；其他新建项目排污总量由</w:t>
      </w:r>
      <w:r>
        <w:rPr>
          <w:rFonts w:hint="eastAsia"/>
          <w:color w:val="auto"/>
          <w:szCs w:val="24"/>
          <w:highlight w:val="none"/>
        </w:rPr>
        <w:t>当地</w:t>
      </w:r>
      <w:r>
        <w:rPr>
          <w:color w:val="auto"/>
          <w:szCs w:val="24"/>
          <w:highlight w:val="none"/>
        </w:rPr>
        <w:t>生态环境局调剂解决并报县当地政府批准后，方可进行批复。</w:t>
      </w:r>
    </w:p>
    <w:p>
      <w:pPr>
        <w:pStyle w:val="101"/>
        <w:spacing w:before="78"/>
        <w:rPr>
          <w:rFonts w:ascii="Times New Roman" w:hAnsi="Times New Roman"/>
          <w:color w:val="auto"/>
          <w:highlight w:val="none"/>
        </w:rPr>
      </w:pPr>
      <w:r>
        <w:rPr>
          <w:rFonts w:ascii="Times New Roman" w:hAnsi="Times New Roman"/>
          <w:color w:val="auto"/>
          <w:highlight w:val="none"/>
        </w:rPr>
        <w:t>8.4.4 污染物排放总量控制分析</w:t>
      </w:r>
    </w:p>
    <w:p>
      <w:pPr>
        <w:pStyle w:val="99"/>
        <w:ind w:firstLine="480"/>
        <w:rPr>
          <w:color w:val="auto"/>
          <w:highlight w:val="none"/>
        </w:rPr>
      </w:pPr>
      <w:r>
        <w:rPr>
          <w:color w:val="auto"/>
          <w:highlight w:val="none"/>
        </w:rPr>
        <w:t>拟建项目建成后属于总量控制的污染物排放情况见表8.4-1。</w:t>
      </w:r>
    </w:p>
    <w:p>
      <w:pPr>
        <w:tabs>
          <w:tab w:val="left" w:pos="1560"/>
          <w:tab w:val="center" w:pos="4751"/>
        </w:tabs>
        <w:spacing w:line="360" w:lineRule="auto"/>
        <w:ind w:firstLine="480" w:firstLineChars="200"/>
        <w:jc w:val="center"/>
        <w:rPr>
          <w:rFonts w:eastAsia="黑体"/>
          <w:color w:val="auto"/>
          <w:sz w:val="24"/>
          <w:highlight w:val="none"/>
        </w:rPr>
      </w:pPr>
      <w:r>
        <w:rPr>
          <w:rFonts w:eastAsia="黑体"/>
          <w:color w:val="auto"/>
          <w:sz w:val="24"/>
          <w:highlight w:val="none"/>
        </w:rPr>
        <w:t>表8.4-1    污染物排放量一览表  单位(t/a)</w:t>
      </w:r>
    </w:p>
    <w:tbl>
      <w:tblPr>
        <w:tblStyle w:val="59"/>
        <w:tblW w:w="502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85"/>
        <w:gridCol w:w="1547"/>
        <w:gridCol w:w="1232"/>
        <w:gridCol w:w="1290"/>
        <w:gridCol w:w="1317"/>
        <w:gridCol w:w="273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492" w:type="pct"/>
            <w:tcMar>
              <w:left w:w="57" w:type="dxa"/>
              <w:right w:w="57" w:type="dxa"/>
            </w:tcMar>
            <w:vAlign w:val="center"/>
          </w:tcPr>
          <w:p>
            <w:pPr>
              <w:pStyle w:val="105"/>
              <w:rPr>
                <w:color w:val="auto"/>
                <w:highlight w:val="none"/>
              </w:rPr>
            </w:pPr>
            <w:r>
              <w:rPr>
                <w:color w:val="auto"/>
                <w:highlight w:val="none"/>
              </w:rPr>
              <w:t>种类</w:t>
            </w:r>
          </w:p>
        </w:tc>
        <w:tc>
          <w:tcPr>
            <w:tcW w:w="859" w:type="pct"/>
            <w:tcMar>
              <w:left w:w="57" w:type="dxa"/>
              <w:right w:w="57" w:type="dxa"/>
            </w:tcMar>
            <w:vAlign w:val="center"/>
          </w:tcPr>
          <w:p>
            <w:pPr>
              <w:pStyle w:val="105"/>
              <w:rPr>
                <w:color w:val="auto"/>
                <w:highlight w:val="none"/>
              </w:rPr>
            </w:pPr>
            <w:r>
              <w:rPr>
                <w:color w:val="auto"/>
                <w:highlight w:val="none"/>
              </w:rPr>
              <w:t>污染物名称</w:t>
            </w:r>
          </w:p>
        </w:tc>
        <w:tc>
          <w:tcPr>
            <w:tcW w:w="684" w:type="pct"/>
            <w:tcMar>
              <w:left w:w="57" w:type="dxa"/>
              <w:right w:w="57" w:type="dxa"/>
            </w:tcMar>
            <w:vAlign w:val="center"/>
          </w:tcPr>
          <w:p>
            <w:pPr>
              <w:pStyle w:val="105"/>
              <w:rPr>
                <w:color w:val="auto"/>
                <w:highlight w:val="none"/>
              </w:rPr>
            </w:pPr>
            <w:r>
              <w:rPr>
                <w:rFonts w:hint="eastAsia"/>
                <w:color w:val="auto"/>
                <w:highlight w:val="none"/>
              </w:rPr>
              <w:t>产生量</w:t>
            </w:r>
            <w:r>
              <w:rPr>
                <w:color w:val="auto"/>
                <w:highlight w:val="none"/>
              </w:rPr>
              <w:t>t/a</w:t>
            </w:r>
          </w:p>
        </w:tc>
        <w:tc>
          <w:tcPr>
            <w:tcW w:w="716" w:type="pct"/>
            <w:tcMar>
              <w:left w:w="57" w:type="dxa"/>
              <w:right w:w="57" w:type="dxa"/>
            </w:tcMar>
            <w:vAlign w:val="center"/>
          </w:tcPr>
          <w:p>
            <w:pPr>
              <w:pStyle w:val="105"/>
              <w:rPr>
                <w:color w:val="auto"/>
                <w:highlight w:val="none"/>
              </w:rPr>
            </w:pPr>
            <w:r>
              <w:rPr>
                <w:rFonts w:hint="eastAsia"/>
                <w:color w:val="auto"/>
                <w:highlight w:val="none"/>
              </w:rPr>
              <w:t>消减量</w:t>
            </w:r>
            <w:r>
              <w:rPr>
                <w:color w:val="auto"/>
                <w:highlight w:val="none"/>
              </w:rPr>
              <w:t>t/a</w:t>
            </w:r>
          </w:p>
        </w:tc>
        <w:tc>
          <w:tcPr>
            <w:tcW w:w="731" w:type="pct"/>
            <w:tcBorders>
              <w:right w:val="single" w:color="auto" w:sz="4" w:space="0"/>
            </w:tcBorders>
            <w:tcMar>
              <w:left w:w="57" w:type="dxa"/>
              <w:right w:w="57" w:type="dxa"/>
            </w:tcMar>
            <w:vAlign w:val="center"/>
          </w:tcPr>
          <w:p>
            <w:pPr>
              <w:pStyle w:val="105"/>
              <w:rPr>
                <w:color w:val="auto"/>
                <w:highlight w:val="none"/>
              </w:rPr>
            </w:pPr>
            <w:r>
              <w:rPr>
                <w:color w:val="auto"/>
                <w:highlight w:val="none"/>
              </w:rPr>
              <w:t>排放量t/a</w:t>
            </w:r>
          </w:p>
        </w:tc>
        <w:tc>
          <w:tcPr>
            <w:tcW w:w="1516" w:type="pct"/>
            <w:tcBorders>
              <w:left w:val="single" w:color="auto" w:sz="4" w:space="0"/>
            </w:tcBorders>
            <w:vAlign w:val="center"/>
          </w:tcPr>
          <w:p>
            <w:pPr>
              <w:pStyle w:val="105"/>
              <w:rPr>
                <w:color w:val="auto"/>
                <w:highlight w:val="none"/>
              </w:rPr>
            </w:pPr>
            <w:r>
              <w:rPr>
                <w:color w:val="auto"/>
                <w:highlight w:val="none"/>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exact"/>
          <w:tblHeader/>
          <w:jc w:val="center"/>
        </w:trPr>
        <w:tc>
          <w:tcPr>
            <w:tcW w:w="492" w:type="pct"/>
            <w:vMerge w:val="restart"/>
            <w:tcMar>
              <w:left w:w="57" w:type="dxa"/>
              <w:right w:w="57" w:type="dxa"/>
            </w:tcMar>
            <w:vAlign w:val="center"/>
          </w:tcPr>
          <w:p>
            <w:pPr>
              <w:pStyle w:val="105"/>
              <w:rPr>
                <w:color w:val="auto"/>
                <w:highlight w:val="none"/>
              </w:rPr>
            </w:pPr>
            <w:r>
              <w:rPr>
                <w:color w:val="auto"/>
                <w:highlight w:val="none"/>
              </w:rPr>
              <w:t>废气</w:t>
            </w:r>
          </w:p>
        </w:tc>
        <w:tc>
          <w:tcPr>
            <w:tcW w:w="859" w:type="pct"/>
            <w:tcMar>
              <w:left w:w="57" w:type="dxa"/>
              <w:right w:w="57" w:type="dxa"/>
            </w:tcMar>
            <w:vAlign w:val="center"/>
          </w:tcPr>
          <w:p>
            <w:pPr>
              <w:jc w:val="center"/>
              <w:rPr>
                <w:color w:val="auto"/>
                <w:highlight w:val="none"/>
              </w:rPr>
            </w:pPr>
            <w:r>
              <w:rPr>
                <w:color w:val="auto"/>
                <w:szCs w:val="21"/>
                <w:highlight w:val="none"/>
              </w:rPr>
              <w:t>VOCs</w:t>
            </w:r>
          </w:p>
        </w:tc>
        <w:tc>
          <w:tcPr>
            <w:tcW w:w="1225" w:type="dxa"/>
            <w:tcMar>
              <w:left w:w="57" w:type="dxa"/>
              <w:right w:w="57" w:type="dxa"/>
            </w:tcMar>
            <w:vAlign w:val="center"/>
          </w:tcPr>
          <w:p>
            <w:pPr>
              <w:spacing w:line="240" w:lineRule="exact"/>
              <w:jc w:val="center"/>
              <w:rPr>
                <w:color w:val="auto"/>
                <w:highlight w:val="none"/>
              </w:rPr>
            </w:pPr>
            <w:r>
              <w:rPr>
                <w:rFonts w:hint="eastAsia"/>
                <w:color w:val="auto"/>
                <w:sz w:val="21"/>
                <w:szCs w:val="21"/>
                <w:highlight w:val="none"/>
                <w:lang w:val="en-US" w:eastAsia="zh-CN"/>
              </w:rPr>
              <w:t>8.846</w:t>
            </w:r>
          </w:p>
        </w:tc>
        <w:tc>
          <w:tcPr>
            <w:tcW w:w="1282" w:type="dxa"/>
            <w:tcMar>
              <w:left w:w="57" w:type="dxa"/>
              <w:right w:w="57" w:type="dxa"/>
            </w:tcMar>
            <w:vAlign w:val="center"/>
          </w:tcPr>
          <w:p>
            <w:pPr>
              <w:widowControl/>
              <w:spacing w:line="240" w:lineRule="exact"/>
              <w:jc w:val="center"/>
              <w:textAlignment w:val="bottom"/>
              <w:rPr>
                <w:color w:val="auto"/>
                <w:highlight w:val="none"/>
              </w:rPr>
            </w:pPr>
            <w:r>
              <w:rPr>
                <w:rFonts w:hint="eastAsia"/>
                <w:color w:val="auto"/>
                <w:kern w:val="0"/>
                <w:sz w:val="21"/>
                <w:szCs w:val="21"/>
                <w:highlight w:val="none"/>
                <w:lang w:val="en-US" w:eastAsia="zh-CN"/>
              </w:rPr>
              <w:t>8.448</w:t>
            </w:r>
          </w:p>
        </w:tc>
        <w:tc>
          <w:tcPr>
            <w:tcW w:w="1309" w:type="dxa"/>
            <w:tcBorders>
              <w:right w:val="single" w:color="auto" w:sz="4" w:space="0"/>
            </w:tcBorders>
            <w:tcMar>
              <w:left w:w="57" w:type="dxa"/>
              <w:right w:w="57" w:type="dxa"/>
            </w:tcMar>
            <w:vAlign w:val="center"/>
          </w:tcPr>
          <w:p>
            <w:pPr>
              <w:jc w:val="center"/>
              <w:rPr>
                <w:color w:val="auto"/>
                <w:highlight w:val="none"/>
              </w:rPr>
            </w:pPr>
            <w:r>
              <w:rPr>
                <w:rFonts w:hint="eastAsia"/>
                <w:color w:val="auto"/>
                <w:sz w:val="21"/>
                <w:szCs w:val="21"/>
                <w:highlight w:val="none"/>
                <w:lang w:val="en-US" w:eastAsia="zh-CN"/>
              </w:rPr>
              <w:t>0.398</w:t>
            </w:r>
          </w:p>
        </w:tc>
        <w:tc>
          <w:tcPr>
            <w:tcW w:w="1516" w:type="pct"/>
            <w:vMerge w:val="restart"/>
            <w:tcBorders>
              <w:left w:val="single" w:color="auto" w:sz="4" w:space="0"/>
            </w:tcBorders>
            <w:vAlign w:val="center"/>
          </w:tcPr>
          <w:p>
            <w:pPr>
              <w:pStyle w:val="105"/>
              <w:rPr>
                <w:color w:val="auto"/>
                <w:highlight w:val="none"/>
              </w:rPr>
            </w:pPr>
            <w:r>
              <w:rPr>
                <w:color w:val="auto"/>
                <w:highlight w:val="none"/>
              </w:rPr>
              <w:t>需申请总量指标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exact"/>
          <w:tblHeader/>
          <w:jc w:val="center"/>
        </w:trPr>
        <w:tc>
          <w:tcPr>
            <w:tcW w:w="492" w:type="pct"/>
            <w:vMerge w:val="continue"/>
            <w:tcMar>
              <w:left w:w="57" w:type="dxa"/>
              <w:right w:w="57" w:type="dxa"/>
            </w:tcMar>
            <w:vAlign w:val="center"/>
          </w:tcPr>
          <w:p>
            <w:pPr>
              <w:pStyle w:val="105"/>
              <w:rPr>
                <w:color w:val="auto"/>
                <w:highlight w:val="none"/>
              </w:rPr>
            </w:pPr>
          </w:p>
        </w:tc>
        <w:tc>
          <w:tcPr>
            <w:tcW w:w="859" w:type="pct"/>
            <w:tcMar>
              <w:left w:w="57" w:type="dxa"/>
              <w:right w:w="57" w:type="dxa"/>
            </w:tcMar>
            <w:vAlign w:val="center"/>
          </w:tcPr>
          <w:p>
            <w:pPr>
              <w:jc w:val="center"/>
              <w:rPr>
                <w:color w:val="auto"/>
                <w:highlight w:val="none"/>
              </w:rPr>
            </w:pPr>
            <w:r>
              <w:rPr>
                <w:color w:val="auto"/>
                <w:szCs w:val="21"/>
                <w:highlight w:val="none"/>
              </w:rPr>
              <w:t>颗粒物</w:t>
            </w:r>
          </w:p>
        </w:tc>
        <w:tc>
          <w:tcPr>
            <w:tcW w:w="1225" w:type="dxa"/>
            <w:tcMar>
              <w:left w:w="57" w:type="dxa"/>
              <w:right w:w="57" w:type="dxa"/>
            </w:tcMar>
            <w:vAlign w:val="center"/>
          </w:tcPr>
          <w:p>
            <w:pPr>
              <w:spacing w:line="240" w:lineRule="exact"/>
              <w:jc w:val="center"/>
              <w:rPr>
                <w:rFonts w:eastAsia="等线"/>
                <w:color w:val="auto"/>
                <w:szCs w:val="21"/>
                <w:highlight w:val="none"/>
              </w:rPr>
            </w:pPr>
            <w:r>
              <w:rPr>
                <w:rFonts w:hint="eastAsia"/>
                <w:color w:val="auto"/>
                <w:sz w:val="21"/>
                <w:szCs w:val="21"/>
                <w:highlight w:val="none"/>
                <w:lang w:val="en-US" w:eastAsia="zh-CN"/>
              </w:rPr>
              <w:t>3.84</w:t>
            </w:r>
          </w:p>
        </w:tc>
        <w:tc>
          <w:tcPr>
            <w:tcW w:w="1282" w:type="dxa"/>
            <w:tcMar>
              <w:left w:w="57" w:type="dxa"/>
              <w:right w:w="57" w:type="dxa"/>
            </w:tcMar>
            <w:vAlign w:val="center"/>
          </w:tcPr>
          <w:p>
            <w:pPr>
              <w:widowControl/>
              <w:spacing w:line="240" w:lineRule="exact"/>
              <w:jc w:val="center"/>
              <w:textAlignment w:val="bottom"/>
              <w:rPr>
                <w:color w:val="auto"/>
                <w:highlight w:val="none"/>
              </w:rPr>
            </w:pPr>
            <w:r>
              <w:rPr>
                <w:rFonts w:hint="eastAsia"/>
                <w:color w:val="auto"/>
                <w:kern w:val="0"/>
                <w:sz w:val="21"/>
                <w:szCs w:val="21"/>
                <w:highlight w:val="none"/>
                <w:lang w:val="en-US" w:eastAsia="zh-CN"/>
              </w:rPr>
              <w:t>3.667</w:t>
            </w:r>
          </w:p>
        </w:tc>
        <w:tc>
          <w:tcPr>
            <w:tcW w:w="1309" w:type="dxa"/>
            <w:tcBorders>
              <w:right w:val="single" w:color="auto" w:sz="4" w:space="0"/>
            </w:tcBorders>
            <w:tcMar>
              <w:left w:w="57" w:type="dxa"/>
              <w:right w:w="57" w:type="dxa"/>
            </w:tcMar>
            <w:vAlign w:val="center"/>
          </w:tcPr>
          <w:p>
            <w:pPr>
              <w:jc w:val="center"/>
              <w:rPr>
                <w:rFonts w:eastAsia="等线"/>
                <w:color w:val="auto"/>
                <w:szCs w:val="21"/>
                <w:highlight w:val="none"/>
              </w:rPr>
            </w:pPr>
            <w:r>
              <w:rPr>
                <w:rFonts w:hint="eastAsia"/>
                <w:color w:val="auto"/>
                <w:highlight w:val="none"/>
                <w:lang w:val="en-US" w:eastAsia="zh-CN"/>
              </w:rPr>
              <w:t>0.173</w:t>
            </w:r>
          </w:p>
        </w:tc>
        <w:tc>
          <w:tcPr>
            <w:tcW w:w="1516" w:type="pct"/>
            <w:vMerge w:val="continue"/>
            <w:tcBorders>
              <w:left w:val="single" w:color="auto" w:sz="4" w:space="0"/>
            </w:tcBorders>
            <w:vAlign w:val="center"/>
          </w:tcPr>
          <w:p>
            <w:pPr>
              <w:pStyle w:val="105"/>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exact"/>
          <w:tblHeader/>
          <w:jc w:val="center"/>
        </w:trPr>
        <w:tc>
          <w:tcPr>
            <w:tcW w:w="492" w:type="pct"/>
            <w:vMerge w:val="restart"/>
            <w:tcMar>
              <w:left w:w="57" w:type="dxa"/>
              <w:right w:w="57" w:type="dxa"/>
            </w:tcMar>
            <w:vAlign w:val="center"/>
          </w:tcPr>
          <w:p>
            <w:pPr>
              <w:pStyle w:val="105"/>
              <w:rPr>
                <w:color w:val="auto"/>
                <w:highlight w:val="none"/>
              </w:rPr>
            </w:pPr>
            <w:r>
              <w:rPr>
                <w:color w:val="auto"/>
                <w:highlight w:val="none"/>
              </w:rPr>
              <w:t>废水</w:t>
            </w:r>
          </w:p>
        </w:tc>
        <w:tc>
          <w:tcPr>
            <w:tcW w:w="859" w:type="pct"/>
            <w:tcMar>
              <w:left w:w="57" w:type="dxa"/>
              <w:right w:w="57" w:type="dxa"/>
            </w:tcMar>
            <w:vAlign w:val="center"/>
          </w:tcPr>
          <w:p>
            <w:pPr>
              <w:pStyle w:val="105"/>
              <w:rPr>
                <w:color w:val="auto"/>
                <w:highlight w:val="none"/>
              </w:rPr>
            </w:pPr>
            <w:r>
              <w:rPr>
                <w:color w:val="auto"/>
                <w:highlight w:val="none"/>
              </w:rPr>
              <w:t>COD</w:t>
            </w:r>
          </w:p>
        </w:tc>
        <w:tc>
          <w:tcPr>
            <w:tcW w:w="1225" w:type="dxa"/>
            <w:tcMar>
              <w:left w:w="57" w:type="dxa"/>
              <w:right w:w="57" w:type="dxa"/>
            </w:tcMar>
            <w:vAlign w:val="center"/>
          </w:tcPr>
          <w:p>
            <w:pPr>
              <w:widowControl/>
              <w:jc w:val="center"/>
              <w:rPr>
                <w:color w:val="auto"/>
                <w:highlight w:val="none"/>
              </w:rPr>
            </w:pPr>
            <w:r>
              <w:rPr>
                <w:color w:val="auto"/>
                <w:highlight w:val="none"/>
              </w:rPr>
              <w:t>0.</w:t>
            </w:r>
            <w:r>
              <w:rPr>
                <w:rFonts w:hint="eastAsia"/>
                <w:color w:val="auto"/>
                <w:highlight w:val="none"/>
              </w:rPr>
              <w:t>1</w:t>
            </w:r>
          </w:p>
        </w:tc>
        <w:tc>
          <w:tcPr>
            <w:tcW w:w="1282" w:type="dxa"/>
            <w:tcMar>
              <w:left w:w="57" w:type="dxa"/>
              <w:right w:w="57" w:type="dxa"/>
            </w:tcMar>
            <w:vAlign w:val="center"/>
          </w:tcPr>
          <w:p>
            <w:pPr>
              <w:widowControl/>
              <w:jc w:val="center"/>
              <w:rPr>
                <w:color w:val="auto"/>
                <w:highlight w:val="none"/>
              </w:rPr>
            </w:pPr>
            <w:r>
              <w:rPr>
                <w:color w:val="auto"/>
                <w:highlight w:val="none"/>
              </w:rPr>
              <w:t>0.</w:t>
            </w:r>
            <w:r>
              <w:rPr>
                <w:rFonts w:hint="eastAsia"/>
                <w:color w:val="auto"/>
                <w:highlight w:val="none"/>
              </w:rPr>
              <w:t>1</w:t>
            </w:r>
          </w:p>
        </w:tc>
        <w:tc>
          <w:tcPr>
            <w:tcW w:w="731" w:type="pct"/>
            <w:tcBorders>
              <w:bottom w:val="single" w:color="auto" w:sz="4" w:space="0"/>
              <w:right w:val="single" w:color="auto" w:sz="4" w:space="0"/>
            </w:tcBorders>
            <w:tcMar>
              <w:left w:w="57" w:type="dxa"/>
              <w:right w:w="57" w:type="dxa"/>
            </w:tcMar>
            <w:vAlign w:val="center"/>
          </w:tcPr>
          <w:p>
            <w:pPr>
              <w:pStyle w:val="105"/>
              <w:rPr>
                <w:color w:val="auto"/>
                <w:highlight w:val="none"/>
              </w:rPr>
            </w:pPr>
            <w:r>
              <w:rPr>
                <w:rFonts w:hint="eastAsia"/>
                <w:color w:val="auto"/>
                <w:szCs w:val="21"/>
                <w:highlight w:val="none"/>
              </w:rPr>
              <w:t>0</w:t>
            </w:r>
            <w:r>
              <w:rPr>
                <w:color w:val="auto"/>
                <w:szCs w:val="21"/>
                <w:highlight w:val="none"/>
              </w:rPr>
              <w:t xml:space="preserve"> </w:t>
            </w:r>
          </w:p>
        </w:tc>
        <w:tc>
          <w:tcPr>
            <w:tcW w:w="1516" w:type="pct"/>
            <w:vMerge w:val="restart"/>
            <w:tcBorders>
              <w:left w:val="single" w:color="auto" w:sz="4" w:space="0"/>
            </w:tcBorders>
            <w:vAlign w:val="center"/>
          </w:tcPr>
          <w:p>
            <w:pPr>
              <w:pStyle w:val="105"/>
              <w:rPr>
                <w:color w:val="auto"/>
                <w:highlight w:val="none"/>
              </w:rPr>
            </w:pPr>
            <w:r>
              <w:rPr>
                <w:rFonts w:hint="eastAsia"/>
                <w:color w:val="auto"/>
                <w:highlight w:val="none"/>
              </w:rPr>
              <w:t>不</w:t>
            </w:r>
            <w:r>
              <w:rPr>
                <w:color w:val="auto"/>
                <w:highlight w:val="none"/>
              </w:rPr>
              <w:t>需申请总量指标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exact"/>
          <w:tblHeader/>
          <w:jc w:val="center"/>
        </w:trPr>
        <w:tc>
          <w:tcPr>
            <w:tcW w:w="492" w:type="pct"/>
            <w:vMerge w:val="continue"/>
            <w:tcMar>
              <w:left w:w="57" w:type="dxa"/>
              <w:right w:w="57" w:type="dxa"/>
            </w:tcMar>
            <w:vAlign w:val="center"/>
          </w:tcPr>
          <w:p>
            <w:pPr>
              <w:jc w:val="center"/>
              <w:rPr>
                <w:color w:val="auto"/>
                <w:szCs w:val="21"/>
                <w:highlight w:val="none"/>
              </w:rPr>
            </w:pPr>
          </w:p>
        </w:tc>
        <w:tc>
          <w:tcPr>
            <w:tcW w:w="859" w:type="pct"/>
            <w:tcMar>
              <w:left w:w="57" w:type="dxa"/>
              <w:right w:w="57" w:type="dxa"/>
            </w:tcMar>
            <w:vAlign w:val="center"/>
          </w:tcPr>
          <w:p>
            <w:pPr>
              <w:pStyle w:val="105"/>
              <w:rPr>
                <w:color w:val="auto"/>
                <w:highlight w:val="none"/>
              </w:rPr>
            </w:pPr>
            <w:r>
              <w:rPr>
                <w:color w:val="auto"/>
                <w:highlight w:val="none"/>
              </w:rPr>
              <w:t>NH</w:t>
            </w:r>
            <w:r>
              <w:rPr>
                <w:color w:val="auto"/>
                <w:highlight w:val="none"/>
                <w:vertAlign w:val="subscript"/>
              </w:rPr>
              <w:t>4</w:t>
            </w:r>
            <w:r>
              <w:rPr>
                <w:color w:val="auto"/>
                <w:highlight w:val="none"/>
              </w:rPr>
              <w:t>-N</w:t>
            </w:r>
          </w:p>
        </w:tc>
        <w:tc>
          <w:tcPr>
            <w:tcW w:w="1225" w:type="dxa"/>
            <w:tcMar>
              <w:left w:w="57" w:type="dxa"/>
              <w:right w:w="57" w:type="dxa"/>
            </w:tcMar>
            <w:vAlign w:val="center"/>
          </w:tcPr>
          <w:p>
            <w:pPr>
              <w:widowControl/>
              <w:jc w:val="center"/>
              <w:rPr>
                <w:color w:val="auto"/>
                <w:highlight w:val="none"/>
              </w:rPr>
            </w:pPr>
            <w:r>
              <w:rPr>
                <w:color w:val="auto"/>
                <w:szCs w:val="21"/>
                <w:highlight w:val="none"/>
              </w:rPr>
              <w:t>0.01</w:t>
            </w:r>
          </w:p>
        </w:tc>
        <w:tc>
          <w:tcPr>
            <w:tcW w:w="1282" w:type="dxa"/>
            <w:tcMar>
              <w:left w:w="57" w:type="dxa"/>
              <w:right w:w="57" w:type="dxa"/>
            </w:tcMar>
            <w:vAlign w:val="center"/>
          </w:tcPr>
          <w:p>
            <w:pPr>
              <w:widowControl/>
              <w:jc w:val="center"/>
              <w:rPr>
                <w:color w:val="auto"/>
                <w:highlight w:val="none"/>
              </w:rPr>
            </w:pPr>
            <w:r>
              <w:rPr>
                <w:color w:val="auto"/>
                <w:szCs w:val="21"/>
                <w:highlight w:val="none"/>
              </w:rPr>
              <w:t>0.01</w:t>
            </w:r>
          </w:p>
        </w:tc>
        <w:tc>
          <w:tcPr>
            <w:tcW w:w="731" w:type="pct"/>
            <w:tcBorders>
              <w:top w:val="single" w:color="auto" w:sz="4" w:space="0"/>
              <w:right w:val="single" w:color="auto" w:sz="4" w:space="0"/>
            </w:tcBorders>
            <w:tcMar>
              <w:left w:w="57" w:type="dxa"/>
              <w:right w:w="57" w:type="dxa"/>
            </w:tcMar>
            <w:vAlign w:val="center"/>
          </w:tcPr>
          <w:p>
            <w:pPr>
              <w:pStyle w:val="105"/>
              <w:rPr>
                <w:color w:val="auto"/>
                <w:highlight w:val="none"/>
              </w:rPr>
            </w:pPr>
            <w:r>
              <w:rPr>
                <w:rFonts w:hint="eastAsia"/>
                <w:color w:val="auto"/>
                <w:szCs w:val="21"/>
                <w:highlight w:val="none"/>
              </w:rPr>
              <w:t>0</w:t>
            </w:r>
            <w:r>
              <w:rPr>
                <w:color w:val="auto"/>
                <w:szCs w:val="21"/>
                <w:highlight w:val="none"/>
              </w:rPr>
              <w:t xml:space="preserve"> </w:t>
            </w:r>
          </w:p>
        </w:tc>
        <w:tc>
          <w:tcPr>
            <w:tcW w:w="1516" w:type="pct"/>
            <w:vMerge w:val="continue"/>
            <w:tcBorders>
              <w:left w:val="single" w:color="auto" w:sz="4" w:space="0"/>
            </w:tcBorders>
            <w:vAlign w:val="center"/>
          </w:tcPr>
          <w:p>
            <w:pPr>
              <w:autoSpaceDE w:val="0"/>
              <w:autoSpaceDN w:val="0"/>
              <w:spacing w:line="240" w:lineRule="exact"/>
              <w:jc w:val="center"/>
              <w:rPr>
                <w:color w:val="auto"/>
                <w:szCs w:val="21"/>
                <w:highlight w:val="none"/>
              </w:rPr>
            </w:pPr>
          </w:p>
        </w:tc>
      </w:tr>
    </w:tbl>
    <w:p>
      <w:pPr>
        <w:pStyle w:val="99"/>
        <w:ind w:firstLine="480"/>
        <w:rPr>
          <w:rStyle w:val="122"/>
          <w:rFonts w:hint="default" w:ascii="Times New Roman" w:hAnsi="Times New Roman"/>
          <w:color w:val="auto"/>
          <w:highlight w:val="none"/>
        </w:rPr>
      </w:pPr>
      <w:r>
        <w:rPr>
          <w:rStyle w:val="122"/>
          <w:rFonts w:hint="default" w:ascii="Times New Roman" w:hAnsi="Times New Roman"/>
          <w:color w:val="auto"/>
          <w:highlight w:val="none"/>
        </w:rPr>
        <w:t>由上表可见</w:t>
      </w:r>
      <w:r>
        <w:rPr>
          <w:color w:val="auto"/>
          <w:highlight w:val="none"/>
        </w:rPr>
        <w:t xml:space="preserve">，拟建工程建成后全厂主要大气污染物有组织排放量为VOCs </w:t>
      </w:r>
      <w:r>
        <w:rPr>
          <w:rFonts w:hint="eastAsia"/>
          <w:color w:val="auto"/>
          <w:highlight w:val="none"/>
          <w:lang w:val="en-US" w:eastAsia="zh-CN"/>
        </w:rPr>
        <w:t>0.398</w:t>
      </w:r>
      <w:r>
        <w:rPr>
          <w:color w:val="auto"/>
          <w:highlight w:val="none"/>
        </w:rPr>
        <w:t>t/a</w:t>
      </w:r>
      <w:r>
        <w:rPr>
          <w:rFonts w:hint="eastAsia"/>
          <w:color w:val="auto"/>
          <w:highlight w:val="none"/>
        </w:rPr>
        <w:t>、</w:t>
      </w:r>
      <w:r>
        <w:rPr>
          <w:color w:val="auto"/>
          <w:highlight w:val="none"/>
        </w:rPr>
        <w:t>颗粒物</w:t>
      </w:r>
      <w:r>
        <w:rPr>
          <w:rFonts w:hint="eastAsia"/>
          <w:color w:val="auto"/>
          <w:szCs w:val="21"/>
          <w:highlight w:val="none"/>
          <w:lang w:val="en-US" w:eastAsia="zh-CN"/>
        </w:rPr>
        <w:t>0.173</w:t>
      </w:r>
      <w:r>
        <w:rPr>
          <w:color w:val="auto"/>
          <w:highlight w:val="none"/>
        </w:rPr>
        <w:t>t/a，</w:t>
      </w:r>
      <w:r>
        <w:rPr>
          <w:rStyle w:val="122"/>
          <w:rFonts w:hint="default" w:ascii="Times New Roman" w:hAnsi="Times New Roman"/>
          <w:color w:val="auto"/>
          <w:highlight w:val="none"/>
        </w:rPr>
        <w:t>需申请废气总量指标。拟建工程建成</w:t>
      </w:r>
      <w:r>
        <w:rPr>
          <w:rStyle w:val="122"/>
          <w:color w:val="auto"/>
          <w:highlight w:val="none"/>
        </w:rPr>
        <w:t>只有生活污水，经化粪池收集后由环卫部门定期清运，不外排，因此</w:t>
      </w:r>
      <w:r>
        <w:rPr>
          <w:rStyle w:val="122"/>
          <w:rFonts w:hint="default" w:ascii="Times New Roman" w:hAnsi="Times New Roman"/>
          <w:color w:val="auto"/>
          <w:highlight w:val="none"/>
        </w:rPr>
        <w:t>无需申请废水总量指标。</w:t>
      </w:r>
    </w:p>
    <w:p>
      <w:pPr>
        <w:pStyle w:val="99"/>
        <w:ind w:firstLine="480"/>
        <w:rPr>
          <w:color w:val="auto"/>
          <w:highlight w:val="none"/>
        </w:rPr>
      </w:pPr>
      <w:r>
        <w:rPr>
          <w:rStyle w:val="122"/>
          <w:rFonts w:hint="default"/>
          <w:color w:val="auto"/>
          <w:highlight w:val="none"/>
        </w:rPr>
        <w:t>本次评价需申请总量指标为</w:t>
      </w:r>
      <w:r>
        <w:rPr>
          <w:color w:val="auto"/>
          <w:highlight w:val="none"/>
        </w:rPr>
        <w:t xml:space="preserve">：VOCs </w:t>
      </w:r>
      <w:r>
        <w:rPr>
          <w:rFonts w:hint="eastAsia"/>
          <w:color w:val="auto"/>
          <w:highlight w:val="none"/>
          <w:lang w:val="en-US" w:eastAsia="zh-CN"/>
        </w:rPr>
        <w:t>0.398</w:t>
      </w:r>
      <w:r>
        <w:rPr>
          <w:color w:val="auto"/>
          <w:highlight w:val="none"/>
        </w:rPr>
        <w:t>t/a</w:t>
      </w:r>
      <w:r>
        <w:rPr>
          <w:rFonts w:hint="eastAsia"/>
          <w:color w:val="auto"/>
          <w:highlight w:val="none"/>
        </w:rPr>
        <w:t>、</w:t>
      </w:r>
      <w:r>
        <w:rPr>
          <w:color w:val="auto"/>
          <w:highlight w:val="none"/>
        </w:rPr>
        <w:t>颗粒物</w:t>
      </w:r>
      <w:r>
        <w:rPr>
          <w:rFonts w:hint="eastAsia"/>
          <w:color w:val="auto"/>
          <w:szCs w:val="21"/>
          <w:highlight w:val="none"/>
          <w:lang w:val="en-US" w:eastAsia="zh-CN"/>
        </w:rPr>
        <w:t>0.173</w:t>
      </w:r>
      <w:r>
        <w:rPr>
          <w:color w:val="auto"/>
          <w:highlight w:val="none"/>
        </w:rPr>
        <w:t xml:space="preserve">t/a。根据《山东省生态环境厅&lt;关于印发山东省建设项目主要大气污染物排放总量替代指标核算及管理办法&gt;的通知》（鲁环发[2019]132号）文件，拟建工程污染物应实行区域内2倍消减替代，所需倍量替代指标为：VOCs </w:t>
      </w:r>
      <w:r>
        <w:rPr>
          <w:rFonts w:hint="eastAsia"/>
          <w:color w:val="auto"/>
          <w:highlight w:val="none"/>
          <w:lang w:val="en-US" w:eastAsia="zh-CN"/>
        </w:rPr>
        <w:t>0.796</w:t>
      </w:r>
      <w:r>
        <w:rPr>
          <w:color w:val="auto"/>
          <w:highlight w:val="none"/>
        </w:rPr>
        <w:t>t/a</w:t>
      </w:r>
      <w:r>
        <w:rPr>
          <w:rFonts w:hint="eastAsia"/>
          <w:color w:val="auto"/>
          <w:highlight w:val="none"/>
        </w:rPr>
        <w:t>、</w:t>
      </w:r>
      <w:r>
        <w:rPr>
          <w:color w:val="auto"/>
          <w:highlight w:val="none"/>
        </w:rPr>
        <w:t>颗粒物</w:t>
      </w:r>
      <w:r>
        <w:rPr>
          <w:rFonts w:hint="eastAsia"/>
          <w:color w:val="auto"/>
          <w:szCs w:val="21"/>
          <w:highlight w:val="none"/>
          <w:lang w:val="en-US" w:eastAsia="zh-CN"/>
        </w:rPr>
        <w:t>0.346t</w:t>
      </w:r>
      <w:r>
        <w:rPr>
          <w:color w:val="auto"/>
          <w:highlight w:val="none"/>
        </w:rPr>
        <w:t>/a。</w:t>
      </w:r>
    </w:p>
    <w:p>
      <w:pPr>
        <w:pStyle w:val="100"/>
        <w:spacing w:before="156"/>
        <w:rPr>
          <w:rFonts w:ascii="Times New Roman" w:hAnsi="Times New Roman"/>
          <w:color w:val="auto"/>
          <w:highlight w:val="none"/>
        </w:rPr>
      </w:pPr>
      <w:bookmarkStart w:id="392" w:name="_Toc66281320"/>
      <w:bookmarkStart w:id="393" w:name="_Toc3497"/>
      <w:bookmarkStart w:id="394" w:name="_Toc57804795"/>
      <w:r>
        <w:rPr>
          <w:rFonts w:ascii="Times New Roman" w:hAnsi="Times New Roman"/>
          <w:color w:val="auto"/>
          <w:highlight w:val="none"/>
        </w:rPr>
        <w:t>8.5排污许可要求</w:t>
      </w:r>
      <w:bookmarkEnd w:id="392"/>
      <w:bookmarkEnd w:id="393"/>
      <w:bookmarkEnd w:id="394"/>
    </w:p>
    <w:p>
      <w:pPr>
        <w:pStyle w:val="99"/>
        <w:ind w:firstLine="480"/>
        <w:rPr>
          <w:color w:val="auto"/>
          <w:highlight w:val="none"/>
        </w:rPr>
      </w:pPr>
      <w:r>
        <w:rPr>
          <w:color w:val="auto"/>
          <w:highlight w:val="none"/>
        </w:rPr>
        <w:t>根据《排污许可管理办法</w:t>
      </w:r>
      <w:r>
        <w:rPr>
          <w:rFonts w:hint="eastAsia"/>
          <w:color w:val="auto"/>
          <w:highlight w:val="none"/>
        </w:rPr>
        <w:t>(</w:t>
      </w:r>
      <w:r>
        <w:rPr>
          <w:color w:val="auto"/>
          <w:highlight w:val="none"/>
        </w:rPr>
        <w:t>试行</w:t>
      </w:r>
      <w:r>
        <w:rPr>
          <w:rFonts w:hint="eastAsia"/>
          <w:color w:val="auto"/>
          <w:highlight w:val="none"/>
        </w:rPr>
        <w:t>)</w:t>
      </w:r>
      <w:r>
        <w:rPr>
          <w:color w:val="auto"/>
          <w:highlight w:val="none"/>
        </w:rPr>
        <w:t>》</w:t>
      </w:r>
      <w:r>
        <w:rPr>
          <w:rFonts w:hint="eastAsia"/>
          <w:color w:val="auto"/>
          <w:highlight w:val="none"/>
        </w:rPr>
        <w:t>(</w:t>
      </w:r>
      <w:r>
        <w:rPr>
          <w:color w:val="auto"/>
          <w:highlight w:val="none"/>
        </w:rPr>
        <w:t>环保部令2018年第48号</w:t>
      </w:r>
      <w:r>
        <w:rPr>
          <w:rFonts w:hint="eastAsia"/>
          <w:color w:val="auto"/>
          <w:highlight w:val="none"/>
        </w:rPr>
        <w:t>)</w:t>
      </w:r>
      <w:r>
        <w:rPr>
          <w:color w:val="auto"/>
          <w:highlight w:val="none"/>
        </w:rPr>
        <w:t>、《排污许可证管理暂行规定》</w:t>
      </w:r>
      <w:r>
        <w:rPr>
          <w:rFonts w:hint="eastAsia"/>
          <w:color w:val="auto"/>
          <w:highlight w:val="none"/>
        </w:rPr>
        <w:t>(</w:t>
      </w:r>
      <w:r>
        <w:rPr>
          <w:color w:val="auto"/>
          <w:highlight w:val="none"/>
        </w:rPr>
        <w:t>环水体[2016]186号</w:t>
      </w:r>
      <w:r>
        <w:rPr>
          <w:rFonts w:hint="eastAsia"/>
          <w:color w:val="auto"/>
          <w:highlight w:val="none"/>
        </w:rPr>
        <w:t>)</w:t>
      </w:r>
      <w:r>
        <w:rPr>
          <w:color w:val="auto"/>
          <w:highlight w:val="none"/>
        </w:rPr>
        <w:t>、</w:t>
      </w:r>
      <w:r>
        <w:rPr>
          <w:color w:val="auto"/>
          <w:highlight w:val="none"/>
        </w:rPr>
        <w:fldChar w:fldCharType="begin"/>
      </w:r>
      <w:r>
        <w:rPr>
          <w:color w:val="auto"/>
          <w:highlight w:val="none"/>
        </w:rPr>
        <w:instrText xml:space="preserve">HYPERLINK "http://kjs.mep.gov.cn/hjbhbz/bzwb/other/hjbhgc/201802/t20180211_431302.shtml"</w:instrText>
      </w:r>
      <w:r>
        <w:rPr>
          <w:color w:val="auto"/>
          <w:highlight w:val="none"/>
        </w:rPr>
        <w:fldChar w:fldCharType="separate"/>
      </w:r>
      <w:r>
        <w:rPr>
          <w:color w:val="auto"/>
          <w:highlight w:val="none"/>
        </w:rPr>
        <w:t>《排污许可证申请与核发技术规范 总则》</w:t>
      </w:r>
      <w:r>
        <w:rPr>
          <w:rFonts w:hint="eastAsia"/>
          <w:color w:val="auto"/>
          <w:highlight w:val="none"/>
        </w:rPr>
        <w:t>(</w:t>
      </w:r>
      <w:r>
        <w:rPr>
          <w:color w:val="auto"/>
          <w:highlight w:val="none"/>
        </w:rPr>
        <w:t>HJ942-2018</w:t>
      </w:r>
      <w:r>
        <w:rPr>
          <w:rFonts w:hint="eastAsia"/>
          <w:color w:val="auto"/>
          <w:highlight w:val="none"/>
        </w:rPr>
        <w:t>)</w:t>
      </w:r>
      <w:r>
        <w:rPr>
          <w:color w:val="auto"/>
          <w:highlight w:val="none"/>
        </w:rPr>
        <w:fldChar w:fldCharType="end"/>
      </w:r>
      <w:r>
        <w:rPr>
          <w:color w:val="auto"/>
          <w:highlight w:val="none"/>
        </w:rPr>
        <w:t>、</w:t>
      </w:r>
      <w:r>
        <w:rPr>
          <w:rFonts w:hint="eastAsia"/>
          <w:color w:val="auto"/>
          <w:highlight w:val="none"/>
        </w:rPr>
        <w:t>《排污许可证申请与核发技术规范 橡胶和塑料制品工业》(HJ1122-2020)及《排污许可证申请与核发技术规范 废弃资源加工工业》(HJ1034-2019)</w:t>
      </w:r>
      <w:r>
        <w:rPr>
          <w:color w:val="auto"/>
          <w:highlight w:val="none"/>
        </w:rPr>
        <w:t>等相关文件要求，本项目应当在投入生产或使用并产生实际排污行为之前申请领取排污许可证。根据《固定污染源排污许可分类管理名录</w:t>
      </w:r>
      <w:r>
        <w:rPr>
          <w:rFonts w:hint="eastAsia"/>
          <w:color w:val="auto"/>
          <w:highlight w:val="none"/>
        </w:rPr>
        <w:t>(</w:t>
      </w:r>
      <w:r>
        <w:rPr>
          <w:color w:val="auto"/>
          <w:highlight w:val="none"/>
        </w:rPr>
        <w:t>2019年版</w:t>
      </w:r>
      <w:r>
        <w:rPr>
          <w:rFonts w:hint="eastAsia"/>
          <w:color w:val="auto"/>
          <w:highlight w:val="none"/>
        </w:rPr>
        <w:t>)</w:t>
      </w:r>
      <w:r>
        <w:rPr>
          <w:color w:val="auto"/>
          <w:highlight w:val="none"/>
        </w:rPr>
        <w:t>》，本项目属于</w:t>
      </w:r>
      <w:r>
        <w:rPr>
          <w:rFonts w:hint="eastAsia"/>
          <w:color w:val="auto"/>
          <w:highlight w:val="none"/>
        </w:rPr>
        <w:t>简化</w:t>
      </w:r>
      <w:r>
        <w:rPr>
          <w:color w:val="auto"/>
          <w:highlight w:val="none"/>
        </w:rPr>
        <w:t>管理类别。</w:t>
      </w:r>
      <w:r>
        <w:rPr>
          <w:rFonts w:hint="eastAsia"/>
          <w:color w:val="auto"/>
          <w:highlight w:val="none"/>
        </w:rPr>
        <w:t>建设单位必须按期持证排污、按证排污，不得无证排污，及时申领排污许可证，对申请材料的真实性、准确性和完整性承担法律责任，承诺按照排污许可证的规定排污并严格执行。</w:t>
      </w:r>
    </w:p>
    <w:p>
      <w:pPr>
        <w:pStyle w:val="99"/>
        <w:ind w:firstLine="480"/>
        <w:rPr>
          <w:color w:val="auto"/>
          <w:highlight w:val="none"/>
        </w:rPr>
      </w:pPr>
      <w:r>
        <w:rPr>
          <w:color w:val="auto"/>
          <w:highlight w:val="none"/>
        </w:rPr>
        <w:t>排污许可证自作出许可决定之日起生效。首次发放的排污许可证有效期为三年，延续换发的排污许可证有效期为五年。</w:t>
      </w:r>
    </w:p>
    <w:p>
      <w:pPr>
        <w:pStyle w:val="99"/>
        <w:ind w:firstLine="480"/>
        <w:rPr>
          <w:color w:val="auto"/>
          <w:highlight w:val="none"/>
        </w:rPr>
      </w:pPr>
      <w:r>
        <w:rPr>
          <w:color w:val="auto"/>
          <w:highlight w:val="none"/>
        </w:rPr>
        <w:t>排污单位应当按照排污许可证中关于台账记录的要求，根据生产特点和污染物排放特点，按照排污口或者无组织排放源进行记录。</w:t>
      </w:r>
    </w:p>
    <w:p>
      <w:pPr>
        <w:pStyle w:val="99"/>
        <w:ind w:firstLine="480"/>
        <w:rPr>
          <w:color w:val="auto"/>
          <w:highlight w:val="none"/>
        </w:rPr>
      </w:pPr>
      <w:r>
        <w:rPr>
          <w:color w:val="auto"/>
          <w:highlight w:val="none"/>
        </w:rPr>
        <w:t>排污单位应当按照排污许可证规定的关于执行报告内容和频次的要求，编制排污许可证执行报告。排污许可证执行报告包括年度执行报告、季度执行报告和月执行报告。排污单位应当每年在全国排污许可证管理信息平台上填报、提交排污许可证年度执行报告并公开，同时向核发环保部门提交通过全国排污许可证管理信息平台印制的书面执行报告。书面执行报告应当由法定代表人或者主要负责人签字或者盖章。</w:t>
      </w:r>
    </w:p>
    <w:p>
      <w:pPr>
        <w:pStyle w:val="99"/>
        <w:ind w:firstLine="480"/>
        <w:rPr>
          <w:color w:val="auto"/>
          <w:highlight w:val="none"/>
        </w:rPr>
      </w:pPr>
      <w:r>
        <w:rPr>
          <w:color w:val="auto"/>
          <w:highlight w:val="none"/>
        </w:rPr>
        <w:t>排污单位应当对提交的台账记录、监测数据和执行报告的真实性、完整性负责，依法接受环境保护主管部门的监督检查。</w:t>
      </w:r>
    </w:p>
    <w:p>
      <w:pPr>
        <w:pStyle w:val="100"/>
        <w:spacing w:before="156"/>
        <w:rPr>
          <w:rFonts w:ascii="Times New Roman" w:hAnsi="Times New Roman"/>
          <w:color w:val="auto"/>
          <w:highlight w:val="none"/>
        </w:rPr>
      </w:pPr>
      <w:bookmarkStart w:id="395" w:name="_Toc66281321"/>
      <w:bookmarkStart w:id="396" w:name="_Toc11808"/>
      <w:bookmarkStart w:id="397" w:name="_Toc57804796"/>
      <w:r>
        <w:rPr>
          <w:rFonts w:ascii="Times New Roman" w:hAnsi="Times New Roman"/>
          <w:color w:val="auto"/>
          <w:highlight w:val="none"/>
        </w:rPr>
        <w:t>8.6环保竣工验收</w:t>
      </w:r>
      <w:bookmarkEnd w:id="395"/>
      <w:bookmarkEnd w:id="396"/>
      <w:bookmarkEnd w:id="397"/>
    </w:p>
    <w:p>
      <w:pPr>
        <w:pStyle w:val="99"/>
        <w:ind w:firstLine="480"/>
        <w:rPr>
          <w:color w:val="auto"/>
          <w:highlight w:val="none"/>
        </w:rPr>
      </w:pPr>
      <w:r>
        <w:rPr>
          <w:color w:val="auto"/>
          <w:highlight w:val="none"/>
        </w:rPr>
        <w:t>建设项目竣工后，企业应依据《建设项目竣工环境保护验收暂行办法》</w:t>
      </w:r>
      <w:r>
        <w:rPr>
          <w:rFonts w:hint="eastAsia"/>
          <w:color w:val="auto"/>
          <w:highlight w:val="none"/>
        </w:rPr>
        <w:t>(</w:t>
      </w:r>
      <w:r>
        <w:rPr>
          <w:color w:val="auto"/>
          <w:highlight w:val="none"/>
        </w:rPr>
        <w:t>国环规环评[2017]4号</w:t>
      </w:r>
      <w:r>
        <w:rPr>
          <w:rFonts w:hint="eastAsia"/>
          <w:color w:val="auto"/>
          <w:highlight w:val="none"/>
        </w:rPr>
        <w:t>)</w:t>
      </w:r>
      <w:r>
        <w:rPr>
          <w:color w:val="auto"/>
          <w:highlight w:val="none"/>
        </w:rPr>
        <w:t>、《建设项目竣工环境保护验收技术指南 污染影响类》</w:t>
      </w:r>
      <w:r>
        <w:rPr>
          <w:rFonts w:hint="eastAsia"/>
          <w:color w:val="auto"/>
          <w:highlight w:val="none"/>
        </w:rPr>
        <w:t>(</w:t>
      </w:r>
      <w:r>
        <w:rPr>
          <w:color w:val="auto"/>
          <w:highlight w:val="none"/>
        </w:rPr>
        <w:t>生态环境部公告2018年第9号</w:t>
      </w:r>
      <w:r>
        <w:rPr>
          <w:rFonts w:hint="eastAsia"/>
          <w:color w:val="auto"/>
          <w:highlight w:val="none"/>
        </w:rPr>
        <w:t>)</w:t>
      </w:r>
      <w:r>
        <w:rPr>
          <w:color w:val="auto"/>
          <w:highlight w:val="none"/>
        </w:rPr>
        <w:t>等文件要求，开展建设项目环境保护竣工验收。</w:t>
      </w:r>
    </w:p>
    <w:p>
      <w:pPr>
        <w:pStyle w:val="99"/>
        <w:ind w:firstLine="480"/>
        <w:rPr>
          <w:color w:val="auto"/>
          <w:highlight w:val="none"/>
        </w:rPr>
      </w:pPr>
      <w:r>
        <w:rPr>
          <w:color w:val="auto"/>
          <w:highlight w:val="none"/>
        </w:rPr>
        <w:t>建设单位是建设项目竣工环境保护验收的责任主体，可自行开展建设项目环境保护竣工验收。建设单位不具备编制验收监测</w:t>
      </w:r>
      <w:r>
        <w:rPr>
          <w:rFonts w:hint="eastAsia"/>
          <w:color w:val="auto"/>
          <w:highlight w:val="none"/>
        </w:rPr>
        <w:t>(</w:t>
      </w:r>
      <w:r>
        <w:rPr>
          <w:color w:val="auto"/>
          <w:highlight w:val="none"/>
        </w:rPr>
        <w:t>调查</w:t>
      </w:r>
      <w:r>
        <w:rPr>
          <w:rFonts w:hint="eastAsia"/>
          <w:color w:val="auto"/>
          <w:highlight w:val="none"/>
        </w:rPr>
        <w:t>)</w:t>
      </w:r>
      <w:r>
        <w:rPr>
          <w:color w:val="auto"/>
          <w:highlight w:val="none"/>
        </w:rPr>
        <w:t>报告能力的，可以委托有能力的技术机构编制。建设单位开展验收监测活动，可根据自身条件和能力，利用自有人员、场所和设备自行监测；也可以委托其他有能力的监测机构开展监测。</w:t>
      </w:r>
    </w:p>
    <w:p>
      <w:pPr>
        <w:pStyle w:val="99"/>
        <w:ind w:firstLine="480"/>
        <w:rPr>
          <w:color w:val="auto"/>
          <w:highlight w:val="none"/>
        </w:rPr>
      </w:pPr>
      <w:r>
        <w:rPr>
          <w:color w:val="auto"/>
          <w:highlight w:val="none"/>
        </w:rPr>
        <w:t>纳入排污许可管理的建设项目，排污单位应当在项目产生实际污染物排放之前，按照国家排污许可有关管理规定要求，申请排污许可证。除需要取得排污许可证的水和大气污染防治设施外，其他环境保护设施的验收期限一般不超过3个月；需要对该类环境保护设施进行调试或者整改的，验收期限可以适当延期，但最长不超过12个月。</w:t>
      </w:r>
    </w:p>
    <w:p>
      <w:pPr>
        <w:pStyle w:val="99"/>
        <w:ind w:firstLine="480"/>
        <w:rPr>
          <w:color w:val="auto"/>
          <w:highlight w:val="none"/>
        </w:rPr>
      </w:pPr>
      <w:r>
        <w:rPr>
          <w:color w:val="auto"/>
          <w:highlight w:val="none"/>
        </w:rPr>
        <w:t>拟建项目环境保护竣工验收具体内容可参考表8.6-1。</w:t>
      </w:r>
    </w:p>
    <w:p>
      <w:pPr>
        <w:pStyle w:val="103"/>
        <w:rPr>
          <w:rFonts w:ascii="Times New Roman" w:hAnsi="Times New Roman"/>
          <w:color w:val="auto"/>
          <w:highlight w:val="none"/>
        </w:rPr>
      </w:pPr>
    </w:p>
    <w:p>
      <w:pPr>
        <w:pStyle w:val="103"/>
        <w:rPr>
          <w:rFonts w:ascii="Times New Roman" w:hAnsi="Times New Roman"/>
          <w:color w:val="auto"/>
          <w:highlight w:val="none"/>
        </w:rPr>
      </w:pPr>
      <w:r>
        <w:rPr>
          <w:rFonts w:ascii="Times New Roman" w:hAnsi="Times New Roman"/>
          <w:color w:val="auto"/>
          <w:highlight w:val="none"/>
        </w:rPr>
        <w:t>表8.6-1  项目环境保护竣工验收内容一览表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108" w:type="dxa"/>
          <w:bottom w:w="28" w:type="dxa"/>
          <w:right w:w="108" w:type="dxa"/>
        </w:tblCellMar>
      </w:tblPr>
      <w:tblGrid>
        <w:gridCol w:w="526"/>
        <w:gridCol w:w="1142"/>
        <w:gridCol w:w="3827"/>
        <w:gridCol w:w="35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926" w:type="pct"/>
            <w:gridSpan w:val="2"/>
            <w:shd w:val="clear" w:color="auto" w:fill="auto"/>
            <w:vAlign w:val="center"/>
          </w:tcPr>
          <w:p>
            <w:pPr>
              <w:pStyle w:val="105"/>
              <w:rPr>
                <w:color w:val="auto"/>
                <w:highlight w:val="none"/>
              </w:rPr>
            </w:pPr>
            <w:r>
              <w:rPr>
                <w:color w:val="auto"/>
                <w:highlight w:val="none"/>
              </w:rPr>
              <w:t>验收项目</w:t>
            </w:r>
          </w:p>
        </w:tc>
        <w:tc>
          <w:tcPr>
            <w:tcW w:w="2125" w:type="pct"/>
            <w:shd w:val="clear" w:color="auto" w:fill="auto"/>
            <w:vAlign w:val="center"/>
          </w:tcPr>
          <w:p>
            <w:pPr>
              <w:pStyle w:val="105"/>
              <w:rPr>
                <w:color w:val="auto"/>
                <w:highlight w:val="none"/>
              </w:rPr>
            </w:pPr>
            <w:r>
              <w:rPr>
                <w:color w:val="auto"/>
                <w:highlight w:val="none"/>
              </w:rPr>
              <w:t>验收内容</w:t>
            </w:r>
          </w:p>
        </w:tc>
        <w:tc>
          <w:tcPr>
            <w:tcW w:w="1948" w:type="pct"/>
            <w:shd w:val="clear" w:color="auto" w:fill="auto"/>
            <w:vAlign w:val="center"/>
          </w:tcPr>
          <w:p>
            <w:pPr>
              <w:pStyle w:val="105"/>
              <w:rPr>
                <w:color w:val="auto"/>
                <w:highlight w:val="none"/>
              </w:rPr>
            </w:pPr>
            <w:r>
              <w:rPr>
                <w:color w:val="auto"/>
                <w:highlight w:val="none"/>
              </w:rPr>
              <w:t>验收标准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292" w:type="pct"/>
            <w:vMerge w:val="restart"/>
            <w:tcBorders>
              <w:right w:val="single" w:color="auto" w:sz="6" w:space="0"/>
            </w:tcBorders>
            <w:shd w:val="clear" w:color="auto" w:fill="auto"/>
            <w:vAlign w:val="center"/>
          </w:tcPr>
          <w:p>
            <w:pPr>
              <w:pStyle w:val="105"/>
              <w:rPr>
                <w:color w:val="auto"/>
                <w:highlight w:val="none"/>
              </w:rPr>
            </w:pPr>
            <w:r>
              <w:rPr>
                <w:color w:val="auto"/>
                <w:highlight w:val="none"/>
              </w:rPr>
              <w:t>建设内容</w:t>
            </w:r>
          </w:p>
        </w:tc>
        <w:tc>
          <w:tcPr>
            <w:tcW w:w="634" w:type="pct"/>
            <w:tcBorders>
              <w:left w:val="single" w:color="auto" w:sz="6" w:space="0"/>
            </w:tcBorders>
            <w:shd w:val="clear" w:color="auto" w:fill="auto"/>
            <w:vAlign w:val="center"/>
          </w:tcPr>
          <w:p>
            <w:pPr>
              <w:pStyle w:val="105"/>
              <w:rPr>
                <w:color w:val="auto"/>
                <w:highlight w:val="none"/>
              </w:rPr>
            </w:pPr>
            <w:r>
              <w:rPr>
                <w:color w:val="auto"/>
                <w:highlight w:val="none"/>
              </w:rPr>
              <w:t>建设规模</w:t>
            </w:r>
          </w:p>
        </w:tc>
        <w:tc>
          <w:tcPr>
            <w:tcW w:w="2125" w:type="pct"/>
            <w:shd w:val="clear" w:color="auto" w:fill="auto"/>
            <w:vAlign w:val="center"/>
          </w:tcPr>
          <w:p>
            <w:pPr>
              <w:pStyle w:val="105"/>
              <w:rPr>
                <w:color w:val="auto"/>
                <w:highlight w:val="none"/>
              </w:rPr>
            </w:pPr>
            <w:r>
              <w:rPr>
                <w:color w:val="auto"/>
                <w:highlight w:val="none"/>
              </w:rPr>
              <w:t>主要生产设备、产品方案及生产能力</w:t>
            </w:r>
          </w:p>
        </w:tc>
        <w:tc>
          <w:tcPr>
            <w:tcW w:w="1948" w:type="pct"/>
            <w:shd w:val="clear" w:color="auto" w:fill="auto"/>
            <w:vAlign w:val="center"/>
          </w:tcPr>
          <w:p>
            <w:pPr>
              <w:pStyle w:val="105"/>
              <w:rPr>
                <w:color w:val="auto"/>
                <w:highlight w:val="none"/>
              </w:rPr>
            </w:pPr>
            <w:r>
              <w:rPr>
                <w:color w:val="auto"/>
                <w:highlight w:val="none"/>
              </w:rPr>
              <w:t>与环评批复一致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292" w:type="pct"/>
            <w:vMerge w:val="continue"/>
            <w:tcBorders>
              <w:right w:val="single" w:color="auto" w:sz="6" w:space="0"/>
            </w:tcBorders>
            <w:shd w:val="clear" w:color="auto" w:fill="auto"/>
            <w:vAlign w:val="center"/>
          </w:tcPr>
          <w:p>
            <w:pPr>
              <w:pStyle w:val="105"/>
              <w:rPr>
                <w:color w:val="auto"/>
                <w:highlight w:val="none"/>
              </w:rPr>
            </w:pPr>
          </w:p>
        </w:tc>
        <w:tc>
          <w:tcPr>
            <w:tcW w:w="634" w:type="pct"/>
            <w:tcBorders>
              <w:left w:val="single" w:color="auto" w:sz="6" w:space="0"/>
            </w:tcBorders>
            <w:shd w:val="clear" w:color="auto" w:fill="auto"/>
            <w:vAlign w:val="center"/>
          </w:tcPr>
          <w:p>
            <w:pPr>
              <w:pStyle w:val="105"/>
              <w:rPr>
                <w:color w:val="auto"/>
                <w:highlight w:val="none"/>
              </w:rPr>
            </w:pPr>
            <w:r>
              <w:rPr>
                <w:color w:val="auto"/>
                <w:highlight w:val="none"/>
              </w:rPr>
              <w:t>工艺流程</w:t>
            </w:r>
          </w:p>
        </w:tc>
        <w:tc>
          <w:tcPr>
            <w:tcW w:w="2125" w:type="pct"/>
            <w:shd w:val="clear" w:color="auto" w:fill="auto"/>
            <w:vAlign w:val="center"/>
          </w:tcPr>
          <w:p>
            <w:pPr>
              <w:pStyle w:val="105"/>
              <w:rPr>
                <w:color w:val="auto"/>
                <w:highlight w:val="none"/>
              </w:rPr>
            </w:pPr>
            <w:r>
              <w:rPr>
                <w:color w:val="auto"/>
                <w:highlight w:val="none"/>
              </w:rPr>
              <w:t>工艺流程</w:t>
            </w:r>
            <w:r>
              <w:rPr>
                <w:rFonts w:hint="eastAsia"/>
                <w:color w:val="auto"/>
                <w:highlight w:val="none"/>
              </w:rPr>
              <w:t>是否</w:t>
            </w:r>
            <w:r>
              <w:rPr>
                <w:color w:val="auto"/>
                <w:highlight w:val="none"/>
              </w:rPr>
              <w:t>有变动</w:t>
            </w:r>
          </w:p>
        </w:tc>
        <w:tc>
          <w:tcPr>
            <w:tcW w:w="1948" w:type="pct"/>
            <w:shd w:val="clear" w:color="auto" w:fill="auto"/>
            <w:vAlign w:val="center"/>
          </w:tcPr>
          <w:p>
            <w:pPr>
              <w:pStyle w:val="105"/>
              <w:rPr>
                <w:color w:val="auto"/>
                <w:highlight w:val="none"/>
              </w:rPr>
            </w:pPr>
            <w:r>
              <w:rPr>
                <w:color w:val="auto"/>
                <w:highlight w:val="none"/>
              </w:rPr>
              <w:t>与环评批复一致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292" w:type="pct"/>
            <w:vMerge w:val="continue"/>
            <w:tcBorders>
              <w:right w:val="single" w:color="auto" w:sz="6" w:space="0"/>
            </w:tcBorders>
            <w:shd w:val="clear" w:color="auto" w:fill="auto"/>
            <w:vAlign w:val="center"/>
          </w:tcPr>
          <w:p>
            <w:pPr>
              <w:pStyle w:val="105"/>
              <w:rPr>
                <w:color w:val="auto"/>
                <w:highlight w:val="none"/>
              </w:rPr>
            </w:pPr>
          </w:p>
        </w:tc>
        <w:tc>
          <w:tcPr>
            <w:tcW w:w="634" w:type="pct"/>
            <w:tcBorders>
              <w:left w:val="single" w:color="auto" w:sz="6" w:space="0"/>
            </w:tcBorders>
            <w:shd w:val="clear" w:color="auto" w:fill="auto"/>
            <w:vAlign w:val="center"/>
          </w:tcPr>
          <w:p>
            <w:pPr>
              <w:pStyle w:val="105"/>
              <w:rPr>
                <w:color w:val="auto"/>
                <w:highlight w:val="none"/>
              </w:rPr>
            </w:pPr>
            <w:r>
              <w:rPr>
                <w:color w:val="auto"/>
                <w:highlight w:val="none"/>
              </w:rPr>
              <w:t>公用工程</w:t>
            </w:r>
          </w:p>
        </w:tc>
        <w:tc>
          <w:tcPr>
            <w:tcW w:w="2125" w:type="pct"/>
            <w:shd w:val="clear" w:color="auto" w:fill="auto"/>
            <w:vAlign w:val="center"/>
          </w:tcPr>
          <w:p>
            <w:pPr>
              <w:pStyle w:val="105"/>
              <w:rPr>
                <w:color w:val="auto"/>
                <w:highlight w:val="none"/>
              </w:rPr>
            </w:pPr>
            <w:r>
              <w:rPr>
                <w:color w:val="auto"/>
                <w:highlight w:val="none"/>
              </w:rPr>
              <w:t>供热、供气、给排水、供电等是否与环评一致</w:t>
            </w:r>
          </w:p>
        </w:tc>
        <w:tc>
          <w:tcPr>
            <w:tcW w:w="1948" w:type="pct"/>
            <w:shd w:val="clear" w:color="auto" w:fill="auto"/>
            <w:vAlign w:val="center"/>
          </w:tcPr>
          <w:p>
            <w:pPr>
              <w:pStyle w:val="105"/>
              <w:rPr>
                <w:color w:val="auto"/>
                <w:highlight w:val="none"/>
              </w:rPr>
            </w:pPr>
            <w:r>
              <w:rPr>
                <w:color w:val="auto"/>
                <w:highlight w:val="none"/>
              </w:rPr>
              <w:t>与环评批复一致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292" w:type="pct"/>
            <w:vMerge w:val="restart"/>
            <w:shd w:val="clear" w:color="auto" w:fill="auto"/>
            <w:vAlign w:val="center"/>
          </w:tcPr>
          <w:p>
            <w:pPr>
              <w:pStyle w:val="105"/>
              <w:rPr>
                <w:color w:val="auto"/>
                <w:highlight w:val="none"/>
              </w:rPr>
            </w:pPr>
            <w:r>
              <w:rPr>
                <w:color w:val="auto"/>
                <w:highlight w:val="none"/>
              </w:rPr>
              <w:t>废气</w:t>
            </w:r>
          </w:p>
        </w:tc>
        <w:tc>
          <w:tcPr>
            <w:tcW w:w="634" w:type="pct"/>
            <w:shd w:val="clear" w:color="auto" w:fill="auto"/>
            <w:vAlign w:val="center"/>
          </w:tcPr>
          <w:p>
            <w:pPr>
              <w:pStyle w:val="105"/>
              <w:rPr>
                <w:color w:val="auto"/>
                <w:highlight w:val="none"/>
              </w:rPr>
            </w:pPr>
            <w:r>
              <w:rPr>
                <w:color w:val="auto"/>
                <w:highlight w:val="none"/>
              </w:rPr>
              <w:t>环保措施落实情况</w:t>
            </w:r>
          </w:p>
        </w:tc>
        <w:tc>
          <w:tcPr>
            <w:tcW w:w="2125" w:type="pct"/>
            <w:shd w:val="clear" w:color="auto" w:fill="auto"/>
            <w:vAlign w:val="center"/>
          </w:tcPr>
          <w:p>
            <w:pPr>
              <w:pStyle w:val="105"/>
              <w:rPr>
                <w:color w:val="auto"/>
                <w:highlight w:val="none"/>
              </w:rPr>
            </w:pPr>
            <w:r>
              <w:rPr>
                <w:rFonts w:hint="eastAsia"/>
                <w:color w:val="auto"/>
                <w:highlight w:val="none"/>
              </w:rPr>
              <w:t>本项目挤出成型、熔融造粒、注塑废气、破碎废气经布袋除尘+活性炭吸附浓缩+催化燃烧+</w:t>
            </w:r>
            <w:r>
              <w:rPr>
                <w:rFonts w:hint="eastAsia"/>
                <w:color w:val="auto"/>
                <w:highlight w:val="none"/>
                <w:lang w:eastAsia="zh-CN"/>
              </w:rPr>
              <w:t>20m</w:t>
            </w:r>
            <w:r>
              <w:rPr>
                <w:rFonts w:hint="eastAsia"/>
                <w:color w:val="auto"/>
                <w:highlight w:val="none"/>
              </w:rPr>
              <w:t>高排气筒（DA001）</w:t>
            </w:r>
            <w:r>
              <w:rPr>
                <w:color w:val="auto"/>
                <w:highlight w:val="none"/>
              </w:rPr>
              <w:t>排放</w:t>
            </w:r>
          </w:p>
        </w:tc>
        <w:tc>
          <w:tcPr>
            <w:tcW w:w="1948" w:type="pct"/>
            <w:shd w:val="clear" w:color="auto" w:fill="auto"/>
            <w:vAlign w:val="center"/>
          </w:tcPr>
          <w:p>
            <w:pPr>
              <w:pStyle w:val="105"/>
              <w:rPr>
                <w:color w:val="auto"/>
                <w:highlight w:val="none"/>
              </w:rPr>
            </w:pPr>
            <w:r>
              <w:rPr>
                <w:color w:val="auto"/>
                <w:highlight w:val="none"/>
              </w:rPr>
              <w:t>各环保设备是否已建设，是否符合“三同时”要求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292" w:type="pct"/>
            <w:vMerge w:val="continue"/>
            <w:shd w:val="clear" w:color="auto" w:fill="auto"/>
            <w:vAlign w:val="center"/>
          </w:tcPr>
          <w:p>
            <w:pPr>
              <w:pStyle w:val="105"/>
              <w:rPr>
                <w:color w:val="auto"/>
                <w:highlight w:val="none"/>
              </w:rPr>
            </w:pPr>
          </w:p>
        </w:tc>
        <w:tc>
          <w:tcPr>
            <w:tcW w:w="634" w:type="pct"/>
            <w:vMerge w:val="restart"/>
            <w:shd w:val="clear" w:color="auto" w:fill="auto"/>
            <w:vAlign w:val="center"/>
          </w:tcPr>
          <w:p>
            <w:pPr>
              <w:pStyle w:val="105"/>
              <w:rPr>
                <w:color w:val="auto"/>
                <w:highlight w:val="none"/>
              </w:rPr>
            </w:pPr>
            <w:r>
              <w:rPr>
                <w:color w:val="auto"/>
                <w:highlight w:val="none"/>
              </w:rPr>
              <w:t>排放达标情况</w:t>
            </w:r>
          </w:p>
        </w:tc>
        <w:tc>
          <w:tcPr>
            <w:tcW w:w="2125" w:type="pct"/>
            <w:shd w:val="clear" w:color="auto" w:fill="auto"/>
            <w:vAlign w:val="center"/>
          </w:tcPr>
          <w:p>
            <w:pPr>
              <w:widowControl/>
              <w:spacing w:line="240" w:lineRule="exact"/>
              <w:jc w:val="center"/>
              <w:rPr>
                <w:color w:val="auto"/>
                <w:highlight w:val="none"/>
              </w:rPr>
            </w:pPr>
            <w:r>
              <w:rPr>
                <w:rFonts w:hint="eastAsia"/>
                <w:color w:val="auto"/>
                <w:highlight w:val="none"/>
              </w:rPr>
              <w:t>挤出成型、熔融造粒、注塑废气、破碎废气</w:t>
            </w:r>
          </w:p>
        </w:tc>
        <w:tc>
          <w:tcPr>
            <w:tcW w:w="1948" w:type="pct"/>
            <w:shd w:val="clear" w:color="auto" w:fill="auto"/>
            <w:vAlign w:val="center"/>
          </w:tcPr>
          <w:p>
            <w:pPr>
              <w:spacing w:line="240" w:lineRule="exact"/>
              <w:rPr>
                <w:color w:val="auto"/>
                <w:highlight w:val="none"/>
              </w:rPr>
            </w:pPr>
            <w:r>
              <w:rPr>
                <w:color w:val="auto"/>
                <w:highlight w:val="none"/>
              </w:rPr>
              <w:t>颗粒物有组织排放浓度能够满足《区域性大气污染物综合排放标准》</w:t>
            </w:r>
            <w:r>
              <w:rPr>
                <w:rFonts w:hint="eastAsia"/>
                <w:color w:val="auto"/>
                <w:highlight w:val="none"/>
              </w:rPr>
              <w:t>(</w:t>
            </w:r>
            <w:r>
              <w:rPr>
                <w:color w:val="auto"/>
                <w:highlight w:val="none"/>
              </w:rPr>
              <w:t>DB37/2376-2019</w:t>
            </w:r>
            <w:r>
              <w:rPr>
                <w:rFonts w:hint="eastAsia"/>
                <w:color w:val="auto"/>
                <w:highlight w:val="none"/>
              </w:rPr>
              <w:t>)</w:t>
            </w:r>
            <w:r>
              <w:rPr>
                <w:color w:val="auto"/>
                <w:highlight w:val="none"/>
              </w:rPr>
              <w:t>表1中“</w:t>
            </w:r>
            <w:r>
              <w:rPr>
                <w:rFonts w:hint="eastAsia"/>
                <w:color w:val="auto"/>
                <w:highlight w:val="none"/>
                <w:lang w:eastAsia="zh-CN"/>
              </w:rPr>
              <w:t>重点控制区</w:t>
            </w:r>
            <w:r>
              <w:rPr>
                <w:color w:val="auto"/>
                <w:highlight w:val="none"/>
              </w:rPr>
              <w:t>”的排放浓度限值，VOC</w:t>
            </w:r>
            <w:r>
              <w:rPr>
                <w:rFonts w:hint="eastAsia"/>
                <w:color w:val="auto"/>
                <w:highlight w:val="none"/>
                <w:vertAlign w:val="subscript"/>
              </w:rPr>
              <w:t>S</w:t>
            </w:r>
            <w:r>
              <w:rPr>
                <w:color w:val="auto"/>
                <w:highlight w:val="none"/>
              </w:rPr>
              <w:t>有组织排放浓度能够满足</w:t>
            </w:r>
            <w:r>
              <w:rPr>
                <w:rFonts w:hint="eastAsia"/>
                <w:color w:val="auto"/>
                <w:highlight w:val="none"/>
              </w:rPr>
              <w:t>《挥发性有机物排放标准 第6部分：有机化工行业》（DB37/2801.6-2018）表1中</w:t>
            </w:r>
            <w:r>
              <w:rPr>
                <w:rFonts w:hint="eastAsia"/>
                <w:color w:val="auto"/>
                <w:highlight w:val="none"/>
              </w:rPr>
              <w:fldChar w:fldCharType="begin"/>
            </w:r>
            <w:r>
              <w:rPr>
                <w:rFonts w:hint="eastAsia"/>
                <w:color w:val="auto"/>
                <w:highlight w:val="none"/>
              </w:rPr>
              <w:instrText xml:space="preserve"> = 2 \* ROMAN \* MERGEFORMAT </w:instrText>
            </w:r>
            <w:r>
              <w:rPr>
                <w:rFonts w:hint="eastAsia"/>
                <w:color w:val="auto"/>
                <w:highlight w:val="none"/>
              </w:rPr>
              <w:fldChar w:fldCharType="separate"/>
            </w:r>
            <w:r>
              <w:rPr>
                <w:color w:val="auto"/>
                <w:highlight w:val="none"/>
              </w:rPr>
              <w:t>II</w:t>
            </w:r>
            <w:r>
              <w:rPr>
                <w:rFonts w:hint="eastAsia"/>
                <w:color w:val="auto"/>
                <w:highlight w:val="none"/>
              </w:rPr>
              <w:fldChar w:fldCharType="end"/>
            </w:r>
            <w:r>
              <w:rPr>
                <w:rFonts w:hint="eastAsia"/>
                <w:color w:val="auto"/>
                <w:highlight w:val="none"/>
              </w:rPr>
              <w:t>时段</w:t>
            </w:r>
            <w:r>
              <w:rPr>
                <w:color w:val="auto"/>
                <w:highlight w:val="none"/>
              </w:rPr>
              <w:t>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292" w:type="pct"/>
            <w:vMerge w:val="continue"/>
            <w:shd w:val="clear" w:color="auto" w:fill="auto"/>
            <w:vAlign w:val="center"/>
          </w:tcPr>
          <w:p>
            <w:pPr>
              <w:pStyle w:val="105"/>
              <w:rPr>
                <w:color w:val="auto"/>
                <w:highlight w:val="none"/>
              </w:rPr>
            </w:pPr>
          </w:p>
        </w:tc>
        <w:tc>
          <w:tcPr>
            <w:tcW w:w="634" w:type="pct"/>
            <w:vMerge w:val="continue"/>
            <w:shd w:val="clear" w:color="auto" w:fill="auto"/>
            <w:vAlign w:val="center"/>
          </w:tcPr>
          <w:p>
            <w:pPr>
              <w:pStyle w:val="105"/>
              <w:rPr>
                <w:color w:val="auto"/>
                <w:highlight w:val="none"/>
              </w:rPr>
            </w:pPr>
          </w:p>
        </w:tc>
        <w:tc>
          <w:tcPr>
            <w:tcW w:w="2125" w:type="pct"/>
            <w:shd w:val="clear" w:color="auto" w:fill="auto"/>
            <w:vAlign w:val="center"/>
          </w:tcPr>
          <w:p>
            <w:pPr>
              <w:pStyle w:val="105"/>
              <w:rPr>
                <w:color w:val="auto"/>
                <w:highlight w:val="none"/>
              </w:rPr>
            </w:pPr>
            <w:r>
              <w:rPr>
                <w:color w:val="auto"/>
                <w:highlight w:val="none"/>
              </w:rPr>
              <w:t>厂界</w:t>
            </w:r>
            <w:r>
              <w:rPr>
                <w:rFonts w:hint="eastAsia"/>
                <w:color w:val="auto"/>
                <w:highlight w:val="none"/>
              </w:rPr>
              <w:t>颗粒物、VOCs</w:t>
            </w:r>
            <w:r>
              <w:rPr>
                <w:color w:val="auto"/>
                <w:highlight w:val="none"/>
              </w:rPr>
              <w:t>无组织浓度</w:t>
            </w:r>
            <w:r>
              <w:rPr>
                <w:rFonts w:hint="eastAsia"/>
                <w:color w:val="auto"/>
                <w:highlight w:val="none"/>
              </w:rPr>
              <w:t>排放浓度</w:t>
            </w:r>
          </w:p>
        </w:tc>
        <w:tc>
          <w:tcPr>
            <w:tcW w:w="1948" w:type="pct"/>
            <w:shd w:val="clear" w:color="auto" w:fill="auto"/>
            <w:vAlign w:val="center"/>
          </w:tcPr>
          <w:p>
            <w:pPr>
              <w:pStyle w:val="105"/>
              <w:rPr>
                <w:color w:val="auto"/>
                <w:highlight w:val="none"/>
              </w:rPr>
            </w:pPr>
            <w:r>
              <w:rPr>
                <w:rFonts w:hint="eastAsia"/>
                <w:color w:val="auto"/>
                <w:highlight w:val="none"/>
              </w:rPr>
              <w:t>颗粒物满足</w:t>
            </w:r>
            <w:r>
              <w:rPr>
                <w:color w:val="auto"/>
                <w:highlight w:val="none"/>
              </w:rPr>
              <w:t>《大气污染物综合排放标准》(GB16297-1996)无组织排放监控浓度限值</w:t>
            </w:r>
            <w:r>
              <w:rPr>
                <w:rFonts w:hint="eastAsia"/>
                <w:color w:val="auto"/>
                <w:highlight w:val="none"/>
              </w:rPr>
              <w:t>；VOCs满足《挥发性有机物排放标准 第6部分：有机化工行业》（DB37/2801.6-2018）表3</w:t>
            </w:r>
            <w:r>
              <w:rPr>
                <w:color w:val="auto"/>
                <w:highlight w:val="none"/>
              </w:rP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292" w:type="pct"/>
            <w:shd w:val="clear" w:color="auto" w:fill="auto"/>
            <w:vAlign w:val="center"/>
          </w:tcPr>
          <w:p>
            <w:pPr>
              <w:pStyle w:val="105"/>
              <w:rPr>
                <w:color w:val="auto"/>
                <w:highlight w:val="none"/>
              </w:rPr>
            </w:pPr>
            <w:r>
              <w:rPr>
                <w:color w:val="auto"/>
                <w:highlight w:val="none"/>
              </w:rPr>
              <w:t>废水</w:t>
            </w:r>
          </w:p>
        </w:tc>
        <w:tc>
          <w:tcPr>
            <w:tcW w:w="634" w:type="pct"/>
            <w:shd w:val="clear" w:color="auto" w:fill="auto"/>
            <w:vAlign w:val="center"/>
          </w:tcPr>
          <w:p>
            <w:pPr>
              <w:pStyle w:val="105"/>
              <w:rPr>
                <w:color w:val="auto"/>
                <w:highlight w:val="none"/>
              </w:rPr>
            </w:pPr>
            <w:r>
              <w:rPr>
                <w:color w:val="auto"/>
                <w:highlight w:val="none"/>
              </w:rPr>
              <w:t>环保措施落实情况</w:t>
            </w:r>
          </w:p>
        </w:tc>
        <w:tc>
          <w:tcPr>
            <w:tcW w:w="2125" w:type="pct"/>
            <w:shd w:val="clear" w:color="auto" w:fill="auto"/>
            <w:vAlign w:val="center"/>
          </w:tcPr>
          <w:p>
            <w:pPr>
              <w:pStyle w:val="105"/>
              <w:rPr>
                <w:color w:val="auto"/>
                <w:highlight w:val="none"/>
              </w:rPr>
            </w:pPr>
            <w:r>
              <w:rPr>
                <w:color w:val="auto"/>
                <w:highlight w:val="none"/>
              </w:rPr>
              <w:t>雨污分流，</w:t>
            </w:r>
            <w:r>
              <w:rPr>
                <w:rFonts w:hint="eastAsia"/>
                <w:color w:val="auto"/>
                <w:highlight w:val="none"/>
              </w:rPr>
              <w:t>生活污水经化粪池收集后由环卫部门定期清运，不外排</w:t>
            </w:r>
          </w:p>
        </w:tc>
        <w:tc>
          <w:tcPr>
            <w:tcW w:w="1948" w:type="pct"/>
            <w:shd w:val="clear" w:color="auto" w:fill="auto"/>
            <w:vAlign w:val="center"/>
          </w:tcPr>
          <w:p>
            <w:pPr>
              <w:pStyle w:val="105"/>
              <w:rPr>
                <w:color w:val="auto"/>
                <w:highlight w:val="none"/>
              </w:rPr>
            </w:pPr>
            <w:r>
              <w:rPr>
                <w:color w:val="auto"/>
                <w:highlight w:val="none"/>
              </w:rPr>
              <w:t>各环保设备是否已建设，是否符合“三同时”要求；雨污管网建设是否做到雨污分流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292" w:type="pct"/>
            <w:shd w:val="clear" w:color="auto" w:fill="auto"/>
            <w:vAlign w:val="center"/>
          </w:tcPr>
          <w:p>
            <w:pPr>
              <w:pStyle w:val="105"/>
              <w:rPr>
                <w:color w:val="auto"/>
                <w:highlight w:val="none"/>
              </w:rPr>
            </w:pPr>
            <w:r>
              <w:rPr>
                <w:color w:val="auto"/>
                <w:highlight w:val="none"/>
              </w:rPr>
              <w:t>固废</w:t>
            </w:r>
          </w:p>
        </w:tc>
        <w:tc>
          <w:tcPr>
            <w:tcW w:w="634" w:type="pct"/>
            <w:shd w:val="clear" w:color="auto" w:fill="auto"/>
            <w:vAlign w:val="center"/>
          </w:tcPr>
          <w:p>
            <w:pPr>
              <w:pStyle w:val="105"/>
              <w:rPr>
                <w:color w:val="auto"/>
                <w:highlight w:val="none"/>
              </w:rPr>
            </w:pPr>
            <w:r>
              <w:rPr>
                <w:color w:val="auto"/>
                <w:highlight w:val="none"/>
              </w:rPr>
              <w:t>环保措施落实情况</w:t>
            </w:r>
          </w:p>
        </w:tc>
        <w:tc>
          <w:tcPr>
            <w:tcW w:w="2125" w:type="pct"/>
            <w:shd w:val="clear" w:color="auto" w:fill="auto"/>
            <w:vAlign w:val="center"/>
          </w:tcPr>
          <w:p>
            <w:pPr>
              <w:pStyle w:val="105"/>
              <w:rPr>
                <w:color w:val="auto"/>
                <w:highlight w:val="none"/>
              </w:rPr>
            </w:pPr>
            <w:r>
              <w:rPr>
                <w:color w:val="auto"/>
                <w:highlight w:val="none"/>
              </w:rPr>
              <w:t>固废产生情况，一般固体废物暂存间及危废暂存间建设情况</w:t>
            </w:r>
          </w:p>
        </w:tc>
        <w:tc>
          <w:tcPr>
            <w:tcW w:w="1948" w:type="pct"/>
            <w:shd w:val="clear" w:color="auto" w:fill="auto"/>
            <w:vAlign w:val="center"/>
          </w:tcPr>
          <w:p>
            <w:pPr>
              <w:pStyle w:val="105"/>
              <w:rPr>
                <w:color w:val="auto"/>
                <w:highlight w:val="none"/>
              </w:rPr>
            </w:pPr>
            <w:r>
              <w:rPr>
                <w:color w:val="auto"/>
                <w:highlight w:val="none"/>
              </w:rPr>
              <w:t>危废间建设标准应满足《危险废物贮存污染控制标准》(GB18597-2001)及其修改单的要求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292" w:type="pct"/>
            <w:shd w:val="clear" w:color="auto" w:fill="auto"/>
            <w:vAlign w:val="center"/>
          </w:tcPr>
          <w:p>
            <w:pPr>
              <w:pStyle w:val="105"/>
              <w:rPr>
                <w:color w:val="auto"/>
                <w:highlight w:val="none"/>
              </w:rPr>
            </w:pPr>
            <w:r>
              <w:rPr>
                <w:color w:val="auto"/>
                <w:highlight w:val="none"/>
              </w:rPr>
              <w:t>噪声</w:t>
            </w:r>
          </w:p>
        </w:tc>
        <w:tc>
          <w:tcPr>
            <w:tcW w:w="634" w:type="pct"/>
            <w:shd w:val="clear" w:color="auto" w:fill="auto"/>
            <w:vAlign w:val="center"/>
          </w:tcPr>
          <w:p>
            <w:pPr>
              <w:pStyle w:val="105"/>
              <w:rPr>
                <w:color w:val="auto"/>
                <w:highlight w:val="none"/>
              </w:rPr>
            </w:pPr>
            <w:r>
              <w:rPr>
                <w:color w:val="auto"/>
                <w:highlight w:val="none"/>
              </w:rPr>
              <w:t>排放达标情况</w:t>
            </w:r>
          </w:p>
        </w:tc>
        <w:tc>
          <w:tcPr>
            <w:tcW w:w="2125" w:type="pct"/>
            <w:shd w:val="clear" w:color="auto" w:fill="auto"/>
            <w:vAlign w:val="center"/>
          </w:tcPr>
          <w:p>
            <w:pPr>
              <w:pStyle w:val="105"/>
              <w:rPr>
                <w:color w:val="auto"/>
                <w:highlight w:val="none"/>
              </w:rPr>
            </w:pPr>
            <w:r>
              <w:rPr>
                <w:color w:val="auto"/>
                <w:highlight w:val="none"/>
              </w:rPr>
              <w:t>四厂界外1m处噪声排放值Leq(A)</w:t>
            </w:r>
          </w:p>
        </w:tc>
        <w:tc>
          <w:tcPr>
            <w:tcW w:w="1948" w:type="pct"/>
            <w:shd w:val="clear" w:color="auto" w:fill="auto"/>
            <w:vAlign w:val="center"/>
          </w:tcPr>
          <w:p>
            <w:pPr>
              <w:pStyle w:val="105"/>
              <w:rPr>
                <w:color w:val="auto"/>
                <w:highlight w:val="none"/>
              </w:rPr>
            </w:pPr>
            <w:r>
              <w:rPr>
                <w:color w:val="auto"/>
                <w:highlight w:val="none"/>
              </w:rPr>
              <w:t>应满足《工业企业厂界环境噪声排放标准》(GB12348-2008)中相应的</w:t>
            </w:r>
            <w:r>
              <w:rPr>
                <w:rFonts w:hint="eastAsia"/>
                <w:color w:val="auto"/>
                <w:highlight w:val="none"/>
              </w:rPr>
              <w:t>2</w:t>
            </w:r>
            <w:r>
              <w:rPr>
                <w:color w:val="auto"/>
                <w:highlight w:val="none"/>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292" w:type="pct"/>
            <w:shd w:val="clear" w:color="auto" w:fill="auto"/>
            <w:vAlign w:val="center"/>
          </w:tcPr>
          <w:p>
            <w:pPr>
              <w:pStyle w:val="105"/>
              <w:rPr>
                <w:color w:val="auto"/>
                <w:highlight w:val="none"/>
              </w:rPr>
            </w:pPr>
            <w:r>
              <w:rPr>
                <w:color w:val="auto"/>
                <w:highlight w:val="none"/>
              </w:rPr>
              <w:t>防渗</w:t>
            </w:r>
          </w:p>
        </w:tc>
        <w:tc>
          <w:tcPr>
            <w:tcW w:w="634" w:type="pct"/>
            <w:shd w:val="clear" w:color="auto" w:fill="auto"/>
            <w:vAlign w:val="center"/>
          </w:tcPr>
          <w:p>
            <w:pPr>
              <w:pStyle w:val="105"/>
              <w:rPr>
                <w:color w:val="auto"/>
                <w:highlight w:val="none"/>
              </w:rPr>
            </w:pPr>
            <w:r>
              <w:rPr>
                <w:color w:val="auto"/>
                <w:highlight w:val="none"/>
              </w:rPr>
              <w:t>设计及施工文件</w:t>
            </w:r>
          </w:p>
        </w:tc>
        <w:tc>
          <w:tcPr>
            <w:tcW w:w="2125" w:type="pct"/>
            <w:shd w:val="clear" w:color="auto" w:fill="auto"/>
            <w:vAlign w:val="center"/>
          </w:tcPr>
          <w:p>
            <w:pPr>
              <w:pStyle w:val="105"/>
              <w:rPr>
                <w:color w:val="auto"/>
                <w:highlight w:val="none"/>
              </w:rPr>
            </w:pPr>
            <w:r>
              <w:rPr>
                <w:rFonts w:hint="eastAsia"/>
                <w:color w:val="auto"/>
                <w:highlight w:val="none"/>
              </w:rPr>
              <w:t>化粪池、</w:t>
            </w:r>
            <w:r>
              <w:rPr>
                <w:color w:val="auto"/>
                <w:highlight w:val="none"/>
              </w:rPr>
              <w:t>污水管网防渗措施落实情况</w:t>
            </w:r>
          </w:p>
        </w:tc>
        <w:tc>
          <w:tcPr>
            <w:tcW w:w="1948" w:type="pct"/>
            <w:shd w:val="clear" w:color="auto" w:fill="auto"/>
            <w:vAlign w:val="center"/>
          </w:tcPr>
          <w:p>
            <w:pPr>
              <w:pStyle w:val="105"/>
              <w:rPr>
                <w:color w:val="auto"/>
                <w:highlight w:val="none"/>
                <w:vertAlign w:val="superscript"/>
              </w:rPr>
            </w:pPr>
            <w:r>
              <w:rPr>
                <w:color w:val="auto"/>
                <w:highlight w:val="none"/>
              </w:rPr>
              <w:t>与环评批复一致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292" w:type="pct"/>
            <w:shd w:val="clear" w:color="auto" w:fill="auto"/>
            <w:vAlign w:val="center"/>
          </w:tcPr>
          <w:p>
            <w:pPr>
              <w:pStyle w:val="105"/>
              <w:rPr>
                <w:color w:val="auto"/>
                <w:highlight w:val="none"/>
              </w:rPr>
            </w:pPr>
            <w:r>
              <w:rPr>
                <w:color w:val="auto"/>
                <w:highlight w:val="none"/>
              </w:rPr>
              <w:t>风险</w:t>
            </w:r>
          </w:p>
        </w:tc>
        <w:tc>
          <w:tcPr>
            <w:tcW w:w="634" w:type="pct"/>
            <w:shd w:val="clear" w:color="auto" w:fill="auto"/>
            <w:vAlign w:val="center"/>
          </w:tcPr>
          <w:p>
            <w:pPr>
              <w:pStyle w:val="105"/>
              <w:rPr>
                <w:color w:val="auto"/>
                <w:highlight w:val="none"/>
              </w:rPr>
            </w:pPr>
            <w:r>
              <w:rPr>
                <w:color w:val="auto"/>
                <w:highlight w:val="none"/>
              </w:rPr>
              <w:t>风险防控设施</w:t>
            </w:r>
          </w:p>
        </w:tc>
        <w:tc>
          <w:tcPr>
            <w:tcW w:w="2125" w:type="pct"/>
            <w:shd w:val="clear" w:color="auto" w:fill="auto"/>
            <w:vAlign w:val="center"/>
          </w:tcPr>
          <w:p>
            <w:pPr>
              <w:pStyle w:val="105"/>
              <w:rPr>
                <w:color w:val="auto"/>
                <w:highlight w:val="none"/>
              </w:rPr>
            </w:pPr>
            <w:r>
              <w:rPr>
                <w:color w:val="auto"/>
                <w:highlight w:val="none"/>
              </w:rPr>
              <w:t>事故水池及配套污水管网</w:t>
            </w:r>
          </w:p>
        </w:tc>
        <w:tc>
          <w:tcPr>
            <w:tcW w:w="1948" w:type="pct"/>
            <w:shd w:val="clear" w:color="auto" w:fill="auto"/>
            <w:vAlign w:val="center"/>
          </w:tcPr>
          <w:p>
            <w:pPr>
              <w:pStyle w:val="105"/>
              <w:rPr>
                <w:color w:val="auto"/>
                <w:highlight w:val="none"/>
                <w:vertAlign w:val="superscript"/>
              </w:rPr>
            </w:pPr>
            <w:r>
              <w:rPr>
                <w:color w:val="auto"/>
                <w:highlight w:val="none"/>
              </w:rPr>
              <w:t>与环评批复一致</w:t>
            </w:r>
          </w:p>
        </w:tc>
      </w:tr>
    </w:tbl>
    <w:p>
      <w:pPr>
        <w:pStyle w:val="99"/>
        <w:ind w:firstLine="480"/>
        <w:rPr>
          <w:color w:val="auto"/>
          <w:highlight w:val="none"/>
        </w:rPr>
      </w:pPr>
      <w:r>
        <w:rPr>
          <w:color w:val="auto"/>
          <w:highlight w:val="none"/>
        </w:rPr>
        <w:t>建设项目环境保护设施存在下列情形之一的，建设单位不得提出验收合格的意见：</w:t>
      </w:r>
    </w:p>
    <w:p>
      <w:pPr>
        <w:pStyle w:val="99"/>
        <w:ind w:firstLine="480"/>
        <w:rPr>
          <w:color w:val="auto"/>
          <w:highlight w:val="none"/>
        </w:rPr>
      </w:pPr>
      <w:r>
        <w:rPr>
          <w:rFonts w:hint="eastAsia"/>
          <w:color w:val="auto"/>
          <w:highlight w:val="none"/>
        </w:rPr>
        <w:t>(</w:t>
      </w:r>
      <w:r>
        <w:rPr>
          <w:color w:val="auto"/>
          <w:highlight w:val="none"/>
        </w:rPr>
        <w:t>一</w:t>
      </w:r>
      <w:r>
        <w:rPr>
          <w:rFonts w:hint="eastAsia"/>
          <w:color w:val="auto"/>
          <w:highlight w:val="none"/>
        </w:rPr>
        <w:t xml:space="preserve">) </w:t>
      </w:r>
      <w:r>
        <w:rPr>
          <w:color w:val="auto"/>
          <w:highlight w:val="none"/>
        </w:rPr>
        <w:t>未按环境影响报告书</w:t>
      </w:r>
      <w:r>
        <w:rPr>
          <w:rFonts w:hint="eastAsia"/>
          <w:color w:val="auto"/>
          <w:highlight w:val="none"/>
        </w:rPr>
        <w:t>(</w:t>
      </w:r>
      <w:r>
        <w:rPr>
          <w:color w:val="auto"/>
          <w:highlight w:val="none"/>
        </w:rPr>
        <w:t>表</w:t>
      </w:r>
      <w:r>
        <w:rPr>
          <w:rFonts w:hint="eastAsia"/>
          <w:color w:val="auto"/>
          <w:highlight w:val="none"/>
        </w:rPr>
        <w:t>)</w:t>
      </w:r>
      <w:r>
        <w:rPr>
          <w:color w:val="auto"/>
          <w:highlight w:val="none"/>
        </w:rPr>
        <w:t>及其审批部门审批决定要求建成环境保护设施，或者环境保护设施不能与主体工程同时投产或者使用的；</w:t>
      </w:r>
    </w:p>
    <w:p>
      <w:pPr>
        <w:pStyle w:val="99"/>
        <w:ind w:firstLine="480"/>
        <w:rPr>
          <w:color w:val="auto"/>
          <w:highlight w:val="none"/>
        </w:rPr>
      </w:pPr>
      <w:r>
        <w:rPr>
          <w:rFonts w:hint="eastAsia"/>
          <w:color w:val="auto"/>
          <w:highlight w:val="none"/>
        </w:rPr>
        <w:t>(</w:t>
      </w:r>
      <w:r>
        <w:rPr>
          <w:color w:val="auto"/>
          <w:highlight w:val="none"/>
        </w:rPr>
        <w:t>二</w:t>
      </w:r>
      <w:r>
        <w:rPr>
          <w:rFonts w:hint="eastAsia"/>
          <w:color w:val="auto"/>
          <w:highlight w:val="none"/>
        </w:rPr>
        <w:t xml:space="preserve">) </w:t>
      </w:r>
      <w:r>
        <w:rPr>
          <w:color w:val="auto"/>
          <w:highlight w:val="none"/>
        </w:rPr>
        <w:t>污染物排放不符合国家和地方相关标准、环境影响报告书</w:t>
      </w:r>
      <w:r>
        <w:rPr>
          <w:rFonts w:hint="eastAsia"/>
          <w:color w:val="auto"/>
          <w:highlight w:val="none"/>
        </w:rPr>
        <w:t>(</w:t>
      </w:r>
      <w:r>
        <w:rPr>
          <w:color w:val="auto"/>
          <w:highlight w:val="none"/>
        </w:rPr>
        <w:t>表</w:t>
      </w:r>
      <w:r>
        <w:rPr>
          <w:rFonts w:hint="eastAsia"/>
          <w:color w:val="auto"/>
          <w:highlight w:val="none"/>
        </w:rPr>
        <w:t>)</w:t>
      </w:r>
      <w:r>
        <w:rPr>
          <w:color w:val="auto"/>
          <w:highlight w:val="none"/>
        </w:rPr>
        <w:t>及其审批部门审批决定或者重点污染物排放总量控制指标要求的；</w:t>
      </w:r>
    </w:p>
    <w:p>
      <w:pPr>
        <w:pStyle w:val="99"/>
        <w:ind w:firstLine="480"/>
        <w:rPr>
          <w:color w:val="auto"/>
          <w:highlight w:val="none"/>
        </w:rPr>
      </w:pPr>
      <w:r>
        <w:rPr>
          <w:rFonts w:hint="eastAsia"/>
          <w:color w:val="auto"/>
          <w:highlight w:val="none"/>
        </w:rPr>
        <w:t>(</w:t>
      </w:r>
      <w:r>
        <w:rPr>
          <w:color w:val="auto"/>
          <w:highlight w:val="none"/>
        </w:rPr>
        <w:t>三</w:t>
      </w:r>
      <w:r>
        <w:rPr>
          <w:rFonts w:hint="eastAsia"/>
          <w:color w:val="auto"/>
          <w:highlight w:val="none"/>
        </w:rPr>
        <w:t xml:space="preserve">) </w:t>
      </w:r>
      <w:r>
        <w:rPr>
          <w:color w:val="auto"/>
          <w:highlight w:val="none"/>
        </w:rPr>
        <w:t>环境影响报告书</w:t>
      </w:r>
      <w:r>
        <w:rPr>
          <w:rFonts w:hint="eastAsia"/>
          <w:color w:val="auto"/>
          <w:highlight w:val="none"/>
        </w:rPr>
        <w:t>(</w:t>
      </w:r>
      <w:r>
        <w:rPr>
          <w:color w:val="auto"/>
          <w:highlight w:val="none"/>
        </w:rPr>
        <w:t>表</w:t>
      </w:r>
      <w:r>
        <w:rPr>
          <w:rFonts w:hint="eastAsia"/>
          <w:color w:val="auto"/>
          <w:highlight w:val="none"/>
        </w:rPr>
        <w:t>)</w:t>
      </w:r>
      <w:r>
        <w:rPr>
          <w:color w:val="auto"/>
          <w:highlight w:val="none"/>
        </w:rPr>
        <w:t>经批准后，该建设项目的性质、规模、地点、采用的生产工艺或者防治污染、防止生态破坏的措施发生重大变动，建设单位未重新报批环境影响报告书</w:t>
      </w:r>
      <w:r>
        <w:rPr>
          <w:rFonts w:hint="eastAsia"/>
          <w:color w:val="auto"/>
          <w:highlight w:val="none"/>
        </w:rPr>
        <w:t>(</w:t>
      </w:r>
      <w:r>
        <w:rPr>
          <w:color w:val="auto"/>
          <w:highlight w:val="none"/>
        </w:rPr>
        <w:t>表</w:t>
      </w:r>
      <w:r>
        <w:rPr>
          <w:rFonts w:hint="eastAsia"/>
          <w:color w:val="auto"/>
          <w:highlight w:val="none"/>
        </w:rPr>
        <w:t>)</w:t>
      </w:r>
      <w:r>
        <w:rPr>
          <w:color w:val="auto"/>
          <w:highlight w:val="none"/>
        </w:rPr>
        <w:t>或者环境影响报告书</w:t>
      </w:r>
      <w:r>
        <w:rPr>
          <w:rFonts w:hint="eastAsia"/>
          <w:color w:val="auto"/>
          <w:highlight w:val="none"/>
        </w:rPr>
        <w:t>(</w:t>
      </w:r>
      <w:r>
        <w:rPr>
          <w:color w:val="auto"/>
          <w:highlight w:val="none"/>
        </w:rPr>
        <w:t>表</w:t>
      </w:r>
      <w:r>
        <w:rPr>
          <w:rFonts w:hint="eastAsia"/>
          <w:color w:val="auto"/>
          <w:highlight w:val="none"/>
        </w:rPr>
        <w:t>)</w:t>
      </w:r>
      <w:r>
        <w:rPr>
          <w:color w:val="auto"/>
          <w:highlight w:val="none"/>
        </w:rPr>
        <w:t>未经批准的；</w:t>
      </w:r>
    </w:p>
    <w:p>
      <w:pPr>
        <w:pStyle w:val="99"/>
        <w:ind w:firstLine="480"/>
        <w:rPr>
          <w:color w:val="auto"/>
          <w:highlight w:val="none"/>
        </w:rPr>
      </w:pPr>
      <w:r>
        <w:rPr>
          <w:rFonts w:hint="eastAsia"/>
          <w:color w:val="auto"/>
          <w:highlight w:val="none"/>
        </w:rPr>
        <w:t>(</w:t>
      </w:r>
      <w:r>
        <w:rPr>
          <w:color w:val="auto"/>
          <w:highlight w:val="none"/>
        </w:rPr>
        <w:t>四</w:t>
      </w:r>
      <w:r>
        <w:rPr>
          <w:rFonts w:hint="eastAsia"/>
          <w:color w:val="auto"/>
          <w:highlight w:val="none"/>
        </w:rPr>
        <w:t xml:space="preserve">) </w:t>
      </w:r>
      <w:r>
        <w:rPr>
          <w:color w:val="auto"/>
          <w:highlight w:val="none"/>
        </w:rPr>
        <w:t>建设过程中造成重大环境污染未治理完成，或者造成重大生态破坏未恢复的；</w:t>
      </w:r>
    </w:p>
    <w:p>
      <w:pPr>
        <w:pStyle w:val="99"/>
        <w:ind w:firstLine="480"/>
        <w:rPr>
          <w:color w:val="auto"/>
          <w:highlight w:val="none"/>
        </w:rPr>
      </w:pPr>
      <w:r>
        <w:rPr>
          <w:rFonts w:hint="eastAsia"/>
          <w:color w:val="auto"/>
          <w:highlight w:val="none"/>
        </w:rPr>
        <w:t>(</w:t>
      </w:r>
      <w:r>
        <w:rPr>
          <w:color w:val="auto"/>
          <w:highlight w:val="none"/>
        </w:rPr>
        <w:t>五</w:t>
      </w:r>
      <w:r>
        <w:rPr>
          <w:rFonts w:hint="eastAsia"/>
          <w:color w:val="auto"/>
          <w:highlight w:val="none"/>
        </w:rPr>
        <w:t xml:space="preserve">) </w:t>
      </w:r>
      <w:r>
        <w:rPr>
          <w:color w:val="auto"/>
          <w:highlight w:val="none"/>
        </w:rPr>
        <w:t>纳入排污许可管理的建设项目，无证排污或者不按证排污的；</w:t>
      </w:r>
    </w:p>
    <w:p>
      <w:pPr>
        <w:pStyle w:val="99"/>
        <w:ind w:firstLine="480"/>
        <w:rPr>
          <w:color w:val="auto"/>
          <w:highlight w:val="none"/>
        </w:rPr>
      </w:pPr>
      <w:r>
        <w:rPr>
          <w:rFonts w:hint="eastAsia"/>
          <w:color w:val="auto"/>
          <w:highlight w:val="none"/>
        </w:rPr>
        <w:t>(</w:t>
      </w:r>
      <w:r>
        <w:rPr>
          <w:color w:val="auto"/>
          <w:highlight w:val="none"/>
        </w:rPr>
        <w:t>六</w:t>
      </w:r>
      <w:r>
        <w:rPr>
          <w:rFonts w:hint="eastAsia"/>
          <w:color w:val="auto"/>
          <w:highlight w:val="none"/>
        </w:rPr>
        <w:t xml:space="preserve">) </w:t>
      </w:r>
      <w:r>
        <w:rPr>
          <w:color w:val="auto"/>
          <w:highlight w:val="none"/>
        </w:rPr>
        <w:t>分期建设、分期投入生产或者使用依法应当分期验收的建设项目，其分期建设、分期投入生产或者使用的环境保护设施防治环境污染和生态破坏的能力不能满足其相应主体工程需要的；</w:t>
      </w:r>
    </w:p>
    <w:p>
      <w:pPr>
        <w:pStyle w:val="99"/>
        <w:ind w:firstLine="480"/>
        <w:rPr>
          <w:color w:val="auto"/>
          <w:highlight w:val="none"/>
        </w:rPr>
      </w:pPr>
      <w:r>
        <w:rPr>
          <w:rFonts w:hint="eastAsia"/>
          <w:color w:val="auto"/>
          <w:highlight w:val="none"/>
        </w:rPr>
        <w:t>(</w:t>
      </w:r>
      <w:r>
        <w:rPr>
          <w:color w:val="auto"/>
          <w:highlight w:val="none"/>
        </w:rPr>
        <w:t>七</w:t>
      </w:r>
      <w:r>
        <w:rPr>
          <w:rFonts w:hint="eastAsia"/>
          <w:color w:val="auto"/>
          <w:highlight w:val="none"/>
        </w:rPr>
        <w:t xml:space="preserve">) </w:t>
      </w:r>
      <w:r>
        <w:rPr>
          <w:color w:val="auto"/>
          <w:highlight w:val="none"/>
        </w:rPr>
        <w:t>建设单位因该建设项目违反国家和地方环境保护法律法规受到处罚，被责令改正，尚未改正完成的；</w:t>
      </w:r>
    </w:p>
    <w:p>
      <w:pPr>
        <w:pStyle w:val="99"/>
        <w:ind w:firstLine="480"/>
        <w:rPr>
          <w:color w:val="auto"/>
          <w:highlight w:val="none"/>
        </w:rPr>
      </w:pPr>
      <w:r>
        <w:rPr>
          <w:rFonts w:hint="eastAsia"/>
          <w:color w:val="auto"/>
          <w:highlight w:val="none"/>
        </w:rPr>
        <w:t>(</w:t>
      </w:r>
      <w:r>
        <w:rPr>
          <w:color w:val="auto"/>
          <w:highlight w:val="none"/>
        </w:rPr>
        <w:t>八</w:t>
      </w:r>
      <w:r>
        <w:rPr>
          <w:rFonts w:hint="eastAsia"/>
          <w:color w:val="auto"/>
          <w:highlight w:val="none"/>
        </w:rPr>
        <w:t xml:space="preserve">) </w:t>
      </w:r>
      <w:r>
        <w:rPr>
          <w:color w:val="auto"/>
          <w:highlight w:val="none"/>
        </w:rPr>
        <w:t>验收报告的基础资料数据明显不实，内容存在重大缺项、遗漏，或者验收结论不明确、不合理的；</w:t>
      </w:r>
    </w:p>
    <w:p>
      <w:pPr>
        <w:pStyle w:val="99"/>
        <w:ind w:firstLine="480"/>
        <w:rPr>
          <w:color w:val="auto"/>
          <w:highlight w:val="none"/>
        </w:rPr>
      </w:pPr>
      <w:r>
        <w:rPr>
          <w:rFonts w:hint="eastAsia"/>
          <w:color w:val="auto"/>
          <w:highlight w:val="none"/>
        </w:rPr>
        <w:t>(</w:t>
      </w:r>
      <w:r>
        <w:rPr>
          <w:color w:val="auto"/>
          <w:highlight w:val="none"/>
        </w:rPr>
        <w:t>九</w:t>
      </w:r>
      <w:r>
        <w:rPr>
          <w:rFonts w:hint="eastAsia"/>
          <w:color w:val="auto"/>
          <w:highlight w:val="none"/>
        </w:rPr>
        <w:t xml:space="preserve">) </w:t>
      </w:r>
      <w:r>
        <w:rPr>
          <w:color w:val="auto"/>
          <w:highlight w:val="none"/>
        </w:rPr>
        <w:t>其他环境保护法律法规规章等规定不得通过环境保护验收的。</w:t>
      </w:r>
    </w:p>
    <w:p>
      <w:pPr>
        <w:pStyle w:val="99"/>
        <w:ind w:firstLine="480"/>
        <w:rPr>
          <w:color w:val="auto"/>
          <w:highlight w:val="none"/>
        </w:rPr>
      </w:pPr>
      <w:r>
        <w:rPr>
          <w:color w:val="auto"/>
          <w:highlight w:val="none"/>
        </w:rPr>
        <w:t>验收通过后，建设单位向社会公开验收报告，并登录全国建设项目竣工环境保护验收信息平台，填报建设项目基本信息、环境保护设施验收情况等相关信息。</w:t>
      </w: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8"/>
        <w:spacing w:before="156"/>
        <w:rPr>
          <w:rFonts w:ascii="Times New Roman" w:hAnsi="Times New Roman"/>
          <w:color w:val="auto"/>
          <w:highlight w:val="none"/>
        </w:rPr>
        <w:sectPr>
          <w:headerReference r:id="rId23" w:type="default"/>
          <w:headerReference r:id="rId24" w:type="even"/>
          <w:pgSz w:w="11906" w:h="16838"/>
          <w:pgMar w:top="1418" w:right="1418" w:bottom="1418" w:left="1701" w:header="851" w:footer="992" w:gutter="0"/>
          <w:pgBorders>
            <w:top w:val="none" w:sz="0" w:space="0"/>
            <w:left w:val="none" w:sz="0" w:space="0"/>
            <w:bottom w:val="none" w:sz="0" w:space="0"/>
            <w:right w:val="none" w:sz="0" w:space="0"/>
          </w:pgBorders>
          <w:cols w:space="425" w:num="1"/>
          <w:docGrid w:type="lines" w:linePitch="312" w:charSpace="0"/>
        </w:sectPr>
      </w:pPr>
    </w:p>
    <w:p>
      <w:pPr>
        <w:pStyle w:val="98"/>
        <w:spacing w:before="156"/>
        <w:rPr>
          <w:rFonts w:ascii="Times New Roman" w:hAnsi="Times New Roman"/>
          <w:color w:val="auto"/>
          <w:highlight w:val="none"/>
        </w:rPr>
      </w:pPr>
      <w:bookmarkStart w:id="398" w:name="_Toc27140"/>
      <w:bookmarkStart w:id="399" w:name="_Toc66281322"/>
      <w:bookmarkStart w:id="400" w:name="_Toc57804797"/>
      <w:r>
        <w:rPr>
          <w:rFonts w:ascii="Times New Roman" w:hAnsi="Times New Roman"/>
          <w:color w:val="auto"/>
          <w:highlight w:val="none"/>
        </w:rPr>
        <w:t>9.项目</w:t>
      </w:r>
      <w:r>
        <w:rPr>
          <w:rFonts w:hint="eastAsia" w:ascii="Times New Roman" w:hAnsi="Times New Roman"/>
          <w:color w:val="auto"/>
          <w:highlight w:val="none"/>
        </w:rPr>
        <w:t>选址及相关规划</w:t>
      </w:r>
      <w:r>
        <w:rPr>
          <w:rFonts w:ascii="Times New Roman" w:hAnsi="Times New Roman"/>
          <w:color w:val="auto"/>
          <w:highlight w:val="none"/>
        </w:rPr>
        <w:t>符合性分析</w:t>
      </w:r>
      <w:bookmarkEnd w:id="398"/>
      <w:bookmarkEnd w:id="399"/>
      <w:bookmarkEnd w:id="400"/>
    </w:p>
    <w:p>
      <w:pPr>
        <w:pStyle w:val="100"/>
        <w:spacing w:before="156"/>
        <w:rPr>
          <w:rFonts w:ascii="Times New Roman" w:hAnsi="Times New Roman"/>
          <w:color w:val="auto"/>
          <w:highlight w:val="none"/>
        </w:rPr>
      </w:pPr>
      <w:bookmarkStart w:id="401" w:name="_Toc57804798"/>
      <w:bookmarkStart w:id="402" w:name="_Toc7662"/>
      <w:bookmarkStart w:id="403" w:name="_Toc66281323"/>
      <w:r>
        <w:rPr>
          <w:rFonts w:ascii="Times New Roman" w:hAnsi="Times New Roman"/>
          <w:color w:val="auto"/>
          <w:highlight w:val="none"/>
        </w:rPr>
        <w:t>9.1项目产业政策符合性分析</w:t>
      </w:r>
      <w:bookmarkEnd w:id="401"/>
      <w:bookmarkEnd w:id="402"/>
      <w:bookmarkEnd w:id="403"/>
    </w:p>
    <w:p>
      <w:pPr>
        <w:pStyle w:val="99"/>
        <w:ind w:firstLine="480"/>
        <w:rPr>
          <w:color w:val="auto"/>
          <w:highlight w:val="none"/>
        </w:rPr>
      </w:pPr>
      <w:r>
        <w:rPr>
          <w:color w:val="auto"/>
          <w:highlight w:val="none"/>
        </w:rPr>
        <w:t>本项目产品包括</w:t>
      </w:r>
      <w:r>
        <w:rPr>
          <w:rFonts w:hint="eastAsia"/>
          <w:color w:val="auto"/>
          <w:highlight w:val="none"/>
        </w:rPr>
        <w:t>HDPE给水管、HDPE中空壁缠绕管、HDPE双壁波纹管、PP注塑污水管件，其中HDPE中空壁缠绕管、HDPE双壁波纹管、PP注塑污水管件使用废旧塑料生产，属于《产业结构调整指导目录（2019年本）》中鼓励类第四十三类“环境保护与资源节约综合利用”中第15款““三废”综合利用与治理技术、装备和工程”，符合国家产业政策求。该项目于2022年6月24日取得《山东省建设项目备案证明》(项目代码：2206-370404-89-01-716661)。</w:t>
      </w:r>
    </w:p>
    <w:p>
      <w:pPr>
        <w:pStyle w:val="99"/>
        <w:ind w:firstLine="480"/>
        <w:rPr>
          <w:color w:val="auto"/>
          <w:highlight w:val="none"/>
        </w:rPr>
      </w:pPr>
      <w:r>
        <w:rPr>
          <w:color w:val="auto"/>
          <w:highlight w:val="none"/>
        </w:rPr>
        <w:t>项目不属于《关于抑制部分行业产能过剩和重复建设引导产业健康发展若干意见的通知》</w:t>
      </w:r>
      <w:r>
        <w:rPr>
          <w:rFonts w:hint="eastAsia"/>
          <w:color w:val="auto"/>
          <w:highlight w:val="none"/>
        </w:rPr>
        <w:t>(</w:t>
      </w:r>
      <w:r>
        <w:rPr>
          <w:color w:val="auto"/>
          <w:highlight w:val="none"/>
        </w:rPr>
        <w:t>国发[20</w:t>
      </w:r>
      <w:r>
        <w:rPr>
          <w:rFonts w:hint="eastAsia"/>
          <w:color w:val="auto"/>
          <w:highlight w:val="none"/>
        </w:rPr>
        <w:t>09</w:t>
      </w:r>
      <w:r>
        <w:rPr>
          <w:color w:val="auto"/>
          <w:highlight w:val="none"/>
        </w:rPr>
        <w:t>]38号</w:t>
      </w:r>
      <w:r>
        <w:rPr>
          <w:rFonts w:hint="eastAsia"/>
          <w:color w:val="auto"/>
          <w:highlight w:val="none"/>
        </w:rPr>
        <w:t>)</w:t>
      </w:r>
      <w:r>
        <w:rPr>
          <w:color w:val="auto"/>
          <w:highlight w:val="none"/>
        </w:rPr>
        <w:t>中抑制的行业；不属于《国务院关于进一步加强淘汰落后产能工作的通知》</w:t>
      </w:r>
      <w:r>
        <w:rPr>
          <w:rFonts w:hint="eastAsia"/>
          <w:color w:val="auto"/>
          <w:highlight w:val="none"/>
        </w:rPr>
        <w:t>(</w:t>
      </w:r>
      <w:r>
        <w:rPr>
          <w:color w:val="auto"/>
          <w:highlight w:val="none"/>
        </w:rPr>
        <w:t>国发[20</w:t>
      </w:r>
      <w:r>
        <w:rPr>
          <w:rFonts w:hint="eastAsia"/>
          <w:color w:val="auto"/>
          <w:highlight w:val="none"/>
        </w:rPr>
        <w:t>10</w:t>
      </w:r>
      <w:r>
        <w:rPr>
          <w:color w:val="auto"/>
          <w:highlight w:val="none"/>
        </w:rPr>
        <w:t>]7号</w:t>
      </w:r>
      <w:r>
        <w:rPr>
          <w:rFonts w:hint="eastAsia"/>
          <w:color w:val="auto"/>
          <w:highlight w:val="none"/>
        </w:rPr>
        <w:t>)</w:t>
      </w:r>
      <w:r>
        <w:rPr>
          <w:color w:val="auto"/>
          <w:highlight w:val="none"/>
        </w:rPr>
        <w:t>中要淘汰的行业。</w:t>
      </w:r>
    </w:p>
    <w:p>
      <w:pPr>
        <w:pStyle w:val="99"/>
        <w:ind w:firstLine="480"/>
        <w:rPr>
          <w:color w:val="auto"/>
          <w:highlight w:val="none"/>
        </w:rPr>
      </w:pPr>
      <w:r>
        <w:rPr>
          <w:rFonts w:hint="eastAsia"/>
          <w:color w:val="auto"/>
          <w:highlight w:val="none"/>
        </w:rPr>
        <w:t>综上，</w:t>
      </w:r>
      <w:r>
        <w:rPr>
          <w:color w:val="auto"/>
          <w:highlight w:val="none"/>
        </w:rPr>
        <w:t>项目的建设符合国家产业政策</w:t>
      </w:r>
      <w:r>
        <w:rPr>
          <w:rFonts w:hint="eastAsia"/>
          <w:color w:val="auto"/>
          <w:highlight w:val="none"/>
        </w:rPr>
        <w:t>要求</w:t>
      </w:r>
      <w:r>
        <w:rPr>
          <w:color w:val="auto"/>
          <w:highlight w:val="none"/>
        </w:rPr>
        <w:t>。</w:t>
      </w:r>
    </w:p>
    <w:p>
      <w:pPr>
        <w:pStyle w:val="100"/>
        <w:spacing w:before="156"/>
        <w:rPr>
          <w:rFonts w:ascii="Times New Roman" w:hAnsi="Times New Roman"/>
          <w:color w:val="auto"/>
          <w:highlight w:val="none"/>
        </w:rPr>
      </w:pPr>
      <w:bookmarkStart w:id="404" w:name="_Toc66281324"/>
      <w:bookmarkStart w:id="405" w:name="_Toc19746"/>
      <w:bookmarkStart w:id="406" w:name="_Toc57804799"/>
      <w:r>
        <w:rPr>
          <w:rFonts w:ascii="Times New Roman" w:hAnsi="Times New Roman"/>
          <w:color w:val="auto"/>
          <w:highlight w:val="none"/>
        </w:rPr>
        <w:t>9.2土地利用及规划符合性分析</w:t>
      </w:r>
      <w:bookmarkEnd w:id="404"/>
      <w:bookmarkEnd w:id="405"/>
      <w:bookmarkEnd w:id="406"/>
    </w:p>
    <w:p>
      <w:pPr>
        <w:pStyle w:val="99"/>
        <w:ind w:firstLine="480"/>
        <w:rPr>
          <w:color w:val="auto"/>
          <w:highlight w:val="none"/>
        </w:rPr>
      </w:pPr>
      <w:r>
        <w:rPr>
          <w:color w:val="auto"/>
          <w:highlight w:val="none"/>
        </w:rPr>
        <w:t>项目位于</w:t>
      </w:r>
      <w:r>
        <w:rPr>
          <w:rFonts w:hint="eastAsia"/>
          <w:color w:val="auto"/>
          <w:highlight w:val="none"/>
        </w:rPr>
        <w:t>枣庄市峄城区峨山镇大官庄村西，根据峨山镇土地利用规划，项目用地性质为</w:t>
      </w:r>
      <w:r>
        <w:rPr>
          <w:color w:val="auto"/>
          <w:highlight w:val="none"/>
        </w:rPr>
        <w:t>工业用地，土地手续合法</w:t>
      </w:r>
      <w:r>
        <w:rPr>
          <w:rFonts w:hint="eastAsia"/>
          <w:color w:val="auto"/>
          <w:highlight w:val="none"/>
          <w:lang w:eastAsia="zh-CN"/>
        </w:rPr>
        <w:t>，</w:t>
      </w:r>
      <w:r>
        <w:rPr>
          <w:rFonts w:hint="eastAsia"/>
          <w:color w:val="auto"/>
          <w:highlight w:val="none"/>
          <w:lang w:val="en-US" w:eastAsia="zh-CN"/>
        </w:rPr>
        <w:t>峨山镇土地利用规划图见图9.2-1</w:t>
      </w:r>
      <w:r>
        <w:rPr>
          <w:color w:val="auto"/>
          <w:highlight w:val="none"/>
        </w:rPr>
        <w:t>。</w:t>
      </w:r>
    </w:p>
    <w:p>
      <w:pPr>
        <w:pStyle w:val="99"/>
        <w:ind w:firstLine="480"/>
        <w:rPr>
          <w:rFonts w:hint="eastAsia"/>
          <w:color w:val="auto"/>
          <w:highlight w:val="none"/>
        </w:rPr>
      </w:pPr>
      <w:r>
        <w:rPr>
          <w:rFonts w:hint="eastAsia"/>
          <w:color w:val="auto"/>
          <w:highlight w:val="none"/>
        </w:rPr>
        <w:t>项目</w:t>
      </w:r>
      <w:r>
        <w:rPr>
          <w:color w:val="auto"/>
          <w:highlight w:val="none"/>
        </w:rPr>
        <w:t>用地亦不属于《限制用地项目目录</w:t>
      </w:r>
      <w:r>
        <w:rPr>
          <w:rFonts w:hint="eastAsia"/>
          <w:color w:val="auto"/>
          <w:highlight w:val="none"/>
        </w:rPr>
        <w:t>(</w:t>
      </w:r>
      <w:r>
        <w:rPr>
          <w:color w:val="auto"/>
          <w:highlight w:val="none"/>
        </w:rPr>
        <w:t>2012年本</w:t>
      </w:r>
      <w:r>
        <w:rPr>
          <w:rFonts w:hint="eastAsia"/>
          <w:color w:val="auto"/>
          <w:highlight w:val="none"/>
        </w:rPr>
        <w:t>)</w:t>
      </w:r>
      <w:r>
        <w:rPr>
          <w:color w:val="auto"/>
          <w:highlight w:val="none"/>
        </w:rPr>
        <w:t>》和《禁止用地项目目录</w:t>
      </w:r>
      <w:r>
        <w:rPr>
          <w:rFonts w:hint="eastAsia"/>
          <w:color w:val="auto"/>
          <w:highlight w:val="none"/>
        </w:rPr>
        <w:t>(</w:t>
      </w:r>
      <w:r>
        <w:rPr>
          <w:color w:val="auto"/>
          <w:highlight w:val="none"/>
        </w:rPr>
        <w:t>2012年本</w:t>
      </w:r>
      <w:r>
        <w:rPr>
          <w:rFonts w:hint="eastAsia"/>
          <w:color w:val="auto"/>
          <w:highlight w:val="none"/>
        </w:rPr>
        <w:t>)</w:t>
      </w:r>
      <w:r>
        <w:rPr>
          <w:color w:val="auto"/>
          <w:highlight w:val="none"/>
        </w:rPr>
        <w:t>》中的限制类和禁止类</w:t>
      </w:r>
      <w:r>
        <w:rPr>
          <w:rFonts w:hint="eastAsia"/>
          <w:color w:val="auto"/>
          <w:highlight w:val="none"/>
        </w:rPr>
        <w:t>。</w:t>
      </w:r>
    </w:p>
    <w:p>
      <w:pPr>
        <w:pStyle w:val="99"/>
        <w:ind w:firstLine="480"/>
        <w:rPr>
          <w:color w:val="auto"/>
          <w:highlight w:val="none"/>
        </w:rPr>
      </w:pPr>
      <w:r>
        <w:rPr>
          <w:rFonts w:hint="default" w:ascii="Times New Roman" w:hAnsi="Times New Roman" w:cs="Times New Roman"/>
          <w:color w:val="auto"/>
          <w:highlight w:val="none"/>
          <w:lang w:val="en-US" w:eastAsia="zh-CN"/>
        </w:rPr>
        <w:t>根据《</w:t>
      </w:r>
      <w:r>
        <w:rPr>
          <w:rFonts w:hint="default" w:ascii="Times New Roman" w:hAnsi="Times New Roman" w:eastAsia="Arial" w:cs="Times New Roman"/>
          <w:i w:val="0"/>
          <w:iCs w:val="0"/>
          <w:caps w:val="0"/>
          <w:color w:val="auto"/>
          <w:spacing w:val="0"/>
          <w:sz w:val="24"/>
          <w:szCs w:val="24"/>
          <w:shd w:val="clear" w:fill="FFFFFF"/>
        </w:rPr>
        <w:t>自然资源部办公厅关于北京等省（区、市）启用</w:t>
      </w:r>
      <w:r>
        <w:rPr>
          <w:rFonts w:hint="eastAsia" w:ascii="Times New Roman" w:hAnsi="Times New Roman" w:eastAsia="宋体" w:cs="Times New Roman"/>
          <w:i w:val="0"/>
          <w:iCs w:val="0"/>
          <w:caps w:val="0"/>
          <w:color w:val="auto"/>
          <w:spacing w:val="0"/>
          <w:sz w:val="24"/>
          <w:szCs w:val="24"/>
          <w:shd w:val="clear" w:fill="FFFFFF"/>
          <w:lang w:eastAsia="zh-CN"/>
        </w:rPr>
        <w:t>“</w:t>
      </w:r>
      <w:r>
        <w:rPr>
          <w:rFonts w:hint="default" w:ascii="Times New Roman" w:hAnsi="Times New Roman" w:eastAsia="Arial" w:cs="Times New Roman"/>
          <w:i w:val="0"/>
          <w:iCs w:val="0"/>
          <w:caps w:val="0"/>
          <w:color w:val="auto"/>
          <w:spacing w:val="0"/>
          <w:sz w:val="24"/>
          <w:szCs w:val="24"/>
          <w:shd w:val="clear" w:fill="FFFFFF"/>
        </w:rPr>
        <w:t>三区三线</w:t>
      </w:r>
      <w:r>
        <w:rPr>
          <w:rFonts w:hint="eastAsia" w:ascii="Times New Roman" w:hAnsi="Times New Roman" w:eastAsia="宋体" w:cs="Times New Roman"/>
          <w:i w:val="0"/>
          <w:iCs w:val="0"/>
          <w:caps w:val="0"/>
          <w:color w:val="auto"/>
          <w:spacing w:val="0"/>
          <w:sz w:val="24"/>
          <w:szCs w:val="24"/>
          <w:shd w:val="clear" w:fill="FFFFFF"/>
          <w:lang w:eastAsia="zh-CN"/>
        </w:rPr>
        <w:t>”</w:t>
      </w:r>
      <w:r>
        <w:rPr>
          <w:rFonts w:hint="default" w:ascii="Times New Roman" w:hAnsi="Times New Roman" w:eastAsia="Arial" w:cs="Times New Roman"/>
          <w:i w:val="0"/>
          <w:iCs w:val="0"/>
          <w:caps w:val="0"/>
          <w:color w:val="auto"/>
          <w:spacing w:val="0"/>
          <w:sz w:val="24"/>
          <w:szCs w:val="24"/>
          <w:shd w:val="clear" w:fill="FFFFFF"/>
        </w:rPr>
        <w:t>划定成果作为报批建设项目用地用海依据的函</w:t>
      </w:r>
      <w:r>
        <w:rPr>
          <w:rFonts w:hint="default" w:ascii="Times New Roman" w:hAnsi="Times New Roman" w:cs="Times New Roman"/>
          <w:color w:val="auto"/>
          <w:highlight w:val="none"/>
          <w:lang w:val="en-US" w:eastAsia="zh-CN"/>
        </w:rPr>
        <w:t>》（</w:t>
      </w:r>
      <w:r>
        <w:rPr>
          <w:rFonts w:hint="default" w:ascii="Times New Roman" w:hAnsi="Times New Roman" w:eastAsia="Arial" w:cs="Times New Roman"/>
          <w:i w:val="0"/>
          <w:iCs w:val="0"/>
          <w:caps w:val="0"/>
          <w:color w:val="auto"/>
          <w:spacing w:val="0"/>
          <w:sz w:val="24"/>
          <w:szCs w:val="24"/>
          <w:shd w:val="clear" w:fill="FFFFFF"/>
        </w:rPr>
        <w:t>自然资办函（2022）2207号</w:t>
      </w:r>
      <w:r>
        <w:rPr>
          <w:rFonts w:hint="eastAsia"/>
          <w:color w:val="auto"/>
          <w:highlight w:val="none"/>
          <w:lang w:val="en-US" w:eastAsia="zh-CN"/>
        </w:rPr>
        <w:t>）文，本项目</w:t>
      </w:r>
      <w:r>
        <w:rPr>
          <w:rFonts w:hint="eastAsia" w:ascii="Times New Roman" w:hAnsi="Times New Roman" w:eastAsia="宋体" w:cs="Times New Roman"/>
          <w:i w:val="0"/>
          <w:iCs w:val="0"/>
          <w:caps w:val="0"/>
          <w:color w:val="auto"/>
          <w:spacing w:val="0"/>
          <w:sz w:val="24"/>
          <w:szCs w:val="24"/>
          <w:shd w:val="clear" w:fill="FFFFFF"/>
          <w:lang w:eastAsia="zh-CN"/>
        </w:rPr>
        <w:t>“</w:t>
      </w:r>
      <w:r>
        <w:rPr>
          <w:rFonts w:hint="default" w:ascii="Times New Roman" w:hAnsi="Times New Roman" w:eastAsia="Arial" w:cs="Times New Roman"/>
          <w:i w:val="0"/>
          <w:iCs w:val="0"/>
          <w:caps w:val="0"/>
          <w:color w:val="auto"/>
          <w:spacing w:val="0"/>
          <w:sz w:val="24"/>
          <w:szCs w:val="24"/>
          <w:shd w:val="clear" w:fill="FFFFFF"/>
        </w:rPr>
        <w:t>三区三线</w:t>
      </w:r>
      <w:r>
        <w:rPr>
          <w:rFonts w:hint="eastAsia" w:ascii="Times New Roman" w:hAnsi="Times New Roman" w:eastAsia="宋体" w:cs="Times New Roman"/>
          <w:i w:val="0"/>
          <w:iCs w:val="0"/>
          <w:caps w:val="0"/>
          <w:color w:val="auto"/>
          <w:spacing w:val="0"/>
          <w:sz w:val="24"/>
          <w:szCs w:val="24"/>
          <w:shd w:val="clear" w:fill="FFFFFF"/>
          <w:lang w:eastAsia="zh-CN"/>
        </w:rPr>
        <w:t>”</w:t>
      </w:r>
      <w:r>
        <w:rPr>
          <w:rFonts w:hint="eastAsia" w:cs="Times New Roman"/>
          <w:i w:val="0"/>
          <w:iCs w:val="0"/>
          <w:caps w:val="0"/>
          <w:color w:val="auto"/>
          <w:spacing w:val="0"/>
          <w:sz w:val="24"/>
          <w:szCs w:val="24"/>
          <w:shd w:val="clear" w:fill="FFFFFF"/>
          <w:lang w:val="en-US" w:eastAsia="zh-CN"/>
        </w:rPr>
        <w:t>划定成果为工业用地，</w:t>
      </w:r>
      <w:r>
        <w:rPr>
          <w:rFonts w:hint="eastAsia" w:ascii="Times New Roman" w:hAnsi="Times New Roman" w:eastAsia="宋体" w:cs="Times New Roman"/>
          <w:i w:val="0"/>
          <w:iCs w:val="0"/>
          <w:caps w:val="0"/>
          <w:color w:val="auto"/>
          <w:spacing w:val="0"/>
          <w:sz w:val="24"/>
          <w:szCs w:val="24"/>
          <w:shd w:val="clear" w:fill="FFFFFF"/>
          <w:lang w:eastAsia="zh-CN"/>
        </w:rPr>
        <w:t>“</w:t>
      </w:r>
      <w:r>
        <w:rPr>
          <w:rFonts w:hint="default" w:ascii="Times New Roman" w:hAnsi="Times New Roman" w:eastAsia="Arial" w:cs="Times New Roman"/>
          <w:i w:val="0"/>
          <w:iCs w:val="0"/>
          <w:caps w:val="0"/>
          <w:color w:val="auto"/>
          <w:spacing w:val="0"/>
          <w:sz w:val="24"/>
          <w:szCs w:val="24"/>
          <w:shd w:val="clear" w:fill="FFFFFF"/>
        </w:rPr>
        <w:t>三区三线</w:t>
      </w:r>
      <w:r>
        <w:rPr>
          <w:rFonts w:hint="eastAsia" w:ascii="Times New Roman" w:hAnsi="Times New Roman" w:eastAsia="宋体" w:cs="Times New Roman"/>
          <w:i w:val="0"/>
          <w:iCs w:val="0"/>
          <w:caps w:val="0"/>
          <w:color w:val="auto"/>
          <w:spacing w:val="0"/>
          <w:sz w:val="24"/>
          <w:szCs w:val="24"/>
          <w:shd w:val="clear" w:fill="FFFFFF"/>
          <w:lang w:eastAsia="zh-CN"/>
        </w:rPr>
        <w:t>”</w:t>
      </w:r>
      <w:r>
        <w:rPr>
          <w:rFonts w:hint="eastAsia" w:cs="Times New Roman"/>
          <w:i w:val="0"/>
          <w:iCs w:val="0"/>
          <w:caps w:val="0"/>
          <w:color w:val="auto"/>
          <w:spacing w:val="0"/>
          <w:sz w:val="24"/>
          <w:szCs w:val="24"/>
          <w:shd w:val="clear" w:fill="FFFFFF"/>
          <w:lang w:val="en-US" w:eastAsia="zh-CN"/>
        </w:rPr>
        <w:t>划定成果图见图9.2-2。</w:t>
      </w:r>
      <w:r>
        <w:rPr>
          <w:color w:val="auto"/>
          <w:highlight w:val="none"/>
        </w:rPr>
        <w:t>因此</w:t>
      </w:r>
      <w:r>
        <w:rPr>
          <w:rFonts w:hint="eastAsia"/>
          <w:color w:val="auto"/>
          <w:highlight w:val="none"/>
        </w:rPr>
        <w:t>，</w:t>
      </w:r>
      <w:r>
        <w:rPr>
          <w:color w:val="auto"/>
          <w:highlight w:val="none"/>
        </w:rPr>
        <w:t>项目的建设符合</w:t>
      </w:r>
      <w:r>
        <w:rPr>
          <w:rFonts w:hint="eastAsia"/>
          <w:color w:val="auto"/>
          <w:highlight w:val="none"/>
        </w:rPr>
        <w:t>用地规划</w:t>
      </w:r>
      <w:r>
        <w:rPr>
          <w:color w:val="auto"/>
          <w:highlight w:val="none"/>
        </w:rPr>
        <w:t>。</w:t>
      </w:r>
    </w:p>
    <w:p>
      <w:pPr>
        <w:pStyle w:val="99"/>
        <w:ind w:firstLine="480"/>
        <w:rPr>
          <w:color w:val="auto"/>
          <w:highlight w:val="none"/>
        </w:rPr>
      </w:pPr>
      <w:r>
        <w:rPr>
          <w:color w:val="auto"/>
          <w:highlight w:val="none"/>
        </w:rPr>
        <w:t>该项目属于新建项目，符合国家产业政策要求，采用的工艺技术较先进，污染物产生量较小，采取环评中提出的防治措施后污染物能够达标排放。项目筹建企业不存在山东省环保局要求的“禁批”和“限批”行为，所处区域位置也不在</w:t>
      </w:r>
      <w:r>
        <w:rPr>
          <w:rFonts w:hint="eastAsia"/>
          <w:color w:val="auto"/>
          <w:highlight w:val="none"/>
          <w:lang w:val="en-US" w:eastAsia="zh-CN"/>
        </w:rPr>
        <w:t>山东省生态环境厅</w:t>
      </w:r>
      <w:r>
        <w:rPr>
          <w:color w:val="auto"/>
          <w:highlight w:val="none"/>
        </w:rPr>
        <w:t>要求的“禁批”和“限批”范围内。</w:t>
      </w:r>
    </w:p>
    <w:p>
      <w:pPr>
        <w:pStyle w:val="100"/>
        <w:spacing w:before="156"/>
        <w:ind w:firstLine="280" w:firstLineChars="100"/>
        <w:rPr>
          <w:rFonts w:ascii="Times New Roman" w:hAnsi="Times New Roman"/>
          <w:color w:val="auto"/>
          <w:highlight w:val="none"/>
        </w:rPr>
      </w:pPr>
      <w:bookmarkStart w:id="407" w:name="_Toc6558"/>
      <w:bookmarkStart w:id="408" w:name="_Toc57804800"/>
      <w:bookmarkStart w:id="409" w:name="_Toc66281325"/>
      <w:r>
        <w:rPr>
          <w:rFonts w:ascii="Times New Roman" w:hAnsi="Times New Roman"/>
          <w:color w:val="auto"/>
          <w:highlight w:val="none"/>
        </w:rPr>
        <w:t>9.3</w:t>
      </w:r>
      <w:r>
        <w:rPr>
          <w:rFonts w:hint="eastAsia" w:ascii="Times New Roman" w:hAnsi="Times New Roman"/>
          <w:color w:val="auto"/>
          <w:highlight w:val="none"/>
        </w:rPr>
        <w:t xml:space="preserve"> </w:t>
      </w:r>
      <w:r>
        <w:rPr>
          <w:rFonts w:ascii="Times New Roman" w:hAnsi="Times New Roman"/>
          <w:color w:val="auto"/>
          <w:highlight w:val="none"/>
        </w:rPr>
        <w:t>“三线一单”符合性分析</w:t>
      </w:r>
      <w:bookmarkEnd w:id="407"/>
      <w:bookmarkEnd w:id="408"/>
      <w:bookmarkEnd w:id="409"/>
    </w:p>
    <w:p>
      <w:pPr>
        <w:pStyle w:val="99"/>
        <w:ind w:firstLine="480"/>
        <w:rPr>
          <w:rStyle w:val="122"/>
          <w:rFonts w:hint="default" w:ascii="Times New Roman" w:hAnsi="Times New Roman"/>
          <w:color w:val="auto"/>
          <w:highlight w:val="none"/>
        </w:rPr>
      </w:pPr>
      <w:r>
        <w:rPr>
          <w:rStyle w:val="122"/>
          <w:rFonts w:hint="default" w:ascii="Times New Roman" w:hAnsi="Times New Roman"/>
          <w:color w:val="auto"/>
          <w:highlight w:val="none"/>
        </w:rPr>
        <w:t>结合国家环保部发布的《关于以改善环境质量为核心加强环境影响评价管理的通知》(环环评</w:t>
      </w:r>
      <w:r>
        <w:rPr>
          <w:rStyle w:val="139"/>
          <w:rFonts w:ascii="Times New Roman" w:hAnsi="Times New Roman"/>
          <w:color w:val="auto"/>
          <w:highlight w:val="none"/>
        </w:rPr>
        <w:t>[2016]150</w:t>
      </w:r>
      <w:r>
        <w:rPr>
          <w:rStyle w:val="122"/>
          <w:rFonts w:hint="default" w:ascii="Times New Roman" w:hAnsi="Times New Roman"/>
          <w:color w:val="auto"/>
          <w:highlight w:val="none"/>
        </w:rPr>
        <w:t>号)可知，落实</w:t>
      </w:r>
      <w:r>
        <w:rPr>
          <w:rStyle w:val="139"/>
          <w:rFonts w:ascii="Times New Roman" w:hAnsi="Times New Roman"/>
          <w:color w:val="auto"/>
          <w:highlight w:val="none"/>
        </w:rPr>
        <w:t>“</w:t>
      </w:r>
      <w:r>
        <w:rPr>
          <w:rStyle w:val="122"/>
          <w:rFonts w:hint="default" w:ascii="Times New Roman" w:hAnsi="Times New Roman"/>
          <w:color w:val="auto"/>
          <w:highlight w:val="none"/>
        </w:rPr>
        <w:t>三线一单</w:t>
      </w:r>
      <w:r>
        <w:rPr>
          <w:rStyle w:val="139"/>
          <w:rFonts w:ascii="Times New Roman" w:hAnsi="Times New Roman"/>
          <w:color w:val="auto"/>
          <w:highlight w:val="none"/>
        </w:rPr>
        <w:t>”</w:t>
      </w:r>
      <w:r>
        <w:rPr>
          <w:rStyle w:val="122"/>
          <w:rFonts w:hint="default" w:ascii="Times New Roman" w:hAnsi="Times New Roman"/>
          <w:color w:val="auto"/>
          <w:highlight w:val="none"/>
        </w:rPr>
        <w:t>即落实</w:t>
      </w:r>
      <w:r>
        <w:rPr>
          <w:rStyle w:val="139"/>
          <w:rFonts w:ascii="Times New Roman" w:hAnsi="Times New Roman"/>
          <w:color w:val="auto"/>
          <w:highlight w:val="none"/>
        </w:rPr>
        <w:t>“</w:t>
      </w:r>
      <w:r>
        <w:rPr>
          <w:rStyle w:val="122"/>
          <w:rFonts w:hint="default" w:ascii="Times New Roman" w:hAnsi="Times New Roman"/>
          <w:color w:val="auto"/>
          <w:highlight w:val="none"/>
        </w:rPr>
        <w:t>生态保护红线、环境质量底线、资源利用上线和环境准入负面清单。</w:t>
      </w:r>
    </w:p>
    <w:p>
      <w:pPr>
        <w:pStyle w:val="99"/>
        <w:ind w:firstLine="482"/>
        <w:rPr>
          <w:rStyle w:val="122"/>
          <w:rFonts w:hint="default" w:ascii="Times New Roman" w:hAnsi="Times New Roman"/>
          <w:b/>
          <w:bCs/>
          <w:color w:val="auto"/>
          <w:highlight w:val="none"/>
        </w:rPr>
      </w:pPr>
      <w:r>
        <w:rPr>
          <w:rStyle w:val="122"/>
          <w:rFonts w:hint="default" w:ascii="Times New Roman" w:hAnsi="Times New Roman"/>
          <w:b/>
          <w:bCs/>
          <w:color w:val="auto"/>
          <w:highlight w:val="none"/>
        </w:rPr>
        <w:t>1、生态保护红线规划</w:t>
      </w:r>
    </w:p>
    <w:p>
      <w:pPr>
        <w:pStyle w:val="99"/>
        <w:ind w:firstLine="480"/>
        <w:rPr>
          <w:color w:val="auto"/>
          <w:szCs w:val="24"/>
          <w:highlight w:val="none"/>
        </w:rPr>
      </w:pPr>
      <w:r>
        <w:rPr>
          <w:rFonts w:hint="eastAsia"/>
          <w:color w:val="auto"/>
          <w:szCs w:val="24"/>
          <w:highlight w:val="none"/>
        </w:rPr>
        <w:t xml:space="preserve">(1) </w:t>
      </w:r>
      <w:r>
        <w:rPr>
          <w:color w:val="auto"/>
          <w:szCs w:val="24"/>
          <w:highlight w:val="none"/>
        </w:rPr>
        <w:t>山东省环保厅、省发展改革委等</w:t>
      </w:r>
      <w:r>
        <w:rPr>
          <w:rFonts w:eastAsia="等线"/>
          <w:color w:val="auto"/>
          <w:szCs w:val="24"/>
          <w:highlight w:val="none"/>
        </w:rPr>
        <w:t>8</w:t>
      </w:r>
      <w:r>
        <w:rPr>
          <w:color w:val="auto"/>
          <w:szCs w:val="24"/>
          <w:highlight w:val="none"/>
        </w:rPr>
        <w:t>部门于</w:t>
      </w:r>
      <w:r>
        <w:rPr>
          <w:rFonts w:eastAsia="等线"/>
          <w:color w:val="auto"/>
          <w:szCs w:val="24"/>
          <w:highlight w:val="none"/>
        </w:rPr>
        <w:t>2016</w:t>
      </w:r>
      <w:r>
        <w:rPr>
          <w:color w:val="auto"/>
          <w:szCs w:val="24"/>
          <w:highlight w:val="none"/>
        </w:rPr>
        <w:t>年</w:t>
      </w:r>
      <w:r>
        <w:rPr>
          <w:rFonts w:eastAsia="等线"/>
          <w:color w:val="auto"/>
          <w:szCs w:val="24"/>
          <w:highlight w:val="none"/>
        </w:rPr>
        <w:t>9</w:t>
      </w:r>
      <w:r>
        <w:rPr>
          <w:color w:val="auto"/>
          <w:szCs w:val="24"/>
          <w:highlight w:val="none"/>
        </w:rPr>
        <w:t>月联合印发了《山东省生态保护红线规划》</w:t>
      </w:r>
      <w:r>
        <w:rPr>
          <w:rFonts w:hint="eastAsia"/>
          <w:color w:val="auto"/>
          <w:szCs w:val="24"/>
          <w:highlight w:val="none"/>
        </w:rPr>
        <w:t>(</w:t>
      </w:r>
      <w:r>
        <w:rPr>
          <w:color w:val="auto"/>
          <w:szCs w:val="24"/>
          <w:highlight w:val="none"/>
        </w:rPr>
        <w:t>鲁环发</w:t>
      </w:r>
      <w:r>
        <w:rPr>
          <w:rFonts w:eastAsia="等线"/>
          <w:color w:val="auto"/>
          <w:szCs w:val="24"/>
          <w:highlight w:val="none"/>
        </w:rPr>
        <w:t>[2016]176</w:t>
      </w:r>
      <w:r>
        <w:rPr>
          <w:color w:val="auto"/>
          <w:szCs w:val="24"/>
          <w:highlight w:val="none"/>
        </w:rPr>
        <w:t>号</w:t>
      </w:r>
      <w:r>
        <w:rPr>
          <w:rFonts w:hint="eastAsia"/>
          <w:color w:val="auto"/>
          <w:szCs w:val="24"/>
          <w:highlight w:val="none"/>
        </w:rPr>
        <w:t>)</w:t>
      </w:r>
      <w:r>
        <w:rPr>
          <w:color w:val="auto"/>
          <w:szCs w:val="24"/>
          <w:highlight w:val="none"/>
        </w:rPr>
        <w:t>。生态保护红线是指依法在重点生态功能区、生态环境敏感区和脆弱区等区域划定的严格管控边界。《山东省生态保护红线规划</w:t>
      </w:r>
      <w:r>
        <w:rPr>
          <w:rFonts w:hint="eastAsia"/>
          <w:color w:val="auto"/>
          <w:szCs w:val="24"/>
          <w:highlight w:val="none"/>
        </w:rPr>
        <w:t>(</w:t>
      </w:r>
      <w:r>
        <w:rPr>
          <w:rFonts w:eastAsia="等线"/>
          <w:color w:val="auto"/>
          <w:szCs w:val="24"/>
          <w:highlight w:val="none"/>
        </w:rPr>
        <w:t>2016-2020</w:t>
      </w:r>
      <w:r>
        <w:rPr>
          <w:color w:val="auto"/>
          <w:szCs w:val="24"/>
          <w:highlight w:val="none"/>
        </w:rPr>
        <w:t>年</w:t>
      </w:r>
      <w:r>
        <w:rPr>
          <w:rFonts w:hint="eastAsia"/>
          <w:color w:val="auto"/>
          <w:szCs w:val="24"/>
          <w:highlight w:val="none"/>
        </w:rPr>
        <w:t>)</w:t>
      </w:r>
      <w:r>
        <w:rPr>
          <w:color w:val="auto"/>
          <w:szCs w:val="24"/>
          <w:highlight w:val="none"/>
        </w:rPr>
        <w:t>》按照科学性、统筹性、强制性的原则，共划定陆域生态保护红线区域</w:t>
      </w:r>
      <w:r>
        <w:rPr>
          <w:rFonts w:eastAsia="等线"/>
          <w:color w:val="auto"/>
          <w:szCs w:val="24"/>
          <w:highlight w:val="none"/>
        </w:rPr>
        <w:t>533</w:t>
      </w:r>
      <w:r>
        <w:rPr>
          <w:color w:val="auto"/>
          <w:szCs w:val="24"/>
          <w:highlight w:val="none"/>
        </w:rPr>
        <w:t>个，分属生物多样性维护、水源涵养、土壤保持、防风固沙</w:t>
      </w:r>
      <w:r>
        <w:rPr>
          <w:rFonts w:eastAsia="等线"/>
          <w:color w:val="auto"/>
          <w:szCs w:val="24"/>
          <w:highlight w:val="none"/>
        </w:rPr>
        <w:t>4</w:t>
      </w:r>
      <w:r>
        <w:rPr>
          <w:color w:val="auto"/>
          <w:szCs w:val="24"/>
          <w:highlight w:val="none"/>
        </w:rPr>
        <w:t>种功能类型，总面积</w:t>
      </w:r>
      <w:r>
        <w:rPr>
          <w:rFonts w:eastAsia="等线"/>
          <w:color w:val="auto"/>
          <w:szCs w:val="24"/>
          <w:highlight w:val="none"/>
        </w:rPr>
        <w:t>20847.9km</w:t>
      </w:r>
      <w:r>
        <w:rPr>
          <w:rFonts w:eastAsia="等线"/>
          <w:color w:val="auto"/>
          <w:sz w:val="16"/>
          <w:szCs w:val="16"/>
          <w:highlight w:val="none"/>
          <w:vertAlign w:val="superscript"/>
        </w:rPr>
        <w:t>2</w:t>
      </w:r>
      <w:r>
        <w:rPr>
          <w:color w:val="auto"/>
          <w:szCs w:val="24"/>
          <w:highlight w:val="none"/>
        </w:rPr>
        <w:t>，占全省陆域面积的</w:t>
      </w:r>
      <w:r>
        <w:rPr>
          <w:rFonts w:eastAsia="等线"/>
          <w:color w:val="auto"/>
          <w:szCs w:val="24"/>
          <w:highlight w:val="none"/>
        </w:rPr>
        <w:t>13.2%</w:t>
      </w:r>
      <w:r>
        <w:rPr>
          <w:color w:val="auto"/>
          <w:szCs w:val="24"/>
          <w:highlight w:val="none"/>
        </w:rPr>
        <w:t>。生态保护红线区以较少的面积比重，保护了山东省大部分的重要生态用地和自然生态系统，对维护生态安全格局、保障生态系统功能、支撑经济社会可持续发展具有极重要的作用。</w:t>
      </w:r>
    </w:p>
    <w:p>
      <w:pPr>
        <w:pStyle w:val="99"/>
        <w:ind w:firstLine="480"/>
        <w:rPr>
          <w:color w:val="auto"/>
          <w:highlight w:val="none"/>
        </w:rPr>
      </w:pPr>
      <w:r>
        <w:rPr>
          <w:color w:val="auto"/>
          <w:szCs w:val="24"/>
          <w:highlight w:val="none"/>
        </w:rPr>
        <w:t>根据《山东省生态红线保护红线规划》</w:t>
      </w:r>
      <w:r>
        <w:rPr>
          <w:rFonts w:hint="eastAsia"/>
          <w:color w:val="auto"/>
          <w:szCs w:val="24"/>
          <w:highlight w:val="none"/>
        </w:rPr>
        <w:t>(</w:t>
      </w:r>
      <w:r>
        <w:rPr>
          <w:rFonts w:eastAsia="等线"/>
          <w:color w:val="auto"/>
          <w:szCs w:val="24"/>
          <w:highlight w:val="none"/>
        </w:rPr>
        <w:t>2016-2020</w:t>
      </w:r>
      <w:r>
        <w:rPr>
          <w:color w:val="auto"/>
          <w:szCs w:val="24"/>
          <w:highlight w:val="none"/>
        </w:rPr>
        <w:t>年</w:t>
      </w:r>
      <w:r>
        <w:rPr>
          <w:rFonts w:hint="eastAsia"/>
          <w:color w:val="auto"/>
          <w:szCs w:val="24"/>
          <w:highlight w:val="none"/>
        </w:rPr>
        <w:t>)</w:t>
      </w:r>
      <w:r>
        <w:rPr>
          <w:color w:val="auto"/>
          <w:szCs w:val="24"/>
          <w:highlight w:val="none"/>
        </w:rPr>
        <w:t>及山东生态保护红线登记表和山东生态保护红线图集</w:t>
      </w:r>
      <w:r>
        <w:rPr>
          <w:rFonts w:hint="eastAsia"/>
          <w:color w:val="auto"/>
          <w:szCs w:val="24"/>
          <w:highlight w:val="none"/>
        </w:rPr>
        <w:t>可知</w:t>
      </w:r>
      <w:r>
        <w:rPr>
          <w:color w:val="auto"/>
          <w:szCs w:val="24"/>
          <w:highlight w:val="none"/>
        </w:rPr>
        <w:t>，</w:t>
      </w:r>
      <w:r>
        <w:rPr>
          <w:color w:val="auto"/>
          <w:highlight w:val="none"/>
        </w:rPr>
        <w:t>峄城区生态保护红线区分布有：峄城区水源涵养生态保护红线区</w:t>
      </w:r>
      <w:r>
        <w:rPr>
          <w:rFonts w:hint="eastAsia"/>
          <w:color w:val="auto"/>
          <w:highlight w:val="none"/>
        </w:rPr>
        <w:t>(</w:t>
      </w:r>
      <w:r>
        <w:rPr>
          <w:color w:val="auto"/>
          <w:highlight w:val="none"/>
        </w:rPr>
        <w:t>SD-04-B1-09</w:t>
      </w:r>
      <w:r>
        <w:rPr>
          <w:rFonts w:hint="eastAsia"/>
          <w:color w:val="auto"/>
          <w:highlight w:val="none"/>
        </w:rPr>
        <w:t>)</w:t>
      </w:r>
      <w:r>
        <w:rPr>
          <w:color w:val="auto"/>
          <w:highlight w:val="none"/>
        </w:rPr>
        <w:t>、峄城古运河土壤保持、水源涵养生态保护红线区</w:t>
      </w:r>
      <w:r>
        <w:rPr>
          <w:rFonts w:hint="eastAsia"/>
          <w:color w:val="auto"/>
          <w:highlight w:val="none"/>
        </w:rPr>
        <w:t>(</w:t>
      </w:r>
      <w:r>
        <w:rPr>
          <w:color w:val="auto"/>
          <w:highlight w:val="none"/>
        </w:rPr>
        <w:t>SD-04-B2-01</w:t>
      </w:r>
      <w:r>
        <w:rPr>
          <w:rFonts w:hint="eastAsia"/>
          <w:color w:val="auto"/>
          <w:highlight w:val="none"/>
        </w:rPr>
        <w:t>)</w:t>
      </w:r>
      <w:r>
        <w:rPr>
          <w:color w:val="auto"/>
          <w:highlight w:val="none"/>
        </w:rPr>
        <w:t>、石榴园生物多样性维护、水源涵养生态保护红线区</w:t>
      </w:r>
      <w:r>
        <w:rPr>
          <w:rFonts w:hint="eastAsia"/>
          <w:color w:val="auto"/>
          <w:highlight w:val="none"/>
        </w:rPr>
        <w:t>(</w:t>
      </w:r>
      <w:r>
        <w:rPr>
          <w:color w:val="auto"/>
          <w:highlight w:val="none"/>
        </w:rPr>
        <w:t>SD-04-B4-11</w:t>
      </w:r>
      <w:r>
        <w:rPr>
          <w:rFonts w:hint="eastAsia"/>
          <w:color w:val="auto"/>
          <w:highlight w:val="none"/>
        </w:rPr>
        <w:t>)。本</w:t>
      </w:r>
      <w:r>
        <w:rPr>
          <w:color w:val="auto"/>
          <w:highlight w:val="none"/>
        </w:rPr>
        <w:t>项目不在枣庄市省级生态保护红线范围之内，距离最近的峄城区水源涵养生态保护红线区</w:t>
      </w:r>
      <w:r>
        <w:rPr>
          <w:rFonts w:hint="eastAsia"/>
          <w:color w:val="auto"/>
          <w:highlight w:val="none"/>
        </w:rPr>
        <w:t>(</w:t>
      </w:r>
      <w:r>
        <w:rPr>
          <w:color w:val="auto"/>
          <w:highlight w:val="none"/>
        </w:rPr>
        <w:t>SD-04-B1-09</w:t>
      </w:r>
      <w:r>
        <w:rPr>
          <w:rFonts w:hint="eastAsia"/>
          <w:color w:val="auto"/>
          <w:highlight w:val="none"/>
        </w:rPr>
        <w:t>)边界直线距离约为5.3km。</w:t>
      </w:r>
      <w:r>
        <w:rPr>
          <w:color w:val="auto"/>
          <w:highlight w:val="none"/>
        </w:rPr>
        <w:t>可见，项目距离周边生态保护红线区较远，且</w:t>
      </w:r>
      <w:r>
        <w:rPr>
          <w:rFonts w:hint="eastAsia"/>
          <w:color w:val="auto"/>
          <w:highlight w:val="none"/>
        </w:rPr>
        <w:t>项目区</w:t>
      </w:r>
      <w:r>
        <w:rPr>
          <w:color w:val="auto"/>
          <w:highlight w:val="none"/>
        </w:rPr>
        <w:t>与峄城区生态保护红线区无直接水力联系，</w:t>
      </w:r>
      <w:r>
        <w:rPr>
          <w:rFonts w:hint="eastAsia"/>
          <w:color w:val="auto"/>
          <w:highlight w:val="none"/>
        </w:rPr>
        <w:t>项目</w:t>
      </w:r>
      <w:r>
        <w:rPr>
          <w:color w:val="auto"/>
          <w:highlight w:val="none"/>
        </w:rPr>
        <w:t>产生的</w:t>
      </w:r>
      <w:r>
        <w:rPr>
          <w:rFonts w:hint="eastAsia"/>
          <w:color w:val="auto"/>
          <w:highlight w:val="none"/>
          <w:lang w:val="en-US" w:eastAsia="zh-CN"/>
        </w:rPr>
        <w:t>废水</w:t>
      </w:r>
      <w:r>
        <w:rPr>
          <w:color w:val="auto"/>
          <w:highlight w:val="none"/>
        </w:rPr>
        <w:t>不排入生态保护红线区，对生态保护红线区影响较小。</w:t>
      </w:r>
    </w:p>
    <w:p>
      <w:pPr>
        <w:pStyle w:val="99"/>
        <w:ind w:firstLine="480"/>
        <w:rPr>
          <w:color w:val="auto"/>
          <w:highlight w:val="none"/>
        </w:rPr>
      </w:pPr>
      <w:r>
        <w:rPr>
          <w:rFonts w:hint="eastAsia"/>
          <w:color w:val="auto"/>
          <w:highlight w:val="none"/>
        </w:rPr>
        <w:t>项目与枣庄市各生态保护红线区的位置</w:t>
      </w:r>
      <w:r>
        <w:rPr>
          <w:color w:val="auto"/>
          <w:highlight w:val="none"/>
        </w:rPr>
        <w:t>见图</w:t>
      </w:r>
      <w:r>
        <w:rPr>
          <w:rFonts w:hint="eastAsia"/>
          <w:color w:val="auto"/>
          <w:highlight w:val="none"/>
        </w:rPr>
        <w:t>9.3</w:t>
      </w:r>
      <w:r>
        <w:rPr>
          <w:color w:val="auto"/>
          <w:highlight w:val="none"/>
        </w:rPr>
        <w:t>-1。</w:t>
      </w:r>
    </w:p>
    <w:p>
      <w:pPr>
        <w:pStyle w:val="99"/>
        <w:ind w:firstLine="480"/>
        <w:rPr>
          <w:color w:val="auto"/>
          <w:highlight w:val="none"/>
        </w:rPr>
      </w:pPr>
      <w:r>
        <w:rPr>
          <w:rFonts w:hint="eastAsia"/>
          <w:color w:val="auto"/>
          <w:highlight w:val="none"/>
        </w:rPr>
        <w:t>(2) 根据枣庄市人民政府2021年6月30日发布的《枣庄市“三线一单”生态环境分区管控方案的通知》(枣政字〔2021〕16号)和枣庄市生态环境委员会办公室2021年6月30日发布的《枣庄市“三线一单”生态环境分区管控方案》配套文件的通知(枣环委字〔2021〕3号)。枣庄市实行“三线一单”生态环境分区管控。环境管控单元分布图件见图9.3-</w:t>
      </w:r>
      <w:r>
        <w:rPr>
          <w:rFonts w:hint="eastAsia"/>
          <w:color w:val="auto"/>
          <w:highlight w:val="none"/>
          <w:lang w:val="en-US" w:eastAsia="zh-CN"/>
        </w:rPr>
        <w:t>2</w:t>
      </w:r>
      <w:r>
        <w:rPr>
          <w:rFonts w:hint="eastAsia"/>
          <w:color w:val="auto"/>
          <w:highlight w:val="none"/>
        </w:rPr>
        <w:t>。</w:t>
      </w:r>
    </w:p>
    <w:p>
      <w:pPr>
        <w:pStyle w:val="99"/>
        <w:ind w:firstLine="480"/>
        <w:rPr>
          <w:color w:val="auto"/>
          <w:highlight w:val="none"/>
        </w:rPr>
      </w:pPr>
      <w:r>
        <w:rPr>
          <w:rFonts w:hint="eastAsia"/>
          <w:color w:val="auto"/>
          <w:highlight w:val="none"/>
        </w:rPr>
        <w:t>本项目位于枣庄市峄城区峨山镇大官庄村西，属于一般管控区，环境管控单元名称为“峄城区峨山镇一般管控单元”，编码为“ZH37040430002”。“三线一单”、一般管控单元要求及符合性见表9.3-1。</w:t>
      </w: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sectPr>
          <w:headerReference r:id="rId25" w:type="default"/>
          <w:headerReference r:id="rId26" w:type="even"/>
          <w:pgSz w:w="11906" w:h="16838"/>
          <w:pgMar w:top="1418" w:right="1418" w:bottom="1418" w:left="1701" w:header="851" w:footer="992" w:gutter="0"/>
          <w:pgBorders>
            <w:top w:val="none" w:sz="0" w:space="0"/>
            <w:left w:val="none" w:sz="0" w:space="0"/>
            <w:bottom w:val="none" w:sz="0" w:space="0"/>
            <w:right w:val="none" w:sz="0" w:space="0"/>
          </w:pgBorders>
          <w:cols w:space="425" w:num="1"/>
          <w:docGrid w:type="lines" w:linePitch="312" w:charSpace="0"/>
        </w:sectPr>
      </w:pPr>
    </w:p>
    <w:p>
      <w:pPr>
        <w:spacing w:line="360" w:lineRule="auto"/>
        <w:jc w:val="center"/>
        <w:rPr>
          <w:rFonts w:eastAsia="黑体"/>
          <w:color w:val="auto"/>
          <w:sz w:val="24"/>
          <w:highlight w:val="none"/>
        </w:rPr>
      </w:pPr>
      <w:r>
        <w:rPr>
          <w:rFonts w:eastAsia="黑体"/>
          <w:color w:val="auto"/>
          <w:sz w:val="24"/>
          <w:highlight w:val="none"/>
        </w:rPr>
        <w:t>表</w:t>
      </w:r>
      <w:r>
        <w:rPr>
          <w:rFonts w:hint="eastAsia" w:eastAsia="黑体"/>
          <w:color w:val="auto"/>
          <w:sz w:val="24"/>
          <w:highlight w:val="none"/>
        </w:rPr>
        <w:t>9</w:t>
      </w:r>
      <w:r>
        <w:rPr>
          <w:rFonts w:eastAsia="黑体"/>
          <w:color w:val="auto"/>
          <w:sz w:val="24"/>
          <w:highlight w:val="none"/>
        </w:rPr>
        <w:t>.</w:t>
      </w:r>
      <w:r>
        <w:rPr>
          <w:rFonts w:hint="eastAsia" w:eastAsia="黑体"/>
          <w:color w:val="auto"/>
          <w:sz w:val="24"/>
          <w:highlight w:val="none"/>
        </w:rPr>
        <w:t>3</w:t>
      </w:r>
      <w:r>
        <w:rPr>
          <w:rFonts w:eastAsia="黑体"/>
          <w:color w:val="auto"/>
          <w:sz w:val="24"/>
          <w:highlight w:val="none"/>
        </w:rPr>
        <w:t xml:space="preserve">-1  </w:t>
      </w:r>
      <w:r>
        <w:rPr>
          <w:rFonts w:hint="eastAsia" w:eastAsia="黑体"/>
          <w:color w:val="auto"/>
          <w:sz w:val="24"/>
          <w:highlight w:val="none"/>
        </w:rPr>
        <w:t xml:space="preserve"> “三线一单”、重点管控单元要求及符合性分析一览表</w:t>
      </w:r>
    </w:p>
    <w:tbl>
      <w:tblPr>
        <w:tblStyle w:val="59"/>
        <w:tblW w:w="1421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386"/>
        <w:gridCol w:w="1625"/>
        <w:gridCol w:w="78"/>
        <w:gridCol w:w="5559"/>
        <w:gridCol w:w="4652"/>
        <w:gridCol w:w="91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86" w:type="dxa"/>
            <w:vAlign w:val="center"/>
          </w:tcPr>
          <w:p>
            <w:pPr>
              <w:jc w:val="center"/>
              <w:rPr>
                <w:color w:val="auto"/>
                <w:highlight w:val="none"/>
              </w:rPr>
            </w:pPr>
            <w:r>
              <w:rPr>
                <w:color w:val="auto"/>
                <w:highlight w:val="none"/>
              </w:rPr>
              <w:t>分类</w:t>
            </w:r>
          </w:p>
        </w:tc>
        <w:tc>
          <w:tcPr>
            <w:tcW w:w="11914" w:type="dxa"/>
            <w:gridSpan w:val="4"/>
            <w:vAlign w:val="center"/>
          </w:tcPr>
          <w:p>
            <w:pPr>
              <w:jc w:val="center"/>
              <w:rPr>
                <w:color w:val="auto"/>
                <w:highlight w:val="none"/>
              </w:rPr>
            </w:pPr>
            <w:r>
              <w:rPr>
                <w:color w:val="auto"/>
                <w:highlight w:val="none"/>
              </w:rPr>
              <w:t>项目情况</w:t>
            </w:r>
          </w:p>
        </w:tc>
        <w:tc>
          <w:tcPr>
            <w:tcW w:w="918" w:type="dxa"/>
            <w:vAlign w:val="center"/>
          </w:tcPr>
          <w:p>
            <w:pPr>
              <w:jc w:val="center"/>
              <w:rPr>
                <w:color w:val="auto"/>
                <w:highlight w:val="none"/>
              </w:rPr>
            </w:pPr>
            <w:r>
              <w:rPr>
                <w:color w:val="auto"/>
                <w:highlight w:val="none"/>
              </w:rPr>
              <w:t>符合性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86" w:type="dxa"/>
            <w:vAlign w:val="center"/>
          </w:tcPr>
          <w:p>
            <w:pPr>
              <w:jc w:val="center"/>
              <w:rPr>
                <w:color w:val="auto"/>
                <w:highlight w:val="none"/>
              </w:rPr>
            </w:pPr>
            <w:r>
              <w:rPr>
                <w:color w:val="auto"/>
                <w:highlight w:val="none"/>
              </w:rPr>
              <w:t>生态保护红线</w:t>
            </w:r>
          </w:p>
        </w:tc>
        <w:tc>
          <w:tcPr>
            <w:tcW w:w="11914" w:type="dxa"/>
            <w:gridSpan w:val="4"/>
            <w:vAlign w:val="center"/>
          </w:tcPr>
          <w:p>
            <w:pPr>
              <w:jc w:val="left"/>
              <w:rPr>
                <w:color w:val="auto"/>
                <w:highlight w:val="none"/>
              </w:rPr>
            </w:pPr>
            <w:r>
              <w:rPr>
                <w:color w:val="auto"/>
                <w:szCs w:val="24"/>
                <w:highlight w:val="none"/>
              </w:rPr>
              <w:t>根据《山东省生态红线保护红线规划》</w:t>
            </w:r>
            <w:r>
              <w:rPr>
                <w:rFonts w:hint="eastAsia"/>
                <w:color w:val="auto"/>
                <w:szCs w:val="24"/>
                <w:highlight w:val="none"/>
              </w:rPr>
              <w:t>(</w:t>
            </w:r>
            <w:r>
              <w:rPr>
                <w:rFonts w:eastAsia="等线"/>
                <w:color w:val="auto"/>
                <w:szCs w:val="24"/>
                <w:highlight w:val="none"/>
              </w:rPr>
              <w:t>2016-2020</w:t>
            </w:r>
            <w:r>
              <w:rPr>
                <w:color w:val="auto"/>
                <w:szCs w:val="24"/>
                <w:highlight w:val="none"/>
              </w:rPr>
              <w:t>年</w:t>
            </w:r>
            <w:r>
              <w:rPr>
                <w:rFonts w:hint="eastAsia"/>
                <w:color w:val="auto"/>
                <w:szCs w:val="24"/>
                <w:highlight w:val="none"/>
              </w:rPr>
              <w:t>)</w:t>
            </w:r>
            <w:r>
              <w:rPr>
                <w:color w:val="auto"/>
                <w:szCs w:val="24"/>
                <w:highlight w:val="none"/>
              </w:rPr>
              <w:t>及山东生态保护红线登记表和山东生态保护红线图集</w:t>
            </w:r>
            <w:r>
              <w:rPr>
                <w:rFonts w:hint="eastAsia"/>
                <w:color w:val="auto"/>
                <w:szCs w:val="24"/>
                <w:highlight w:val="none"/>
              </w:rPr>
              <w:t>可知</w:t>
            </w:r>
            <w:r>
              <w:rPr>
                <w:color w:val="auto"/>
                <w:szCs w:val="24"/>
                <w:highlight w:val="none"/>
              </w:rPr>
              <w:t>，</w:t>
            </w:r>
            <w:r>
              <w:rPr>
                <w:color w:val="auto"/>
                <w:highlight w:val="none"/>
              </w:rPr>
              <w:t>峄城区生态保护红线区分布有：峄城区水源涵养生态保护红线区</w:t>
            </w:r>
            <w:r>
              <w:rPr>
                <w:rFonts w:hint="eastAsia"/>
                <w:color w:val="auto"/>
                <w:highlight w:val="none"/>
              </w:rPr>
              <w:t>(</w:t>
            </w:r>
            <w:r>
              <w:rPr>
                <w:color w:val="auto"/>
                <w:highlight w:val="none"/>
              </w:rPr>
              <w:t>SD-04-B1-09</w:t>
            </w:r>
            <w:r>
              <w:rPr>
                <w:rFonts w:hint="eastAsia"/>
                <w:color w:val="auto"/>
                <w:highlight w:val="none"/>
              </w:rPr>
              <w:t>)</w:t>
            </w:r>
            <w:r>
              <w:rPr>
                <w:color w:val="auto"/>
                <w:highlight w:val="none"/>
              </w:rPr>
              <w:t>、峄城古运河土壤保持、水源涵养生态保护红线区</w:t>
            </w:r>
            <w:r>
              <w:rPr>
                <w:rFonts w:hint="eastAsia"/>
                <w:color w:val="auto"/>
                <w:highlight w:val="none"/>
              </w:rPr>
              <w:t>(</w:t>
            </w:r>
            <w:r>
              <w:rPr>
                <w:color w:val="auto"/>
                <w:highlight w:val="none"/>
              </w:rPr>
              <w:t>SD-04-B2-01</w:t>
            </w:r>
            <w:r>
              <w:rPr>
                <w:rFonts w:hint="eastAsia"/>
                <w:color w:val="auto"/>
                <w:highlight w:val="none"/>
              </w:rPr>
              <w:t>)</w:t>
            </w:r>
            <w:r>
              <w:rPr>
                <w:color w:val="auto"/>
                <w:highlight w:val="none"/>
              </w:rPr>
              <w:t>、石榴园生物多样性维护、水源涵养生态保护红线区</w:t>
            </w:r>
            <w:r>
              <w:rPr>
                <w:rFonts w:hint="eastAsia"/>
                <w:color w:val="auto"/>
                <w:highlight w:val="none"/>
              </w:rPr>
              <w:t>(</w:t>
            </w:r>
            <w:r>
              <w:rPr>
                <w:color w:val="auto"/>
                <w:highlight w:val="none"/>
              </w:rPr>
              <w:t>SD-04-B4-11</w:t>
            </w:r>
            <w:r>
              <w:rPr>
                <w:rFonts w:hint="eastAsia"/>
                <w:color w:val="auto"/>
                <w:highlight w:val="none"/>
              </w:rPr>
              <w:t>)。本</w:t>
            </w:r>
            <w:r>
              <w:rPr>
                <w:color w:val="auto"/>
                <w:highlight w:val="none"/>
              </w:rPr>
              <w:t>项目不在枣庄市省级生态保护红线范围之内，距离最近的峄城区水源涵养生态保护红线区</w:t>
            </w:r>
            <w:r>
              <w:rPr>
                <w:rFonts w:hint="eastAsia"/>
                <w:color w:val="auto"/>
                <w:highlight w:val="none"/>
              </w:rPr>
              <w:t>(</w:t>
            </w:r>
            <w:r>
              <w:rPr>
                <w:color w:val="auto"/>
                <w:highlight w:val="none"/>
              </w:rPr>
              <w:t>SD-04-B1-09</w:t>
            </w:r>
            <w:r>
              <w:rPr>
                <w:rFonts w:hint="eastAsia"/>
                <w:color w:val="auto"/>
                <w:highlight w:val="none"/>
              </w:rPr>
              <w:t>)边界直线距离约为5.3km。</w:t>
            </w:r>
            <w:r>
              <w:rPr>
                <w:color w:val="auto"/>
                <w:highlight w:val="none"/>
              </w:rPr>
              <w:t>可见，项目距离周边生态保护红线区较远，且</w:t>
            </w:r>
            <w:r>
              <w:rPr>
                <w:rFonts w:hint="eastAsia"/>
                <w:color w:val="auto"/>
                <w:highlight w:val="none"/>
              </w:rPr>
              <w:t>项目区</w:t>
            </w:r>
            <w:r>
              <w:rPr>
                <w:color w:val="auto"/>
                <w:highlight w:val="none"/>
              </w:rPr>
              <w:t>与峄城区生态保护红线区无直接水力联系，</w:t>
            </w:r>
            <w:r>
              <w:rPr>
                <w:rFonts w:hint="eastAsia"/>
                <w:color w:val="auto"/>
                <w:highlight w:val="none"/>
              </w:rPr>
              <w:t>项目</w:t>
            </w:r>
            <w:r>
              <w:rPr>
                <w:color w:val="auto"/>
                <w:highlight w:val="none"/>
              </w:rPr>
              <w:t>产生的</w:t>
            </w:r>
            <w:r>
              <w:rPr>
                <w:rFonts w:hint="eastAsia"/>
                <w:color w:val="auto"/>
                <w:highlight w:val="none"/>
                <w:lang w:val="en-US" w:eastAsia="zh-CN"/>
              </w:rPr>
              <w:t>废水</w:t>
            </w:r>
            <w:r>
              <w:rPr>
                <w:color w:val="auto"/>
                <w:highlight w:val="none"/>
              </w:rPr>
              <w:t>不排入生态保护红线区，对生态保护红线区影响较小。</w:t>
            </w:r>
          </w:p>
        </w:tc>
        <w:tc>
          <w:tcPr>
            <w:tcW w:w="918" w:type="dxa"/>
            <w:vAlign w:val="center"/>
          </w:tcPr>
          <w:p>
            <w:pPr>
              <w:jc w:val="center"/>
              <w:rPr>
                <w:color w:val="auto"/>
                <w:highlight w:val="none"/>
              </w:rPr>
            </w:pPr>
            <w:r>
              <w:rPr>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86" w:type="dxa"/>
            <w:vMerge w:val="restart"/>
            <w:vAlign w:val="center"/>
          </w:tcPr>
          <w:p>
            <w:pPr>
              <w:jc w:val="center"/>
              <w:rPr>
                <w:color w:val="auto"/>
                <w:highlight w:val="none"/>
              </w:rPr>
            </w:pPr>
            <w:r>
              <w:rPr>
                <w:color w:val="auto"/>
                <w:highlight w:val="none"/>
              </w:rPr>
              <w:t>环境质量底线</w:t>
            </w:r>
          </w:p>
        </w:tc>
        <w:tc>
          <w:tcPr>
            <w:tcW w:w="1625" w:type="dxa"/>
            <w:vAlign w:val="center"/>
          </w:tcPr>
          <w:p>
            <w:pPr>
              <w:jc w:val="center"/>
              <w:rPr>
                <w:color w:val="auto"/>
                <w:highlight w:val="none"/>
              </w:rPr>
            </w:pPr>
            <w:r>
              <w:rPr>
                <w:color w:val="auto"/>
                <w:highlight w:val="none"/>
              </w:rPr>
              <w:t>环境质量现状</w:t>
            </w:r>
          </w:p>
        </w:tc>
        <w:tc>
          <w:tcPr>
            <w:tcW w:w="10289" w:type="dxa"/>
            <w:gridSpan w:val="3"/>
            <w:vAlign w:val="center"/>
          </w:tcPr>
          <w:p>
            <w:pPr>
              <w:jc w:val="left"/>
              <w:rPr>
                <w:color w:val="auto"/>
                <w:highlight w:val="none"/>
              </w:rPr>
            </w:pPr>
            <w:r>
              <w:rPr>
                <w:color w:val="auto"/>
                <w:highlight w:val="none"/>
              </w:rPr>
              <w:t>本项目所在区域属于环境空气质量不达标区，PM</w:t>
            </w:r>
            <w:r>
              <w:rPr>
                <w:color w:val="auto"/>
                <w:highlight w:val="none"/>
                <w:vertAlign w:val="subscript"/>
              </w:rPr>
              <w:t>10</w:t>
            </w:r>
            <w:r>
              <w:rPr>
                <w:color w:val="auto"/>
                <w:highlight w:val="none"/>
              </w:rPr>
              <w:t>、PM</w:t>
            </w:r>
            <w:r>
              <w:rPr>
                <w:color w:val="auto"/>
                <w:highlight w:val="none"/>
                <w:vertAlign w:val="subscript"/>
              </w:rPr>
              <w:t>2.5</w:t>
            </w:r>
            <w:r>
              <w:rPr>
                <w:color w:val="auto"/>
                <w:highlight w:val="none"/>
              </w:rPr>
              <w:t>年均值超标，臭氧</w:t>
            </w:r>
            <w:r>
              <w:rPr>
                <w:rFonts w:hint="eastAsia"/>
                <w:color w:val="auto"/>
                <w:highlight w:val="none"/>
              </w:rPr>
              <w:t>(</w:t>
            </w:r>
            <w:r>
              <w:rPr>
                <w:color w:val="auto"/>
                <w:highlight w:val="none"/>
              </w:rPr>
              <w:t>O</w:t>
            </w:r>
            <w:r>
              <w:rPr>
                <w:color w:val="auto"/>
                <w:highlight w:val="none"/>
                <w:vertAlign w:val="subscript"/>
              </w:rPr>
              <w:t>3</w:t>
            </w:r>
            <w:r>
              <w:rPr>
                <w:color w:val="auto"/>
                <w:highlight w:val="none"/>
              </w:rPr>
              <w:t>-8h-90per</w:t>
            </w:r>
            <w:r>
              <w:rPr>
                <w:rFonts w:hint="eastAsia"/>
                <w:color w:val="auto"/>
                <w:highlight w:val="none"/>
              </w:rPr>
              <w:t>)</w:t>
            </w:r>
            <w:r>
              <w:rPr>
                <w:color w:val="auto"/>
                <w:highlight w:val="none"/>
              </w:rPr>
              <w:t>超标。</w:t>
            </w:r>
            <w:r>
              <w:rPr>
                <w:rFonts w:hint="eastAsia"/>
                <w:color w:val="auto"/>
                <w:highlight w:val="none"/>
              </w:rPr>
              <w:t>峄城大沙河</w:t>
            </w:r>
            <w:r>
              <w:rPr>
                <w:color w:val="auto"/>
                <w:highlight w:val="none"/>
              </w:rPr>
              <w:t>水质不能完全满足《地表水环境质量标准》</w:t>
            </w:r>
            <w:r>
              <w:rPr>
                <w:rFonts w:hint="eastAsia"/>
                <w:color w:val="auto"/>
                <w:highlight w:val="none"/>
              </w:rPr>
              <w:t>(</w:t>
            </w:r>
            <w:r>
              <w:rPr>
                <w:color w:val="auto"/>
                <w:highlight w:val="none"/>
              </w:rPr>
              <w:t>GB3838-2002</w:t>
            </w:r>
            <w:r>
              <w:rPr>
                <w:rFonts w:hint="eastAsia"/>
                <w:color w:val="auto"/>
                <w:highlight w:val="none"/>
              </w:rPr>
              <w:t>)</w:t>
            </w:r>
            <w:r>
              <w:rPr>
                <w:rFonts w:hint="eastAsia" w:ascii="宋体" w:hAnsi="宋体" w:cs="宋体"/>
                <w:color w:val="auto"/>
                <w:highlight w:val="none"/>
              </w:rPr>
              <w:t>Ⅲ</w:t>
            </w:r>
            <w:r>
              <w:rPr>
                <w:color w:val="auto"/>
                <w:highlight w:val="none"/>
              </w:rPr>
              <w:t>类标准要求，项目区域地下水水质不能完全满足《地下水质量标准》</w:t>
            </w:r>
            <w:r>
              <w:rPr>
                <w:rFonts w:hint="eastAsia"/>
                <w:color w:val="auto"/>
                <w:highlight w:val="none"/>
              </w:rPr>
              <w:t>(</w:t>
            </w:r>
            <w:r>
              <w:rPr>
                <w:color w:val="auto"/>
                <w:highlight w:val="none"/>
              </w:rPr>
              <w:t>GB/T14848-2017</w:t>
            </w:r>
            <w:r>
              <w:rPr>
                <w:rFonts w:hint="eastAsia"/>
                <w:color w:val="auto"/>
                <w:highlight w:val="none"/>
              </w:rPr>
              <w:t>)</w:t>
            </w:r>
            <w:r>
              <w:rPr>
                <w:rFonts w:hint="eastAsia" w:ascii="宋体" w:hAnsi="宋体" w:cs="宋体"/>
                <w:color w:val="auto"/>
                <w:highlight w:val="none"/>
              </w:rPr>
              <w:t>Ⅲ</w:t>
            </w:r>
            <w:r>
              <w:rPr>
                <w:color w:val="auto"/>
                <w:highlight w:val="none"/>
              </w:rPr>
              <w:t>类标准的要求，噪声满足《声环境质量标准》</w:t>
            </w:r>
            <w:r>
              <w:rPr>
                <w:rFonts w:hint="eastAsia"/>
                <w:color w:val="auto"/>
                <w:highlight w:val="none"/>
              </w:rPr>
              <w:t>(</w:t>
            </w:r>
            <w:r>
              <w:rPr>
                <w:color w:val="auto"/>
                <w:highlight w:val="none"/>
              </w:rPr>
              <w:t>GB3096-2008</w:t>
            </w:r>
            <w:r>
              <w:rPr>
                <w:rFonts w:hint="eastAsia"/>
                <w:color w:val="auto"/>
                <w:highlight w:val="none"/>
              </w:rPr>
              <w:t>)3</w:t>
            </w:r>
            <w:r>
              <w:rPr>
                <w:color w:val="auto"/>
                <w:highlight w:val="none"/>
              </w:rPr>
              <w:t>类区的要求，厂区内土壤污染物含量均低于《土壤环境质量建设用地土壤污染风险管控标准》</w:t>
            </w:r>
            <w:r>
              <w:rPr>
                <w:rFonts w:hint="eastAsia"/>
                <w:color w:val="auto"/>
                <w:highlight w:val="none"/>
              </w:rPr>
              <w:t>(</w:t>
            </w:r>
            <w:r>
              <w:rPr>
                <w:color w:val="auto"/>
                <w:highlight w:val="none"/>
              </w:rPr>
              <w:t>GB36600-2018</w:t>
            </w:r>
            <w:r>
              <w:rPr>
                <w:rFonts w:hint="eastAsia"/>
                <w:color w:val="auto"/>
                <w:highlight w:val="none"/>
              </w:rPr>
              <w:t>)</w:t>
            </w:r>
            <w:r>
              <w:rPr>
                <w:color w:val="auto"/>
                <w:highlight w:val="none"/>
              </w:rPr>
              <w:t>第二类用地筛选值标准，厂区内土壤较清洁。项目区制定了</w:t>
            </w:r>
            <w:r>
              <w:rPr>
                <w:rFonts w:hint="eastAsia"/>
                <w:color w:val="auto"/>
                <w:highlight w:val="none"/>
              </w:rPr>
              <w:t>区域环境质量改善措施，区域地表水治理方案，</w:t>
            </w:r>
            <w:r>
              <w:rPr>
                <w:color w:val="auto"/>
                <w:szCs w:val="24"/>
                <w:highlight w:val="none"/>
              </w:rPr>
              <w:t>通过落实上述一系列污染治理措施后，区域环境空气</w:t>
            </w:r>
            <w:r>
              <w:rPr>
                <w:rFonts w:hint="eastAsia"/>
                <w:color w:val="auto"/>
                <w:szCs w:val="24"/>
                <w:highlight w:val="none"/>
              </w:rPr>
              <w:t>、</w:t>
            </w:r>
            <w:r>
              <w:rPr>
                <w:color w:val="auto"/>
                <w:szCs w:val="24"/>
                <w:highlight w:val="none"/>
              </w:rPr>
              <w:t>地表水质量将得以改善</w:t>
            </w:r>
            <w:r>
              <w:rPr>
                <w:rFonts w:hint="eastAsia"/>
                <w:color w:val="auto"/>
                <w:szCs w:val="24"/>
                <w:highlight w:val="none"/>
              </w:rPr>
              <w:t>。</w:t>
            </w:r>
          </w:p>
        </w:tc>
        <w:tc>
          <w:tcPr>
            <w:tcW w:w="918" w:type="dxa"/>
            <w:vMerge w:val="restart"/>
            <w:vAlign w:val="center"/>
          </w:tcPr>
          <w:p>
            <w:pPr>
              <w:jc w:val="center"/>
              <w:rPr>
                <w:color w:val="auto"/>
                <w:highlight w:val="none"/>
              </w:rPr>
            </w:pPr>
            <w:r>
              <w:rPr>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86" w:type="dxa"/>
            <w:vMerge w:val="continue"/>
            <w:vAlign w:val="center"/>
          </w:tcPr>
          <w:p>
            <w:pPr>
              <w:jc w:val="center"/>
              <w:rPr>
                <w:color w:val="auto"/>
                <w:highlight w:val="none"/>
              </w:rPr>
            </w:pPr>
          </w:p>
        </w:tc>
        <w:tc>
          <w:tcPr>
            <w:tcW w:w="1625" w:type="dxa"/>
            <w:vAlign w:val="center"/>
          </w:tcPr>
          <w:p>
            <w:pPr>
              <w:jc w:val="center"/>
              <w:rPr>
                <w:color w:val="auto"/>
                <w:highlight w:val="none"/>
              </w:rPr>
            </w:pPr>
            <w:r>
              <w:rPr>
                <w:color w:val="auto"/>
                <w:highlight w:val="none"/>
              </w:rPr>
              <w:t>环境空气影响</w:t>
            </w:r>
          </w:p>
        </w:tc>
        <w:tc>
          <w:tcPr>
            <w:tcW w:w="10289" w:type="dxa"/>
            <w:gridSpan w:val="3"/>
            <w:vAlign w:val="center"/>
          </w:tcPr>
          <w:p>
            <w:pPr>
              <w:jc w:val="left"/>
              <w:rPr>
                <w:color w:val="auto"/>
                <w:highlight w:val="none"/>
              </w:rPr>
            </w:pPr>
            <w:r>
              <w:rPr>
                <w:color w:val="auto"/>
                <w:highlight w:val="none"/>
              </w:rPr>
              <w:t>根据《</w:t>
            </w:r>
            <w:r>
              <w:rPr>
                <w:rFonts w:hint="eastAsia"/>
                <w:color w:val="auto"/>
                <w:highlight w:val="none"/>
              </w:rPr>
              <w:t>山东省深入打好蓝天保卫战行动计划(2021-2025年)</w:t>
            </w:r>
            <w:r>
              <w:rPr>
                <w:color w:val="auto"/>
                <w:highlight w:val="none"/>
              </w:rPr>
              <w:t>》，</w:t>
            </w:r>
            <w:r>
              <w:rPr>
                <w:rFonts w:hint="eastAsia"/>
                <w:color w:val="auto"/>
                <w:highlight w:val="none"/>
              </w:rPr>
              <w:t>实施VOCs全过程污染防治：实施低VOCs含量工业涂料、油墨、胶粘剂、清洗剂等原辅料使用替代。新、改、扩建工业涂装、包装印刷等含VOCs原辅材料使用的项目，原则上使用低（无）VOCs含量产品。2025年年底前，各市至少建立30个替代试点项目，全省溶剂型工业涂料、溶剂型油墨使用比例分别降低20、15个百分点，溶剂型胶粘剂使用量下降20%。2021年年底前，完成现有VOCs废气收集率、治理设施同步运行率和去除率排查工作，对达不到要求的收集、治理设施进行更换或升级改造；组织开展有机废气排放系统旁路摸底排查，取消非必要的旁路，确因安全生产等原因无法取消的，应安装有效的监控装置纳入监管。</w:t>
            </w:r>
            <w:r>
              <w:rPr>
                <w:color w:val="auto"/>
                <w:highlight w:val="none"/>
              </w:rPr>
              <w:t>本项目</w:t>
            </w:r>
            <w:r>
              <w:rPr>
                <w:rFonts w:hint="eastAsia"/>
                <w:color w:val="auto"/>
                <w:highlight w:val="none"/>
              </w:rPr>
              <w:t>废气主要是</w:t>
            </w:r>
            <w:r>
              <w:rPr>
                <w:bCs/>
                <w:color w:val="auto"/>
                <w:szCs w:val="21"/>
                <w:highlight w:val="none"/>
              </w:rPr>
              <w:t>挤出成型、熔融造粒、注塑</w:t>
            </w:r>
            <w:r>
              <w:rPr>
                <w:rFonts w:hint="eastAsia"/>
                <w:bCs/>
                <w:color w:val="auto"/>
                <w:szCs w:val="21"/>
                <w:highlight w:val="none"/>
              </w:rPr>
              <w:t>、破碎</w:t>
            </w:r>
            <w:r>
              <w:rPr>
                <w:bCs/>
                <w:color w:val="auto"/>
                <w:szCs w:val="21"/>
                <w:highlight w:val="none"/>
              </w:rPr>
              <w:t>废气</w:t>
            </w:r>
            <w:r>
              <w:rPr>
                <w:rFonts w:hint="eastAsia"/>
                <w:bCs/>
                <w:color w:val="auto"/>
                <w:szCs w:val="21"/>
                <w:highlight w:val="none"/>
              </w:rPr>
              <w:t>，拟采用</w:t>
            </w:r>
            <w:r>
              <w:rPr>
                <w:color w:val="auto"/>
                <w:szCs w:val="21"/>
                <w:highlight w:val="none"/>
              </w:rPr>
              <w:t>布袋除尘+活性炭吸附浓缩+催化燃烧+</w:t>
            </w:r>
            <w:r>
              <w:rPr>
                <w:rFonts w:hint="eastAsia"/>
                <w:color w:val="auto"/>
                <w:szCs w:val="21"/>
                <w:highlight w:val="none"/>
                <w:lang w:eastAsia="zh-CN"/>
              </w:rPr>
              <w:t>20m</w:t>
            </w:r>
            <w:r>
              <w:rPr>
                <w:color w:val="auto"/>
                <w:szCs w:val="21"/>
                <w:highlight w:val="none"/>
              </w:rPr>
              <w:t>高排气筒</w:t>
            </w:r>
            <w:r>
              <w:rPr>
                <w:rFonts w:hint="eastAsia"/>
                <w:color w:val="auto"/>
                <w:szCs w:val="21"/>
                <w:highlight w:val="none"/>
              </w:rPr>
              <w:t>（DA001）</w:t>
            </w:r>
            <w:r>
              <w:rPr>
                <w:rFonts w:hint="eastAsia"/>
                <w:color w:val="auto"/>
                <w:highlight w:val="none"/>
              </w:rPr>
              <w:t>。</w:t>
            </w:r>
            <w:r>
              <w:rPr>
                <w:color w:val="auto"/>
                <w:highlight w:val="none"/>
              </w:rPr>
              <w:t>项目废气排放量较小，通过实施区域倍量替代后，对区域环境空气质量影响很小。</w:t>
            </w:r>
          </w:p>
        </w:tc>
        <w:tc>
          <w:tcPr>
            <w:tcW w:w="918" w:type="dxa"/>
            <w:vMerge w:val="continue"/>
            <w:vAlign w:val="center"/>
          </w:tcPr>
          <w:p>
            <w:pPr>
              <w:jc w:val="center"/>
              <w:rPr>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86" w:type="dxa"/>
            <w:vMerge w:val="continue"/>
            <w:vAlign w:val="center"/>
          </w:tcPr>
          <w:p>
            <w:pPr>
              <w:jc w:val="center"/>
              <w:rPr>
                <w:color w:val="auto"/>
                <w:highlight w:val="none"/>
              </w:rPr>
            </w:pPr>
          </w:p>
        </w:tc>
        <w:tc>
          <w:tcPr>
            <w:tcW w:w="1625" w:type="dxa"/>
            <w:vAlign w:val="center"/>
          </w:tcPr>
          <w:p>
            <w:pPr>
              <w:jc w:val="center"/>
              <w:rPr>
                <w:color w:val="auto"/>
                <w:highlight w:val="none"/>
              </w:rPr>
            </w:pPr>
            <w:r>
              <w:rPr>
                <w:color w:val="auto"/>
                <w:highlight w:val="none"/>
              </w:rPr>
              <w:t>地表水环境影响</w:t>
            </w:r>
          </w:p>
        </w:tc>
        <w:tc>
          <w:tcPr>
            <w:tcW w:w="10289" w:type="dxa"/>
            <w:gridSpan w:val="3"/>
            <w:vAlign w:val="center"/>
          </w:tcPr>
          <w:p>
            <w:pPr>
              <w:jc w:val="left"/>
              <w:rPr>
                <w:color w:val="auto"/>
                <w:highlight w:val="none"/>
              </w:rPr>
            </w:pPr>
            <w:r>
              <w:rPr>
                <w:rFonts w:hint="eastAsia"/>
                <w:color w:val="auto"/>
                <w:highlight w:val="none"/>
              </w:rPr>
              <w:t>本项目建成后，全厂实行“雨、污分流”。</w:t>
            </w:r>
            <w:r>
              <w:rPr>
                <w:rFonts w:hint="eastAsia"/>
                <w:color w:val="auto"/>
                <w:szCs w:val="24"/>
                <w:highlight w:val="none"/>
              </w:rPr>
              <w:t>项目无生产废水，生活污水经化粪池收集后由环卫部门定期清运，废水不外排</w:t>
            </w:r>
            <w:r>
              <w:rPr>
                <w:rFonts w:hint="eastAsia"/>
                <w:color w:val="auto"/>
                <w:highlight w:val="none"/>
              </w:rPr>
              <w:t>，</w:t>
            </w:r>
            <w:r>
              <w:rPr>
                <w:color w:val="auto"/>
                <w:highlight w:val="none"/>
              </w:rPr>
              <w:t>对地表水环境影响较小。</w:t>
            </w:r>
          </w:p>
        </w:tc>
        <w:tc>
          <w:tcPr>
            <w:tcW w:w="918" w:type="dxa"/>
            <w:vMerge w:val="continue"/>
            <w:vAlign w:val="center"/>
          </w:tcPr>
          <w:p>
            <w:pPr>
              <w:jc w:val="center"/>
              <w:rPr>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86" w:type="dxa"/>
            <w:vMerge w:val="continue"/>
            <w:vAlign w:val="center"/>
          </w:tcPr>
          <w:p>
            <w:pPr>
              <w:jc w:val="center"/>
              <w:rPr>
                <w:color w:val="auto"/>
                <w:highlight w:val="none"/>
              </w:rPr>
            </w:pPr>
          </w:p>
        </w:tc>
        <w:tc>
          <w:tcPr>
            <w:tcW w:w="1625" w:type="dxa"/>
            <w:vAlign w:val="center"/>
          </w:tcPr>
          <w:p>
            <w:pPr>
              <w:jc w:val="center"/>
              <w:rPr>
                <w:color w:val="auto"/>
                <w:highlight w:val="none"/>
              </w:rPr>
            </w:pPr>
            <w:r>
              <w:rPr>
                <w:color w:val="auto"/>
                <w:highlight w:val="none"/>
              </w:rPr>
              <w:t>地下水环境影响</w:t>
            </w:r>
          </w:p>
        </w:tc>
        <w:tc>
          <w:tcPr>
            <w:tcW w:w="10289" w:type="dxa"/>
            <w:gridSpan w:val="3"/>
            <w:vAlign w:val="center"/>
          </w:tcPr>
          <w:p>
            <w:pPr>
              <w:jc w:val="left"/>
              <w:rPr>
                <w:color w:val="auto"/>
                <w:highlight w:val="none"/>
              </w:rPr>
            </w:pPr>
            <w:r>
              <w:rPr>
                <w:color w:val="auto"/>
                <w:highlight w:val="none"/>
              </w:rPr>
              <w:t>通过分区防渗、落实地下水水质监控等措施，项目运行对地下水环境影响较小。</w:t>
            </w:r>
          </w:p>
        </w:tc>
        <w:tc>
          <w:tcPr>
            <w:tcW w:w="918" w:type="dxa"/>
            <w:vMerge w:val="continue"/>
            <w:vAlign w:val="center"/>
          </w:tcPr>
          <w:p>
            <w:pPr>
              <w:jc w:val="center"/>
              <w:rPr>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86" w:type="dxa"/>
            <w:vMerge w:val="continue"/>
            <w:vAlign w:val="center"/>
          </w:tcPr>
          <w:p>
            <w:pPr>
              <w:jc w:val="center"/>
              <w:rPr>
                <w:color w:val="auto"/>
                <w:highlight w:val="none"/>
              </w:rPr>
            </w:pPr>
          </w:p>
        </w:tc>
        <w:tc>
          <w:tcPr>
            <w:tcW w:w="1625" w:type="dxa"/>
            <w:vAlign w:val="center"/>
          </w:tcPr>
          <w:p>
            <w:pPr>
              <w:jc w:val="center"/>
              <w:rPr>
                <w:color w:val="auto"/>
                <w:highlight w:val="none"/>
              </w:rPr>
            </w:pPr>
            <w:r>
              <w:rPr>
                <w:color w:val="auto"/>
                <w:highlight w:val="none"/>
              </w:rPr>
              <w:t>噪声影响</w:t>
            </w:r>
          </w:p>
        </w:tc>
        <w:tc>
          <w:tcPr>
            <w:tcW w:w="10289" w:type="dxa"/>
            <w:gridSpan w:val="3"/>
            <w:vAlign w:val="center"/>
          </w:tcPr>
          <w:p>
            <w:pPr>
              <w:jc w:val="left"/>
              <w:rPr>
                <w:color w:val="auto"/>
                <w:highlight w:val="none"/>
              </w:rPr>
            </w:pPr>
            <w:r>
              <w:rPr>
                <w:color w:val="auto"/>
                <w:highlight w:val="none"/>
              </w:rPr>
              <w:t>项目建成后车间内生产设备产生的噪声经过隔音、</w:t>
            </w:r>
            <w:r>
              <w:rPr>
                <w:rFonts w:hint="eastAsia"/>
                <w:color w:val="auto"/>
                <w:highlight w:val="none"/>
              </w:rPr>
              <w:t>减振</w:t>
            </w:r>
            <w:r>
              <w:rPr>
                <w:color w:val="auto"/>
                <w:highlight w:val="none"/>
              </w:rPr>
              <w:t>及距离衰减后，对周围声环境影响较小。</w:t>
            </w:r>
          </w:p>
        </w:tc>
        <w:tc>
          <w:tcPr>
            <w:tcW w:w="918" w:type="dxa"/>
            <w:vMerge w:val="continue"/>
            <w:vAlign w:val="center"/>
          </w:tcPr>
          <w:p>
            <w:pPr>
              <w:jc w:val="center"/>
              <w:rPr>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86" w:type="dxa"/>
            <w:vAlign w:val="center"/>
          </w:tcPr>
          <w:p>
            <w:pPr>
              <w:jc w:val="center"/>
              <w:rPr>
                <w:color w:val="auto"/>
                <w:highlight w:val="none"/>
              </w:rPr>
            </w:pPr>
            <w:r>
              <w:rPr>
                <w:color w:val="auto"/>
                <w:highlight w:val="none"/>
              </w:rPr>
              <w:t>资源利用上线</w:t>
            </w:r>
          </w:p>
        </w:tc>
        <w:tc>
          <w:tcPr>
            <w:tcW w:w="11914" w:type="dxa"/>
            <w:gridSpan w:val="4"/>
            <w:vAlign w:val="center"/>
          </w:tcPr>
          <w:p>
            <w:pPr>
              <w:jc w:val="left"/>
              <w:rPr>
                <w:color w:val="auto"/>
                <w:highlight w:val="none"/>
              </w:rPr>
            </w:pPr>
            <w:r>
              <w:rPr>
                <w:color w:val="auto"/>
                <w:highlight w:val="none"/>
              </w:rPr>
              <w:t>本项目营运过程会消耗一定的电能、水资源等，本项目资源消耗量相对区域资源利用量较少，且本项目采取了一定的节水</w:t>
            </w:r>
            <w:r>
              <w:rPr>
                <w:rFonts w:hint="eastAsia"/>
                <w:color w:val="auto"/>
                <w:highlight w:val="none"/>
              </w:rPr>
              <w:t>、</w:t>
            </w:r>
            <w:r>
              <w:rPr>
                <w:color w:val="auto"/>
                <w:highlight w:val="none"/>
              </w:rPr>
              <w:t>节电措施，符合资源利用上线要求。</w:t>
            </w:r>
          </w:p>
        </w:tc>
        <w:tc>
          <w:tcPr>
            <w:tcW w:w="918" w:type="dxa"/>
            <w:vAlign w:val="center"/>
          </w:tcPr>
          <w:p>
            <w:pPr>
              <w:jc w:val="center"/>
              <w:rPr>
                <w:color w:val="auto"/>
                <w:highlight w:val="none"/>
              </w:rPr>
            </w:pPr>
            <w:r>
              <w:rPr>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86" w:type="dxa"/>
            <w:vAlign w:val="center"/>
          </w:tcPr>
          <w:p>
            <w:pPr>
              <w:jc w:val="center"/>
              <w:rPr>
                <w:color w:val="auto"/>
                <w:highlight w:val="none"/>
              </w:rPr>
            </w:pPr>
            <w:r>
              <w:rPr>
                <w:color w:val="auto"/>
                <w:highlight w:val="none"/>
              </w:rPr>
              <w:t>负面清单</w:t>
            </w:r>
          </w:p>
        </w:tc>
        <w:tc>
          <w:tcPr>
            <w:tcW w:w="11914" w:type="dxa"/>
            <w:gridSpan w:val="4"/>
            <w:vAlign w:val="center"/>
          </w:tcPr>
          <w:p>
            <w:pPr>
              <w:jc w:val="center"/>
              <w:rPr>
                <w:color w:val="auto"/>
                <w:highlight w:val="none"/>
              </w:rPr>
            </w:pPr>
            <w:r>
              <w:rPr>
                <w:rFonts w:hint="eastAsia"/>
                <w:color w:val="auto"/>
                <w:highlight w:val="none"/>
              </w:rPr>
              <w:t>本项目不在环境准入负面清单内。</w:t>
            </w:r>
          </w:p>
        </w:tc>
        <w:tc>
          <w:tcPr>
            <w:tcW w:w="918" w:type="dxa"/>
            <w:vAlign w:val="center"/>
          </w:tcPr>
          <w:p>
            <w:pPr>
              <w:jc w:val="center"/>
              <w:rPr>
                <w:color w:val="auto"/>
                <w:highlight w:val="none"/>
              </w:rPr>
            </w:pPr>
            <w:r>
              <w:rPr>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86" w:type="dxa"/>
            <w:vMerge w:val="restart"/>
            <w:vAlign w:val="center"/>
          </w:tcPr>
          <w:p>
            <w:pPr>
              <w:jc w:val="center"/>
              <w:rPr>
                <w:color w:val="auto"/>
                <w:highlight w:val="none"/>
              </w:rPr>
            </w:pPr>
            <w:r>
              <w:rPr>
                <w:color w:val="auto"/>
                <w:highlight w:val="none"/>
              </w:rPr>
              <w:t>环境管控单元</w:t>
            </w:r>
          </w:p>
        </w:tc>
        <w:tc>
          <w:tcPr>
            <w:tcW w:w="1703" w:type="dxa"/>
            <w:gridSpan w:val="2"/>
            <w:vAlign w:val="center"/>
          </w:tcPr>
          <w:p>
            <w:pPr>
              <w:jc w:val="center"/>
              <w:rPr>
                <w:color w:val="auto"/>
                <w:highlight w:val="none"/>
              </w:rPr>
            </w:pPr>
            <w:r>
              <w:rPr>
                <w:color w:val="auto"/>
                <w:highlight w:val="none"/>
              </w:rPr>
              <w:t>空间布局约束</w:t>
            </w:r>
          </w:p>
        </w:tc>
        <w:tc>
          <w:tcPr>
            <w:tcW w:w="5559" w:type="dxa"/>
            <w:vAlign w:val="center"/>
          </w:tcPr>
          <w:p>
            <w:pPr>
              <w:adjustRightInd w:val="0"/>
              <w:rPr>
                <w:rFonts w:eastAsia="方正书宋简体"/>
                <w:color w:val="auto"/>
                <w:szCs w:val="21"/>
                <w:highlight w:val="none"/>
              </w:rPr>
            </w:pPr>
            <w:r>
              <w:rPr>
                <w:rFonts w:eastAsia="方正书宋简体"/>
                <w:color w:val="auto"/>
                <w:szCs w:val="21"/>
                <w:highlight w:val="none"/>
              </w:rPr>
              <w:t>1、一般生态空间原则上按限制开发区域的要求进行管理。按照生态空间用途分区，依法制定区域准入条件，明确允许、限制、禁止的产业和项目类型清单。</w:t>
            </w:r>
          </w:p>
          <w:p>
            <w:pPr>
              <w:adjustRightInd w:val="0"/>
              <w:rPr>
                <w:rFonts w:eastAsia="方正书宋简体"/>
                <w:color w:val="auto"/>
                <w:szCs w:val="21"/>
                <w:highlight w:val="none"/>
              </w:rPr>
            </w:pPr>
            <w:r>
              <w:rPr>
                <w:rFonts w:eastAsia="方正书宋简体"/>
                <w:color w:val="auto"/>
                <w:szCs w:val="21"/>
                <w:highlight w:val="none"/>
              </w:rPr>
              <w:t>2、禁止在江河、湖泊、运河、渠道、水库最高水位线以下的滩地和岸坡堆放、存贮固体废弃物和其他污染物。</w:t>
            </w:r>
          </w:p>
          <w:p>
            <w:pPr>
              <w:adjustRightInd w:val="0"/>
              <w:rPr>
                <w:rFonts w:eastAsia="方正书宋简体"/>
                <w:color w:val="auto"/>
                <w:szCs w:val="21"/>
                <w:highlight w:val="none"/>
              </w:rPr>
            </w:pPr>
            <w:r>
              <w:rPr>
                <w:rFonts w:eastAsia="方正书宋简体"/>
                <w:color w:val="auto"/>
                <w:szCs w:val="21"/>
                <w:highlight w:val="none"/>
              </w:rPr>
              <w:t>3、加强土壤环境质量检测与评估，对未经评估和无害化治理的土地不得进行流转和二次开发。</w:t>
            </w:r>
          </w:p>
          <w:p>
            <w:pPr>
              <w:jc w:val="left"/>
              <w:rPr>
                <w:rFonts w:eastAsia="TimesNewRomanPSMT"/>
                <w:color w:val="auto"/>
                <w:highlight w:val="none"/>
              </w:rPr>
            </w:pPr>
            <w:r>
              <w:rPr>
                <w:rFonts w:eastAsia="方正书宋简体"/>
                <w:color w:val="auto"/>
                <w:szCs w:val="21"/>
                <w:highlight w:val="none"/>
              </w:rPr>
              <w:t>4、将符合条件的优先保护类耕地划为永久基本农田，实行严格保护，确保其面积不减少、环境质量不下降。除法律规定的国家能源、交通、水利、军事设施等重点建设项目选址确实无法避让外，其他任何建设不得占用。</w:t>
            </w:r>
          </w:p>
        </w:tc>
        <w:tc>
          <w:tcPr>
            <w:tcW w:w="4652" w:type="dxa"/>
            <w:vAlign w:val="center"/>
          </w:tcPr>
          <w:p>
            <w:pPr>
              <w:jc w:val="left"/>
              <w:rPr>
                <w:color w:val="auto"/>
                <w:highlight w:val="none"/>
              </w:rPr>
            </w:pPr>
            <w:r>
              <w:rPr>
                <w:color w:val="auto"/>
                <w:highlight w:val="none"/>
              </w:rPr>
              <w:t>1.项目</w:t>
            </w:r>
            <w:r>
              <w:rPr>
                <w:rFonts w:hint="eastAsia"/>
                <w:color w:val="auto"/>
                <w:highlight w:val="none"/>
              </w:rPr>
              <w:t>不属于限制、禁止类的产业。</w:t>
            </w:r>
          </w:p>
          <w:p>
            <w:pPr>
              <w:jc w:val="left"/>
              <w:rPr>
                <w:color w:val="auto"/>
                <w:highlight w:val="none"/>
              </w:rPr>
            </w:pPr>
            <w:r>
              <w:rPr>
                <w:color w:val="auto"/>
                <w:highlight w:val="none"/>
              </w:rPr>
              <w:t>2.本项目</w:t>
            </w:r>
            <w:r>
              <w:rPr>
                <w:rFonts w:hint="eastAsia"/>
                <w:color w:val="auto"/>
                <w:highlight w:val="none"/>
              </w:rPr>
              <w:t>不涉及</w:t>
            </w:r>
            <w:r>
              <w:rPr>
                <w:color w:val="auto"/>
                <w:highlight w:val="none"/>
              </w:rPr>
              <w:t>。</w:t>
            </w:r>
          </w:p>
          <w:p>
            <w:pPr>
              <w:jc w:val="left"/>
              <w:rPr>
                <w:color w:val="auto"/>
                <w:highlight w:val="none"/>
              </w:rPr>
            </w:pPr>
            <w:r>
              <w:rPr>
                <w:color w:val="auto"/>
                <w:highlight w:val="none"/>
              </w:rPr>
              <w:t>3.本项目</w:t>
            </w:r>
            <w:r>
              <w:rPr>
                <w:rFonts w:hint="eastAsia"/>
                <w:color w:val="auto"/>
                <w:highlight w:val="none"/>
              </w:rPr>
              <w:t>不涉及</w:t>
            </w:r>
            <w:r>
              <w:rPr>
                <w:color w:val="auto"/>
                <w:highlight w:val="none"/>
              </w:rPr>
              <w:t>。</w:t>
            </w:r>
          </w:p>
          <w:p>
            <w:pPr>
              <w:jc w:val="left"/>
              <w:rPr>
                <w:color w:val="auto"/>
                <w:highlight w:val="none"/>
              </w:rPr>
            </w:pPr>
            <w:r>
              <w:rPr>
                <w:color w:val="auto"/>
                <w:highlight w:val="none"/>
              </w:rPr>
              <w:t>4.本项目不涉及。</w:t>
            </w:r>
          </w:p>
          <w:p>
            <w:pPr>
              <w:rPr>
                <w:color w:val="auto"/>
                <w:highlight w:val="none"/>
              </w:rPr>
            </w:pPr>
            <w:r>
              <w:rPr>
                <w:color w:val="auto"/>
                <w:highlight w:val="none"/>
              </w:rPr>
              <w:t>5.本项目</w:t>
            </w:r>
            <w:r>
              <w:rPr>
                <w:rFonts w:hint="eastAsia"/>
                <w:color w:val="auto"/>
                <w:highlight w:val="none"/>
              </w:rPr>
              <w:t>不涉及耕地及基本农田。</w:t>
            </w:r>
          </w:p>
        </w:tc>
        <w:tc>
          <w:tcPr>
            <w:tcW w:w="918" w:type="dxa"/>
            <w:vAlign w:val="center"/>
          </w:tcPr>
          <w:p>
            <w:pPr>
              <w:jc w:val="center"/>
              <w:rPr>
                <w:color w:val="auto"/>
                <w:highlight w:val="none"/>
              </w:rPr>
            </w:pPr>
            <w:r>
              <w:rPr>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86" w:type="dxa"/>
            <w:vMerge w:val="continue"/>
            <w:vAlign w:val="center"/>
          </w:tcPr>
          <w:p>
            <w:pPr>
              <w:jc w:val="center"/>
              <w:rPr>
                <w:color w:val="auto"/>
                <w:highlight w:val="none"/>
              </w:rPr>
            </w:pPr>
          </w:p>
        </w:tc>
        <w:tc>
          <w:tcPr>
            <w:tcW w:w="1703" w:type="dxa"/>
            <w:gridSpan w:val="2"/>
            <w:vAlign w:val="center"/>
          </w:tcPr>
          <w:p>
            <w:pPr>
              <w:jc w:val="center"/>
              <w:rPr>
                <w:color w:val="auto"/>
                <w:highlight w:val="none"/>
              </w:rPr>
            </w:pPr>
            <w:r>
              <w:rPr>
                <w:color w:val="auto"/>
                <w:highlight w:val="none"/>
              </w:rPr>
              <w:t>污染物排放管控</w:t>
            </w:r>
          </w:p>
        </w:tc>
        <w:tc>
          <w:tcPr>
            <w:tcW w:w="5559" w:type="dxa"/>
            <w:vAlign w:val="center"/>
          </w:tcPr>
          <w:p>
            <w:pPr>
              <w:adjustRightInd w:val="0"/>
              <w:rPr>
                <w:rFonts w:eastAsia="方正书宋简体"/>
                <w:color w:val="auto"/>
                <w:szCs w:val="21"/>
                <w:highlight w:val="none"/>
              </w:rPr>
            </w:pPr>
            <w:r>
              <w:rPr>
                <w:rFonts w:eastAsia="方正书宋简体"/>
                <w:color w:val="auto"/>
                <w:szCs w:val="21"/>
                <w:highlight w:val="none"/>
              </w:rPr>
              <w:t>1、深化重点行业污染治理。对现有涉废气排放工业企业加强监督管理和执法检查。</w:t>
            </w:r>
          </w:p>
          <w:p>
            <w:pPr>
              <w:adjustRightInd w:val="0"/>
              <w:rPr>
                <w:rFonts w:eastAsia="方正书宋简体"/>
                <w:color w:val="auto"/>
                <w:szCs w:val="21"/>
                <w:highlight w:val="none"/>
              </w:rPr>
            </w:pPr>
            <w:r>
              <w:rPr>
                <w:rFonts w:eastAsia="方正书宋简体"/>
                <w:color w:val="auto"/>
                <w:szCs w:val="21"/>
                <w:highlight w:val="none"/>
              </w:rPr>
              <w:t>2、加强机动车排气污染治理和“散乱污”企业清理整治。加强餐饮服务业燃料烟气及油烟防治。</w:t>
            </w:r>
          </w:p>
          <w:p>
            <w:pPr>
              <w:adjustRightInd w:val="0"/>
              <w:rPr>
                <w:rFonts w:eastAsia="方正书宋简体"/>
                <w:color w:val="auto"/>
                <w:szCs w:val="21"/>
                <w:highlight w:val="none"/>
              </w:rPr>
            </w:pPr>
            <w:r>
              <w:rPr>
                <w:rFonts w:eastAsia="方正书宋简体"/>
                <w:color w:val="auto"/>
                <w:szCs w:val="21"/>
                <w:highlight w:val="none"/>
              </w:rPr>
              <w:t>3、禁止向水体排放、倾倒工业废渣、城镇垃圾和其他废弃物。</w:t>
            </w:r>
          </w:p>
          <w:p>
            <w:pPr>
              <w:adjustRightInd w:val="0"/>
              <w:rPr>
                <w:rFonts w:eastAsia="方正书宋简体"/>
                <w:color w:val="auto"/>
                <w:szCs w:val="21"/>
                <w:highlight w:val="none"/>
              </w:rPr>
            </w:pPr>
            <w:r>
              <w:rPr>
                <w:rFonts w:eastAsia="方正书宋简体"/>
                <w:color w:val="auto"/>
                <w:szCs w:val="21"/>
                <w:highlight w:val="none"/>
              </w:rPr>
              <w:t>4、禁止向水体排放油类、酸液、碱液或者剧毒废液。</w:t>
            </w:r>
          </w:p>
          <w:p>
            <w:pPr>
              <w:jc w:val="left"/>
              <w:rPr>
                <w:rFonts w:eastAsia="TimesNewRomanPSMT"/>
                <w:color w:val="auto"/>
                <w:highlight w:val="none"/>
              </w:rPr>
            </w:pPr>
            <w:r>
              <w:rPr>
                <w:rFonts w:eastAsia="方正书宋简体"/>
                <w:color w:val="auto"/>
                <w:szCs w:val="21"/>
                <w:highlight w:val="none"/>
              </w:rPr>
              <w:t>5、建立土壤环境质量监测制度，开展农村污染土壤修复试点，有效控制农业面源污染。建立健全废旧农膜回收利用体系。</w:t>
            </w:r>
          </w:p>
        </w:tc>
        <w:tc>
          <w:tcPr>
            <w:tcW w:w="4652" w:type="dxa"/>
            <w:vAlign w:val="center"/>
          </w:tcPr>
          <w:p>
            <w:pPr>
              <w:jc w:val="left"/>
              <w:rPr>
                <w:color w:val="auto"/>
                <w:highlight w:val="none"/>
              </w:rPr>
            </w:pPr>
            <w:r>
              <w:rPr>
                <w:color w:val="auto"/>
                <w:highlight w:val="none"/>
              </w:rPr>
              <w:t>1.本项目</w:t>
            </w:r>
            <w:r>
              <w:rPr>
                <w:rFonts w:hint="eastAsia"/>
                <w:color w:val="auto"/>
                <w:highlight w:val="none"/>
              </w:rPr>
              <w:t>为新建项目，不涉及现有工程</w:t>
            </w:r>
            <w:r>
              <w:rPr>
                <w:color w:val="auto"/>
                <w:highlight w:val="none"/>
              </w:rPr>
              <w:t>。</w:t>
            </w:r>
          </w:p>
          <w:p>
            <w:pPr>
              <w:jc w:val="left"/>
              <w:rPr>
                <w:rFonts w:eastAsia="方正书宋简体"/>
                <w:color w:val="auto"/>
                <w:szCs w:val="21"/>
                <w:highlight w:val="none"/>
              </w:rPr>
            </w:pPr>
            <w:r>
              <w:rPr>
                <w:color w:val="auto"/>
                <w:highlight w:val="none"/>
              </w:rPr>
              <w:t>2.本项目</w:t>
            </w:r>
            <w:r>
              <w:rPr>
                <w:rFonts w:hint="eastAsia"/>
                <w:color w:val="auto"/>
                <w:highlight w:val="none"/>
              </w:rPr>
              <w:t>不属于</w:t>
            </w:r>
            <w:r>
              <w:rPr>
                <w:rFonts w:eastAsia="方正书宋简体"/>
                <w:color w:val="auto"/>
                <w:szCs w:val="21"/>
                <w:highlight w:val="none"/>
              </w:rPr>
              <w:t>“散乱污”企业</w:t>
            </w:r>
            <w:r>
              <w:rPr>
                <w:rFonts w:hint="eastAsia" w:eastAsia="方正书宋简体"/>
                <w:color w:val="auto"/>
                <w:szCs w:val="21"/>
                <w:highlight w:val="none"/>
              </w:rPr>
              <w:t>。</w:t>
            </w:r>
          </w:p>
          <w:p>
            <w:pPr>
              <w:jc w:val="left"/>
              <w:rPr>
                <w:color w:val="auto"/>
                <w:highlight w:val="none"/>
              </w:rPr>
            </w:pPr>
            <w:r>
              <w:rPr>
                <w:color w:val="auto"/>
                <w:highlight w:val="none"/>
              </w:rPr>
              <w:t>3.本项目</w:t>
            </w:r>
            <w:r>
              <w:rPr>
                <w:rFonts w:hint="eastAsia"/>
                <w:color w:val="auto"/>
                <w:highlight w:val="none"/>
              </w:rPr>
              <w:t>不涉及</w:t>
            </w:r>
            <w:r>
              <w:rPr>
                <w:color w:val="auto"/>
                <w:highlight w:val="none"/>
              </w:rPr>
              <w:t>。</w:t>
            </w:r>
          </w:p>
          <w:p>
            <w:pPr>
              <w:jc w:val="left"/>
              <w:rPr>
                <w:color w:val="auto"/>
                <w:highlight w:val="none"/>
              </w:rPr>
            </w:pPr>
            <w:r>
              <w:rPr>
                <w:color w:val="auto"/>
                <w:highlight w:val="none"/>
              </w:rPr>
              <w:t>4.本项目</w:t>
            </w:r>
            <w:r>
              <w:rPr>
                <w:rFonts w:hint="eastAsia"/>
                <w:color w:val="auto"/>
                <w:highlight w:val="none"/>
              </w:rPr>
              <w:t>废水不外排</w:t>
            </w:r>
            <w:r>
              <w:rPr>
                <w:color w:val="auto"/>
                <w:highlight w:val="none"/>
              </w:rPr>
              <w:t>。</w:t>
            </w:r>
          </w:p>
          <w:p>
            <w:pPr>
              <w:jc w:val="left"/>
              <w:rPr>
                <w:color w:val="auto"/>
                <w:highlight w:val="none"/>
              </w:rPr>
            </w:pPr>
            <w:r>
              <w:rPr>
                <w:color w:val="auto"/>
                <w:highlight w:val="none"/>
              </w:rPr>
              <w:t>5.本项目</w:t>
            </w:r>
            <w:r>
              <w:rPr>
                <w:rFonts w:hint="eastAsia"/>
                <w:color w:val="auto"/>
                <w:highlight w:val="none"/>
              </w:rPr>
              <w:t>不涉及</w:t>
            </w:r>
            <w:r>
              <w:rPr>
                <w:color w:val="auto"/>
                <w:highlight w:val="none"/>
              </w:rPr>
              <w:t>。</w:t>
            </w:r>
          </w:p>
        </w:tc>
        <w:tc>
          <w:tcPr>
            <w:tcW w:w="918" w:type="dxa"/>
            <w:vAlign w:val="center"/>
          </w:tcPr>
          <w:p>
            <w:pPr>
              <w:jc w:val="center"/>
              <w:rPr>
                <w:color w:val="auto"/>
                <w:highlight w:val="none"/>
              </w:rPr>
            </w:pPr>
            <w:r>
              <w:rPr>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86" w:type="dxa"/>
            <w:vMerge w:val="continue"/>
            <w:vAlign w:val="center"/>
          </w:tcPr>
          <w:p>
            <w:pPr>
              <w:jc w:val="center"/>
              <w:rPr>
                <w:color w:val="auto"/>
                <w:highlight w:val="none"/>
              </w:rPr>
            </w:pPr>
          </w:p>
        </w:tc>
        <w:tc>
          <w:tcPr>
            <w:tcW w:w="1703" w:type="dxa"/>
            <w:gridSpan w:val="2"/>
            <w:vAlign w:val="center"/>
          </w:tcPr>
          <w:p>
            <w:pPr>
              <w:jc w:val="center"/>
              <w:rPr>
                <w:color w:val="auto"/>
                <w:highlight w:val="none"/>
              </w:rPr>
            </w:pPr>
            <w:r>
              <w:rPr>
                <w:color w:val="auto"/>
                <w:highlight w:val="none"/>
              </w:rPr>
              <w:t>环境风险防控要求</w:t>
            </w:r>
          </w:p>
        </w:tc>
        <w:tc>
          <w:tcPr>
            <w:tcW w:w="5559" w:type="dxa"/>
            <w:vAlign w:val="center"/>
          </w:tcPr>
          <w:p>
            <w:pPr>
              <w:adjustRightInd w:val="0"/>
              <w:rPr>
                <w:rFonts w:eastAsia="方正书宋简体"/>
                <w:color w:val="auto"/>
                <w:szCs w:val="21"/>
                <w:highlight w:val="none"/>
              </w:rPr>
            </w:pPr>
            <w:r>
              <w:rPr>
                <w:rFonts w:eastAsia="方正书宋简体"/>
                <w:color w:val="auto"/>
                <w:szCs w:val="21"/>
                <w:highlight w:val="none"/>
              </w:rPr>
              <w:t>1、编制区域内大气污染应急减排项目清单。</w:t>
            </w:r>
          </w:p>
          <w:p>
            <w:pPr>
              <w:adjustRightInd w:val="0"/>
              <w:rPr>
                <w:rFonts w:eastAsia="方正书宋简体"/>
                <w:color w:val="auto"/>
                <w:szCs w:val="21"/>
                <w:highlight w:val="none"/>
              </w:rPr>
            </w:pPr>
            <w:r>
              <w:rPr>
                <w:rFonts w:eastAsia="方正书宋简体"/>
                <w:color w:val="auto"/>
                <w:szCs w:val="21"/>
                <w:highlight w:val="none"/>
              </w:rPr>
              <w:t>2、根据重污染天气预警，按级别启动应急响应措施。实施辖区内应急减排与错峰生产。</w:t>
            </w:r>
          </w:p>
          <w:p>
            <w:pPr>
              <w:adjustRightInd w:val="0"/>
              <w:rPr>
                <w:rFonts w:eastAsia="方正书宋简体"/>
                <w:color w:val="auto"/>
                <w:szCs w:val="21"/>
                <w:highlight w:val="none"/>
              </w:rPr>
            </w:pPr>
            <w:r>
              <w:rPr>
                <w:rFonts w:eastAsia="方正书宋简体"/>
                <w:color w:val="auto"/>
                <w:szCs w:val="21"/>
                <w:highlight w:val="none"/>
              </w:rPr>
              <w:t>3、兴建地下工程设施或者进行地下勘探、采矿等活动，应当采取防护性措施，防止地下水污染。</w:t>
            </w:r>
          </w:p>
          <w:p>
            <w:pPr>
              <w:adjustRightInd w:val="0"/>
              <w:rPr>
                <w:rFonts w:eastAsia="方正书宋简体"/>
                <w:color w:val="auto"/>
                <w:szCs w:val="21"/>
                <w:highlight w:val="none"/>
              </w:rPr>
            </w:pPr>
            <w:r>
              <w:rPr>
                <w:rFonts w:eastAsia="方正书宋简体"/>
                <w:color w:val="auto"/>
                <w:szCs w:val="21"/>
                <w:highlight w:val="none"/>
              </w:rPr>
              <w:t>4、人工回灌补给地下水，不得恶化地下水质。</w:t>
            </w:r>
          </w:p>
          <w:p>
            <w:pPr>
              <w:adjustRightInd w:val="0"/>
              <w:rPr>
                <w:rFonts w:eastAsia="方正书宋简体"/>
                <w:color w:val="auto"/>
                <w:szCs w:val="21"/>
                <w:highlight w:val="none"/>
              </w:rPr>
            </w:pPr>
            <w:r>
              <w:rPr>
                <w:rFonts w:eastAsia="方正书宋简体"/>
                <w:color w:val="auto"/>
                <w:szCs w:val="21"/>
                <w:highlight w:val="none"/>
              </w:rPr>
              <w:t>5、暂不开发利用或现阶段不具备治理修复条件的污染地块，由所在地区（市）政府组织划定管控区域，设立标识，发布公告，开展土壤、地表水、地下水、空气环境监测。</w:t>
            </w:r>
          </w:p>
          <w:p>
            <w:pPr>
              <w:jc w:val="left"/>
              <w:rPr>
                <w:rFonts w:eastAsia="TimesNewRomanPSMT"/>
                <w:color w:val="auto"/>
                <w:highlight w:val="none"/>
              </w:rPr>
            </w:pPr>
            <w:r>
              <w:rPr>
                <w:rFonts w:eastAsia="方正书宋简体"/>
                <w:color w:val="auto"/>
                <w:szCs w:val="21"/>
                <w:highlight w:val="none"/>
              </w:rPr>
              <w:t>6、在重点土壤污染区域，定期组织对重要农产品风险监测和重点监控产品监控抽查。</w:t>
            </w:r>
          </w:p>
        </w:tc>
        <w:tc>
          <w:tcPr>
            <w:tcW w:w="4652" w:type="dxa"/>
            <w:vAlign w:val="center"/>
          </w:tcPr>
          <w:p>
            <w:pPr>
              <w:jc w:val="left"/>
              <w:rPr>
                <w:color w:val="auto"/>
                <w:highlight w:val="none"/>
              </w:rPr>
            </w:pPr>
            <w:r>
              <w:rPr>
                <w:rFonts w:eastAsia="TimesNewRomanPSMT"/>
                <w:color w:val="auto"/>
                <w:highlight w:val="none"/>
              </w:rPr>
              <w:t>1</w:t>
            </w:r>
            <w:r>
              <w:rPr>
                <w:color w:val="auto"/>
                <w:highlight w:val="none"/>
              </w:rPr>
              <w:t>、本项目不涉及。</w:t>
            </w:r>
          </w:p>
          <w:p>
            <w:pPr>
              <w:jc w:val="left"/>
              <w:rPr>
                <w:color w:val="auto"/>
                <w:highlight w:val="none"/>
              </w:rPr>
            </w:pPr>
            <w:r>
              <w:rPr>
                <w:rFonts w:eastAsia="TimesNewRomanPSMT"/>
                <w:color w:val="auto"/>
                <w:highlight w:val="none"/>
              </w:rPr>
              <w:t>2</w:t>
            </w:r>
            <w:r>
              <w:rPr>
                <w:color w:val="auto"/>
                <w:highlight w:val="none"/>
              </w:rPr>
              <w:t>、本项目</w:t>
            </w:r>
            <w:r>
              <w:rPr>
                <w:rFonts w:hint="eastAsia"/>
                <w:color w:val="auto"/>
                <w:highlight w:val="none"/>
              </w:rPr>
              <w:t>将根据</w:t>
            </w:r>
            <w:r>
              <w:rPr>
                <w:rFonts w:eastAsia="方正书宋简体"/>
                <w:color w:val="auto"/>
                <w:szCs w:val="21"/>
                <w:highlight w:val="none"/>
              </w:rPr>
              <w:t>重污染天气预警实施辖区内应急减排与错峰生产</w:t>
            </w:r>
            <w:r>
              <w:rPr>
                <w:color w:val="auto"/>
                <w:highlight w:val="none"/>
              </w:rPr>
              <w:t>。</w:t>
            </w:r>
          </w:p>
          <w:p>
            <w:pPr>
              <w:jc w:val="left"/>
              <w:rPr>
                <w:color w:val="auto"/>
                <w:highlight w:val="none"/>
              </w:rPr>
            </w:pPr>
            <w:r>
              <w:rPr>
                <w:rFonts w:eastAsia="TimesNewRomanPSMT"/>
                <w:color w:val="auto"/>
                <w:highlight w:val="none"/>
              </w:rPr>
              <w:t>3</w:t>
            </w:r>
            <w:r>
              <w:rPr>
                <w:color w:val="auto"/>
                <w:highlight w:val="none"/>
              </w:rPr>
              <w:t>、本项目不涉及。</w:t>
            </w:r>
          </w:p>
          <w:p>
            <w:pPr>
              <w:jc w:val="left"/>
              <w:rPr>
                <w:color w:val="auto"/>
                <w:highlight w:val="none"/>
              </w:rPr>
            </w:pPr>
            <w:r>
              <w:rPr>
                <w:rFonts w:eastAsia="TimesNewRomanPSMT"/>
                <w:color w:val="auto"/>
                <w:highlight w:val="none"/>
              </w:rPr>
              <w:t>4</w:t>
            </w:r>
            <w:r>
              <w:rPr>
                <w:color w:val="auto"/>
                <w:highlight w:val="none"/>
              </w:rPr>
              <w:t>、本项目不涉及。</w:t>
            </w:r>
          </w:p>
          <w:p>
            <w:pPr>
              <w:jc w:val="left"/>
              <w:rPr>
                <w:color w:val="auto"/>
                <w:highlight w:val="none"/>
              </w:rPr>
            </w:pPr>
            <w:r>
              <w:rPr>
                <w:rFonts w:eastAsia="TimesNewRomanPSMT"/>
                <w:color w:val="auto"/>
                <w:highlight w:val="none"/>
              </w:rPr>
              <w:t>5</w:t>
            </w:r>
            <w:r>
              <w:rPr>
                <w:color w:val="auto"/>
                <w:highlight w:val="none"/>
              </w:rPr>
              <w:t>、本项目不涉及。</w:t>
            </w:r>
          </w:p>
          <w:p>
            <w:pPr>
              <w:jc w:val="left"/>
              <w:rPr>
                <w:color w:val="auto"/>
                <w:highlight w:val="none"/>
              </w:rPr>
            </w:pPr>
            <w:r>
              <w:rPr>
                <w:rFonts w:eastAsia="TimesNewRomanPSMT"/>
                <w:color w:val="auto"/>
                <w:highlight w:val="none"/>
              </w:rPr>
              <w:t>6</w:t>
            </w:r>
            <w:r>
              <w:rPr>
                <w:color w:val="auto"/>
                <w:highlight w:val="none"/>
              </w:rPr>
              <w:t>、本项目不涉及。</w:t>
            </w:r>
          </w:p>
        </w:tc>
        <w:tc>
          <w:tcPr>
            <w:tcW w:w="918" w:type="dxa"/>
            <w:vAlign w:val="center"/>
          </w:tcPr>
          <w:p>
            <w:pPr>
              <w:jc w:val="center"/>
              <w:rPr>
                <w:color w:val="auto"/>
                <w:highlight w:val="none"/>
              </w:rPr>
            </w:pPr>
            <w:r>
              <w:rPr>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86" w:type="dxa"/>
            <w:vMerge w:val="continue"/>
            <w:vAlign w:val="center"/>
          </w:tcPr>
          <w:p>
            <w:pPr>
              <w:jc w:val="center"/>
              <w:rPr>
                <w:color w:val="auto"/>
                <w:highlight w:val="none"/>
              </w:rPr>
            </w:pPr>
          </w:p>
        </w:tc>
        <w:tc>
          <w:tcPr>
            <w:tcW w:w="1703" w:type="dxa"/>
            <w:gridSpan w:val="2"/>
            <w:vAlign w:val="center"/>
          </w:tcPr>
          <w:p>
            <w:pPr>
              <w:jc w:val="center"/>
              <w:rPr>
                <w:color w:val="auto"/>
                <w:highlight w:val="none"/>
              </w:rPr>
            </w:pPr>
            <w:r>
              <w:rPr>
                <w:color w:val="auto"/>
                <w:highlight w:val="none"/>
              </w:rPr>
              <w:t>资源开发效率</w:t>
            </w:r>
          </w:p>
        </w:tc>
        <w:tc>
          <w:tcPr>
            <w:tcW w:w="5559" w:type="dxa"/>
            <w:vAlign w:val="center"/>
          </w:tcPr>
          <w:p>
            <w:pPr>
              <w:adjustRightInd w:val="0"/>
              <w:rPr>
                <w:rFonts w:eastAsia="方正书宋简体"/>
                <w:color w:val="auto"/>
                <w:szCs w:val="21"/>
                <w:highlight w:val="none"/>
              </w:rPr>
            </w:pPr>
            <w:r>
              <w:rPr>
                <w:rFonts w:eastAsia="方正书宋简体"/>
                <w:color w:val="auto"/>
                <w:szCs w:val="21"/>
                <w:highlight w:val="none"/>
              </w:rPr>
              <w:t>1、强化水资源消耗总量和强度双控行动，实行最严格的水资源管理制度。</w:t>
            </w:r>
          </w:p>
          <w:p>
            <w:pPr>
              <w:adjustRightInd w:val="0"/>
              <w:rPr>
                <w:rFonts w:eastAsia="方正书宋简体"/>
                <w:color w:val="auto"/>
                <w:szCs w:val="21"/>
                <w:highlight w:val="none"/>
              </w:rPr>
            </w:pPr>
            <w:r>
              <w:rPr>
                <w:rFonts w:eastAsia="方正书宋简体"/>
                <w:color w:val="auto"/>
                <w:szCs w:val="21"/>
                <w:highlight w:val="none"/>
              </w:rPr>
              <w:t>2、推动能源结构优化，提高能源利用效率。严格控制新上耗煤工业和高耗能项目。新建高耗能项目能耗总量和单耗符合全区控制指标要求。既有工业耗煤项目和居民生活用煤，推广使用清洁煤，推进煤改气，煤改电，鼓励利用可再生能源、天然气等优质能源使用。管控单元内能耗强度降低率满足全区控制指标要求。</w:t>
            </w:r>
          </w:p>
          <w:p>
            <w:pPr>
              <w:jc w:val="left"/>
              <w:rPr>
                <w:rFonts w:eastAsia="TimesNewRomanPSMT"/>
                <w:color w:val="auto"/>
                <w:highlight w:val="none"/>
              </w:rPr>
            </w:pPr>
            <w:r>
              <w:rPr>
                <w:rFonts w:eastAsia="方正书宋简体"/>
                <w:color w:val="auto"/>
                <w:szCs w:val="21"/>
                <w:highlight w:val="none"/>
              </w:rPr>
              <w:t>3、加强节水措施落实，提高农业灌溉用水效率，新建、改建、扩建建设项目须制订节水措施方案，未经许可不得开采地下水。</w:t>
            </w:r>
          </w:p>
        </w:tc>
        <w:tc>
          <w:tcPr>
            <w:tcW w:w="4652" w:type="dxa"/>
            <w:vAlign w:val="center"/>
          </w:tcPr>
          <w:p>
            <w:pPr>
              <w:jc w:val="left"/>
              <w:rPr>
                <w:color w:val="auto"/>
                <w:highlight w:val="none"/>
              </w:rPr>
            </w:pPr>
            <w:r>
              <w:rPr>
                <w:color w:val="auto"/>
                <w:highlight w:val="none"/>
              </w:rPr>
              <w:t>1、本项目不涉及。</w:t>
            </w:r>
          </w:p>
          <w:p>
            <w:pPr>
              <w:jc w:val="left"/>
              <w:rPr>
                <w:color w:val="auto"/>
                <w:highlight w:val="none"/>
              </w:rPr>
            </w:pPr>
            <w:r>
              <w:rPr>
                <w:color w:val="auto"/>
                <w:highlight w:val="none"/>
              </w:rPr>
              <w:t>2、本项目</w:t>
            </w:r>
            <w:r>
              <w:rPr>
                <w:rFonts w:hint="eastAsia"/>
                <w:color w:val="auto"/>
                <w:highlight w:val="none"/>
              </w:rPr>
              <w:t>生产使用电加热</w:t>
            </w:r>
            <w:r>
              <w:rPr>
                <w:color w:val="auto"/>
                <w:highlight w:val="none"/>
              </w:rPr>
              <w:t>。</w:t>
            </w:r>
          </w:p>
          <w:p>
            <w:pPr>
              <w:jc w:val="left"/>
              <w:rPr>
                <w:color w:val="auto"/>
                <w:highlight w:val="none"/>
              </w:rPr>
            </w:pPr>
            <w:r>
              <w:rPr>
                <w:color w:val="auto"/>
                <w:highlight w:val="none"/>
              </w:rPr>
              <w:t>3、</w:t>
            </w:r>
            <w:r>
              <w:rPr>
                <w:rFonts w:hint="eastAsia"/>
                <w:color w:val="auto"/>
                <w:highlight w:val="none"/>
              </w:rPr>
              <w:t>本项目</w:t>
            </w:r>
            <w:r>
              <w:rPr>
                <w:color w:val="auto"/>
                <w:highlight w:val="none"/>
              </w:rPr>
              <w:t>用水由市政管网提供，不开采地下水。</w:t>
            </w:r>
          </w:p>
          <w:p>
            <w:pPr>
              <w:jc w:val="left"/>
              <w:rPr>
                <w:color w:val="auto"/>
                <w:highlight w:val="none"/>
              </w:rPr>
            </w:pPr>
          </w:p>
        </w:tc>
        <w:tc>
          <w:tcPr>
            <w:tcW w:w="918" w:type="dxa"/>
            <w:vAlign w:val="center"/>
          </w:tcPr>
          <w:p>
            <w:pPr>
              <w:jc w:val="center"/>
              <w:rPr>
                <w:color w:val="auto"/>
                <w:highlight w:val="none"/>
              </w:rPr>
            </w:pPr>
            <w:r>
              <w:rPr>
                <w:color w:val="auto"/>
                <w:highlight w:val="none"/>
              </w:rPr>
              <w:t>符合</w:t>
            </w:r>
          </w:p>
        </w:tc>
      </w:tr>
    </w:tbl>
    <w:p>
      <w:pPr>
        <w:pStyle w:val="99"/>
        <w:ind w:firstLine="480"/>
        <w:rPr>
          <w:color w:val="auto"/>
          <w:highlight w:val="none"/>
        </w:rPr>
      </w:pPr>
      <w:r>
        <w:rPr>
          <w:rFonts w:hint="eastAsia"/>
          <w:color w:val="auto"/>
          <w:highlight w:val="none"/>
        </w:rPr>
        <w:t>根据上表分析，项目满足枣庄市“三线一单”及重点管控单元要求。</w:t>
      </w:r>
    </w:p>
    <w:p>
      <w:pPr>
        <w:pStyle w:val="99"/>
        <w:ind w:firstLine="480"/>
        <w:rPr>
          <w:color w:val="auto"/>
          <w:highlight w:val="none"/>
        </w:rPr>
      </w:pPr>
    </w:p>
    <w:p>
      <w:pPr>
        <w:pStyle w:val="99"/>
        <w:ind w:firstLine="480"/>
        <w:rPr>
          <w:color w:val="auto"/>
          <w:highlight w:val="none"/>
        </w:rPr>
      </w:pPr>
    </w:p>
    <w:p>
      <w:pPr>
        <w:pStyle w:val="99"/>
        <w:ind w:firstLine="0" w:firstLineChars="0"/>
        <w:rPr>
          <w:color w:val="auto"/>
          <w:highlight w:val="none"/>
        </w:rPr>
        <w:sectPr>
          <w:pgSz w:w="16838" w:h="11906" w:orient="landscape"/>
          <w:pgMar w:top="1701"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99"/>
        <w:ind w:firstLine="482"/>
        <w:rPr>
          <w:b/>
          <w:bCs/>
          <w:color w:val="auto"/>
          <w:highlight w:val="none"/>
        </w:rPr>
      </w:pPr>
      <w:r>
        <w:rPr>
          <w:b/>
          <w:bCs/>
          <w:color w:val="auto"/>
          <w:highlight w:val="none"/>
        </w:rPr>
        <w:t>2、环境质量底线</w:t>
      </w:r>
    </w:p>
    <w:p>
      <w:pPr>
        <w:pStyle w:val="102"/>
        <w:ind w:firstLine="480"/>
        <w:rPr>
          <w:color w:val="auto"/>
          <w:highlight w:val="none"/>
        </w:rPr>
      </w:pPr>
      <w:r>
        <w:rPr>
          <w:color w:val="auto"/>
          <w:highlight w:val="none"/>
        </w:rPr>
        <w:t>环境质量底线是国家和地方设置的大气、水和土壤环境质量目标，也是改善环境质量的基准线。</w:t>
      </w:r>
    </w:p>
    <w:p>
      <w:pPr>
        <w:pStyle w:val="102"/>
        <w:ind w:firstLine="480"/>
        <w:rPr>
          <w:color w:val="auto"/>
          <w:highlight w:val="none"/>
        </w:rPr>
      </w:pPr>
      <w:r>
        <w:rPr>
          <w:color w:val="auto"/>
          <w:highlight w:val="none"/>
        </w:rPr>
        <w:t>环境质量事关民生幸福，环境质量的底线就是以人民群众身体健康和生命财产安全为目标，维护人类生存基本环境质量需求的底线和保障线。具体而言，环境质量底线应涵盖以下</w:t>
      </w:r>
      <w:r>
        <w:rPr>
          <w:rFonts w:eastAsia="等线"/>
          <w:color w:val="auto"/>
          <w:highlight w:val="none"/>
        </w:rPr>
        <w:t>3</w:t>
      </w:r>
      <w:r>
        <w:rPr>
          <w:color w:val="auto"/>
          <w:highlight w:val="none"/>
        </w:rPr>
        <w:t>方面的基本要求。一是必须消除已有的劣质化环境；二是严格遵守执行环境质量</w:t>
      </w:r>
      <w:r>
        <w:rPr>
          <w:rFonts w:eastAsia="等线"/>
          <w:color w:val="auto"/>
          <w:highlight w:val="none"/>
        </w:rPr>
        <w:t>“</w:t>
      </w:r>
      <w:r>
        <w:rPr>
          <w:color w:val="auto"/>
          <w:highlight w:val="none"/>
        </w:rPr>
        <w:t>只能更好、不能变坏</w:t>
      </w:r>
      <w:r>
        <w:rPr>
          <w:rFonts w:eastAsia="等线"/>
          <w:color w:val="auto"/>
          <w:highlight w:val="none"/>
        </w:rPr>
        <w:t>”</w:t>
      </w:r>
      <w:r>
        <w:rPr>
          <w:color w:val="auto"/>
          <w:highlight w:val="none"/>
        </w:rPr>
        <w:t>的基本要求；三是保障环境风险控制在安全范围内。</w:t>
      </w:r>
    </w:p>
    <w:p>
      <w:pPr>
        <w:pStyle w:val="102"/>
        <w:ind w:firstLine="480"/>
        <w:rPr>
          <w:color w:val="auto"/>
          <w:highlight w:val="none"/>
        </w:rPr>
      </w:pPr>
      <w:r>
        <w:rPr>
          <w:rStyle w:val="122"/>
          <w:rFonts w:hint="default" w:ascii="Times New Roman" w:hAnsi="Times New Roman"/>
          <w:color w:val="auto"/>
          <w:highlight w:val="none"/>
        </w:rPr>
        <w:t>项目所排放的污染物对周围环境的影响较小，在可接受范围之内。经预测，项目所排放的污染物满足相关排放标准和总量控制指标的要求不影响峄城区污染物减排任务的完成，该拟建项目对周围环境的影响程度不大，满足环境质量底线要求。</w:t>
      </w:r>
    </w:p>
    <w:p>
      <w:pPr>
        <w:pStyle w:val="102"/>
        <w:ind w:firstLine="480"/>
        <w:rPr>
          <w:color w:val="auto"/>
          <w:highlight w:val="none"/>
        </w:rPr>
      </w:pPr>
      <w:r>
        <w:rPr>
          <w:color w:val="auto"/>
          <w:highlight w:val="none"/>
        </w:rPr>
        <w:t>综上，本项目不会对区域环境质量造成明显影响，满足区域环境质量改善目标管理要求，符合环境质量底线要求。</w:t>
      </w:r>
    </w:p>
    <w:p>
      <w:pPr>
        <w:pStyle w:val="99"/>
        <w:ind w:firstLine="482"/>
        <w:rPr>
          <w:b/>
          <w:bCs/>
          <w:color w:val="auto"/>
          <w:szCs w:val="24"/>
          <w:highlight w:val="none"/>
        </w:rPr>
      </w:pPr>
      <w:r>
        <w:rPr>
          <w:b/>
          <w:bCs/>
          <w:color w:val="auto"/>
          <w:szCs w:val="24"/>
          <w:highlight w:val="none"/>
        </w:rPr>
        <w:t>3、资源利用上线</w:t>
      </w:r>
    </w:p>
    <w:p>
      <w:pPr>
        <w:pStyle w:val="99"/>
        <w:ind w:firstLine="480"/>
        <w:rPr>
          <w:rStyle w:val="122"/>
          <w:rFonts w:hint="default" w:ascii="Times New Roman" w:hAnsi="Times New Roman"/>
          <w:color w:val="auto"/>
          <w:highlight w:val="none"/>
        </w:rPr>
      </w:pPr>
      <w:r>
        <w:rPr>
          <w:color w:val="auto"/>
          <w:szCs w:val="24"/>
          <w:highlight w:val="none"/>
        </w:rPr>
        <w:t>项目运营涉及到的资源包括土地、电力、水资源及原料等。结合项目所在区域规划可知，项目用地属于</w:t>
      </w:r>
      <w:r>
        <w:rPr>
          <w:rFonts w:hint="eastAsia"/>
          <w:color w:val="auto"/>
          <w:szCs w:val="24"/>
          <w:highlight w:val="none"/>
        </w:rPr>
        <w:t>工业</w:t>
      </w:r>
      <w:r>
        <w:rPr>
          <w:color w:val="auto"/>
          <w:szCs w:val="24"/>
          <w:highlight w:val="none"/>
        </w:rPr>
        <w:t>用地，项目建设符合当地规划，未非法占用土地，占地较小，土地资源使用合理。项目所在地电力供应充足，本项目由现有高压供电线路供给，采用架空方式引至厂区内变电站。项目所在地水资源供应充足，主要由</w:t>
      </w:r>
      <w:r>
        <w:rPr>
          <w:rFonts w:hint="eastAsia"/>
          <w:color w:val="auto"/>
          <w:szCs w:val="24"/>
          <w:highlight w:val="none"/>
        </w:rPr>
        <w:t>市政</w:t>
      </w:r>
      <w:r>
        <w:rPr>
          <w:color w:val="auto"/>
          <w:szCs w:val="24"/>
          <w:highlight w:val="none"/>
        </w:rPr>
        <w:t>给水管网进行供应，由于项目生产中部分水循环使用</w:t>
      </w:r>
      <w:r>
        <w:rPr>
          <w:rStyle w:val="122"/>
          <w:rFonts w:hint="default" w:ascii="Times New Roman" w:hAnsi="Times New Roman"/>
          <w:color w:val="auto"/>
          <w:highlight w:val="none"/>
        </w:rPr>
        <w:t>。项目原料通过市场外购获得，不涉及资源开采。</w:t>
      </w:r>
    </w:p>
    <w:p>
      <w:pPr>
        <w:pStyle w:val="99"/>
        <w:ind w:firstLine="480"/>
        <w:rPr>
          <w:rStyle w:val="122"/>
          <w:rFonts w:hint="default" w:ascii="Times New Roman" w:hAnsi="Times New Roman"/>
          <w:color w:val="auto"/>
          <w:highlight w:val="none"/>
        </w:rPr>
      </w:pPr>
      <w:r>
        <w:rPr>
          <w:rStyle w:val="122"/>
          <w:rFonts w:hint="default" w:ascii="Times New Roman" w:hAnsi="Times New Roman"/>
          <w:color w:val="auto"/>
          <w:highlight w:val="none"/>
        </w:rPr>
        <w:t>项目运营过程中需要消耗一定量的水、电，本项目周围配套设施较为完善，公共设施方便，项目资源消耗量相对于区域资源利用总量较少，符合资源利用上线要求。</w:t>
      </w:r>
    </w:p>
    <w:p>
      <w:pPr>
        <w:pStyle w:val="100"/>
        <w:spacing w:before="156"/>
        <w:rPr>
          <w:rFonts w:ascii="Times New Roman" w:hAnsi="Times New Roman"/>
          <w:color w:val="auto"/>
          <w:highlight w:val="none"/>
        </w:rPr>
      </w:pPr>
      <w:bookmarkStart w:id="410" w:name="_Toc13581"/>
      <w:r>
        <w:rPr>
          <w:rFonts w:ascii="Times New Roman" w:hAnsi="Times New Roman"/>
          <w:color w:val="auto"/>
          <w:highlight w:val="none"/>
        </w:rPr>
        <w:t>9.4</w:t>
      </w:r>
      <w:r>
        <w:rPr>
          <w:rFonts w:hint="eastAsia" w:ascii="Times New Roman" w:hAnsi="Times New Roman"/>
          <w:color w:val="auto"/>
          <w:highlight w:val="none"/>
        </w:rPr>
        <w:t>区域</w:t>
      </w:r>
      <w:r>
        <w:rPr>
          <w:rFonts w:ascii="Times New Roman" w:hAnsi="Times New Roman"/>
          <w:color w:val="auto"/>
          <w:highlight w:val="none"/>
        </w:rPr>
        <w:t>相关规划符合性分析</w:t>
      </w:r>
      <w:bookmarkEnd w:id="410"/>
    </w:p>
    <w:p>
      <w:pPr>
        <w:pStyle w:val="9"/>
        <w:spacing w:before="78" w:beforeLines="25" w:after="0" w:line="360" w:lineRule="auto"/>
        <w:rPr>
          <w:rFonts w:eastAsia="黑体"/>
          <w:b w:val="0"/>
          <w:color w:val="auto"/>
          <w:sz w:val="24"/>
          <w:szCs w:val="24"/>
          <w:highlight w:val="none"/>
        </w:rPr>
      </w:pPr>
      <w:r>
        <w:rPr>
          <w:rFonts w:eastAsia="黑体"/>
          <w:b w:val="0"/>
          <w:color w:val="auto"/>
          <w:sz w:val="24"/>
          <w:szCs w:val="24"/>
          <w:highlight w:val="none"/>
        </w:rPr>
        <w:t>9.</w:t>
      </w:r>
      <w:r>
        <w:rPr>
          <w:rFonts w:hint="eastAsia" w:eastAsia="黑体"/>
          <w:b w:val="0"/>
          <w:color w:val="auto"/>
          <w:sz w:val="24"/>
          <w:szCs w:val="24"/>
          <w:highlight w:val="none"/>
        </w:rPr>
        <w:t>4</w:t>
      </w:r>
      <w:r>
        <w:rPr>
          <w:rFonts w:eastAsia="黑体"/>
          <w:b w:val="0"/>
          <w:color w:val="auto"/>
          <w:sz w:val="24"/>
          <w:szCs w:val="24"/>
          <w:highlight w:val="none"/>
        </w:rPr>
        <w:t>.1</w:t>
      </w:r>
      <w:r>
        <w:rPr>
          <w:rFonts w:hint="eastAsia" w:eastAsia="黑体"/>
          <w:b w:val="0"/>
          <w:color w:val="auto"/>
          <w:sz w:val="24"/>
          <w:szCs w:val="24"/>
          <w:highlight w:val="none"/>
        </w:rPr>
        <w:t>与《枣庄市城市总体规划（2011-2020年）》符合性分析</w:t>
      </w:r>
    </w:p>
    <w:p>
      <w:pPr>
        <w:pStyle w:val="99"/>
        <w:ind w:firstLine="480"/>
        <w:rPr>
          <w:color w:val="auto"/>
          <w:highlight w:val="none"/>
        </w:rPr>
      </w:pPr>
      <w:r>
        <w:rPr>
          <w:color w:val="auto"/>
          <w:highlight w:val="none"/>
        </w:rPr>
        <w:t>根据《枣庄市城市总体规划（2011-2020 年）》：城市规划区：枣庄市所辖行政五区的市区行政地域范围，包括市中区、薛城区、峄城区、台儿庄区、山亭区的行政辖区范围，面积为3069 km</w:t>
      </w:r>
      <w:r>
        <w:rPr>
          <w:color w:val="auto"/>
          <w:highlight w:val="none"/>
          <w:vertAlign w:val="superscript"/>
        </w:rPr>
        <w:t>2</w:t>
      </w:r>
      <w:r>
        <w:rPr>
          <w:color w:val="auto"/>
          <w:highlight w:val="none"/>
        </w:rPr>
        <w:t>。中心城区：西至常庄镇、沙沟镇行政西界，东至吴林街道行政东界、枣木高速公路至临沂延长线，南至沙沟镇、榴园镇和吴林街道行政南界，北至常庄镇、陶庄镇、邹坞镇、齐村镇行政北界，面积为892km</w:t>
      </w:r>
      <w:r>
        <w:rPr>
          <w:color w:val="auto"/>
          <w:highlight w:val="none"/>
          <w:vertAlign w:val="superscript"/>
        </w:rPr>
        <w:t>2</w:t>
      </w:r>
      <w:r>
        <w:rPr>
          <w:color w:val="auto"/>
          <w:highlight w:val="none"/>
        </w:rPr>
        <w:t>。城市性质：山东省重要的现代煤化工、能源、建材和机械制造基地，新兴科技创新基地，鲁南地区中心城市之一。城市职能：山东省南部门户；区域性交通和信息枢纽、物资集散地；科技创新和现代制造业基地；枣庄市政治、经济、文化和科教中心；特色旅游城市。中心城区规划空间结构：规划中心城区由薛城组团、高新区组团和新城组团组成西城区，由市中老城组团、市中新城组团、开发区组团、峄城区组团组成东城区，两城区之间以农田、林地为生态隔离带，加强中心城区南部万亩榴园及山体的培育和保护，形 成“双城拥山”的中心城区空间布局结构。中心城区规划功能布局（东城区）：传统商业和商贸中心、新兴产业和转型示范产业基地、民族工业游和休闲度假游基地，电子商务、文化创意、物流基地。规划人口规模62万人，城市建设用地控制在68km</w:t>
      </w:r>
      <w:r>
        <w:rPr>
          <w:color w:val="auto"/>
          <w:highlight w:val="none"/>
          <w:vertAlign w:val="superscript"/>
        </w:rPr>
        <w:t>2</w:t>
      </w:r>
      <w:r>
        <w:rPr>
          <w:color w:val="auto"/>
          <w:highlight w:val="none"/>
        </w:rPr>
        <w:t>。重点实施市中老城区改造，优化用地结构，完善商业服务等功能，积极推动第三产业发展，改善提升城区环境，激发老城区发展活力；结合枣庄城市转型产业示范园，引领和示范枣庄转型产业发展；完善峄城组团功能布局，积极向北与市中老城组团对接，依托万亩榴园大力发展特色旅游业及相关产业。</w:t>
      </w:r>
    </w:p>
    <w:p>
      <w:pPr>
        <w:pStyle w:val="99"/>
        <w:ind w:firstLine="480"/>
        <w:rPr>
          <w:color w:val="auto"/>
          <w:highlight w:val="none"/>
        </w:rPr>
      </w:pPr>
      <w:r>
        <w:rPr>
          <w:color w:val="auto"/>
          <w:highlight w:val="none"/>
        </w:rPr>
        <w:t>项目</w:t>
      </w:r>
      <w:r>
        <w:rPr>
          <w:rFonts w:hint="eastAsia"/>
          <w:color w:val="auto"/>
          <w:highlight w:val="none"/>
        </w:rPr>
        <w:t>拟建</w:t>
      </w:r>
      <w:r>
        <w:rPr>
          <w:color w:val="auto"/>
          <w:highlight w:val="none"/>
        </w:rPr>
        <w:t>地点</w:t>
      </w:r>
      <w:r>
        <w:rPr>
          <w:rFonts w:hint="eastAsia"/>
          <w:color w:val="auto"/>
          <w:highlight w:val="none"/>
        </w:rPr>
        <w:t>位于峨山镇，不违背</w:t>
      </w:r>
      <w:r>
        <w:rPr>
          <w:color w:val="auto"/>
          <w:highlight w:val="none"/>
        </w:rPr>
        <w:t>《枣庄市城市总体规划</w:t>
      </w:r>
      <w:r>
        <w:rPr>
          <w:rFonts w:hint="eastAsia"/>
          <w:color w:val="auto"/>
          <w:highlight w:val="none"/>
        </w:rPr>
        <w:t>(</w:t>
      </w:r>
      <w:r>
        <w:rPr>
          <w:color w:val="auto"/>
          <w:highlight w:val="none"/>
        </w:rPr>
        <w:t>2011-2020年</w:t>
      </w:r>
      <w:r>
        <w:rPr>
          <w:rFonts w:hint="eastAsia"/>
          <w:color w:val="auto"/>
          <w:highlight w:val="none"/>
        </w:rPr>
        <w:t>)</w:t>
      </w:r>
      <w:r>
        <w:rPr>
          <w:color w:val="auto"/>
          <w:highlight w:val="none"/>
        </w:rPr>
        <w:t>》相关要求。</w:t>
      </w:r>
    </w:p>
    <w:p>
      <w:pPr>
        <w:pStyle w:val="9"/>
        <w:spacing w:before="78" w:beforeLines="25" w:after="0" w:line="360" w:lineRule="auto"/>
        <w:rPr>
          <w:rFonts w:eastAsia="黑体"/>
          <w:b w:val="0"/>
          <w:color w:val="auto"/>
          <w:sz w:val="24"/>
          <w:szCs w:val="24"/>
          <w:highlight w:val="none"/>
        </w:rPr>
      </w:pPr>
      <w:bookmarkStart w:id="411" w:name="_Toc29323"/>
      <w:bookmarkStart w:id="412" w:name="_Toc57804801"/>
      <w:bookmarkStart w:id="413" w:name="_Toc66281326"/>
      <w:r>
        <w:rPr>
          <w:rFonts w:eastAsia="黑体"/>
          <w:b w:val="0"/>
          <w:color w:val="auto"/>
          <w:sz w:val="24"/>
          <w:szCs w:val="24"/>
          <w:highlight w:val="none"/>
        </w:rPr>
        <w:t>9.</w:t>
      </w:r>
      <w:r>
        <w:rPr>
          <w:rFonts w:hint="eastAsia" w:eastAsia="黑体"/>
          <w:b w:val="0"/>
          <w:color w:val="auto"/>
          <w:sz w:val="24"/>
          <w:szCs w:val="24"/>
          <w:highlight w:val="none"/>
        </w:rPr>
        <w:t>4</w:t>
      </w:r>
      <w:r>
        <w:rPr>
          <w:rFonts w:eastAsia="黑体"/>
          <w:b w:val="0"/>
          <w:color w:val="auto"/>
          <w:sz w:val="24"/>
          <w:szCs w:val="24"/>
          <w:highlight w:val="none"/>
        </w:rPr>
        <w:t>.</w:t>
      </w:r>
      <w:r>
        <w:rPr>
          <w:rFonts w:hint="eastAsia" w:eastAsia="黑体"/>
          <w:b w:val="0"/>
          <w:color w:val="auto"/>
          <w:sz w:val="24"/>
          <w:szCs w:val="24"/>
          <w:highlight w:val="none"/>
        </w:rPr>
        <w:t>2与《枣庄市“十四五”生态环境保护规划》符合性分析</w:t>
      </w:r>
    </w:p>
    <w:p>
      <w:pPr>
        <w:pStyle w:val="99"/>
        <w:ind w:firstLine="480"/>
        <w:rPr>
          <w:color w:val="auto"/>
          <w:highlight w:val="none"/>
        </w:rPr>
      </w:pPr>
      <w:r>
        <w:rPr>
          <w:rFonts w:hint="eastAsia"/>
          <w:color w:val="auto"/>
          <w:highlight w:val="none"/>
        </w:rPr>
        <w:t>枣庄市“十四五”生态环境保护规划指出：</w:t>
      </w:r>
    </w:p>
    <w:p>
      <w:pPr>
        <w:pStyle w:val="99"/>
        <w:ind w:firstLine="480"/>
        <w:rPr>
          <w:color w:val="auto"/>
          <w:highlight w:val="none"/>
        </w:rPr>
      </w:pPr>
      <w:r>
        <w:rPr>
          <w:rFonts w:hint="eastAsia"/>
          <w:color w:val="auto"/>
          <w:highlight w:val="none"/>
        </w:rPr>
        <w:t>以“无废城市” 建设为引领防范环境风险。认真组织学习试点城市经验，谋划适合枣庄实际的创建工作思路，有序推进“无废城市”建设。推进落实固体废物资源化利用政策、标准、规范，最大限度减少填埋量。促进秸秆、畜禽粪污等主要农业废弃物全量利用。完善废塑料、废钢铁、废轮胎等废旧物资回收体系。推行废旧家电、消费电子等耐用消费品生产企业“逆向回收”模式，鼓励企业创新综合利用技术，不断提升废旧物资循环利用水平。规范废旧物资回收利用和废弃电器电子产品拆解处理，提升废旧物资回收利用企业环境管理水平。</w:t>
      </w:r>
    </w:p>
    <w:p>
      <w:pPr>
        <w:pStyle w:val="99"/>
        <w:ind w:firstLine="480"/>
        <w:rPr>
          <w:color w:val="auto"/>
          <w:highlight w:val="none"/>
        </w:rPr>
      </w:pPr>
      <w:r>
        <w:rPr>
          <w:rFonts w:hint="eastAsia"/>
          <w:color w:val="auto"/>
          <w:highlight w:val="none"/>
        </w:rPr>
        <w:t>大力推进重点行业VOCs治理。化工、包装印刷、工业涂装等重点行业建立完善源头替代、过程管控和末端治理的VOCs全过程控制体系。严格执行VOCs行业和产品标准。全面推进低VOCs含量工业涂料、油墨、胶粘剂、清洗剂等原辅料使用。新（改、扩）建工业涂装、包装印刷等含VOCs原辅材料使用的项目，原则上使用低（无）VOCs含量产品。开展成品油、有机化学品等涉VOCs物质储罐排查，除因安全生产等原因必须保留的以外，逐步取消煤化工、制药、农药、化工、工业涂装、包装印刷等企业非必要的VOCs废气排放系统旁路。持续开展重点行业泄漏检测与修复（LDAR），建立健全管理制度，重点加强搅拌器、泵、压缩机等动密封点，以及低点导淋、取样口、高点放空、液位计、仪表连接件等静密封点的泄漏管理。</w:t>
      </w:r>
    </w:p>
    <w:p>
      <w:pPr>
        <w:pStyle w:val="99"/>
        <w:ind w:firstLine="480"/>
        <w:rPr>
          <w:color w:val="auto"/>
          <w:highlight w:val="none"/>
        </w:rPr>
      </w:pPr>
      <w:r>
        <w:rPr>
          <w:rFonts w:hint="eastAsia"/>
          <w:color w:val="auto"/>
          <w:highlight w:val="none"/>
        </w:rPr>
        <w:t>绿色高性能复合管项目部分采用废旧塑料再利用，不属于重点VOCs行业，废气主要是挤出成型、熔融造粒、注塑、破碎废气，拟采用布袋除尘+活性炭吸附浓缩+催化燃烧+</w:t>
      </w:r>
      <w:r>
        <w:rPr>
          <w:rFonts w:hint="eastAsia"/>
          <w:color w:val="auto"/>
          <w:highlight w:val="none"/>
          <w:lang w:eastAsia="zh-CN"/>
        </w:rPr>
        <w:t>20m</w:t>
      </w:r>
      <w:r>
        <w:rPr>
          <w:rFonts w:hint="eastAsia"/>
          <w:color w:val="auto"/>
          <w:highlight w:val="none"/>
        </w:rPr>
        <w:t>高排气筒（DA001）。无生产废水，</w:t>
      </w:r>
      <w:r>
        <w:rPr>
          <w:rFonts w:hint="eastAsia"/>
          <w:color w:val="auto"/>
          <w:szCs w:val="24"/>
          <w:highlight w:val="none"/>
        </w:rPr>
        <w:t>生活污水经化粪池收集后由环卫部门定期清运，废水不外排</w:t>
      </w:r>
      <w:r>
        <w:rPr>
          <w:color w:val="auto"/>
          <w:highlight w:val="none"/>
        </w:rPr>
        <w:t>，符合《</w:t>
      </w:r>
      <w:r>
        <w:rPr>
          <w:rFonts w:hint="eastAsia"/>
          <w:color w:val="auto"/>
          <w:highlight w:val="none"/>
        </w:rPr>
        <w:t>枣庄市“十四五”生态环境保护规划</w:t>
      </w:r>
      <w:r>
        <w:rPr>
          <w:color w:val="auto"/>
          <w:highlight w:val="none"/>
        </w:rPr>
        <w:t>》的相关要求。</w:t>
      </w:r>
    </w:p>
    <w:p>
      <w:pPr>
        <w:pStyle w:val="100"/>
        <w:spacing w:before="156"/>
        <w:rPr>
          <w:rFonts w:ascii="Times New Roman" w:hAnsi="Times New Roman"/>
          <w:color w:val="auto"/>
          <w:highlight w:val="none"/>
        </w:rPr>
      </w:pPr>
      <w:r>
        <w:rPr>
          <w:rFonts w:ascii="Times New Roman" w:hAnsi="Times New Roman"/>
          <w:color w:val="auto"/>
          <w:highlight w:val="none"/>
        </w:rPr>
        <w:t>9.</w:t>
      </w:r>
      <w:r>
        <w:rPr>
          <w:rFonts w:hint="eastAsia" w:ascii="Times New Roman" w:hAnsi="Times New Roman"/>
          <w:color w:val="auto"/>
          <w:highlight w:val="none"/>
        </w:rPr>
        <w:t>5</w:t>
      </w:r>
      <w:r>
        <w:rPr>
          <w:rFonts w:ascii="Times New Roman" w:hAnsi="Times New Roman"/>
          <w:color w:val="auto"/>
          <w:highlight w:val="none"/>
        </w:rPr>
        <w:t>相关环境政策符合性分析</w:t>
      </w:r>
      <w:bookmarkEnd w:id="411"/>
      <w:bookmarkEnd w:id="412"/>
      <w:bookmarkEnd w:id="413"/>
    </w:p>
    <w:p>
      <w:pPr>
        <w:spacing w:line="360" w:lineRule="auto"/>
        <w:ind w:firstLine="482" w:firstLineChars="200"/>
        <w:rPr>
          <w:b/>
          <w:bCs/>
          <w:color w:val="auto"/>
          <w:sz w:val="24"/>
          <w:highlight w:val="none"/>
        </w:rPr>
      </w:pPr>
      <w:r>
        <w:rPr>
          <w:b/>
          <w:bCs/>
          <w:color w:val="auto"/>
          <w:sz w:val="24"/>
          <w:highlight w:val="none"/>
          <w:lang w:val="zh-CN"/>
        </w:rPr>
        <w:t>1、</w:t>
      </w:r>
      <w:r>
        <w:rPr>
          <w:b/>
          <w:bCs/>
          <w:color w:val="auto"/>
          <w:sz w:val="24"/>
          <w:highlight w:val="none"/>
        </w:rPr>
        <w:t>与“气十条”“水十条”“土十条”现行环境管理要求的符合性</w:t>
      </w:r>
    </w:p>
    <w:p>
      <w:pPr>
        <w:spacing w:line="360" w:lineRule="auto"/>
        <w:ind w:firstLine="480" w:firstLineChars="200"/>
        <w:rPr>
          <w:color w:val="auto"/>
          <w:sz w:val="24"/>
          <w:highlight w:val="none"/>
          <w:lang w:val="zh-CN"/>
        </w:rPr>
      </w:pPr>
      <w:r>
        <w:rPr>
          <w:color w:val="auto"/>
          <w:sz w:val="24"/>
          <w:highlight w:val="none"/>
        </w:rPr>
        <w:t>拟建项目与“气十条”“水十条”“土十条”现行环境管理要求的符合性分析见表9.</w:t>
      </w:r>
      <w:r>
        <w:rPr>
          <w:rFonts w:hint="eastAsia"/>
          <w:color w:val="auto"/>
          <w:sz w:val="24"/>
          <w:highlight w:val="none"/>
        </w:rPr>
        <w:t>5</w:t>
      </w:r>
      <w:r>
        <w:rPr>
          <w:color w:val="auto"/>
          <w:sz w:val="24"/>
          <w:highlight w:val="none"/>
        </w:rPr>
        <w:t>-1。</w:t>
      </w:r>
    </w:p>
    <w:p>
      <w:pPr>
        <w:snapToGrid w:val="0"/>
        <w:spacing w:line="360" w:lineRule="auto"/>
        <w:ind w:firstLine="480" w:firstLineChars="200"/>
        <w:jc w:val="center"/>
        <w:rPr>
          <w:rFonts w:eastAsia="黑体"/>
          <w:color w:val="auto"/>
          <w:sz w:val="24"/>
          <w:highlight w:val="none"/>
        </w:rPr>
      </w:pPr>
      <w:r>
        <w:rPr>
          <w:rFonts w:eastAsia="黑体"/>
          <w:color w:val="auto"/>
          <w:sz w:val="24"/>
          <w:highlight w:val="none"/>
        </w:rPr>
        <w:t>表9.</w:t>
      </w:r>
      <w:r>
        <w:rPr>
          <w:rFonts w:hint="eastAsia" w:eastAsia="黑体"/>
          <w:color w:val="auto"/>
          <w:sz w:val="24"/>
          <w:highlight w:val="none"/>
        </w:rPr>
        <w:t>5</w:t>
      </w:r>
      <w:r>
        <w:rPr>
          <w:rFonts w:eastAsia="黑体"/>
          <w:color w:val="auto"/>
          <w:sz w:val="24"/>
          <w:highlight w:val="none"/>
        </w:rPr>
        <w:t>-1  “气十条”“水十条”“土十条”现行环境管理要求的符合性分析</w:t>
      </w:r>
    </w:p>
    <w:tbl>
      <w:tblPr>
        <w:tblStyle w:val="5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5157"/>
        <w:gridCol w:w="859"/>
        <w:gridCol w:w="1627"/>
        <w:gridCol w:w="1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pct"/>
            <w:vAlign w:val="center"/>
          </w:tcPr>
          <w:p>
            <w:pPr>
              <w:snapToGrid w:val="0"/>
              <w:spacing w:line="300" w:lineRule="exact"/>
              <w:jc w:val="center"/>
              <w:rPr>
                <w:color w:val="auto"/>
                <w:szCs w:val="21"/>
                <w:highlight w:val="none"/>
              </w:rPr>
            </w:pPr>
            <w:r>
              <w:rPr>
                <w:color w:val="auto"/>
                <w:szCs w:val="21"/>
                <w:highlight w:val="none"/>
              </w:rPr>
              <w:t>名称</w:t>
            </w:r>
          </w:p>
        </w:tc>
        <w:tc>
          <w:tcPr>
            <w:tcW w:w="2863" w:type="pct"/>
            <w:vAlign w:val="center"/>
          </w:tcPr>
          <w:p>
            <w:pPr>
              <w:snapToGrid w:val="0"/>
              <w:spacing w:line="300" w:lineRule="exact"/>
              <w:jc w:val="center"/>
              <w:rPr>
                <w:color w:val="auto"/>
                <w:szCs w:val="21"/>
                <w:highlight w:val="none"/>
              </w:rPr>
            </w:pPr>
            <w:r>
              <w:rPr>
                <w:color w:val="auto"/>
                <w:szCs w:val="21"/>
                <w:highlight w:val="none"/>
              </w:rPr>
              <w:t>政策要求</w:t>
            </w:r>
          </w:p>
        </w:tc>
        <w:tc>
          <w:tcPr>
            <w:tcW w:w="477" w:type="pct"/>
            <w:vAlign w:val="center"/>
          </w:tcPr>
          <w:p>
            <w:pPr>
              <w:snapToGrid w:val="0"/>
              <w:spacing w:line="300" w:lineRule="exact"/>
              <w:jc w:val="center"/>
              <w:rPr>
                <w:color w:val="auto"/>
                <w:szCs w:val="21"/>
                <w:highlight w:val="none"/>
              </w:rPr>
            </w:pPr>
            <w:r>
              <w:rPr>
                <w:color w:val="auto"/>
                <w:szCs w:val="21"/>
                <w:highlight w:val="none"/>
              </w:rPr>
              <w:t>符合性</w:t>
            </w:r>
          </w:p>
        </w:tc>
        <w:tc>
          <w:tcPr>
            <w:tcW w:w="969" w:type="pct"/>
            <w:gridSpan w:val="2"/>
            <w:vAlign w:val="center"/>
          </w:tcPr>
          <w:p>
            <w:pPr>
              <w:snapToGrid w:val="0"/>
              <w:spacing w:line="300" w:lineRule="exact"/>
              <w:jc w:val="center"/>
              <w:rPr>
                <w:color w:val="auto"/>
                <w:szCs w:val="21"/>
                <w:highlight w:val="none"/>
              </w:rPr>
            </w:pPr>
            <w:r>
              <w:rPr>
                <w:color w:val="auto"/>
                <w:szCs w:val="21"/>
                <w:highlight w:val="none"/>
              </w:rPr>
              <w:t>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pct"/>
            <w:vMerge w:val="restart"/>
            <w:vAlign w:val="center"/>
          </w:tcPr>
          <w:p>
            <w:pPr>
              <w:snapToGrid w:val="0"/>
              <w:spacing w:line="300" w:lineRule="exact"/>
              <w:jc w:val="center"/>
              <w:rPr>
                <w:color w:val="auto"/>
                <w:szCs w:val="21"/>
                <w:highlight w:val="none"/>
              </w:rPr>
            </w:pPr>
            <w:r>
              <w:rPr>
                <w:color w:val="auto"/>
                <w:szCs w:val="21"/>
                <w:highlight w:val="none"/>
              </w:rPr>
              <w:t>《大气污染防治行动计划》</w:t>
            </w:r>
            <w:r>
              <w:rPr>
                <w:rFonts w:hint="eastAsia"/>
                <w:color w:val="auto"/>
                <w:szCs w:val="21"/>
                <w:highlight w:val="none"/>
              </w:rPr>
              <w:t>(</w:t>
            </w:r>
            <w:r>
              <w:rPr>
                <w:color w:val="auto"/>
                <w:szCs w:val="21"/>
                <w:highlight w:val="none"/>
              </w:rPr>
              <w:t>气十条</w:t>
            </w:r>
            <w:r>
              <w:rPr>
                <w:rFonts w:hint="eastAsia"/>
                <w:color w:val="auto"/>
                <w:szCs w:val="21"/>
                <w:highlight w:val="none"/>
              </w:rPr>
              <w:t>)</w:t>
            </w:r>
            <w:r>
              <w:rPr>
                <w:color w:val="auto"/>
                <w:szCs w:val="21"/>
                <w:highlight w:val="none"/>
              </w:rPr>
              <w:t>国发[2013]37号2013.09.10</w:t>
            </w:r>
          </w:p>
        </w:tc>
        <w:tc>
          <w:tcPr>
            <w:tcW w:w="2863" w:type="pct"/>
            <w:vAlign w:val="center"/>
          </w:tcPr>
          <w:p>
            <w:pPr>
              <w:snapToGrid w:val="0"/>
              <w:spacing w:line="260" w:lineRule="exact"/>
              <w:jc w:val="center"/>
              <w:rPr>
                <w:color w:val="auto"/>
                <w:szCs w:val="21"/>
                <w:highlight w:val="none"/>
              </w:rPr>
            </w:pPr>
            <w:r>
              <w:rPr>
                <w:color w:val="auto"/>
                <w:szCs w:val="21"/>
                <w:highlight w:val="none"/>
              </w:rPr>
              <w:t>加强工业企业大气污染综合治理。全面整治燃煤小锅炉。加快推进集中供热、</w:t>
            </w:r>
            <w:r>
              <w:rPr>
                <w:rFonts w:hint="eastAsia"/>
                <w:color w:val="auto"/>
                <w:szCs w:val="21"/>
                <w:highlight w:val="none"/>
              </w:rPr>
              <w:t>“</w:t>
            </w:r>
            <w:r>
              <w:rPr>
                <w:color w:val="auto"/>
                <w:szCs w:val="21"/>
                <w:highlight w:val="none"/>
              </w:rPr>
              <w:t>煤改气</w:t>
            </w:r>
            <w:r>
              <w:rPr>
                <w:rFonts w:hint="eastAsia"/>
                <w:color w:val="auto"/>
                <w:szCs w:val="21"/>
                <w:highlight w:val="none"/>
              </w:rPr>
              <w:t>”</w:t>
            </w:r>
            <w:r>
              <w:rPr>
                <w:color w:val="auto"/>
                <w:szCs w:val="21"/>
                <w:highlight w:val="none"/>
              </w:rPr>
              <w:t>、</w:t>
            </w:r>
            <w:r>
              <w:rPr>
                <w:rFonts w:hint="eastAsia"/>
                <w:color w:val="auto"/>
                <w:szCs w:val="21"/>
                <w:highlight w:val="none"/>
              </w:rPr>
              <w:t>“</w:t>
            </w:r>
            <w:r>
              <w:rPr>
                <w:color w:val="auto"/>
                <w:szCs w:val="21"/>
                <w:highlight w:val="none"/>
              </w:rPr>
              <w:t>煤改电</w:t>
            </w:r>
            <w:r>
              <w:rPr>
                <w:rFonts w:hint="eastAsia"/>
                <w:color w:val="auto"/>
                <w:szCs w:val="21"/>
                <w:highlight w:val="none"/>
              </w:rPr>
              <w:t>”</w:t>
            </w:r>
            <w:r>
              <w:rPr>
                <w:color w:val="auto"/>
                <w:szCs w:val="21"/>
                <w:highlight w:val="none"/>
              </w:rPr>
              <w:t>工程建设，到2017年，除必要保留的以外，地级及以上城市建成区基本淘汰每小时10蒸t及以下的燃煤锅炉，禁止新建每小时20蒸t以下的燃煤锅炉；其他地区原则上不再新建每小时10蒸t以下的燃煤锅炉。</w:t>
            </w:r>
          </w:p>
        </w:tc>
        <w:tc>
          <w:tcPr>
            <w:tcW w:w="477" w:type="pct"/>
            <w:vAlign w:val="center"/>
          </w:tcPr>
          <w:p>
            <w:pPr>
              <w:snapToGrid w:val="0"/>
              <w:spacing w:line="300" w:lineRule="exact"/>
              <w:jc w:val="center"/>
              <w:rPr>
                <w:color w:val="auto"/>
                <w:szCs w:val="21"/>
                <w:highlight w:val="none"/>
              </w:rPr>
            </w:pPr>
            <w:r>
              <w:rPr>
                <w:color w:val="auto"/>
                <w:szCs w:val="21"/>
                <w:highlight w:val="none"/>
              </w:rPr>
              <w:t>符合</w:t>
            </w:r>
          </w:p>
        </w:tc>
        <w:tc>
          <w:tcPr>
            <w:tcW w:w="969" w:type="pct"/>
            <w:gridSpan w:val="2"/>
            <w:vAlign w:val="center"/>
          </w:tcPr>
          <w:p>
            <w:pPr>
              <w:snapToGrid w:val="0"/>
              <w:spacing w:line="300" w:lineRule="exact"/>
              <w:jc w:val="center"/>
              <w:rPr>
                <w:color w:val="auto"/>
                <w:szCs w:val="21"/>
                <w:highlight w:val="none"/>
              </w:rPr>
            </w:pPr>
            <w:r>
              <w:rPr>
                <w:rFonts w:hint="eastAsia"/>
                <w:color w:val="auto"/>
                <w:szCs w:val="21"/>
                <w:highlight w:val="none"/>
              </w:rPr>
              <w:t>项目位于</w:t>
            </w:r>
            <w:r>
              <w:rPr>
                <w:rFonts w:hint="eastAsia"/>
                <w:color w:val="auto"/>
                <w:highlight w:val="none"/>
              </w:rPr>
              <w:t>枣庄市峄城区峨山镇大官庄村西</w:t>
            </w:r>
            <w:r>
              <w:rPr>
                <w:rFonts w:hint="eastAsia"/>
                <w:color w:val="auto"/>
                <w:szCs w:val="21"/>
                <w:highlight w:val="none"/>
              </w:rPr>
              <w:t>，项目采用电加热，不使用锅炉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pct"/>
            <w:vMerge w:val="continue"/>
            <w:vAlign w:val="center"/>
          </w:tcPr>
          <w:p>
            <w:pPr>
              <w:snapToGrid w:val="0"/>
              <w:spacing w:line="300" w:lineRule="exact"/>
              <w:jc w:val="center"/>
              <w:rPr>
                <w:color w:val="auto"/>
                <w:szCs w:val="21"/>
                <w:highlight w:val="none"/>
              </w:rPr>
            </w:pPr>
          </w:p>
        </w:tc>
        <w:tc>
          <w:tcPr>
            <w:tcW w:w="2863" w:type="pct"/>
            <w:vAlign w:val="center"/>
          </w:tcPr>
          <w:p>
            <w:pPr>
              <w:snapToGrid w:val="0"/>
              <w:spacing w:line="260" w:lineRule="exact"/>
              <w:jc w:val="center"/>
              <w:rPr>
                <w:color w:val="auto"/>
                <w:szCs w:val="21"/>
                <w:highlight w:val="none"/>
              </w:rPr>
            </w:pPr>
            <w:r>
              <w:rPr>
                <w:color w:val="auto"/>
                <w:szCs w:val="21"/>
                <w:highlight w:val="none"/>
              </w:rPr>
              <w:t>推进挥发性有机物污染治理。在石化、有机化工、表面涂装、包装印刷等行业实施挥发性有机物综合整治，在石化行业开展“泄漏检测与修复”技术改造。</w:t>
            </w:r>
          </w:p>
        </w:tc>
        <w:tc>
          <w:tcPr>
            <w:tcW w:w="477" w:type="pct"/>
            <w:vAlign w:val="center"/>
          </w:tcPr>
          <w:p>
            <w:pPr>
              <w:snapToGrid w:val="0"/>
              <w:spacing w:line="300" w:lineRule="exact"/>
              <w:jc w:val="center"/>
              <w:rPr>
                <w:color w:val="auto"/>
                <w:szCs w:val="21"/>
                <w:highlight w:val="none"/>
              </w:rPr>
            </w:pPr>
            <w:r>
              <w:rPr>
                <w:color w:val="auto"/>
                <w:szCs w:val="21"/>
                <w:highlight w:val="none"/>
              </w:rPr>
              <w:t>符合</w:t>
            </w:r>
          </w:p>
        </w:tc>
        <w:tc>
          <w:tcPr>
            <w:tcW w:w="969" w:type="pct"/>
            <w:gridSpan w:val="2"/>
            <w:vAlign w:val="center"/>
          </w:tcPr>
          <w:p>
            <w:pPr>
              <w:snapToGrid w:val="0"/>
              <w:spacing w:line="300" w:lineRule="exact"/>
              <w:jc w:val="center"/>
              <w:rPr>
                <w:color w:val="auto"/>
                <w:szCs w:val="21"/>
                <w:highlight w:val="none"/>
              </w:rPr>
            </w:pPr>
            <w:r>
              <w:rPr>
                <w:color w:val="auto"/>
                <w:szCs w:val="21"/>
                <w:highlight w:val="none"/>
              </w:rPr>
              <w:t>项目</w:t>
            </w:r>
            <w:r>
              <w:rPr>
                <w:rFonts w:hint="eastAsia"/>
                <w:color w:val="auto"/>
                <w:szCs w:val="21"/>
                <w:highlight w:val="none"/>
              </w:rPr>
              <w:t>挤出成型、熔融造粒、注塑、破碎废气经</w:t>
            </w:r>
            <w:r>
              <w:rPr>
                <w:color w:val="auto"/>
                <w:szCs w:val="21"/>
                <w:highlight w:val="none"/>
              </w:rPr>
              <w:t>布袋除尘+活性炭吸附浓缩+催化燃烧+</w:t>
            </w:r>
            <w:r>
              <w:rPr>
                <w:rFonts w:hint="eastAsia"/>
                <w:color w:val="auto"/>
                <w:szCs w:val="21"/>
                <w:highlight w:val="none"/>
                <w:lang w:eastAsia="zh-CN"/>
              </w:rPr>
              <w:t>20m</w:t>
            </w:r>
            <w:r>
              <w:rPr>
                <w:color w:val="auto"/>
                <w:szCs w:val="21"/>
                <w:highlight w:val="none"/>
              </w:rPr>
              <w:t>高排气筒</w:t>
            </w:r>
            <w:r>
              <w:rPr>
                <w:rFonts w:hint="eastAsia"/>
                <w:color w:val="auto"/>
                <w:szCs w:val="21"/>
                <w:highlight w:val="none"/>
              </w:rPr>
              <w:t>（DA001）排放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pct"/>
            <w:vMerge w:val="continue"/>
            <w:vAlign w:val="center"/>
          </w:tcPr>
          <w:p>
            <w:pPr>
              <w:snapToGrid w:val="0"/>
              <w:spacing w:line="300" w:lineRule="exact"/>
              <w:jc w:val="center"/>
              <w:rPr>
                <w:color w:val="auto"/>
                <w:szCs w:val="21"/>
                <w:highlight w:val="none"/>
              </w:rPr>
            </w:pPr>
          </w:p>
        </w:tc>
        <w:tc>
          <w:tcPr>
            <w:tcW w:w="2863" w:type="pct"/>
            <w:vAlign w:val="center"/>
          </w:tcPr>
          <w:p>
            <w:pPr>
              <w:snapToGrid w:val="0"/>
              <w:spacing w:line="260" w:lineRule="exact"/>
              <w:jc w:val="center"/>
              <w:rPr>
                <w:color w:val="auto"/>
                <w:szCs w:val="21"/>
                <w:highlight w:val="none"/>
              </w:rPr>
            </w:pPr>
            <w:r>
              <w:rPr>
                <w:color w:val="auto"/>
                <w:szCs w:val="21"/>
                <w:highlight w:val="none"/>
              </w:rPr>
              <w:t>严控“两高”行业新增产能。修订高耗能、高污染和资源性行业准入条件，明确资源能源节约和污染物排放等指标。有条件的地区要制定符合当地功能定位、严于国家要求的产业准入目录。严格控制“两高”行业新增产能，新、改、扩建项目要实行产能等量或减量置换。</w:t>
            </w:r>
          </w:p>
        </w:tc>
        <w:tc>
          <w:tcPr>
            <w:tcW w:w="477" w:type="pct"/>
            <w:vAlign w:val="center"/>
          </w:tcPr>
          <w:p>
            <w:pPr>
              <w:snapToGrid w:val="0"/>
              <w:spacing w:line="300" w:lineRule="exact"/>
              <w:jc w:val="center"/>
              <w:rPr>
                <w:color w:val="auto"/>
                <w:szCs w:val="21"/>
                <w:highlight w:val="none"/>
              </w:rPr>
            </w:pPr>
            <w:r>
              <w:rPr>
                <w:color w:val="auto"/>
                <w:szCs w:val="21"/>
                <w:highlight w:val="none"/>
              </w:rPr>
              <w:t>符合</w:t>
            </w:r>
          </w:p>
        </w:tc>
        <w:tc>
          <w:tcPr>
            <w:tcW w:w="969" w:type="pct"/>
            <w:gridSpan w:val="2"/>
            <w:vAlign w:val="center"/>
          </w:tcPr>
          <w:p>
            <w:pPr>
              <w:snapToGrid w:val="0"/>
              <w:spacing w:line="300" w:lineRule="exact"/>
              <w:jc w:val="center"/>
              <w:rPr>
                <w:color w:val="auto"/>
                <w:szCs w:val="21"/>
                <w:highlight w:val="none"/>
              </w:rPr>
            </w:pPr>
            <w:r>
              <w:rPr>
                <w:color w:val="auto"/>
                <w:szCs w:val="21"/>
                <w:highlight w:val="none"/>
              </w:rPr>
              <w:t>项目</w:t>
            </w:r>
            <w:r>
              <w:rPr>
                <w:rFonts w:hint="eastAsia"/>
                <w:color w:val="auto"/>
                <w:szCs w:val="21"/>
                <w:highlight w:val="none"/>
              </w:rPr>
              <w:t>不属于</w:t>
            </w:r>
            <w:r>
              <w:rPr>
                <w:color w:val="auto"/>
                <w:szCs w:val="21"/>
                <w:highlight w:val="none"/>
              </w:rPr>
              <w:t>“两高”行业。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pct"/>
            <w:vMerge w:val="continue"/>
            <w:vAlign w:val="center"/>
          </w:tcPr>
          <w:p>
            <w:pPr>
              <w:snapToGrid w:val="0"/>
              <w:spacing w:line="300" w:lineRule="exact"/>
              <w:jc w:val="center"/>
              <w:rPr>
                <w:color w:val="auto"/>
                <w:szCs w:val="21"/>
                <w:highlight w:val="none"/>
              </w:rPr>
            </w:pPr>
          </w:p>
        </w:tc>
        <w:tc>
          <w:tcPr>
            <w:tcW w:w="2863" w:type="pct"/>
            <w:vAlign w:val="center"/>
          </w:tcPr>
          <w:p>
            <w:pPr>
              <w:snapToGrid w:val="0"/>
              <w:spacing w:line="260" w:lineRule="exact"/>
              <w:jc w:val="center"/>
              <w:rPr>
                <w:color w:val="auto"/>
                <w:szCs w:val="21"/>
                <w:highlight w:val="none"/>
              </w:rPr>
            </w:pPr>
            <w:r>
              <w:rPr>
                <w:color w:val="auto"/>
                <w:szCs w:val="21"/>
                <w:highlight w:val="none"/>
              </w:rPr>
              <w:t>强化企业施治。企业是大气污染治理的责任主体，要按照环保规范要求，加强内部管理，增加资金投入，采用先进的生产工艺和治理技术，确保达标排放，甚至达到“零排放”；要自觉履行环境保护的社会 责任，接受社会监督</w:t>
            </w:r>
          </w:p>
        </w:tc>
        <w:tc>
          <w:tcPr>
            <w:tcW w:w="477" w:type="pct"/>
            <w:vAlign w:val="center"/>
          </w:tcPr>
          <w:p>
            <w:pPr>
              <w:snapToGrid w:val="0"/>
              <w:spacing w:line="300" w:lineRule="exact"/>
              <w:jc w:val="center"/>
              <w:rPr>
                <w:color w:val="auto"/>
                <w:szCs w:val="21"/>
                <w:highlight w:val="none"/>
              </w:rPr>
            </w:pPr>
            <w:r>
              <w:rPr>
                <w:color w:val="auto"/>
                <w:szCs w:val="21"/>
                <w:highlight w:val="none"/>
              </w:rPr>
              <w:t>符合</w:t>
            </w:r>
          </w:p>
        </w:tc>
        <w:tc>
          <w:tcPr>
            <w:tcW w:w="969" w:type="pct"/>
            <w:gridSpan w:val="2"/>
            <w:vAlign w:val="center"/>
          </w:tcPr>
          <w:p>
            <w:pPr>
              <w:snapToGrid w:val="0"/>
              <w:spacing w:line="300" w:lineRule="exact"/>
              <w:jc w:val="center"/>
              <w:rPr>
                <w:color w:val="auto"/>
                <w:szCs w:val="21"/>
                <w:highlight w:val="none"/>
              </w:rPr>
            </w:pPr>
            <w:r>
              <w:rPr>
                <w:color w:val="auto"/>
                <w:szCs w:val="21"/>
                <w:highlight w:val="none"/>
              </w:rPr>
              <w:t>项目废气经处理后能够达标排放。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pct"/>
            <w:vMerge w:val="continue"/>
            <w:vAlign w:val="center"/>
          </w:tcPr>
          <w:p>
            <w:pPr>
              <w:snapToGrid w:val="0"/>
              <w:spacing w:line="300" w:lineRule="exact"/>
              <w:jc w:val="center"/>
              <w:rPr>
                <w:color w:val="auto"/>
                <w:szCs w:val="21"/>
                <w:highlight w:val="none"/>
              </w:rPr>
            </w:pPr>
          </w:p>
        </w:tc>
        <w:tc>
          <w:tcPr>
            <w:tcW w:w="2863" w:type="pct"/>
            <w:vAlign w:val="center"/>
          </w:tcPr>
          <w:p>
            <w:pPr>
              <w:snapToGrid w:val="0"/>
              <w:spacing w:line="260" w:lineRule="exact"/>
              <w:jc w:val="center"/>
              <w:rPr>
                <w:color w:val="auto"/>
                <w:szCs w:val="21"/>
                <w:highlight w:val="none"/>
              </w:rPr>
            </w:pPr>
            <w:r>
              <w:rPr>
                <w:color w:val="auto"/>
                <w:szCs w:val="21"/>
                <w:highlight w:val="none"/>
              </w:rPr>
              <w:t>调整产业布局。按照主体功能区规划要求，合理确定重点产业发展布局、结构和规模，重大项目原则上布局在优化开发区和重点开发区。所有新、改、扩建项目，必须全部进行环境影响评价；未通过环境影响评价审批的，一律不准开工建设；违规建设的，要依法进行处罚。加强产业政策在产业转移过程中的引导与约束作用，严格限制在生态脆弱或环境敏感地区建设“两高”行业项目。加强对各类产业发展规划的环境影响评价。</w:t>
            </w:r>
          </w:p>
        </w:tc>
        <w:tc>
          <w:tcPr>
            <w:tcW w:w="477" w:type="pct"/>
            <w:vAlign w:val="center"/>
          </w:tcPr>
          <w:p>
            <w:pPr>
              <w:snapToGrid w:val="0"/>
              <w:spacing w:line="300" w:lineRule="exact"/>
              <w:jc w:val="center"/>
              <w:rPr>
                <w:color w:val="auto"/>
                <w:szCs w:val="21"/>
                <w:highlight w:val="none"/>
              </w:rPr>
            </w:pPr>
            <w:r>
              <w:rPr>
                <w:color w:val="auto"/>
                <w:szCs w:val="21"/>
                <w:highlight w:val="none"/>
              </w:rPr>
              <w:t>符合</w:t>
            </w:r>
          </w:p>
        </w:tc>
        <w:tc>
          <w:tcPr>
            <w:tcW w:w="969" w:type="pct"/>
            <w:gridSpan w:val="2"/>
            <w:vAlign w:val="center"/>
          </w:tcPr>
          <w:p>
            <w:pPr>
              <w:snapToGrid w:val="0"/>
              <w:spacing w:line="300" w:lineRule="exact"/>
              <w:jc w:val="center"/>
              <w:rPr>
                <w:color w:val="auto"/>
                <w:szCs w:val="21"/>
                <w:highlight w:val="none"/>
              </w:rPr>
            </w:pPr>
            <w:r>
              <w:rPr>
                <w:color w:val="auto"/>
                <w:szCs w:val="21"/>
                <w:highlight w:val="none"/>
              </w:rPr>
              <w:t>项目符合枣庄市城市总体规划、</w:t>
            </w:r>
            <w:r>
              <w:rPr>
                <w:rFonts w:hint="eastAsia"/>
                <w:color w:val="auto"/>
                <w:szCs w:val="21"/>
                <w:highlight w:val="none"/>
              </w:rPr>
              <w:t>峨山镇</w:t>
            </w:r>
            <w:r>
              <w:rPr>
                <w:color w:val="auto"/>
                <w:szCs w:val="21"/>
                <w:highlight w:val="none"/>
              </w:rPr>
              <w:t>土地利用总体规划。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pct"/>
            <w:vMerge w:val="continue"/>
            <w:vAlign w:val="center"/>
          </w:tcPr>
          <w:p>
            <w:pPr>
              <w:snapToGrid w:val="0"/>
              <w:spacing w:line="300" w:lineRule="exact"/>
              <w:jc w:val="center"/>
              <w:rPr>
                <w:color w:val="auto"/>
                <w:szCs w:val="21"/>
                <w:highlight w:val="none"/>
              </w:rPr>
            </w:pPr>
          </w:p>
        </w:tc>
        <w:tc>
          <w:tcPr>
            <w:tcW w:w="2863" w:type="pct"/>
            <w:vAlign w:val="center"/>
          </w:tcPr>
          <w:p>
            <w:pPr>
              <w:snapToGrid w:val="0"/>
              <w:spacing w:line="260" w:lineRule="exact"/>
              <w:jc w:val="center"/>
              <w:rPr>
                <w:color w:val="auto"/>
                <w:szCs w:val="21"/>
                <w:highlight w:val="none"/>
              </w:rPr>
            </w:pPr>
            <w:r>
              <w:rPr>
                <w:color w:val="auto"/>
                <w:szCs w:val="21"/>
                <w:highlight w:val="none"/>
              </w:rPr>
              <w:t>严格实施污染物排放总量控制，将二氧化硫、氮氧化物、烟粉尘和挥发性有机物排放是否符合总量控制要求作为建设项目环境影响评价审批的前置条件。</w:t>
            </w:r>
          </w:p>
        </w:tc>
        <w:tc>
          <w:tcPr>
            <w:tcW w:w="477" w:type="pct"/>
            <w:vAlign w:val="center"/>
          </w:tcPr>
          <w:p>
            <w:pPr>
              <w:snapToGrid w:val="0"/>
              <w:spacing w:line="300" w:lineRule="exact"/>
              <w:jc w:val="center"/>
              <w:rPr>
                <w:color w:val="auto"/>
                <w:szCs w:val="21"/>
                <w:highlight w:val="none"/>
              </w:rPr>
            </w:pPr>
            <w:r>
              <w:rPr>
                <w:color w:val="auto"/>
                <w:szCs w:val="21"/>
                <w:highlight w:val="none"/>
              </w:rPr>
              <w:t>符合</w:t>
            </w:r>
          </w:p>
        </w:tc>
        <w:tc>
          <w:tcPr>
            <w:tcW w:w="969" w:type="pct"/>
            <w:gridSpan w:val="2"/>
            <w:vAlign w:val="center"/>
          </w:tcPr>
          <w:p>
            <w:pPr>
              <w:snapToGrid w:val="0"/>
              <w:spacing w:line="300" w:lineRule="exact"/>
              <w:jc w:val="center"/>
              <w:rPr>
                <w:color w:val="auto"/>
                <w:szCs w:val="21"/>
                <w:highlight w:val="none"/>
              </w:rPr>
            </w:pPr>
            <w:r>
              <w:rPr>
                <w:color w:val="auto"/>
                <w:szCs w:val="21"/>
                <w:highlight w:val="none"/>
              </w:rPr>
              <w:t>建设单位环评期间</w:t>
            </w:r>
            <w:r>
              <w:rPr>
                <w:rFonts w:hint="eastAsia"/>
                <w:color w:val="auto"/>
                <w:szCs w:val="21"/>
                <w:highlight w:val="none"/>
              </w:rPr>
              <w:t>已</w:t>
            </w:r>
            <w:r>
              <w:rPr>
                <w:color w:val="auto"/>
                <w:szCs w:val="21"/>
                <w:highlight w:val="none"/>
              </w:rPr>
              <w:t>申请总量控制指标。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pct"/>
            <w:vMerge w:val="continue"/>
            <w:vAlign w:val="center"/>
          </w:tcPr>
          <w:p>
            <w:pPr>
              <w:snapToGrid w:val="0"/>
              <w:spacing w:line="300" w:lineRule="exact"/>
              <w:jc w:val="center"/>
              <w:rPr>
                <w:color w:val="auto"/>
                <w:szCs w:val="21"/>
                <w:highlight w:val="none"/>
              </w:rPr>
            </w:pPr>
          </w:p>
        </w:tc>
        <w:tc>
          <w:tcPr>
            <w:tcW w:w="2863" w:type="pct"/>
            <w:vAlign w:val="center"/>
          </w:tcPr>
          <w:p>
            <w:pPr>
              <w:snapToGrid w:val="0"/>
              <w:spacing w:line="260" w:lineRule="exact"/>
              <w:jc w:val="center"/>
              <w:rPr>
                <w:bCs/>
                <w:color w:val="auto"/>
                <w:szCs w:val="21"/>
                <w:highlight w:val="none"/>
              </w:rPr>
            </w:pPr>
            <w:r>
              <w:rPr>
                <w:color w:val="auto"/>
                <w:szCs w:val="21"/>
                <w:highlight w:val="none"/>
              </w:rPr>
              <w:t>加快淘汰落后产能。结合产业发展实际和环境质量状况，进一步提高环保、能耗、安全、质量等标准，分区域明确落后产能淘汰任务，倒逼产业转型升级。</w:t>
            </w:r>
          </w:p>
        </w:tc>
        <w:tc>
          <w:tcPr>
            <w:tcW w:w="477" w:type="pct"/>
            <w:vAlign w:val="center"/>
          </w:tcPr>
          <w:p>
            <w:pPr>
              <w:snapToGrid w:val="0"/>
              <w:spacing w:line="300" w:lineRule="exact"/>
              <w:jc w:val="center"/>
              <w:rPr>
                <w:color w:val="auto"/>
                <w:szCs w:val="21"/>
                <w:highlight w:val="none"/>
              </w:rPr>
            </w:pPr>
            <w:r>
              <w:rPr>
                <w:color w:val="auto"/>
                <w:szCs w:val="21"/>
                <w:highlight w:val="none"/>
              </w:rPr>
              <w:t>符合</w:t>
            </w:r>
          </w:p>
        </w:tc>
        <w:tc>
          <w:tcPr>
            <w:tcW w:w="969" w:type="pct"/>
            <w:gridSpan w:val="2"/>
            <w:vAlign w:val="center"/>
          </w:tcPr>
          <w:p>
            <w:pPr>
              <w:snapToGrid w:val="0"/>
              <w:spacing w:line="300" w:lineRule="exact"/>
              <w:jc w:val="center"/>
              <w:rPr>
                <w:color w:val="auto"/>
                <w:szCs w:val="21"/>
                <w:highlight w:val="none"/>
              </w:rPr>
            </w:pPr>
            <w:r>
              <w:rPr>
                <w:color w:val="auto"/>
                <w:szCs w:val="21"/>
                <w:highlight w:val="none"/>
              </w:rPr>
              <w:t>不属于落后产能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pct"/>
            <w:vMerge w:val="restart"/>
            <w:vAlign w:val="center"/>
          </w:tcPr>
          <w:p>
            <w:pPr>
              <w:snapToGrid w:val="0"/>
              <w:spacing w:line="300" w:lineRule="exact"/>
              <w:jc w:val="center"/>
              <w:rPr>
                <w:color w:val="auto"/>
                <w:szCs w:val="21"/>
                <w:highlight w:val="none"/>
              </w:rPr>
            </w:pPr>
            <w:r>
              <w:rPr>
                <w:color w:val="auto"/>
                <w:szCs w:val="21"/>
                <w:highlight w:val="none"/>
              </w:rPr>
              <w:t>《水污染防治行动计划》</w:t>
            </w:r>
            <w:r>
              <w:rPr>
                <w:rFonts w:hint="eastAsia"/>
                <w:color w:val="auto"/>
                <w:szCs w:val="21"/>
                <w:highlight w:val="none"/>
              </w:rPr>
              <w:t>(</w:t>
            </w:r>
            <w:r>
              <w:rPr>
                <w:color w:val="auto"/>
                <w:szCs w:val="21"/>
                <w:highlight w:val="none"/>
              </w:rPr>
              <w:t>水十条</w:t>
            </w:r>
            <w:r>
              <w:rPr>
                <w:rFonts w:hint="eastAsia"/>
                <w:color w:val="auto"/>
                <w:szCs w:val="21"/>
                <w:highlight w:val="none"/>
              </w:rPr>
              <w:t>)</w:t>
            </w:r>
            <w:r>
              <w:rPr>
                <w:color w:val="auto"/>
                <w:szCs w:val="21"/>
                <w:highlight w:val="none"/>
              </w:rPr>
              <w:t>国发[2015]17号2015.04.16</w:t>
            </w:r>
          </w:p>
        </w:tc>
        <w:tc>
          <w:tcPr>
            <w:tcW w:w="2863" w:type="pct"/>
            <w:vAlign w:val="center"/>
          </w:tcPr>
          <w:p>
            <w:pPr>
              <w:snapToGrid w:val="0"/>
              <w:spacing w:line="260" w:lineRule="exact"/>
              <w:jc w:val="center"/>
              <w:rPr>
                <w:color w:val="auto"/>
                <w:szCs w:val="21"/>
                <w:highlight w:val="none"/>
              </w:rPr>
            </w:pPr>
            <w:r>
              <w:rPr>
                <w:color w:val="auto"/>
                <w:szCs w:val="21"/>
                <w:highlight w:val="none"/>
                <w:shd w:val="clear" w:color="auto" w:fill="FFFFFF"/>
              </w:rPr>
              <w:t>取缔“十小”企业。全面排查装备水平低、环保设施差的小型工业企业。2016年底前，按照水污染防治法律法规要求，全部取缔不符合国家产业政策的小型造纸、制革、印染、染料、炼焦、炼硫、炼砷、炼油、电镀、农药等严重污染水环境的生产项目。</w:t>
            </w:r>
          </w:p>
        </w:tc>
        <w:tc>
          <w:tcPr>
            <w:tcW w:w="477" w:type="pct"/>
            <w:vAlign w:val="center"/>
          </w:tcPr>
          <w:p>
            <w:pPr>
              <w:snapToGrid w:val="0"/>
              <w:spacing w:line="300" w:lineRule="exact"/>
              <w:jc w:val="center"/>
              <w:rPr>
                <w:color w:val="auto"/>
                <w:szCs w:val="21"/>
                <w:highlight w:val="none"/>
              </w:rPr>
            </w:pPr>
            <w:r>
              <w:rPr>
                <w:color w:val="auto"/>
                <w:szCs w:val="21"/>
                <w:highlight w:val="none"/>
              </w:rPr>
              <w:t>符合</w:t>
            </w:r>
          </w:p>
        </w:tc>
        <w:tc>
          <w:tcPr>
            <w:tcW w:w="969" w:type="pct"/>
            <w:gridSpan w:val="2"/>
            <w:vAlign w:val="center"/>
          </w:tcPr>
          <w:p>
            <w:pPr>
              <w:snapToGrid w:val="0"/>
              <w:spacing w:line="300" w:lineRule="exact"/>
              <w:jc w:val="center"/>
              <w:rPr>
                <w:color w:val="auto"/>
                <w:szCs w:val="21"/>
                <w:highlight w:val="none"/>
              </w:rPr>
            </w:pPr>
            <w:r>
              <w:rPr>
                <w:color w:val="auto"/>
                <w:szCs w:val="21"/>
                <w:highlight w:val="none"/>
              </w:rPr>
              <w:t>项目属于新建项目</w:t>
            </w:r>
            <w:r>
              <w:rPr>
                <w:rFonts w:hint="eastAsia"/>
                <w:color w:val="auto"/>
                <w:szCs w:val="21"/>
                <w:highlight w:val="none"/>
              </w:rPr>
              <w:t>，</w:t>
            </w:r>
            <w:r>
              <w:rPr>
                <w:color w:val="auto"/>
                <w:szCs w:val="21"/>
                <w:highlight w:val="none"/>
              </w:rPr>
              <w:t>不属于</w:t>
            </w:r>
            <w:r>
              <w:rPr>
                <w:color w:val="auto"/>
                <w:szCs w:val="21"/>
                <w:highlight w:val="none"/>
                <w:shd w:val="clear" w:color="auto" w:fill="FFFFFF"/>
              </w:rPr>
              <w:t>“十小”企业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pct"/>
            <w:vMerge w:val="continue"/>
            <w:vAlign w:val="center"/>
          </w:tcPr>
          <w:p>
            <w:pPr>
              <w:snapToGrid w:val="0"/>
              <w:spacing w:line="300" w:lineRule="exact"/>
              <w:jc w:val="center"/>
              <w:rPr>
                <w:color w:val="auto"/>
                <w:szCs w:val="21"/>
                <w:highlight w:val="none"/>
              </w:rPr>
            </w:pPr>
          </w:p>
        </w:tc>
        <w:tc>
          <w:tcPr>
            <w:tcW w:w="2863" w:type="pct"/>
            <w:vAlign w:val="center"/>
          </w:tcPr>
          <w:p>
            <w:pPr>
              <w:snapToGrid w:val="0"/>
              <w:spacing w:line="260" w:lineRule="exact"/>
              <w:jc w:val="center"/>
              <w:rPr>
                <w:color w:val="auto"/>
                <w:szCs w:val="21"/>
                <w:highlight w:val="none"/>
                <w:shd w:val="clear" w:color="auto" w:fill="FFFFFF"/>
              </w:rPr>
            </w:pPr>
            <w:r>
              <w:rPr>
                <w:color w:val="auto"/>
                <w:szCs w:val="21"/>
                <w:highlight w:val="none"/>
              </w:rPr>
              <w:t>专项整治十大重点行业。制定造纸、焦化、氮肥、有色金属、印染、农副食品加工、原料药制造、制革、农药、电镀等行业专项治理方案，实施清洁化改造。新建、改建、扩建上述行业建设项目实行主要污染物排放等量或减量置换。</w:t>
            </w:r>
          </w:p>
        </w:tc>
        <w:tc>
          <w:tcPr>
            <w:tcW w:w="477" w:type="pct"/>
            <w:vAlign w:val="center"/>
          </w:tcPr>
          <w:p>
            <w:pPr>
              <w:snapToGrid w:val="0"/>
              <w:spacing w:line="300" w:lineRule="exact"/>
              <w:jc w:val="center"/>
              <w:rPr>
                <w:color w:val="auto"/>
                <w:szCs w:val="21"/>
                <w:highlight w:val="none"/>
              </w:rPr>
            </w:pPr>
            <w:r>
              <w:rPr>
                <w:color w:val="auto"/>
                <w:szCs w:val="21"/>
                <w:highlight w:val="none"/>
              </w:rPr>
              <w:t>符合</w:t>
            </w:r>
          </w:p>
        </w:tc>
        <w:tc>
          <w:tcPr>
            <w:tcW w:w="969" w:type="pct"/>
            <w:gridSpan w:val="2"/>
            <w:vAlign w:val="center"/>
          </w:tcPr>
          <w:p>
            <w:pPr>
              <w:snapToGrid w:val="0"/>
              <w:spacing w:line="300" w:lineRule="exact"/>
              <w:jc w:val="center"/>
              <w:rPr>
                <w:color w:val="auto"/>
                <w:szCs w:val="21"/>
                <w:highlight w:val="none"/>
              </w:rPr>
            </w:pPr>
            <w:r>
              <w:rPr>
                <w:color w:val="auto"/>
                <w:szCs w:val="21"/>
                <w:highlight w:val="none"/>
              </w:rPr>
              <w:t>项目</w:t>
            </w:r>
            <w:r>
              <w:rPr>
                <w:rFonts w:hint="eastAsia"/>
                <w:color w:val="auto"/>
                <w:szCs w:val="21"/>
                <w:highlight w:val="none"/>
              </w:rPr>
              <w:t>不属于以上行业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pct"/>
            <w:vMerge w:val="continue"/>
            <w:vAlign w:val="center"/>
          </w:tcPr>
          <w:p>
            <w:pPr>
              <w:snapToGrid w:val="0"/>
              <w:spacing w:line="300" w:lineRule="exact"/>
              <w:jc w:val="center"/>
              <w:rPr>
                <w:color w:val="auto"/>
                <w:szCs w:val="21"/>
                <w:highlight w:val="none"/>
              </w:rPr>
            </w:pPr>
          </w:p>
        </w:tc>
        <w:tc>
          <w:tcPr>
            <w:tcW w:w="2863" w:type="pct"/>
            <w:vAlign w:val="center"/>
          </w:tcPr>
          <w:p>
            <w:pPr>
              <w:snapToGrid w:val="0"/>
              <w:spacing w:line="260" w:lineRule="exact"/>
              <w:jc w:val="center"/>
              <w:rPr>
                <w:color w:val="auto"/>
                <w:szCs w:val="21"/>
                <w:highlight w:val="none"/>
              </w:rPr>
            </w:pPr>
            <w:r>
              <w:rPr>
                <w:color w:val="auto"/>
                <w:szCs w:val="21"/>
                <w:highlight w:val="none"/>
              </w:rPr>
              <w:t>2017年底前，造纸行业力争完成纸浆无元素氯漂白改造或采取其他低污染制浆技术，钢铁企业焦炉完成干熄焦技术改造，氮肥行业尿素生产完成工艺冷凝液水解解析技术改造，印染行业实施低排水染整工艺改造，制药（抗生素、维生素）行业实施绿色酶法生产技术改造，制革行业实施铬减量化和封闭循环利用技术改造。</w:t>
            </w:r>
          </w:p>
        </w:tc>
        <w:tc>
          <w:tcPr>
            <w:tcW w:w="477" w:type="pct"/>
            <w:vAlign w:val="center"/>
          </w:tcPr>
          <w:p>
            <w:pPr>
              <w:snapToGrid w:val="0"/>
              <w:spacing w:line="300" w:lineRule="exact"/>
              <w:jc w:val="center"/>
              <w:rPr>
                <w:color w:val="auto"/>
                <w:szCs w:val="21"/>
                <w:highlight w:val="none"/>
              </w:rPr>
            </w:pPr>
            <w:r>
              <w:rPr>
                <w:color w:val="auto"/>
                <w:szCs w:val="21"/>
                <w:highlight w:val="none"/>
              </w:rPr>
              <w:t>符合</w:t>
            </w:r>
          </w:p>
        </w:tc>
        <w:tc>
          <w:tcPr>
            <w:tcW w:w="969" w:type="pct"/>
            <w:gridSpan w:val="2"/>
            <w:vAlign w:val="center"/>
          </w:tcPr>
          <w:p>
            <w:pPr>
              <w:snapToGrid w:val="0"/>
              <w:spacing w:line="300" w:lineRule="exact"/>
              <w:jc w:val="center"/>
              <w:rPr>
                <w:color w:val="auto"/>
                <w:szCs w:val="21"/>
                <w:highlight w:val="none"/>
              </w:rPr>
            </w:pPr>
            <w:r>
              <w:rPr>
                <w:rFonts w:hint="eastAsia"/>
                <w:color w:val="auto"/>
                <w:szCs w:val="21"/>
                <w:highlight w:val="none"/>
              </w:rPr>
              <w:t>项目不属于以上行业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pct"/>
            <w:vMerge w:val="continue"/>
            <w:vAlign w:val="center"/>
          </w:tcPr>
          <w:p>
            <w:pPr>
              <w:snapToGrid w:val="0"/>
              <w:spacing w:line="300" w:lineRule="exact"/>
              <w:jc w:val="center"/>
              <w:rPr>
                <w:color w:val="auto"/>
                <w:szCs w:val="21"/>
                <w:highlight w:val="none"/>
              </w:rPr>
            </w:pPr>
          </w:p>
        </w:tc>
        <w:tc>
          <w:tcPr>
            <w:tcW w:w="2863" w:type="pct"/>
            <w:vAlign w:val="center"/>
          </w:tcPr>
          <w:p>
            <w:pPr>
              <w:snapToGrid w:val="0"/>
              <w:spacing w:line="260" w:lineRule="exact"/>
              <w:jc w:val="center"/>
              <w:rPr>
                <w:color w:val="auto"/>
                <w:szCs w:val="21"/>
                <w:highlight w:val="none"/>
              </w:rPr>
            </w:pPr>
            <w:r>
              <w:rPr>
                <w:color w:val="auto"/>
                <w:szCs w:val="21"/>
                <w:highlight w:val="none"/>
              </w:rPr>
              <w:t>集中治理工业集聚区水污染。强化经济技术开发区、高新技术产业开发区、出口加工区等工业集聚区污染治理。集聚区内工业废水必须经预处理达到集中处理要求，方可进入污水集中处理设施</w:t>
            </w:r>
            <w:r>
              <w:rPr>
                <w:rFonts w:hint="eastAsia"/>
                <w:color w:val="auto"/>
                <w:szCs w:val="21"/>
                <w:highlight w:val="none"/>
              </w:rPr>
              <w:t>。</w:t>
            </w:r>
          </w:p>
        </w:tc>
        <w:tc>
          <w:tcPr>
            <w:tcW w:w="477" w:type="pct"/>
            <w:vAlign w:val="center"/>
          </w:tcPr>
          <w:p>
            <w:pPr>
              <w:snapToGrid w:val="0"/>
              <w:spacing w:line="300" w:lineRule="exact"/>
              <w:jc w:val="center"/>
              <w:rPr>
                <w:color w:val="auto"/>
                <w:szCs w:val="21"/>
                <w:highlight w:val="none"/>
              </w:rPr>
            </w:pPr>
            <w:r>
              <w:rPr>
                <w:color w:val="auto"/>
                <w:szCs w:val="21"/>
                <w:highlight w:val="none"/>
              </w:rPr>
              <w:t>符合</w:t>
            </w:r>
          </w:p>
        </w:tc>
        <w:tc>
          <w:tcPr>
            <w:tcW w:w="969" w:type="pct"/>
            <w:gridSpan w:val="2"/>
            <w:vAlign w:val="center"/>
          </w:tcPr>
          <w:p>
            <w:pPr>
              <w:snapToGrid w:val="0"/>
              <w:spacing w:line="300" w:lineRule="exact"/>
              <w:jc w:val="center"/>
              <w:rPr>
                <w:color w:val="auto"/>
                <w:szCs w:val="21"/>
                <w:highlight w:val="none"/>
              </w:rPr>
            </w:pPr>
            <w:r>
              <w:rPr>
                <w:color w:val="auto"/>
                <w:szCs w:val="21"/>
                <w:highlight w:val="none"/>
              </w:rPr>
              <w:t>项目</w:t>
            </w:r>
            <w:r>
              <w:rPr>
                <w:rFonts w:hint="eastAsia"/>
                <w:color w:val="auto"/>
                <w:szCs w:val="24"/>
                <w:highlight w:val="none"/>
              </w:rPr>
              <w:t>无生产废水，生活污水经化粪池收集后由环卫部门定期清运，废水不外排。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pct"/>
            <w:vMerge w:val="continue"/>
            <w:vAlign w:val="center"/>
          </w:tcPr>
          <w:p>
            <w:pPr>
              <w:snapToGrid w:val="0"/>
              <w:spacing w:line="300" w:lineRule="exact"/>
              <w:jc w:val="center"/>
              <w:rPr>
                <w:color w:val="auto"/>
                <w:szCs w:val="21"/>
                <w:highlight w:val="none"/>
              </w:rPr>
            </w:pPr>
          </w:p>
        </w:tc>
        <w:tc>
          <w:tcPr>
            <w:tcW w:w="2863" w:type="pct"/>
            <w:vAlign w:val="center"/>
          </w:tcPr>
          <w:p>
            <w:pPr>
              <w:snapToGrid w:val="0"/>
              <w:spacing w:line="260" w:lineRule="exact"/>
              <w:jc w:val="center"/>
              <w:rPr>
                <w:color w:val="auto"/>
                <w:szCs w:val="21"/>
                <w:highlight w:val="none"/>
              </w:rPr>
            </w:pPr>
            <w:r>
              <w:rPr>
                <w:color w:val="auto"/>
                <w:szCs w:val="21"/>
                <w:highlight w:val="none"/>
              </w:rPr>
              <w:t>推进污泥处理处置。污水处理设施产生的污泥应进行稳定化、无害化和资源化处理处置，禁止处理处置不达标的污泥进入耕地。非法污泥堆放点一律予以取缔。</w:t>
            </w:r>
          </w:p>
        </w:tc>
        <w:tc>
          <w:tcPr>
            <w:tcW w:w="477" w:type="pct"/>
            <w:vAlign w:val="center"/>
          </w:tcPr>
          <w:p>
            <w:pPr>
              <w:snapToGrid w:val="0"/>
              <w:spacing w:line="300" w:lineRule="exact"/>
              <w:jc w:val="center"/>
              <w:rPr>
                <w:color w:val="auto"/>
                <w:szCs w:val="21"/>
                <w:highlight w:val="none"/>
              </w:rPr>
            </w:pPr>
            <w:r>
              <w:rPr>
                <w:color w:val="auto"/>
                <w:szCs w:val="21"/>
                <w:highlight w:val="none"/>
              </w:rPr>
              <w:t>符合</w:t>
            </w:r>
          </w:p>
        </w:tc>
        <w:tc>
          <w:tcPr>
            <w:tcW w:w="969" w:type="pct"/>
            <w:gridSpan w:val="2"/>
            <w:vAlign w:val="center"/>
          </w:tcPr>
          <w:p>
            <w:pPr>
              <w:snapToGrid w:val="0"/>
              <w:spacing w:line="300" w:lineRule="exact"/>
              <w:jc w:val="center"/>
              <w:rPr>
                <w:color w:val="auto"/>
                <w:szCs w:val="21"/>
                <w:highlight w:val="none"/>
              </w:rPr>
            </w:pPr>
            <w:r>
              <w:rPr>
                <w:color w:val="auto"/>
                <w:szCs w:val="21"/>
                <w:highlight w:val="none"/>
              </w:rPr>
              <w:t>项目</w:t>
            </w:r>
            <w:r>
              <w:rPr>
                <w:rFonts w:hint="eastAsia"/>
                <w:color w:val="auto"/>
                <w:szCs w:val="21"/>
                <w:highlight w:val="none"/>
              </w:rPr>
              <w:t>不产生污泥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pct"/>
            <w:vMerge w:val="continue"/>
            <w:vAlign w:val="center"/>
          </w:tcPr>
          <w:p>
            <w:pPr>
              <w:snapToGrid w:val="0"/>
              <w:spacing w:line="300" w:lineRule="exact"/>
              <w:jc w:val="center"/>
              <w:rPr>
                <w:color w:val="auto"/>
                <w:szCs w:val="21"/>
                <w:highlight w:val="none"/>
              </w:rPr>
            </w:pPr>
          </w:p>
        </w:tc>
        <w:tc>
          <w:tcPr>
            <w:tcW w:w="2863" w:type="pct"/>
            <w:vAlign w:val="center"/>
          </w:tcPr>
          <w:p>
            <w:pPr>
              <w:snapToGrid w:val="0"/>
              <w:spacing w:line="260" w:lineRule="exact"/>
              <w:jc w:val="center"/>
              <w:rPr>
                <w:color w:val="auto"/>
                <w:szCs w:val="21"/>
                <w:highlight w:val="none"/>
              </w:rPr>
            </w:pPr>
            <w:r>
              <w:rPr>
                <w:color w:val="auto"/>
                <w:szCs w:val="21"/>
                <w:highlight w:val="none"/>
              </w:rPr>
              <w:t>重大项目原则上布局在优化开发区和重点开发区，并符合城乡规划和土地利用总体规划。</w:t>
            </w:r>
          </w:p>
        </w:tc>
        <w:tc>
          <w:tcPr>
            <w:tcW w:w="477" w:type="pct"/>
            <w:vAlign w:val="center"/>
          </w:tcPr>
          <w:p>
            <w:pPr>
              <w:snapToGrid w:val="0"/>
              <w:spacing w:line="300" w:lineRule="exact"/>
              <w:jc w:val="center"/>
              <w:rPr>
                <w:color w:val="auto"/>
                <w:szCs w:val="21"/>
                <w:highlight w:val="none"/>
              </w:rPr>
            </w:pPr>
            <w:r>
              <w:rPr>
                <w:color w:val="auto"/>
                <w:szCs w:val="21"/>
                <w:highlight w:val="none"/>
              </w:rPr>
              <w:t>符合</w:t>
            </w:r>
          </w:p>
        </w:tc>
        <w:tc>
          <w:tcPr>
            <w:tcW w:w="969" w:type="pct"/>
            <w:gridSpan w:val="2"/>
            <w:vAlign w:val="center"/>
          </w:tcPr>
          <w:p>
            <w:pPr>
              <w:snapToGrid w:val="0"/>
              <w:spacing w:line="300" w:lineRule="exact"/>
              <w:jc w:val="center"/>
              <w:rPr>
                <w:color w:val="auto"/>
                <w:szCs w:val="21"/>
                <w:highlight w:val="none"/>
              </w:rPr>
            </w:pPr>
            <w:r>
              <w:rPr>
                <w:color w:val="auto"/>
                <w:szCs w:val="21"/>
                <w:highlight w:val="none"/>
              </w:rPr>
              <w:t>项目符合枣庄市城市总体规划和</w:t>
            </w:r>
            <w:r>
              <w:rPr>
                <w:rFonts w:hint="eastAsia"/>
                <w:color w:val="auto"/>
                <w:szCs w:val="21"/>
                <w:highlight w:val="none"/>
              </w:rPr>
              <w:t>峨山镇</w:t>
            </w:r>
            <w:r>
              <w:rPr>
                <w:color w:val="auto"/>
                <w:szCs w:val="21"/>
                <w:highlight w:val="none"/>
              </w:rPr>
              <w:t>土地利用总体规划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pct"/>
            <w:vMerge w:val="continue"/>
            <w:vAlign w:val="center"/>
          </w:tcPr>
          <w:p>
            <w:pPr>
              <w:snapToGrid w:val="0"/>
              <w:spacing w:line="300" w:lineRule="exact"/>
              <w:jc w:val="center"/>
              <w:rPr>
                <w:color w:val="auto"/>
                <w:szCs w:val="21"/>
                <w:highlight w:val="none"/>
              </w:rPr>
            </w:pPr>
          </w:p>
        </w:tc>
        <w:tc>
          <w:tcPr>
            <w:tcW w:w="2863" w:type="pct"/>
            <w:vAlign w:val="center"/>
          </w:tcPr>
          <w:p>
            <w:pPr>
              <w:snapToGrid w:val="0"/>
              <w:spacing w:line="260" w:lineRule="exact"/>
              <w:jc w:val="center"/>
              <w:rPr>
                <w:color w:val="auto"/>
                <w:szCs w:val="21"/>
                <w:highlight w:val="none"/>
              </w:rPr>
            </w:pPr>
            <w:r>
              <w:rPr>
                <w:color w:val="auto"/>
                <w:szCs w:val="21"/>
                <w:highlight w:val="none"/>
              </w:rPr>
              <w:t>七大重点流域干流沿岸，要严格控制石油加工、化学原料和化学制品制造、医药制造、化学纤维制造、有色金属冶炼、纺织印染等项目环境风险，合理布局生产装置及危险化学品仓储等设施。</w:t>
            </w:r>
          </w:p>
        </w:tc>
        <w:tc>
          <w:tcPr>
            <w:tcW w:w="477" w:type="pct"/>
            <w:vAlign w:val="center"/>
          </w:tcPr>
          <w:p>
            <w:pPr>
              <w:snapToGrid w:val="0"/>
              <w:spacing w:line="300" w:lineRule="exact"/>
              <w:jc w:val="center"/>
              <w:rPr>
                <w:color w:val="auto"/>
                <w:szCs w:val="21"/>
                <w:highlight w:val="none"/>
              </w:rPr>
            </w:pPr>
            <w:r>
              <w:rPr>
                <w:color w:val="auto"/>
                <w:szCs w:val="21"/>
                <w:highlight w:val="none"/>
              </w:rPr>
              <w:t>符合</w:t>
            </w:r>
          </w:p>
        </w:tc>
        <w:tc>
          <w:tcPr>
            <w:tcW w:w="969" w:type="pct"/>
            <w:gridSpan w:val="2"/>
            <w:vAlign w:val="center"/>
          </w:tcPr>
          <w:p>
            <w:pPr>
              <w:snapToGrid w:val="0"/>
              <w:spacing w:line="300" w:lineRule="exact"/>
              <w:jc w:val="center"/>
              <w:rPr>
                <w:color w:val="auto"/>
                <w:szCs w:val="21"/>
                <w:highlight w:val="none"/>
              </w:rPr>
            </w:pPr>
            <w:r>
              <w:rPr>
                <w:color w:val="auto"/>
                <w:szCs w:val="21"/>
                <w:highlight w:val="none"/>
              </w:rPr>
              <w:t>项目选址不属于上述区域内。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pct"/>
            <w:vMerge w:val="continue"/>
            <w:vAlign w:val="center"/>
          </w:tcPr>
          <w:p>
            <w:pPr>
              <w:snapToGrid w:val="0"/>
              <w:spacing w:line="300" w:lineRule="exact"/>
              <w:jc w:val="center"/>
              <w:rPr>
                <w:color w:val="auto"/>
                <w:szCs w:val="21"/>
                <w:highlight w:val="none"/>
              </w:rPr>
            </w:pPr>
          </w:p>
        </w:tc>
        <w:tc>
          <w:tcPr>
            <w:tcW w:w="2863" w:type="pct"/>
            <w:vAlign w:val="center"/>
          </w:tcPr>
          <w:p>
            <w:pPr>
              <w:snapToGrid w:val="0"/>
              <w:spacing w:line="260" w:lineRule="exact"/>
              <w:jc w:val="center"/>
              <w:rPr>
                <w:color w:val="auto"/>
                <w:szCs w:val="21"/>
                <w:highlight w:val="none"/>
              </w:rPr>
            </w:pPr>
            <w:r>
              <w:rPr>
                <w:color w:val="auto"/>
                <w:szCs w:val="21"/>
                <w:highlight w:val="none"/>
              </w:rPr>
              <w:t>推动污染企业退出。城市建成区内现有钢铁、有色金属、造纸、印染、原料药制造、化工等污染较重的企业应有序搬迁改造或依法关闭。</w:t>
            </w:r>
          </w:p>
        </w:tc>
        <w:tc>
          <w:tcPr>
            <w:tcW w:w="477" w:type="pct"/>
            <w:vAlign w:val="center"/>
          </w:tcPr>
          <w:p>
            <w:pPr>
              <w:snapToGrid w:val="0"/>
              <w:spacing w:line="300" w:lineRule="exact"/>
              <w:jc w:val="center"/>
              <w:rPr>
                <w:color w:val="auto"/>
                <w:szCs w:val="21"/>
                <w:highlight w:val="none"/>
              </w:rPr>
            </w:pPr>
            <w:r>
              <w:rPr>
                <w:color w:val="auto"/>
                <w:szCs w:val="21"/>
                <w:highlight w:val="none"/>
              </w:rPr>
              <w:t>符合</w:t>
            </w:r>
          </w:p>
        </w:tc>
        <w:tc>
          <w:tcPr>
            <w:tcW w:w="969" w:type="pct"/>
            <w:gridSpan w:val="2"/>
            <w:vAlign w:val="center"/>
          </w:tcPr>
          <w:p>
            <w:pPr>
              <w:snapToGrid w:val="0"/>
              <w:spacing w:line="300" w:lineRule="exact"/>
              <w:jc w:val="center"/>
              <w:rPr>
                <w:color w:val="auto"/>
                <w:szCs w:val="21"/>
                <w:highlight w:val="none"/>
              </w:rPr>
            </w:pPr>
            <w:r>
              <w:rPr>
                <w:color w:val="auto"/>
                <w:szCs w:val="21"/>
                <w:highlight w:val="none"/>
              </w:rPr>
              <w:t>项目选址不属于上述区域内。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pct"/>
            <w:vMerge w:val="continue"/>
            <w:vAlign w:val="center"/>
          </w:tcPr>
          <w:p>
            <w:pPr>
              <w:snapToGrid w:val="0"/>
              <w:spacing w:line="300" w:lineRule="exact"/>
              <w:jc w:val="center"/>
              <w:rPr>
                <w:color w:val="auto"/>
                <w:szCs w:val="21"/>
                <w:highlight w:val="none"/>
              </w:rPr>
            </w:pPr>
          </w:p>
        </w:tc>
        <w:tc>
          <w:tcPr>
            <w:tcW w:w="2863" w:type="pct"/>
            <w:vAlign w:val="center"/>
          </w:tcPr>
          <w:p>
            <w:pPr>
              <w:snapToGrid w:val="0"/>
              <w:spacing w:line="260" w:lineRule="exact"/>
              <w:jc w:val="center"/>
              <w:rPr>
                <w:color w:val="auto"/>
                <w:szCs w:val="21"/>
                <w:highlight w:val="none"/>
              </w:rPr>
            </w:pPr>
            <w:r>
              <w:rPr>
                <w:color w:val="auto"/>
                <w:szCs w:val="21"/>
                <w:highlight w:val="none"/>
              </w:rPr>
              <w:t>推进循环发展。加强工业水循环利用。推进矿井水综合利用，煤炭矿区的补充用水、周边地区生产和生态用水应优先使用矿井水，加强洗煤废水循环利用。鼓励钢铁、纺织印染、造纸、石油石化、化工、制革等高耗水企业废水深度处理回用。</w:t>
            </w:r>
          </w:p>
        </w:tc>
        <w:tc>
          <w:tcPr>
            <w:tcW w:w="477" w:type="pct"/>
            <w:vAlign w:val="center"/>
          </w:tcPr>
          <w:p>
            <w:pPr>
              <w:snapToGrid w:val="0"/>
              <w:spacing w:line="300" w:lineRule="exact"/>
              <w:jc w:val="center"/>
              <w:rPr>
                <w:color w:val="auto"/>
                <w:szCs w:val="21"/>
                <w:highlight w:val="none"/>
              </w:rPr>
            </w:pPr>
            <w:r>
              <w:rPr>
                <w:color w:val="auto"/>
                <w:szCs w:val="21"/>
                <w:highlight w:val="none"/>
              </w:rPr>
              <w:t>符合</w:t>
            </w:r>
          </w:p>
        </w:tc>
        <w:tc>
          <w:tcPr>
            <w:tcW w:w="969" w:type="pct"/>
            <w:gridSpan w:val="2"/>
            <w:vAlign w:val="center"/>
          </w:tcPr>
          <w:p>
            <w:pPr>
              <w:snapToGrid w:val="0"/>
              <w:spacing w:line="300" w:lineRule="exact"/>
              <w:jc w:val="center"/>
              <w:rPr>
                <w:color w:val="auto"/>
                <w:szCs w:val="21"/>
                <w:highlight w:val="none"/>
              </w:rPr>
            </w:pPr>
            <w:r>
              <w:rPr>
                <w:color w:val="auto"/>
                <w:szCs w:val="21"/>
                <w:highlight w:val="none"/>
              </w:rPr>
              <w:t>项目</w:t>
            </w:r>
            <w:r>
              <w:rPr>
                <w:rFonts w:hint="eastAsia"/>
                <w:color w:val="auto"/>
                <w:szCs w:val="21"/>
                <w:highlight w:val="none"/>
              </w:rPr>
              <w:t>用水来源为市政供水管网，不属于高耗水企业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pct"/>
            <w:vMerge w:val="continue"/>
            <w:vAlign w:val="center"/>
          </w:tcPr>
          <w:p>
            <w:pPr>
              <w:snapToGrid w:val="0"/>
              <w:spacing w:line="300" w:lineRule="exact"/>
              <w:jc w:val="center"/>
              <w:rPr>
                <w:color w:val="auto"/>
                <w:szCs w:val="21"/>
                <w:highlight w:val="none"/>
              </w:rPr>
            </w:pPr>
          </w:p>
        </w:tc>
        <w:tc>
          <w:tcPr>
            <w:tcW w:w="2863" w:type="pct"/>
            <w:vAlign w:val="center"/>
          </w:tcPr>
          <w:p>
            <w:pPr>
              <w:snapToGrid w:val="0"/>
              <w:spacing w:line="260" w:lineRule="exact"/>
              <w:jc w:val="center"/>
              <w:rPr>
                <w:color w:val="auto"/>
                <w:szCs w:val="21"/>
                <w:highlight w:val="none"/>
              </w:rPr>
            </w:pPr>
            <w:r>
              <w:rPr>
                <w:color w:val="auto"/>
                <w:szCs w:val="21"/>
                <w:highlight w:val="none"/>
              </w:rPr>
              <w:t>促进再生水利用。以缺水及水污染严重地区城市为重点，完善再生水利用设施，工业生产、城市绿化、道路清扫、车辆冲洗、建筑施工以及生态景观等用水，要优先使用再生水。推进高速公路服务区污水处理和利用。具备使用再生水条件但未充分利用的钢铁、火电、化工、制浆造纸、印染等项目，不得批准其新增取水许可。</w:t>
            </w:r>
          </w:p>
        </w:tc>
        <w:tc>
          <w:tcPr>
            <w:tcW w:w="477" w:type="pct"/>
            <w:vAlign w:val="center"/>
          </w:tcPr>
          <w:p>
            <w:pPr>
              <w:snapToGrid w:val="0"/>
              <w:spacing w:line="300" w:lineRule="exact"/>
              <w:jc w:val="center"/>
              <w:rPr>
                <w:color w:val="auto"/>
                <w:szCs w:val="21"/>
                <w:highlight w:val="none"/>
              </w:rPr>
            </w:pPr>
            <w:r>
              <w:rPr>
                <w:color w:val="auto"/>
                <w:szCs w:val="21"/>
                <w:highlight w:val="none"/>
              </w:rPr>
              <w:t>符合</w:t>
            </w:r>
          </w:p>
        </w:tc>
        <w:tc>
          <w:tcPr>
            <w:tcW w:w="969" w:type="pct"/>
            <w:gridSpan w:val="2"/>
            <w:vAlign w:val="center"/>
          </w:tcPr>
          <w:p>
            <w:pPr>
              <w:snapToGrid w:val="0"/>
              <w:spacing w:line="300" w:lineRule="exact"/>
              <w:jc w:val="center"/>
              <w:rPr>
                <w:color w:val="auto"/>
                <w:szCs w:val="21"/>
                <w:highlight w:val="none"/>
              </w:rPr>
            </w:pPr>
            <w:r>
              <w:rPr>
                <w:color w:val="auto"/>
                <w:szCs w:val="21"/>
                <w:highlight w:val="none"/>
              </w:rPr>
              <w:t>项目</w:t>
            </w:r>
            <w:r>
              <w:rPr>
                <w:rFonts w:hint="eastAsia"/>
                <w:color w:val="auto"/>
                <w:szCs w:val="21"/>
                <w:highlight w:val="none"/>
              </w:rPr>
              <w:t>用水来源为市政供水管网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6" w:type="pct"/>
          <w:trHeight w:val="340" w:hRule="atLeast"/>
        </w:trPr>
        <w:tc>
          <w:tcPr>
            <w:tcW w:w="689" w:type="pct"/>
            <w:vMerge w:val="continue"/>
            <w:vAlign w:val="center"/>
          </w:tcPr>
          <w:p>
            <w:pPr>
              <w:snapToGrid w:val="0"/>
              <w:spacing w:line="300" w:lineRule="exact"/>
              <w:jc w:val="center"/>
              <w:rPr>
                <w:color w:val="auto"/>
                <w:szCs w:val="21"/>
                <w:highlight w:val="none"/>
              </w:rPr>
            </w:pPr>
          </w:p>
        </w:tc>
        <w:tc>
          <w:tcPr>
            <w:tcW w:w="2863" w:type="pct"/>
            <w:vAlign w:val="center"/>
          </w:tcPr>
          <w:p>
            <w:pPr>
              <w:snapToGrid w:val="0"/>
              <w:spacing w:line="280" w:lineRule="exact"/>
              <w:jc w:val="center"/>
              <w:rPr>
                <w:color w:val="auto"/>
                <w:szCs w:val="21"/>
                <w:highlight w:val="none"/>
                <w:shd w:val="clear" w:color="auto" w:fill="FFFFFF"/>
              </w:rPr>
            </w:pPr>
            <w:r>
              <w:rPr>
                <w:color w:val="auto"/>
                <w:szCs w:val="21"/>
                <w:highlight w:val="none"/>
                <w:shd w:val="clear" w:color="auto" w:fill="FFFFFF"/>
              </w:rPr>
              <w:t>严控地下水超采。在地面沉降、地裂缝、岩溶塌陷等地质灾害易发区开发利用地下水，应进行地质灾害危险性评估。严格控制开采深层承压水，地热水、矿泉水开发应严格实行取水许可和采矿许可。依法规范机井建设管理，排查登记已建机井，未经批准的和公共供水管网覆盖范围内的自备水井，一律予以关闭。开展华北地下水超采区综合治理，超采区内禁止工农业生产及服务业新增取用地下水。京津冀区域实施土地整治、农业开发、扶贫等农业基础设施项目，不得以配套打井为条件。</w:t>
            </w:r>
          </w:p>
        </w:tc>
        <w:tc>
          <w:tcPr>
            <w:tcW w:w="477" w:type="pct"/>
            <w:vAlign w:val="center"/>
          </w:tcPr>
          <w:p>
            <w:pPr>
              <w:snapToGrid w:val="0"/>
              <w:spacing w:line="280" w:lineRule="exact"/>
              <w:jc w:val="center"/>
              <w:rPr>
                <w:color w:val="auto"/>
                <w:szCs w:val="21"/>
                <w:highlight w:val="none"/>
              </w:rPr>
            </w:pPr>
            <w:r>
              <w:rPr>
                <w:color w:val="auto"/>
                <w:szCs w:val="21"/>
                <w:highlight w:val="none"/>
              </w:rPr>
              <w:t>符合</w:t>
            </w:r>
          </w:p>
        </w:tc>
        <w:tc>
          <w:tcPr>
            <w:tcW w:w="903" w:type="pct"/>
            <w:vAlign w:val="center"/>
          </w:tcPr>
          <w:p>
            <w:pPr>
              <w:snapToGrid w:val="0"/>
              <w:spacing w:line="280" w:lineRule="exact"/>
              <w:jc w:val="center"/>
              <w:rPr>
                <w:color w:val="auto"/>
                <w:szCs w:val="21"/>
                <w:highlight w:val="none"/>
              </w:rPr>
            </w:pPr>
            <w:r>
              <w:rPr>
                <w:color w:val="auto"/>
                <w:szCs w:val="21"/>
                <w:highlight w:val="none"/>
              </w:rPr>
              <w:t>项目用水来源于市政供水管网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6" w:type="pct"/>
          <w:trHeight w:val="340" w:hRule="atLeast"/>
        </w:trPr>
        <w:tc>
          <w:tcPr>
            <w:tcW w:w="689" w:type="pct"/>
            <w:vMerge w:val="restart"/>
            <w:vAlign w:val="center"/>
          </w:tcPr>
          <w:p>
            <w:pPr>
              <w:snapToGrid w:val="0"/>
              <w:spacing w:line="300" w:lineRule="exact"/>
              <w:jc w:val="center"/>
              <w:rPr>
                <w:color w:val="auto"/>
                <w:szCs w:val="21"/>
                <w:highlight w:val="none"/>
              </w:rPr>
            </w:pPr>
            <w:r>
              <w:rPr>
                <w:color w:val="auto"/>
                <w:szCs w:val="21"/>
                <w:highlight w:val="none"/>
              </w:rPr>
              <w:t>《土壤污染防治行动计划》</w:t>
            </w:r>
            <w:r>
              <w:rPr>
                <w:rFonts w:hint="eastAsia"/>
                <w:color w:val="auto"/>
                <w:szCs w:val="21"/>
                <w:highlight w:val="none"/>
              </w:rPr>
              <w:t>(</w:t>
            </w:r>
            <w:r>
              <w:rPr>
                <w:color w:val="auto"/>
                <w:szCs w:val="21"/>
                <w:highlight w:val="none"/>
              </w:rPr>
              <w:t>土十条</w:t>
            </w:r>
            <w:r>
              <w:rPr>
                <w:rFonts w:hint="eastAsia"/>
                <w:color w:val="auto"/>
                <w:szCs w:val="21"/>
                <w:highlight w:val="none"/>
              </w:rPr>
              <w:t>)</w:t>
            </w:r>
            <w:r>
              <w:rPr>
                <w:color w:val="auto"/>
                <w:szCs w:val="21"/>
                <w:highlight w:val="none"/>
              </w:rPr>
              <w:t>国发[2016]31号2016.05.31</w:t>
            </w:r>
          </w:p>
        </w:tc>
        <w:tc>
          <w:tcPr>
            <w:tcW w:w="2863" w:type="pct"/>
            <w:vAlign w:val="center"/>
          </w:tcPr>
          <w:p>
            <w:pPr>
              <w:snapToGrid w:val="0"/>
              <w:spacing w:line="300" w:lineRule="exact"/>
              <w:jc w:val="center"/>
              <w:rPr>
                <w:color w:val="auto"/>
                <w:szCs w:val="21"/>
                <w:highlight w:val="none"/>
              </w:rPr>
            </w:pPr>
            <w:r>
              <w:rPr>
                <w:color w:val="auto"/>
                <w:szCs w:val="21"/>
                <w:highlight w:val="none"/>
              </w:rPr>
              <w:t>严厉打击非法排放有毒有害污染物、违法违规存放危险化学品、非法处置危险废物、不正常使用污染治理设施、监测数据弄虚作假等环境违法行为。</w:t>
            </w:r>
          </w:p>
        </w:tc>
        <w:tc>
          <w:tcPr>
            <w:tcW w:w="477" w:type="pct"/>
            <w:vAlign w:val="center"/>
          </w:tcPr>
          <w:p>
            <w:pPr>
              <w:snapToGrid w:val="0"/>
              <w:spacing w:line="300" w:lineRule="exact"/>
              <w:jc w:val="center"/>
              <w:rPr>
                <w:color w:val="auto"/>
                <w:szCs w:val="21"/>
                <w:highlight w:val="none"/>
              </w:rPr>
            </w:pPr>
            <w:r>
              <w:rPr>
                <w:color w:val="auto"/>
                <w:szCs w:val="21"/>
                <w:highlight w:val="none"/>
              </w:rPr>
              <w:t>符合</w:t>
            </w:r>
          </w:p>
        </w:tc>
        <w:tc>
          <w:tcPr>
            <w:tcW w:w="903" w:type="pct"/>
            <w:vAlign w:val="center"/>
          </w:tcPr>
          <w:p>
            <w:pPr>
              <w:snapToGrid w:val="0"/>
              <w:spacing w:line="300" w:lineRule="exact"/>
              <w:jc w:val="center"/>
              <w:rPr>
                <w:color w:val="auto"/>
                <w:szCs w:val="21"/>
                <w:highlight w:val="none"/>
              </w:rPr>
            </w:pPr>
            <w:r>
              <w:rPr>
                <w:color w:val="auto"/>
                <w:szCs w:val="21"/>
                <w:highlight w:val="none"/>
              </w:rPr>
              <w:t>项目废气、废水达标排放，固废妥善处理</w:t>
            </w:r>
            <w:r>
              <w:rPr>
                <w:rFonts w:hint="eastAsia"/>
                <w:color w:val="auto"/>
                <w:szCs w:val="21"/>
                <w:highlight w:val="none"/>
              </w:rPr>
              <w:t>/</w:t>
            </w:r>
            <w:r>
              <w:rPr>
                <w:color w:val="auto"/>
                <w:szCs w:val="21"/>
                <w:highlight w:val="none"/>
              </w:rPr>
              <w:t>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6" w:type="pct"/>
          <w:trHeight w:val="340" w:hRule="atLeast"/>
        </w:trPr>
        <w:tc>
          <w:tcPr>
            <w:tcW w:w="689" w:type="pct"/>
            <w:vMerge w:val="continue"/>
            <w:vAlign w:val="center"/>
          </w:tcPr>
          <w:p>
            <w:pPr>
              <w:snapToGrid w:val="0"/>
              <w:spacing w:line="300" w:lineRule="exact"/>
              <w:jc w:val="center"/>
              <w:rPr>
                <w:color w:val="auto"/>
                <w:szCs w:val="21"/>
                <w:highlight w:val="none"/>
              </w:rPr>
            </w:pPr>
          </w:p>
        </w:tc>
        <w:tc>
          <w:tcPr>
            <w:tcW w:w="2863" w:type="pct"/>
            <w:vAlign w:val="center"/>
          </w:tcPr>
          <w:p>
            <w:pPr>
              <w:snapToGrid w:val="0"/>
              <w:spacing w:line="300" w:lineRule="exact"/>
              <w:jc w:val="center"/>
              <w:rPr>
                <w:color w:val="auto"/>
                <w:szCs w:val="21"/>
                <w:highlight w:val="none"/>
              </w:rPr>
            </w:pPr>
            <w:r>
              <w:rPr>
                <w:color w:val="auto"/>
                <w:szCs w:val="21"/>
                <w:highlight w:val="none"/>
              </w:rPr>
              <w:t>各地要将符合条件的优先保护类耕地划为永久基本农田，实行严格保护，确保其面积不减少、土壤环境质量不下降，除法律规定的重点建设项目选址确实无法避让外，其他任何建设不得占用。</w:t>
            </w:r>
          </w:p>
        </w:tc>
        <w:tc>
          <w:tcPr>
            <w:tcW w:w="477" w:type="pct"/>
            <w:vAlign w:val="center"/>
          </w:tcPr>
          <w:p>
            <w:pPr>
              <w:snapToGrid w:val="0"/>
              <w:spacing w:line="300" w:lineRule="exact"/>
              <w:jc w:val="center"/>
              <w:rPr>
                <w:color w:val="auto"/>
                <w:szCs w:val="21"/>
                <w:highlight w:val="none"/>
              </w:rPr>
            </w:pPr>
            <w:r>
              <w:rPr>
                <w:color w:val="auto"/>
                <w:szCs w:val="21"/>
                <w:highlight w:val="none"/>
              </w:rPr>
              <w:t>符合</w:t>
            </w:r>
          </w:p>
        </w:tc>
        <w:tc>
          <w:tcPr>
            <w:tcW w:w="903" w:type="pct"/>
            <w:vAlign w:val="center"/>
          </w:tcPr>
          <w:p>
            <w:pPr>
              <w:snapToGrid w:val="0"/>
              <w:spacing w:line="300" w:lineRule="exact"/>
              <w:jc w:val="center"/>
              <w:rPr>
                <w:color w:val="auto"/>
                <w:szCs w:val="21"/>
                <w:highlight w:val="none"/>
              </w:rPr>
            </w:pPr>
            <w:r>
              <w:rPr>
                <w:color w:val="auto"/>
                <w:szCs w:val="21"/>
                <w:highlight w:val="none"/>
              </w:rPr>
              <w:t>项目用地为</w:t>
            </w:r>
            <w:r>
              <w:rPr>
                <w:rFonts w:hint="eastAsia"/>
                <w:color w:val="auto"/>
                <w:szCs w:val="21"/>
                <w:highlight w:val="none"/>
              </w:rPr>
              <w:t>工业</w:t>
            </w:r>
            <w:r>
              <w:rPr>
                <w:color w:val="auto"/>
                <w:szCs w:val="21"/>
                <w:highlight w:val="none"/>
              </w:rPr>
              <w:t>用地，不占用耕地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6" w:type="pct"/>
          <w:trHeight w:val="340" w:hRule="atLeast"/>
        </w:trPr>
        <w:tc>
          <w:tcPr>
            <w:tcW w:w="689" w:type="pct"/>
            <w:vMerge w:val="continue"/>
            <w:vAlign w:val="center"/>
          </w:tcPr>
          <w:p>
            <w:pPr>
              <w:snapToGrid w:val="0"/>
              <w:spacing w:line="300" w:lineRule="exact"/>
              <w:jc w:val="center"/>
              <w:rPr>
                <w:color w:val="auto"/>
                <w:szCs w:val="21"/>
                <w:highlight w:val="none"/>
              </w:rPr>
            </w:pPr>
          </w:p>
        </w:tc>
        <w:tc>
          <w:tcPr>
            <w:tcW w:w="2863" w:type="pct"/>
            <w:vAlign w:val="center"/>
          </w:tcPr>
          <w:p>
            <w:pPr>
              <w:snapToGrid w:val="0"/>
              <w:spacing w:line="300" w:lineRule="exact"/>
              <w:jc w:val="center"/>
              <w:rPr>
                <w:color w:val="auto"/>
                <w:szCs w:val="21"/>
                <w:highlight w:val="none"/>
              </w:rPr>
            </w:pPr>
            <w:r>
              <w:rPr>
                <w:color w:val="auto"/>
                <w:szCs w:val="21"/>
                <w:highlight w:val="none"/>
              </w:rPr>
              <w:t>加强工业废物处理处置。全面整治尾矿、煤矸石、工业副产石膏、粉煤灰、赤泥、冶炼渣、电石渣、铬渣、砷渣以及脱硫、脱硝、除尘产生固体废物的堆存场所，完善防扬散、防流失、防渗漏等设施，制定整治方案并有序实施。</w:t>
            </w:r>
          </w:p>
        </w:tc>
        <w:tc>
          <w:tcPr>
            <w:tcW w:w="477" w:type="pct"/>
            <w:vAlign w:val="center"/>
          </w:tcPr>
          <w:p>
            <w:pPr>
              <w:snapToGrid w:val="0"/>
              <w:spacing w:line="300" w:lineRule="exact"/>
              <w:jc w:val="center"/>
              <w:rPr>
                <w:color w:val="auto"/>
                <w:szCs w:val="21"/>
                <w:highlight w:val="none"/>
              </w:rPr>
            </w:pPr>
            <w:r>
              <w:rPr>
                <w:color w:val="auto"/>
                <w:szCs w:val="21"/>
                <w:highlight w:val="none"/>
              </w:rPr>
              <w:t>符合</w:t>
            </w:r>
          </w:p>
        </w:tc>
        <w:tc>
          <w:tcPr>
            <w:tcW w:w="903" w:type="pct"/>
            <w:vAlign w:val="center"/>
          </w:tcPr>
          <w:p>
            <w:pPr>
              <w:snapToGrid w:val="0"/>
              <w:spacing w:line="300" w:lineRule="exact"/>
              <w:jc w:val="center"/>
              <w:rPr>
                <w:color w:val="auto"/>
                <w:szCs w:val="21"/>
                <w:highlight w:val="none"/>
              </w:rPr>
            </w:pPr>
            <w:r>
              <w:rPr>
                <w:color w:val="auto"/>
                <w:szCs w:val="21"/>
                <w:highlight w:val="none"/>
              </w:rPr>
              <w:t>项目固废均得到妥善处理</w:t>
            </w:r>
            <w:r>
              <w:rPr>
                <w:rFonts w:hint="eastAsia"/>
                <w:color w:val="auto"/>
                <w:szCs w:val="21"/>
                <w:highlight w:val="none"/>
              </w:rPr>
              <w:t>/</w:t>
            </w:r>
            <w:r>
              <w:rPr>
                <w:color w:val="auto"/>
                <w:szCs w:val="21"/>
                <w:highlight w:val="none"/>
              </w:rPr>
              <w:t>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gridAfter w:val="1"/>
          <w:wAfter w:w="66" w:type="pct"/>
          <w:trHeight w:val="340" w:hRule="atLeast"/>
        </w:trPr>
        <w:tc>
          <w:tcPr>
            <w:tcW w:w="689" w:type="pct"/>
            <w:vMerge w:val="continue"/>
            <w:vAlign w:val="center"/>
          </w:tcPr>
          <w:p>
            <w:pPr>
              <w:snapToGrid w:val="0"/>
              <w:spacing w:line="300" w:lineRule="exact"/>
              <w:jc w:val="center"/>
              <w:rPr>
                <w:color w:val="auto"/>
                <w:szCs w:val="21"/>
                <w:highlight w:val="none"/>
              </w:rPr>
            </w:pPr>
          </w:p>
        </w:tc>
        <w:tc>
          <w:tcPr>
            <w:tcW w:w="2863" w:type="pct"/>
            <w:vAlign w:val="center"/>
          </w:tcPr>
          <w:p>
            <w:pPr>
              <w:snapToGrid w:val="0"/>
              <w:spacing w:line="300" w:lineRule="exact"/>
              <w:jc w:val="center"/>
              <w:rPr>
                <w:color w:val="auto"/>
                <w:szCs w:val="21"/>
                <w:highlight w:val="none"/>
              </w:rPr>
            </w:pPr>
            <w:r>
              <w:rPr>
                <w:color w:val="auto"/>
                <w:szCs w:val="21"/>
                <w:highlight w:val="none"/>
              </w:rPr>
              <w:t>排放重点污染物的建设项目，在开展环境影响评价时，要增加对土壤环境影响的评价内容，并提出防范土壤污染的具体措施；需要建设的土壤污染防治设施，要与主体工程同时设计、同时施工、同时投产使用；有关环境保护部门要做好有关措施落实情况的监督管理工作。</w:t>
            </w:r>
          </w:p>
        </w:tc>
        <w:tc>
          <w:tcPr>
            <w:tcW w:w="477" w:type="pct"/>
            <w:vAlign w:val="center"/>
          </w:tcPr>
          <w:p>
            <w:pPr>
              <w:snapToGrid w:val="0"/>
              <w:spacing w:line="300" w:lineRule="exact"/>
              <w:jc w:val="center"/>
              <w:rPr>
                <w:color w:val="auto"/>
                <w:szCs w:val="21"/>
                <w:highlight w:val="none"/>
              </w:rPr>
            </w:pPr>
            <w:r>
              <w:rPr>
                <w:color w:val="auto"/>
                <w:szCs w:val="21"/>
                <w:highlight w:val="none"/>
              </w:rPr>
              <w:t>符合</w:t>
            </w:r>
          </w:p>
        </w:tc>
        <w:tc>
          <w:tcPr>
            <w:tcW w:w="903" w:type="pct"/>
            <w:vAlign w:val="center"/>
          </w:tcPr>
          <w:p>
            <w:pPr>
              <w:snapToGrid w:val="0"/>
              <w:spacing w:line="300" w:lineRule="exact"/>
              <w:jc w:val="center"/>
              <w:rPr>
                <w:color w:val="auto"/>
                <w:szCs w:val="21"/>
                <w:highlight w:val="none"/>
              </w:rPr>
            </w:pPr>
            <w:r>
              <w:rPr>
                <w:rFonts w:hint="eastAsia"/>
                <w:color w:val="auto"/>
                <w:szCs w:val="21"/>
                <w:highlight w:val="none"/>
              </w:rPr>
              <w:t>本项目</w:t>
            </w:r>
            <w:r>
              <w:rPr>
                <w:color w:val="auto"/>
                <w:highlight w:val="none"/>
              </w:rPr>
              <w:t>类别为</w:t>
            </w:r>
            <w:r>
              <w:rPr>
                <w:color w:val="auto"/>
                <w:highlight w:val="none"/>
              </w:rPr>
              <w:fldChar w:fldCharType="begin"/>
            </w:r>
            <w:r>
              <w:rPr>
                <w:color w:val="auto"/>
                <w:highlight w:val="none"/>
              </w:rPr>
              <w:instrText xml:space="preserve"> = 4 \* ROMAN \* MERGEFORMAT </w:instrText>
            </w:r>
            <w:r>
              <w:rPr>
                <w:color w:val="auto"/>
                <w:highlight w:val="none"/>
              </w:rPr>
              <w:fldChar w:fldCharType="separate"/>
            </w:r>
            <w:r>
              <w:rPr>
                <w:color w:val="auto"/>
                <w:highlight w:val="none"/>
              </w:rPr>
              <w:t>IV</w:t>
            </w:r>
            <w:r>
              <w:rPr>
                <w:color w:val="auto"/>
                <w:highlight w:val="none"/>
              </w:rPr>
              <w:fldChar w:fldCharType="end"/>
            </w:r>
            <w:r>
              <w:rPr>
                <w:color w:val="auto"/>
                <w:highlight w:val="none"/>
              </w:rPr>
              <w:t>类项目</w:t>
            </w:r>
            <w:r>
              <w:rPr>
                <w:rFonts w:hint="eastAsia"/>
                <w:color w:val="auto"/>
                <w:highlight w:val="none"/>
              </w:rPr>
              <w:t>，不用进行土壤评价</w:t>
            </w:r>
          </w:p>
        </w:tc>
      </w:tr>
    </w:tbl>
    <w:p>
      <w:pPr>
        <w:spacing w:line="360" w:lineRule="auto"/>
        <w:ind w:firstLine="480" w:firstLineChars="200"/>
        <w:rPr>
          <w:color w:val="auto"/>
          <w:sz w:val="24"/>
          <w:highlight w:val="none"/>
        </w:rPr>
      </w:pPr>
      <w:r>
        <w:rPr>
          <w:color w:val="auto"/>
          <w:sz w:val="24"/>
          <w:highlight w:val="none"/>
        </w:rPr>
        <w:t>由上表可见，拟建项目符合“气十条”“水十条”“土十条”现行环境管理中相关要求。</w:t>
      </w:r>
    </w:p>
    <w:p>
      <w:pPr>
        <w:spacing w:line="360" w:lineRule="auto"/>
        <w:ind w:firstLine="482" w:firstLineChars="200"/>
        <w:rPr>
          <w:b/>
          <w:color w:val="auto"/>
          <w:sz w:val="24"/>
          <w:highlight w:val="none"/>
          <w:lang w:val="zh-CN"/>
        </w:rPr>
      </w:pPr>
      <w:r>
        <w:rPr>
          <w:b/>
          <w:color w:val="auto"/>
          <w:sz w:val="24"/>
          <w:highlight w:val="none"/>
          <w:lang w:val="zh-CN"/>
        </w:rPr>
        <w:t>2、与</w:t>
      </w:r>
      <w:r>
        <w:rPr>
          <w:rFonts w:hint="eastAsia"/>
          <w:b/>
          <w:color w:val="auto"/>
          <w:sz w:val="24"/>
          <w:highlight w:val="none"/>
        </w:rPr>
        <w:t>《山东省新一轮“四减四增”三年行动方案（2021-2023）》</w:t>
      </w:r>
      <w:r>
        <w:rPr>
          <w:b/>
          <w:color w:val="auto"/>
          <w:sz w:val="24"/>
          <w:highlight w:val="none"/>
        </w:rPr>
        <w:t>的符合性</w:t>
      </w:r>
    </w:p>
    <w:p>
      <w:pPr>
        <w:spacing w:line="360" w:lineRule="auto"/>
        <w:ind w:firstLine="480" w:firstLineChars="200"/>
        <w:rPr>
          <w:color w:val="auto"/>
          <w:sz w:val="24"/>
          <w:highlight w:val="none"/>
        </w:rPr>
      </w:pPr>
      <w:r>
        <w:rPr>
          <w:color w:val="auto"/>
          <w:sz w:val="24"/>
          <w:highlight w:val="none"/>
        </w:rPr>
        <w:t>拟建项目与</w:t>
      </w:r>
      <w:r>
        <w:rPr>
          <w:rFonts w:hint="eastAsia"/>
          <w:color w:val="auto"/>
          <w:sz w:val="24"/>
          <w:highlight w:val="none"/>
        </w:rPr>
        <w:t>《山东省新一轮“四减四增”三年行动方案(2021-2023)》</w:t>
      </w:r>
      <w:r>
        <w:rPr>
          <w:color w:val="auto"/>
          <w:sz w:val="24"/>
          <w:highlight w:val="none"/>
        </w:rPr>
        <w:t>的符合性分析见表9.</w:t>
      </w:r>
      <w:r>
        <w:rPr>
          <w:rFonts w:hint="eastAsia"/>
          <w:color w:val="auto"/>
          <w:sz w:val="24"/>
          <w:highlight w:val="none"/>
        </w:rPr>
        <w:t>5</w:t>
      </w:r>
      <w:r>
        <w:rPr>
          <w:color w:val="auto"/>
          <w:sz w:val="24"/>
          <w:highlight w:val="none"/>
        </w:rPr>
        <w:t>-2。</w:t>
      </w:r>
    </w:p>
    <w:p>
      <w:pPr>
        <w:snapToGrid w:val="0"/>
        <w:spacing w:line="360" w:lineRule="auto"/>
        <w:ind w:firstLine="480" w:firstLineChars="200"/>
        <w:jc w:val="center"/>
        <w:rPr>
          <w:rFonts w:eastAsia="黑体"/>
          <w:color w:val="auto"/>
          <w:sz w:val="24"/>
          <w:highlight w:val="none"/>
        </w:rPr>
      </w:pPr>
      <w:r>
        <w:rPr>
          <w:rFonts w:eastAsia="黑体"/>
          <w:color w:val="auto"/>
          <w:sz w:val="24"/>
          <w:highlight w:val="none"/>
        </w:rPr>
        <w:t>表9.</w:t>
      </w:r>
      <w:r>
        <w:rPr>
          <w:rFonts w:hint="eastAsia" w:eastAsia="黑体"/>
          <w:color w:val="auto"/>
          <w:sz w:val="24"/>
          <w:highlight w:val="none"/>
        </w:rPr>
        <w:t>5</w:t>
      </w:r>
      <w:r>
        <w:rPr>
          <w:rFonts w:eastAsia="黑体"/>
          <w:color w:val="auto"/>
          <w:sz w:val="24"/>
          <w:highlight w:val="none"/>
        </w:rPr>
        <w:t>-2 与</w:t>
      </w:r>
      <w:r>
        <w:rPr>
          <w:rFonts w:hint="eastAsia" w:eastAsia="黑体"/>
          <w:color w:val="auto"/>
          <w:sz w:val="24"/>
          <w:highlight w:val="none"/>
        </w:rPr>
        <w:t>《山东省新一轮“四减四增”三年行动方案(2021-2023)》</w:t>
      </w:r>
      <w:r>
        <w:rPr>
          <w:rFonts w:eastAsia="黑体"/>
          <w:color w:val="auto"/>
          <w:sz w:val="24"/>
          <w:highlight w:val="none"/>
        </w:rPr>
        <w:t>符合性分析</w:t>
      </w:r>
    </w:p>
    <w:tbl>
      <w:tblPr>
        <w:tblStyle w:val="59"/>
        <w:tblW w:w="906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6"/>
        <w:gridCol w:w="4773"/>
        <w:gridCol w:w="2487"/>
        <w:gridCol w:w="10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vAlign w:val="center"/>
          </w:tcPr>
          <w:p>
            <w:pPr>
              <w:snapToGrid w:val="0"/>
              <w:spacing w:line="300" w:lineRule="exact"/>
              <w:jc w:val="center"/>
              <w:rPr>
                <w:color w:val="auto"/>
                <w:szCs w:val="20"/>
                <w:highlight w:val="none"/>
              </w:rPr>
            </w:pPr>
            <w:r>
              <w:rPr>
                <w:color w:val="auto"/>
                <w:szCs w:val="20"/>
                <w:highlight w:val="none"/>
              </w:rPr>
              <w:t>序号</w:t>
            </w:r>
          </w:p>
        </w:tc>
        <w:tc>
          <w:tcPr>
            <w:tcW w:w="4773" w:type="dxa"/>
            <w:vAlign w:val="center"/>
          </w:tcPr>
          <w:p>
            <w:pPr>
              <w:snapToGrid w:val="0"/>
              <w:spacing w:line="300" w:lineRule="exact"/>
              <w:jc w:val="center"/>
              <w:rPr>
                <w:color w:val="auto"/>
                <w:szCs w:val="20"/>
                <w:highlight w:val="none"/>
              </w:rPr>
            </w:pPr>
            <w:r>
              <w:rPr>
                <w:color w:val="auto"/>
                <w:szCs w:val="20"/>
                <w:highlight w:val="none"/>
              </w:rPr>
              <w:t>方案内容</w:t>
            </w:r>
          </w:p>
        </w:tc>
        <w:tc>
          <w:tcPr>
            <w:tcW w:w="2487" w:type="dxa"/>
            <w:vAlign w:val="center"/>
          </w:tcPr>
          <w:p>
            <w:pPr>
              <w:snapToGrid w:val="0"/>
              <w:spacing w:line="300" w:lineRule="exact"/>
              <w:jc w:val="center"/>
              <w:rPr>
                <w:color w:val="auto"/>
                <w:szCs w:val="20"/>
                <w:highlight w:val="none"/>
              </w:rPr>
            </w:pPr>
            <w:r>
              <w:rPr>
                <w:color w:val="auto"/>
                <w:szCs w:val="20"/>
                <w:highlight w:val="none"/>
              </w:rPr>
              <w:t>项目情况</w:t>
            </w:r>
          </w:p>
        </w:tc>
        <w:tc>
          <w:tcPr>
            <w:tcW w:w="1014" w:type="dxa"/>
            <w:vAlign w:val="center"/>
          </w:tcPr>
          <w:p>
            <w:pPr>
              <w:snapToGrid w:val="0"/>
              <w:spacing w:line="300" w:lineRule="exact"/>
              <w:jc w:val="center"/>
              <w:rPr>
                <w:color w:val="auto"/>
                <w:szCs w:val="20"/>
                <w:highlight w:val="none"/>
              </w:rPr>
            </w:pPr>
            <w:r>
              <w:rPr>
                <w:color w:val="auto"/>
                <w:szCs w:val="20"/>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60" w:type="dxa"/>
            <w:gridSpan w:val="4"/>
            <w:vAlign w:val="center"/>
          </w:tcPr>
          <w:p>
            <w:pPr>
              <w:snapToGrid w:val="0"/>
              <w:spacing w:line="300" w:lineRule="exact"/>
              <w:jc w:val="center"/>
              <w:rPr>
                <w:bCs/>
                <w:color w:val="auto"/>
                <w:szCs w:val="20"/>
                <w:highlight w:val="none"/>
              </w:rPr>
            </w:pPr>
            <w:r>
              <w:rPr>
                <w:rFonts w:hint="eastAsia"/>
                <w:bCs/>
                <w:color w:val="auto"/>
                <w:szCs w:val="20"/>
                <w:highlight w:val="none"/>
              </w:rPr>
              <w:t>(一)深入调整产业结构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vAlign w:val="center"/>
          </w:tcPr>
          <w:p>
            <w:pPr>
              <w:snapToGrid w:val="0"/>
              <w:spacing w:line="300" w:lineRule="exact"/>
              <w:jc w:val="center"/>
              <w:rPr>
                <w:bCs/>
                <w:color w:val="auto"/>
                <w:szCs w:val="20"/>
                <w:highlight w:val="none"/>
              </w:rPr>
            </w:pPr>
            <w:r>
              <w:rPr>
                <w:rFonts w:hint="eastAsia"/>
                <w:bCs/>
                <w:color w:val="auto"/>
                <w:szCs w:val="20"/>
                <w:highlight w:val="none"/>
              </w:rPr>
              <w:t>1</w:t>
            </w:r>
          </w:p>
        </w:tc>
        <w:tc>
          <w:tcPr>
            <w:tcW w:w="4773" w:type="dxa"/>
            <w:vAlign w:val="center"/>
          </w:tcPr>
          <w:p>
            <w:pPr>
              <w:snapToGrid w:val="0"/>
              <w:spacing w:line="280" w:lineRule="exact"/>
              <w:jc w:val="center"/>
              <w:rPr>
                <w:bCs/>
                <w:color w:val="auto"/>
                <w:szCs w:val="20"/>
                <w:highlight w:val="none"/>
              </w:rPr>
            </w:pPr>
            <w:r>
              <w:rPr>
                <w:rFonts w:hint="eastAsia"/>
                <w:bCs/>
                <w:color w:val="auto"/>
                <w:szCs w:val="20"/>
                <w:highlight w:val="none"/>
              </w:rPr>
              <w:t>淘汰低效落后产能。依据安全、环保、技术、能耗、效益标准，以钢铁、地炼、焦化、煤电、水泥、轮胎、煤炭、化工等行业为重点，分类组织实施转移。</w:t>
            </w:r>
          </w:p>
        </w:tc>
        <w:tc>
          <w:tcPr>
            <w:tcW w:w="2487" w:type="dxa"/>
            <w:vAlign w:val="center"/>
          </w:tcPr>
          <w:p>
            <w:pPr>
              <w:snapToGrid w:val="0"/>
              <w:spacing w:line="280" w:lineRule="exact"/>
              <w:jc w:val="center"/>
              <w:rPr>
                <w:bCs/>
                <w:color w:val="auto"/>
                <w:szCs w:val="20"/>
                <w:highlight w:val="none"/>
              </w:rPr>
            </w:pPr>
            <w:r>
              <w:rPr>
                <w:bCs/>
                <w:color w:val="auto"/>
                <w:szCs w:val="20"/>
                <w:highlight w:val="none"/>
              </w:rPr>
              <w:t>不涉及</w:t>
            </w:r>
          </w:p>
        </w:tc>
        <w:tc>
          <w:tcPr>
            <w:tcW w:w="1014" w:type="dxa"/>
            <w:vAlign w:val="center"/>
          </w:tcPr>
          <w:p>
            <w:pPr>
              <w:snapToGrid w:val="0"/>
              <w:spacing w:line="300" w:lineRule="exact"/>
              <w:jc w:val="center"/>
              <w:rPr>
                <w:bCs/>
                <w:color w:val="auto"/>
                <w:szCs w:val="20"/>
                <w:highlight w:val="none"/>
              </w:rPr>
            </w:pPr>
            <w:r>
              <w:rPr>
                <w:bCs/>
                <w:color w:val="auto"/>
                <w:szCs w:val="20"/>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786" w:type="dxa"/>
            <w:vAlign w:val="center"/>
          </w:tcPr>
          <w:p>
            <w:pPr>
              <w:snapToGrid w:val="0"/>
              <w:spacing w:line="300" w:lineRule="exact"/>
              <w:jc w:val="center"/>
              <w:rPr>
                <w:bCs/>
                <w:color w:val="auto"/>
                <w:szCs w:val="20"/>
                <w:highlight w:val="none"/>
              </w:rPr>
            </w:pPr>
            <w:r>
              <w:rPr>
                <w:rFonts w:hint="eastAsia"/>
                <w:bCs/>
                <w:color w:val="auto"/>
                <w:szCs w:val="20"/>
                <w:highlight w:val="none"/>
              </w:rPr>
              <w:t>2</w:t>
            </w:r>
          </w:p>
        </w:tc>
        <w:tc>
          <w:tcPr>
            <w:tcW w:w="4773" w:type="dxa"/>
            <w:vAlign w:val="center"/>
          </w:tcPr>
          <w:p>
            <w:pPr>
              <w:snapToGrid w:val="0"/>
              <w:spacing w:line="280" w:lineRule="exact"/>
              <w:jc w:val="center"/>
              <w:rPr>
                <w:bCs/>
                <w:color w:val="auto"/>
                <w:szCs w:val="20"/>
                <w:highlight w:val="none"/>
              </w:rPr>
            </w:pPr>
            <w:r>
              <w:rPr>
                <w:bCs/>
                <w:color w:val="auto"/>
                <w:szCs w:val="20"/>
                <w:highlight w:val="none"/>
              </w:rPr>
              <w:t>严控重点行业新增产能。重大项目建设，必须首先满足环境质量“只能更好，不能变坏”的底线，严格落实污染物排放“减量替代是原则，等量替代是例外”的总量控制刚性要求</w:t>
            </w:r>
            <w:r>
              <w:rPr>
                <w:rFonts w:hint="eastAsia"/>
                <w:bCs/>
                <w:color w:val="auto"/>
                <w:szCs w:val="20"/>
                <w:highlight w:val="none"/>
              </w:rPr>
              <w:t>。</w:t>
            </w:r>
          </w:p>
        </w:tc>
        <w:tc>
          <w:tcPr>
            <w:tcW w:w="2487" w:type="dxa"/>
            <w:vAlign w:val="center"/>
          </w:tcPr>
          <w:p>
            <w:pPr>
              <w:snapToGrid w:val="0"/>
              <w:spacing w:line="280" w:lineRule="exact"/>
              <w:jc w:val="center"/>
              <w:rPr>
                <w:bCs/>
                <w:color w:val="auto"/>
                <w:szCs w:val="20"/>
                <w:highlight w:val="none"/>
              </w:rPr>
            </w:pPr>
            <w:r>
              <w:rPr>
                <w:bCs/>
                <w:color w:val="auto"/>
                <w:szCs w:val="20"/>
                <w:highlight w:val="none"/>
              </w:rPr>
              <w:t>项目采取环评提出的处理措施后</w:t>
            </w:r>
            <w:r>
              <w:rPr>
                <w:rFonts w:hint="eastAsia"/>
                <w:bCs/>
                <w:color w:val="auto"/>
                <w:szCs w:val="20"/>
                <w:highlight w:val="none"/>
              </w:rPr>
              <w:t>，</w:t>
            </w:r>
            <w:r>
              <w:rPr>
                <w:bCs/>
                <w:color w:val="auto"/>
                <w:szCs w:val="20"/>
                <w:highlight w:val="none"/>
              </w:rPr>
              <w:t>污染物均能达标排放</w:t>
            </w:r>
            <w:r>
              <w:rPr>
                <w:rFonts w:hint="eastAsia"/>
                <w:bCs/>
                <w:color w:val="auto"/>
                <w:szCs w:val="20"/>
                <w:highlight w:val="none"/>
              </w:rPr>
              <w:t>。完成了污染物排放总量申请工作。</w:t>
            </w:r>
          </w:p>
        </w:tc>
        <w:tc>
          <w:tcPr>
            <w:tcW w:w="1014" w:type="dxa"/>
            <w:vAlign w:val="center"/>
          </w:tcPr>
          <w:p>
            <w:pPr>
              <w:snapToGrid w:val="0"/>
              <w:spacing w:line="300" w:lineRule="exact"/>
              <w:jc w:val="center"/>
              <w:rPr>
                <w:bCs/>
                <w:color w:val="auto"/>
                <w:szCs w:val="20"/>
                <w:highlight w:val="none"/>
              </w:rPr>
            </w:pPr>
            <w:r>
              <w:rPr>
                <w:bCs/>
                <w:color w:val="auto"/>
                <w:szCs w:val="20"/>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vAlign w:val="center"/>
          </w:tcPr>
          <w:p>
            <w:pPr>
              <w:snapToGrid w:val="0"/>
              <w:spacing w:line="300" w:lineRule="exact"/>
              <w:jc w:val="center"/>
              <w:rPr>
                <w:bCs/>
                <w:color w:val="auto"/>
                <w:szCs w:val="20"/>
                <w:highlight w:val="none"/>
              </w:rPr>
            </w:pPr>
            <w:r>
              <w:rPr>
                <w:rFonts w:hint="eastAsia"/>
                <w:bCs/>
                <w:color w:val="auto"/>
                <w:szCs w:val="20"/>
                <w:highlight w:val="none"/>
              </w:rPr>
              <w:t>3</w:t>
            </w:r>
          </w:p>
        </w:tc>
        <w:tc>
          <w:tcPr>
            <w:tcW w:w="4773" w:type="dxa"/>
            <w:vAlign w:val="center"/>
          </w:tcPr>
          <w:p>
            <w:pPr>
              <w:snapToGrid w:val="0"/>
              <w:spacing w:line="280" w:lineRule="exact"/>
              <w:jc w:val="center"/>
              <w:rPr>
                <w:bCs/>
                <w:color w:val="auto"/>
                <w:szCs w:val="20"/>
                <w:highlight w:val="none"/>
              </w:rPr>
            </w:pPr>
            <w:r>
              <w:rPr>
                <w:rFonts w:hint="eastAsia"/>
                <w:bCs/>
                <w:color w:val="auto"/>
                <w:szCs w:val="20"/>
                <w:highlight w:val="none"/>
              </w:rPr>
              <w:t>推动绿色循环低碳改造。电力、钢铁、建材、有色、石化、化工等重点行业制定碳达峰目标，实施减污降碳协同治理。</w:t>
            </w:r>
          </w:p>
        </w:tc>
        <w:tc>
          <w:tcPr>
            <w:tcW w:w="2487" w:type="dxa"/>
            <w:vAlign w:val="center"/>
          </w:tcPr>
          <w:p>
            <w:pPr>
              <w:snapToGrid w:val="0"/>
              <w:spacing w:line="280" w:lineRule="exact"/>
              <w:jc w:val="center"/>
              <w:rPr>
                <w:bCs/>
                <w:color w:val="auto"/>
                <w:szCs w:val="20"/>
                <w:highlight w:val="none"/>
              </w:rPr>
            </w:pPr>
            <w:r>
              <w:rPr>
                <w:bCs/>
                <w:color w:val="auto"/>
                <w:szCs w:val="20"/>
                <w:highlight w:val="none"/>
              </w:rPr>
              <w:t>项目不属于左栏行业</w:t>
            </w:r>
          </w:p>
        </w:tc>
        <w:tc>
          <w:tcPr>
            <w:tcW w:w="1014" w:type="dxa"/>
            <w:vAlign w:val="center"/>
          </w:tcPr>
          <w:p>
            <w:pPr>
              <w:snapToGrid w:val="0"/>
              <w:spacing w:line="300" w:lineRule="exact"/>
              <w:jc w:val="center"/>
              <w:rPr>
                <w:bCs/>
                <w:color w:val="auto"/>
                <w:szCs w:val="20"/>
                <w:highlight w:val="none"/>
              </w:rPr>
            </w:pPr>
            <w:r>
              <w:rPr>
                <w:bCs/>
                <w:color w:val="auto"/>
                <w:szCs w:val="20"/>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60" w:type="dxa"/>
            <w:gridSpan w:val="4"/>
            <w:vAlign w:val="center"/>
          </w:tcPr>
          <w:p>
            <w:pPr>
              <w:snapToGrid w:val="0"/>
              <w:spacing w:line="300" w:lineRule="exact"/>
              <w:jc w:val="center"/>
              <w:rPr>
                <w:bCs/>
                <w:color w:val="auto"/>
                <w:szCs w:val="20"/>
                <w:highlight w:val="none"/>
              </w:rPr>
            </w:pPr>
            <w:r>
              <w:rPr>
                <w:rFonts w:hint="eastAsia"/>
                <w:bCs/>
                <w:color w:val="auto"/>
                <w:szCs w:val="20"/>
                <w:highlight w:val="none"/>
              </w:rPr>
              <w:t>(二)深入调整能源结构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vAlign w:val="center"/>
          </w:tcPr>
          <w:p>
            <w:pPr>
              <w:snapToGrid w:val="0"/>
              <w:spacing w:line="300" w:lineRule="exact"/>
              <w:jc w:val="center"/>
              <w:rPr>
                <w:bCs/>
                <w:color w:val="auto"/>
                <w:szCs w:val="20"/>
                <w:highlight w:val="none"/>
              </w:rPr>
            </w:pPr>
            <w:r>
              <w:rPr>
                <w:rFonts w:hint="eastAsia"/>
                <w:bCs/>
                <w:color w:val="auto"/>
                <w:szCs w:val="20"/>
                <w:highlight w:val="none"/>
              </w:rPr>
              <w:t>4</w:t>
            </w:r>
          </w:p>
        </w:tc>
        <w:tc>
          <w:tcPr>
            <w:tcW w:w="4773" w:type="dxa"/>
            <w:vAlign w:val="center"/>
          </w:tcPr>
          <w:p>
            <w:pPr>
              <w:snapToGrid w:val="0"/>
              <w:spacing w:line="280" w:lineRule="exact"/>
              <w:jc w:val="center"/>
              <w:rPr>
                <w:bCs/>
                <w:color w:val="auto"/>
                <w:szCs w:val="20"/>
                <w:highlight w:val="none"/>
              </w:rPr>
            </w:pPr>
            <w:r>
              <w:rPr>
                <w:rFonts w:hint="eastAsia"/>
                <w:bCs/>
                <w:color w:val="auto"/>
                <w:szCs w:val="20"/>
                <w:highlight w:val="none"/>
              </w:rPr>
              <w:t>严控化石能源消费。严控能源消费总量，在满足全社会能源需求的前提下，持续推进煤炭消费压减，增加清洁能源供给，加大清洁能源替代力度，进一步控制化石能源消费，逐步实现新增能源需求主要由清洁能源供给。</w:t>
            </w:r>
          </w:p>
        </w:tc>
        <w:tc>
          <w:tcPr>
            <w:tcW w:w="2487" w:type="dxa"/>
            <w:vAlign w:val="center"/>
          </w:tcPr>
          <w:p>
            <w:pPr>
              <w:snapToGrid w:val="0"/>
              <w:spacing w:line="280" w:lineRule="exact"/>
              <w:jc w:val="center"/>
              <w:rPr>
                <w:bCs/>
                <w:color w:val="auto"/>
                <w:szCs w:val="20"/>
                <w:highlight w:val="none"/>
              </w:rPr>
            </w:pPr>
            <w:r>
              <w:rPr>
                <w:rFonts w:hint="eastAsia"/>
                <w:bCs/>
                <w:color w:val="auto"/>
                <w:szCs w:val="20"/>
                <w:highlight w:val="none"/>
              </w:rPr>
              <w:t>项目使用电能。</w:t>
            </w:r>
          </w:p>
        </w:tc>
        <w:tc>
          <w:tcPr>
            <w:tcW w:w="1014" w:type="dxa"/>
            <w:vAlign w:val="center"/>
          </w:tcPr>
          <w:p>
            <w:pPr>
              <w:snapToGrid w:val="0"/>
              <w:spacing w:line="300" w:lineRule="exact"/>
              <w:jc w:val="center"/>
              <w:rPr>
                <w:bCs/>
                <w:color w:val="auto"/>
                <w:szCs w:val="20"/>
                <w:highlight w:val="none"/>
              </w:rPr>
            </w:pPr>
            <w:r>
              <w:rPr>
                <w:bCs/>
                <w:color w:val="auto"/>
                <w:szCs w:val="20"/>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vAlign w:val="center"/>
          </w:tcPr>
          <w:p>
            <w:pPr>
              <w:snapToGrid w:val="0"/>
              <w:spacing w:line="300" w:lineRule="exact"/>
              <w:jc w:val="center"/>
              <w:rPr>
                <w:bCs/>
                <w:color w:val="auto"/>
                <w:szCs w:val="20"/>
                <w:highlight w:val="none"/>
              </w:rPr>
            </w:pPr>
            <w:r>
              <w:rPr>
                <w:rFonts w:hint="eastAsia"/>
                <w:bCs/>
                <w:color w:val="auto"/>
                <w:szCs w:val="20"/>
                <w:highlight w:val="none"/>
              </w:rPr>
              <w:t>5</w:t>
            </w:r>
          </w:p>
        </w:tc>
        <w:tc>
          <w:tcPr>
            <w:tcW w:w="4773" w:type="dxa"/>
            <w:vAlign w:val="center"/>
          </w:tcPr>
          <w:p>
            <w:pPr>
              <w:snapToGrid w:val="0"/>
              <w:spacing w:line="280" w:lineRule="exact"/>
              <w:jc w:val="center"/>
              <w:rPr>
                <w:bCs/>
                <w:color w:val="auto"/>
                <w:szCs w:val="20"/>
                <w:highlight w:val="none"/>
              </w:rPr>
            </w:pPr>
            <w:r>
              <w:rPr>
                <w:rFonts w:hint="eastAsia"/>
                <w:bCs/>
                <w:color w:val="auto"/>
                <w:szCs w:val="20"/>
                <w:highlight w:val="none"/>
              </w:rPr>
              <w:t>持续压减煤炭使用。持续淘汰落后燃煤机组，在确保电力、热力接续稳定供应的前提下，大力推进单机容量30万千瓦以下煤电机组关停整合，严格按照减容量“上大压小”政策规划建设清洁高效煤电机组。</w:t>
            </w:r>
          </w:p>
        </w:tc>
        <w:tc>
          <w:tcPr>
            <w:tcW w:w="2487" w:type="dxa"/>
            <w:vAlign w:val="center"/>
          </w:tcPr>
          <w:p>
            <w:pPr>
              <w:snapToGrid w:val="0"/>
              <w:spacing w:line="280" w:lineRule="exact"/>
              <w:jc w:val="center"/>
              <w:rPr>
                <w:bCs/>
                <w:color w:val="auto"/>
                <w:szCs w:val="20"/>
                <w:highlight w:val="none"/>
              </w:rPr>
            </w:pPr>
            <w:r>
              <w:rPr>
                <w:rFonts w:hint="eastAsia"/>
                <w:bCs/>
                <w:color w:val="auto"/>
                <w:szCs w:val="20"/>
                <w:highlight w:val="none"/>
              </w:rPr>
              <w:t>不涉及</w:t>
            </w:r>
          </w:p>
        </w:tc>
        <w:tc>
          <w:tcPr>
            <w:tcW w:w="1014" w:type="dxa"/>
            <w:vAlign w:val="center"/>
          </w:tcPr>
          <w:p>
            <w:pPr>
              <w:snapToGrid w:val="0"/>
              <w:spacing w:line="300" w:lineRule="exact"/>
              <w:jc w:val="center"/>
              <w:rPr>
                <w:bCs/>
                <w:color w:val="auto"/>
                <w:szCs w:val="20"/>
                <w:highlight w:val="none"/>
              </w:rPr>
            </w:pPr>
            <w:r>
              <w:rPr>
                <w:bCs/>
                <w:color w:val="auto"/>
                <w:szCs w:val="20"/>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60" w:type="dxa"/>
            <w:gridSpan w:val="4"/>
            <w:vAlign w:val="center"/>
          </w:tcPr>
          <w:p>
            <w:pPr>
              <w:snapToGrid w:val="0"/>
              <w:spacing w:line="280" w:lineRule="exact"/>
              <w:jc w:val="center"/>
              <w:rPr>
                <w:bCs/>
                <w:color w:val="auto"/>
                <w:szCs w:val="20"/>
                <w:highlight w:val="none"/>
              </w:rPr>
            </w:pPr>
            <w:r>
              <w:rPr>
                <w:rFonts w:hint="eastAsia"/>
                <w:bCs/>
                <w:color w:val="auto"/>
                <w:szCs w:val="20"/>
                <w:highlight w:val="none"/>
              </w:rPr>
              <w:t>(三)深入</w:t>
            </w:r>
            <w:r>
              <w:rPr>
                <w:color w:val="auto"/>
                <w:highlight w:val="none"/>
              </w:rPr>
              <w:t>调整运输结构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vAlign w:val="center"/>
          </w:tcPr>
          <w:p>
            <w:pPr>
              <w:snapToGrid w:val="0"/>
              <w:spacing w:line="300" w:lineRule="exact"/>
              <w:jc w:val="center"/>
              <w:rPr>
                <w:bCs/>
                <w:color w:val="auto"/>
                <w:szCs w:val="20"/>
                <w:highlight w:val="none"/>
              </w:rPr>
            </w:pPr>
            <w:r>
              <w:rPr>
                <w:rFonts w:hint="eastAsia"/>
                <w:bCs/>
                <w:color w:val="auto"/>
                <w:szCs w:val="20"/>
                <w:highlight w:val="none"/>
              </w:rPr>
              <w:t>6</w:t>
            </w:r>
          </w:p>
        </w:tc>
        <w:tc>
          <w:tcPr>
            <w:tcW w:w="4773" w:type="dxa"/>
            <w:vAlign w:val="center"/>
          </w:tcPr>
          <w:p>
            <w:pPr>
              <w:snapToGrid w:val="0"/>
              <w:spacing w:line="280" w:lineRule="exact"/>
              <w:jc w:val="center"/>
              <w:rPr>
                <w:bCs/>
                <w:color w:val="auto"/>
                <w:szCs w:val="20"/>
                <w:highlight w:val="none"/>
              </w:rPr>
            </w:pPr>
            <w:r>
              <w:rPr>
                <w:bCs/>
                <w:color w:val="auto"/>
                <w:szCs w:val="20"/>
                <w:highlight w:val="none"/>
              </w:rPr>
              <w:t>提升综合运输效能。初步形成大宗货物和集装箱中长距 离运输以铁路、水路或管道为主的格局</w:t>
            </w:r>
            <w:r>
              <w:rPr>
                <w:rFonts w:hint="eastAsia"/>
                <w:bCs/>
                <w:color w:val="auto"/>
                <w:szCs w:val="20"/>
                <w:highlight w:val="none"/>
              </w:rPr>
              <w:t>。</w:t>
            </w:r>
          </w:p>
        </w:tc>
        <w:tc>
          <w:tcPr>
            <w:tcW w:w="2487" w:type="dxa"/>
            <w:vAlign w:val="center"/>
          </w:tcPr>
          <w:p>
            <w:pPr>
              <w:snapToGrid w:val="0"/>
              <w:spacing w:line="280" w:lineRule="exact"/>
              <w:jc w:val="center"/>
              <w:rPr>
                <w:bCs/>
                <w:color w:val="auto"/>
                <w:szCs w:val="20"/>
                <w:highlight w:val="none"/>
              </w:rPr>
            </w:pPr>
            <w:r>
              <w:rPr>
                <w:rFonts w:hint="eastAsia"/>
                <w:bCs/>
                <w:color w:val="auto"/>
                <w:szCs w:val="20"/>
                <w:highlight w:val="none"/>
              </w:rPr>
              <w:t>不涉及</w:t>
            </w:r>
          </w:p>
        </w:tc>
        <w:tc>
          <w:tcPr>
            <w:tcW w:w="1014" w:type="dxa"/>
            <w:vAlign w:val="center"/>
          </w:tcPr>
          <w:p>
            <w:pPr>
              <w:snapToGrid w:val="0"/>
              <w:spacing w:line="300" w:lineRule="exact"/>
              <w:jc w:val="center"/>
              <w:rPr>
                <w:bCs/>
                <w:color w:val="auto"/>
                <w:szCs w:val="20"/>
                <w:highlight w:val="none"/>
              </w:rPr>
            </w:pPr>
            <w:r>
              <w:rPr>
                <w:bCs/>
                <w:color w:val="auto"/>
                <w:szCs w:val="20"/>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vAlign w:val="center"/>
          </w:tcPr>
          <w:p>
            <w:pPr>
              <w:snapToGrid w:val="0"/>
              <w:spacing w:line="300" w:lineRule="exact"/>
              <w:jc w:val="center"/>
              <w:rPr>
                <w:bCs/>
                <w:color w:val="auto"/>
                <w:szCs w:val="20"/>
                <w:highlight w:val="none"/>
              </w:rPr>
            </w:pPr>
            <w:r>
              <w:rPr>
                <w:rFonts w:hint="eastAsia"/>
                <w:bCs/>
                <w:color w:val="auto"/>
                <w:szCs w:val="20"/>
                <w:highlight w:val="none"/>
              </w:rPr>
              <w:t>7</w:t>
            </w:r>
          </w:p>
        </w:tc>
        <w:tc>
          <w:tcPr>
            <w:tcW w:w="4773" w:type="dxa"/>
            <w:vAlign w:val="center"/>
          </w:tcPr>
          <w:p>
            <w:pPr>
              <w:snapToGrid w:val="0"/>
              <w:spacing w:line="280" w:lineRule="exact"/>
              <w:jc w:val="center"/>
              <w:rPr>
                <w:bCs/>
                <w:color w:val="auto"/>
                <w:szCs w:val="20"/>
                <w:highlight w:val="none"/>
              </w:rPr>
            </w:pPr>
            <w:r>
              <w:rPr>
                <w:bCs/>
                <w:color w:val="auto"/>
                <w:szCs w:val="20"/>
                <w:highlight w:val="none"/>
              </w:rPr>
              <w:t>减少移动源污染排放。加大中重型营运柴油货车淘汰力度，到2021年10月底前，力争全部淘汰国三及以下排 放标准的营运柴油货车。根据国家部署，有序推进国四中重型营运柴油货车淘汰工作</w:t>
            </w:r>
            <w:r>
              <w:rPr>
                <w:rFonts w:hint="eastAsia"/>
                <w:bCs/>
                <w:color w:val="auto"/>
                <w:szCs w:val="20"/>
                <w:highlight w:val="none"/>
              </w:rPr>
              <w:t>。</w:t>
            </w:r>
          </w:p>
        </w:tc>
        <w:tc>
          <w:tcPr>
            <w:tcW w:w="2487" w:type="dxa"/>
            <w:vAlign w:val="center"/>
          </w:tcPr>
          <w:p>
            <w:pPr>
              <w:snapToGrid w:val="0"/>
              <w:spacing w:line="280" w:lineRule="exact"/>
              <w:jc w:val="center"/>
              <w:rPr>
                <w:bCs/>
                <w:color w:val="auto"/>
                <w:szCs w:val="20"/>
                <w:highlight w:val="none"/>
              </w:rPr>
            </w:pPr>
            <w:r>
              <w:rPr>
                <w:rFonts w:hint="eastAsia"/>
                <w:bCs/>
                <w:color w:val="auto"/>
                <w:szCs w:val="20"/>
                <w:highlight w:val="none"/>
              </w:rPr>
              <w:t>不涉及</w:t>
            </w:r>
          </w:p>
        </w:tc>
        <w:tc>
          <w:tcPr>
            <w:tcW w:w="1014" w:type="dxa"/>
            <w:vAlign w:val="center"/>
          </w:tcPr>
          <w:p>
            <w:pPr>
              <w:snapToGrid w:val="0"/>
              <w:spacing w:line="300" w:lineRule="exact"/>
              <w:jc w:val="center"/>
              <w:rPr>
                <w:bCs/>
                <w:color w:val="auto"/>
                <w:szCs w:val="20"/>
                <w:highlight w:val="none"/>
              </w:rPr>
            </w:pPr>
            <w:r>
              <w:rPr>
                <w:bCs/>
                <w:color w:val="auto"/>
                <w:szCs w:val="20"/>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vAlign w:val="center"/>
          </w:tcPr>
          <w:p>
            <w:pPr>
              <w:snapToGrid w:val="0"/>
              <w:spacing w:line="300" w:lineRule="exact"/>
              <w:jc w:val="center"/>
              <w:rPr>
                <w:bCs/>
                <w:color w:val="auto"/>
                <w:szCs w:val="20"/>
                <w:highlight w:val="none"/>
              </w:rPr>
            </w:pPr>
            <w:r>
              <w:rPr>
                <w:rFonts w:hint="eastAsia"/>
                <w:bCs/>
                <w:color w:val="auto"/>
                <w:szCs w:val="20"/>
                <w:highlight w:val="none"/>
              </w:rPr>
              <w:t>8</w:t>
            </w:r>
          </w:p>
        </w:tc>
        <w:tc>
          <w:tcPr>
            <w:tcW w:w="4773" w:type="dxa"/>
            <w:vAlign w:val="center"/>
          </w:tcPr>
          <w:p>
            <w:pPr>
              <w:snapToGrid w:val="0"/>
              <w:spacing w:line="280" w:lineRule="exact"/>
              <w:jc w:val="center"/>
              <w:rPr>
                <w:bCs/>
                <w:color w:val="auto"/>
                <w:szCs w:val="20"/>
                <w:highlight w:val="none"/>
              </w:rPr>
            </w:pPr>
            <w:r>
              <w:rPr>
                <w:bCs/>
                <w:color w:val="auto"/>
                <w:szCs w:val="20"/>
                <w:highlight w:val="none"/>
              </w:rPr>
              <w:t>增加绿色低碳运输量。发展绿色交通，创建绿色铁路站、绿色港口。改造更新高耗能设施设备，推广施工材料、废旧材料再生和综合利用</w:t>
            </w:r>
          </w:p>
        </w:tc>
        <w:tc>
          <w:tcPr>
            <w:tcW w:w="2487" w:type="dxa"/>
            <w:vAlign w:val="center"/>
          </w:tcPr>
          <w:p>
            <w:pPr>
              <w:snapToGrid w:val="0"/>
              <w:spacing w:line="280" w:lineRule="exact"/>
              <w:jc w:val="center"/>
              <w:rPr>
                <w:bCs/>
                <w:color w:val="auto"/>
                <w:szCs w:val="20"/>
                <w:highlight w:val="none"/>
              </w:rPr>
            </w:pPr>
            <w:r>
              <w:rPr>
                <w:rFonts w:hint="eastAsia"/>
                <w:bCs/>
                <w:color w:val="auto"/>
                <w:szCs w:val="20"/>
                <w:highlight w:val="none"/>
              </w:rPr>
              <w:t>不涉及</w:t>
            </w:r>
          </w:p>
        </w:tc>
        <w:tc>
          <w:tcPr>
            <w:tcW w:w="1014" w:type="dxa"/>
            <w:vAlign w:val="center"/>
          </w:tcPr>
          <w:p>
            <w:pPr>
              <w:snapToGrid w:val="0"/>
              <w:spacing w:line="300" w:lineRule="exact"/>
              <w:jc w:val="center"/>
              <w:rPr>
                <w:bCs/>
                <w:color w:val="auto"/>
                <w:szCs w:val="20"/>
                <w:highlight w:val="none"/>
              </w:rPr>
            </w:pPr>
            <w:r>
              <w:rPr>
                <w:bCs/>
                <w:color w:val="auto"/>
                <w:szCs w:val="20"/>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60" w:type="dxa"/>
            <w:gridSpan w:val="4"/>
            <w:vAlign w:val="center"/>
          </w:tcPr>
          <w:p>
            <w:pPr>
              <w:snapToGrid w:val="0"/>
              <w:spacing w:line="280" w:lineRule="exact"/>
              <w:jc w:val="center"/>
              <w:rPr>
                <w:bCs/>
                <w:color w:val="auto"/>
                <w:szCs w:val="20"/>
                <w:highlight w:val="none"/>
              </w:rPr>
            </w:pPr>
            <w:r>
              <w:rPr>
                <w:rFonts w:hint="eastAsia"/>
                <w:bCs/>
                <w:color w:val="auto"/>
                <w:szCs w:val="20"/>
                <w:highlight w:val="none"/>
              </w:rPr>
              <w:t>(四)深入</w:t>
            </w:r>
            <w:r>
              <w:rPr>
                <w:rFonts w:hint="eastAsia"/>
                <w:color w:val="auto"/>
                <w:highlight w:val="none"/>
              </w:rPr>
              <w:t>调整农业投入与用地结构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vAlign w:val="center"/>
          </w:tcPr>
          <w:p>
            <w:pPr>
              <w:snapToGrid w:val="0"/>
              <w:spacing w:line="300" w:lineRule="exact"/>
              <w:jc w:val="center"/>
              <w:rPr>
                <w:bCs/>
                <w:color w:val="auto"/>
                <w:szCs w:val="20"/>
                <w:highlight w:val="none"/>
              </w:rPr>
            </w:pPr>
            <w:r>
              <w:rPr>
                <w:rFonts w:hint="eastAsia"/>
                <w:bCs/>
                <w:color w:val="auto"/>
                <w:szCs w:val="20"/>
                <w:highlight w:val="none"/>
              </w:rPr>
              <w:t>9</w:t>
            </w:r>
          </w:p>
        </w:tc>
        <w:tc>
          <w:tcPr>
            <w:tcW w:w="4773" w:type="dxa"/>
            <w:vAlign w:val="center"/>
          </w:tcPr>
          <w:p>
            <w:pPr>
              <w:snapToGrid w:val="0"/>
              <w:spacing w:line="280" w:lineRule="exact"/>
              <w:jc w:val="center"/>
              <w:rPr>
                <w:bCs/>
                <w:color w:val="auto"/>
                <w:szCs w:val="20"/>
                <w:highlight w:val="none"/>
              </w:rPr>
            </w:pPr>
            <w:r>
              <w:rPr>
                <w:bCs/>
                <w:color w:val="auto"/>
                <w:szCs w:val="20"/>
                <w:highlight w:val="none"/>
              </w:rPr>
              <w:t>减少化肥使用量。深入推广测土配方施肥，在粮食主产区、果菜茶优势产区等重点区域，大力普及测土配方施肥技术，推广应用配方肥，到2023年，全省化肥使用量较2020年减少3%，配方肥应用面积从2020年的400万公顷增加到440万公顷</w:t>
            </w:r>
          </w:p>
        </w:tc>
        <w:tc>
          <w:tcPr>
            <w:tcW w:w="2487" w:type="dxa"/>
            <w:vAlign w:val="center"/>
          </w:tcPr>
          <w:p>
            <w:pPr>
              <w:snapToGrid w:val="0"/>
              <w:spacing w:line="280" w:lineRule="exact"/>
              <w:jc w:val="center"/>
              <w:rPr>
                <w:bCs/>
                <w:color w:val="auto"/>
                <w:szCs w:val="20"/>
                <w:highlight w:val="none"/>
              </w:rPr>
            </w:pPr>
            <w:r>
              <w:rPr>
                <w:rFonts w:hint="eastAsia"/>
                <w:bCs/>
                <w:color w:val="auto"/>
                <w:szCs w:val="20"/>
                <w:highlight w:val="none"/>
              </w:rPr>
              <w:t>不涉及</w:t>
            </w:r>
          </w:p>
        </w:tc>
        <w:tc>
          <w:tcPr>
            <w:tcW w:w="1014" w:type="dxa"/>
            <w:vAlign w:val="center"/>
          </w:tcPr>
          <w:p>
            <w:pPr>
              <w:snapToGrid w:val="0"/>
              <w:spacing w:line="300" w:lineRule="exact"/>
              <w:jc w:val="center"/>
              <w:rPr>
                <w:bCs/>
                <w:color w:val="auto"/>
                <w:szCs w:val="20"/>
                <w:highlight w:val="none"/>
              </w:rPr>
            </w:pPr>
            <w:r>
              <w:rPr>
                <w:bCs/>
                <w:color w:val="auto"/>
                <w:szCs w:val="20"/>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vAlign w:val="center"/>
          </w:tcPr>
          <w:p>
            <w:pPr>
              <w:snapToGrid w:val="0"/>
              <w:spacing w:line="300" w:lineRule="exact"/>
              <w:jc w:val="center"/>
              <w:rPr>
                <w:bCs/>
                <w:color w:val="auto"/>
                <w:szCs w:val="20"/>
                <w:highlight w:val="none"/>
              </w:rPr>
            </w:pPr>
            <w:r>
              <w:rPr>
                <w:rFonts w:hint="eastAsia"/>
                <w:bCs/>
                <w:color w:val="auto"/>
                <w:szCs w:val="20"/>
                <w:highlight w:val="none"/>
              </w:rPr>
              <w:t>10</w:t>
            </w:r>
          </w:p>
        </w:tc>
        <w:tc>
          <w:tcPr>
            <w:tcW w:w="4773" w:type="dxa"/>
            <w:vAlign w:val="center"/>
          </w:tcPr>
          <w:p>
            <w:pPr>
              <w:snapToGrid w:val="0"/>
              <w:spacing w:line="280" w:lineRule="exact"/>
              <w:jc w:val="center"/>
              <w:rPr>
                <w:bCs/>
                <w:color w:val="auto"/>
                <w:szCs w:val="20"/>
                <w:highlight w:val="none"/>
              </w:rPr>
            </w:pPr>
            <w:r>
              <w:rPr>
                <w:bCs/>
                <w:color w:val="auto"/>
                <w:szCs w:val="20"/>
                <w:highlight w:val="none"/>
              </w:rPr>
              <w:t>加强施工工地生态管控。做好城市建筑、市政、公路、水利等施工场地扬尘精细化管控。建筑施工工地全面落 实工地周围围挡、产尘物料堆放覆盖、土方开挖湿法作业、路面硬化、出入车辆清洗、渣土车辆密闭运输六项措施</w:t>
            </w:r>
          </w:p>
        </w:tc>
        <w:tc>
          <w:tcPr>
            <w:tcW w:w="2487" w:type="dxa"/>
            <w:vAlign w:val="center"/>
          </w:tcPr>
          <w:p>
            <w:pPr>
              <w:snapToGrid w:val="0"/>
              <w:spacing w:line="280" w:lineRule="exact"/>
              <w:jc w:val="center"/>
              <w:rPr>
                <w:bCs/>
                <w:color w:val="auto"/>
                <w:szCs w:val="20"/>
                <w:highlight w:val="none"/>
              </w:rPr>
            </w:pPr>
            <w:r>
              <w:rPr>
                <w:rFonts w:hint="eastAsia"/>
                <w:bCs/>
                <w:color w:val="auto"/>
                <w:szCs w:val="20"/>
                <w:highlight w:val="none"/>
              </w:rPr>
              <w:t>不涉及</w:t>
            </w:r>
          </w:p>
        </w:tc>
        <w:tc>
          <w:tcPr>
            <w:tcW w:w="1014" w:type="dxa"/>
            <w:vAlign w:val="center"/>
          </w:tcPr>
          <w:p>
            <w:pPr>
              <w:snapToGrid w:val="0"/>
              <w:spacing w:line="300" w:lineRule="exact"/>
              <w:jc w:val="center"/>
              <w:rPr>
                <w:bCs/>
                <w:color w:val="auto"/>
                <w:szCs w:val="20"/>
                <w:highlight w:val="none"/>
              </w:rPr>
            </w:pPr>
            <w:r>
              <w:rPr>
                <w:bCs/>
                <w:color w:val="auto"/>
                <w:szCs w:val="20"/>
                <w:highlight w:val="none"/>
              </w:rPr>
              <w:t>符合</w:t>
            </w:r>
          </w:p>
        </w:tc>
      </w:tr>
    </w:tbl>
    <w:p>
      <w:pPr>
        <w:spacing w:line="360" w:lineRule="auto"/>
        <w:ind w:firstLine="480" w:firstLineChars="200"/>
        <w:rPr>
          <w:color w:val="auto"/>
          <w:sz w:val="24"/>
          <w:highlight w:val="none"/>
        </w:rPr>
      </w:pPr>
      <w:r>
        <w:rPr>
          <w:color w:val="auto"/>
          <w:sz w:val="24"/>
          <w:highlight w:val="none"/>
        </w:rPr>
        <w:t>由上表可知，本项目的建设符合</w:t>
      </w:r>
      <w:r>
        <w:rPr>
          <w:rFonts w:hint="eastAsia"/>
          <w:color w:val="auto"/>
          <w:sz w:val="24"/>
          <w:highlight w:val="none"/>
        </w:rPr>
        <w:t>《山东省新一轮“四减四增”三年行动方案(2021-2023)》</w:t>
      </w:r>
      <w:r>
        <w:rPr>
          <w:color w:val="auto"/>
          <w:sz w:val="24"/>
          <w:highlight w:val="none"/>
        </w:rPr>
        <w:t>的相关要求</w:t>
      </w:r>
      <w:r>
        <w:rPr>
          <w:rFonts w:hint="eastAsia"/>
          <w:color w:val="auto"/>
          <w:sz w:val="24"/>
          <w:highlight w:val="none"/>
        </w:rPr>
        <w:t>。</w:t>
      </w:r>
    </w:p>
    <w:p>
      <w:pPr>
        <w:spacing w:line="360" w:lineRule="auto"/>
        <w:ind w:firstLine="482" w:firstLineChars="200"/>
        <w:rPr>
          <w:b/>
          <w:color w:val="auto"/>
          <w:sz w:val="24"/>
          <w:highlight w:val="none"/>
          <w:lang w:val="zh-CN"/>
        </w:rPr>
      </w:pPr>
      <w:r>
        <w:rPr>
          <w:b/>
          <w:color w:val="auto"/>
          <w:sz w:val="24"/>
          <w:highlight w:val="none"/>
          <w:lang w:val="zh-CN"/>
        </w:rPr>
        <w:t>3、</w:t>
      </w:r>
      <w:r>
        <w:rPr>
          <w:rFonts w:hint="eastAsia"/>
          <w:b/>
          <w:color w:val="auto"/>
          <w:sz w:val="24"/>
          <w:highlight w:val="none"/>
          <w:lang w:val="zh-CN"/>
        </w:rPr>
        <w:t>与《山东省深入打好蓝天保卫战行动计划(2021-2025年)》符合性分析</w:t>
      </w:r>
    </w:p>
    <w:p>
      <w:pPr>
        <w:spacing w:line="360" w:lineRule="auto"/>
        <w:ind w:firstLine="480" w:firstLineChars="200"/>
        <w:rPr>
          <w:color w:val="auto"/>
          <w:sz w:val="24"/>
          <w:highlight w:val="none"/>
        </w:rPr>
      </w:pPr>
      <w:r>
        <w:rPr>
          <w:rFonts w:hint="eastAsia"/>
          <w:color w:val="auto"/>
          <w:sz w:val="24"/>
          <w:highlight w:val="none"/>
        </w:rPr>
        <w:t>本项目与《山东省深入打好蓝天保卫战行动计划(2021-2025年)》的符合性</w:t>
      </w:r>
      <w:r>
        <w:rPr>
          <w:color w:val="auto"/>
          <w:sz w:val="24"/>
          <w:highlight w:val="none"/>
        </w:rPr>
        <w:t>见表9.</w:t>
      </w:r>
      <w:r>
        <w:rPr>
          <w:rFonts w:hint="eastAsia"/>
          <w:color w:val="auto"/>
          <w:sz w:val="24"/>
          <w:highlight w:val="none"/>
        </w:rPr>
        <w:t>5</w:t>
      </w:r>
      <w:r>
        <w:rPr>
          <w:color w:val="auto"/>
          <w:sz w:val="24"/>
          <w:highlight w:val="none"/>
        </w:rPr>
        <w:t>-3。</w:t>
      </w:r>
    </w:p>
    <w:p>
      <w:pPr>
        <w:snapToGrid w:val="0"/>
        <w:spacing w:line="360" w:lineRule="auto"/>
        <w:rPr>
          <w:rFonts w:eastAsia="黑体"/>
          <w:color w:val="auto"/>
          <w:sz w:val="24"/>
          <w:highlight w:val="none"/>
        </w:rPr>
      </w:pPr>
      <w:r>
        <w:rPr>
          <w:rFonts w:eastAsia="黑体"/>
          <w:color w:val="auto"/>
          <w:sz w:val="24"/>
          <w:highlight w:val="none"/>
        </w:rPr>
        <w:t>表9.</w:t>
      </w:r>
      <w:r>
        <w:rPr>
          <w:rFonts w:hint="eastAsia" w:eastAsia="黑体"/>
          <w:color w:val="auto"/>
          <w:sz w:val="24"/>
          <w:highlight w:val="none"/>
        </w:rPr>
        <w:t>5</w:t>
      </w:r>
      <w:r>
        <w:rPr>
          <w:rFonts w:eastAsia="黑体"/>
          <w:color w:val="auto"/>
          <w:sz w:val="24"/>
          <w:highlight w:val="none"/>
        </w:rPr>
        <w:t xml:space="preserve">-3  </w:t>
      </w:r>
      <w:r>
        <w:rPr>
          <w:rFonts w:hint="eastAsia" w:eastAsia="黑体"/>
          <w:color w:val="auto"/>
          <w:sz w:val="24"/>
          <w:highlight w:val="none"/>
        </w:rPr>
        <w:t>项目与《山东省深入打好蓝天保卫战行动计划(2021-2025年)》符合性分析</w:t>
      </w:r>
    </w:p>
    <w:tbl>
      <w:tblPr>
        <w:tblStyle w:val="59"/>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57" w:type="dxa"/>
          <w:left w:w="108" w:type="dxa"/>
          <w:bottom w:w="57" w:type="dxa"/>
          <w:right w:w="108" w:type="dxa"/>
        </w:tblCellMar>
      </w:tblPr>
      <w:tblGrid>
        <w:gridCol w:w="550"/>
        <w:gridCol w:w="4787"/>
        <w:gridCol w:w="2759"/>
        <w:gridCol w:w="7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309" w:type="pct"/>
            <w:tcMar>
              <w:top w:w="0" w:type="dxa"/>
              <w:left w:w="57" w:type="dxa"/>
              <w:bottom w:w="0" w:type="dxa"/>
              <w:right w:w="57" w:type="dxa"/>
            </w:tcMar>
            <w:vAlign w:val="center"/>
          </w:tcPr>
          <w:p>
            <w:pPr>
              <w:jc w:val="center"/>
              <w:rPr>
                <w:bCs/>
                <w:color w:val="auto"/>
                <w:szCs w:val="21"/>
                <w:highlight w:val="none"/>
              </w:rPr>
            </w:pPr>
            <w:r>
              <w:rPr>
                <w:bCs/>
                <w:color w:val="auto"/>
                <w:szCs w:val="21"/>
                <w:highlight w:val="none"/>
              </w:rPr>
              <w:t>序号</w:t>
            </w:r>
          </w:p>
        </w:tc>
        <w:tc>
          <w:tcPr>
            <w:tcW w:w="2691" w:type="pct"/>
            <w:tcMar>
              <w:top w:w="0" w:type="dxa"/>
              <w:left w:w="57" w:type="dxa"/>
              <w:bottom w:w="0" w:type="dxa"/>
              <w:right w:w="57" w:type="dxa"/>
            </w:tcMar>
            <w:vAlign w:val="center"/>
          </w:tcPr>
          <w:p>
            <w:pPr>
              <w:jc w:val="center"/>
              <w:rPr>
                <w:bCs/>
                <w:color w:val="auto"/>
                <w:szCs w:val="21"/>
                <w:highlight w:val="none"/>
              </w:rPr>
            </w:pPr>
            <w:r>
              <w:rPr>
                <w:bCs/>
                <w:color w:val="auto"/>
                <w:szCs w:val="21"/>
                <w:highlight w:val="none"/>
              </w:rPr>
              <w:t>政策要求</w:t>
            </w:r>
          </w:p>
        </w:tc>
        <w:tc>
          <w:tcPr>
            <w:tcW w:w="1551" w:type="pct"/>
            <w:tcMar>
              <w:top w:w="0" w:type="dxa"/>
              <w:left w:w="57" w:type="dxa"/>
              <w:bottom w:w="0" w:type="dxa"/>
              <w:right w:w="57" w:type="dxa"/>
            </w:tcMar>
            <w:vAlign w:val="center"/>
          </w:tcPr>
          <w:p>
            <w:pPr>
              <w:jc w:val="center"/>
              <w:rPr>
                <w:bCs/>
                <w:color w:val="auto"/>
                <w:szCs w:val="21"/>
                <w:highlight w:val="none"/>
              </w:rPr>
            </w:pPr>
            <w:r>
              <w:rPr>
                <w:bCs/>
                <w:color w:val="auto"/>
                <w:szCs w:val="21"/>
                <w:highlight w:val="none"/>
              </w:rPr>
              <w:t>项目情况</w:t>
            </w:r>
          </w:p>
        </w:tc>
        <w:tc>
          <w:tcPr>
            <w:tcW w:w="446" w:type="pct"/>
            <w:tcMar>
              <w:top w:w="0" w:type="dxa"/>
              <w:left w:w="57" w:type="dxa"/>
              <w:bottom w:w="0" w:type="dxa"/>
              <w:right w:w="57" w:type="dxa"/>
            </w:tcMar>
            <w:vAlign w:val="center"/>
          </w:tcPr>
          <w:p>
            <w:pPr>
              <w:jc w:val="center"/>
              <w:rPr>
                <w:bCs/>
                <w:color w:val="auto"/>
                <w:szCs w:val="21"/>
                <w:highlight w:val="none"/>
              </w:rPr>
            </w:pPr>
            <w:r>
              <w:rPr>
                <w:bCs/>
                <w:color w:val="auto"/>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52" w:hRule="atLeast"/>
          <w:jc w:val="center"/>
        </w:trPr>
        <w:tc>
          <w:tcPr>
            <w:tcW w:w="309" w:type="pct"/>
            <w:tcMar>
              <w:top w:w="0" w:type="dxa"/>
              <w:left w:w="57" w:type="dxa"/>
              <w:bottom w:w="0" w:type="dxa"/>
              <w:right w:w="57" w:type="dxa"/>
            </w:tcMar>
            <w:vAlign w:val="center"/>
          </w:tcPr>
          <w:p>
            <w:pPr>
              <w:jc w:val="center"/>
              <w:rPr>
                <w:bCs/>
                <w:color w:val="auto"/>
                <w:szCs w:val="21"/>
                <w:highlight w:val="none"/>
              </w:rPr>
            </w:pPr>
            <w:r>
              <w:rPr>
                <w:bCs/>
                <w:color w:val="auto"/>
                <w:szCs w:val="21"/>
                <w:highlight w:val="none"/>
              </w:rPr>
              <w:t>1</w:t>
            </w:r>
          </w:p>
        </w:tc>
        <w:tc>
          <w:tcPr>
            <w:tcW w:w="2691" w:type="pct"/>
            <w:tcMar>
              <w:top w:w="0" w:type="dxa"/>
              <w:left w:w="57" w:type="dxa"/>
              <w:bottom w:w="0" w:type="dxa"/>
              <w:right w:w="57" w:type="dxa"/>
            </w:tcMar>
            <w:vAlign w:val="center"/>
          </w:tcPr>
          <w:p>
            <w:pPr>
              <w:jc w:val="left"/>
              <w:rPr>
                <w:color w:val="auto"/>
                <w:szCs w:val="21"/>
                <w:highlight w:val="none"/>
              </w:rPr>
            </w:pPr>
            <w:r>
              <w:rPr>
                <w:color w:val="auto"/>
                <w:szCs w:val="21"/>
                <w:highlight w:val="none"/>
              </w:rPr>
              <w:t>一、淘汰低效落</w:t>
            </w:r>
            <w:r>
              <w:rPr>
                <w:rFonts w:hint="eastAsia"/>
                <w:color w:val="auto"/>
                <w:szCs w:val="21"/>
                <w:highlight w:val="none"/>
              </w:rPr>
              <w:t>后产</w:t>
            </w:r>
            <w:r>
              <w:rPr>
                <w:color w:val="auto"/>
                <w:szCs w:val="21"/>
                <w:highlight w:val="none"/>
              </w:rPr>
              <w:t>能</w:t>
            </w:r>
          </w:p>
        </w:tc>
        <w:tc>
          <w:tcPr>
            <w:tcW w:w="1551" w:type="pct"/>
            <w:tcMar>
              <w:top w:w="0" w:type="dxa"/>
              <w:left w:w="57" w:type="dxa"/>
              <w:bottom w:w="0" w:type="dxa"/>
              <w:right w:w="57" w:type="dxa"/>
            </w:tcMar>
            <w:vAlign w:val="center"/>
          </w:tcPr>
          <w:p>
            <w:pPr>
              <w:jc w:val="center"/>
              <w:rPr>
                <w:color w:val="auto"/>
                <w:szCs w:val="21"/>
                <w:highlight w:val="none"/>
              </w:rPr>
            </w:pPr>
            <w:r>
              <w:rPr>
                <w:color w:val="auto"/>
                <w:szCs w:val="21"/>
                <w:highlight w:val="none"/>
              </w:rPr>
              <w:t>项目不属于低效落后产能</w:t>
            </w:r>
          </w:p>
        </w:tc>
        <w:tc>
          <w:tcPr>
            <w:tcW w:w="446" w:type="pct"/>
            <w:tcMar>
              <w:top w:w="0" w:type="dxa"/>
              <w:left w:w="57" w:type="dxa"/>
              <w:bottom w:w="0" w:type="dxa"/>
              <w:right w:w="57" w:type="dxa"/>
            </w:tcMar>
            <w:vAlign w:val="center"/>
          </w:tcPr>
          <w:p>
            <w:pPr>
              <w:jc w:val="center"/>
              <w:rPr>
                <w:color w:val="auto"/>
                <w:szCs w:val="21"/>
                <w:highlight w:val="none"/>
              </w:rPr>
            </w:pPr>
            <w:r>
              <w:rPr>
                <w:color w:val="auto"/>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309" w:type="pct"/>
            <w:tcMar>
              <w:top w:w="0" w:type="dxa"/>
              <w:left w:w="57" w:type="dxa"/>
              <w:bottom w:w="0" w:type="dxa"/>
              <w:right w:w="57" w:type="dxa"/>
            </w:tcMar>
            <w:vAlign w:val="center"/>
          </w:tcPr>
          <w:p>
            <w:pPr>
              <w:jc w:val="center"/>
              <w:rPr>
                <w:bCs/>
                <w:color w:val="auto"/>
                <w:szCs w:val="21"/>
                <w:highlight w:val="none"/>
              </w:rPr>
            </w:pPr>
            <w:r>
              <w:rPr>
                <w:bCs/>
                <w:color w:val="auto"/>
                <w:szCs w:val="21"/>
                <w:highlight w:val="none"/>
              </w:rPr>
              <w:t>2</w:t>
            </w:r>
          </w:p>
        </w:tc>
        <w:tc>
          <w:tcPr>
            <w:tcW w:w="2691" w:type="pct"/>
            <w:tcMar>
              <w:top w:w="0" w:type="dxa"/>
              <w:left w:w="57" w:type="dxa"/>
              <w:bottom w:w="0" w:type="dxa"/>
              <w:right w:w="57" w:type="dxa"/>
            </w:tcMar>
            <w:vAlign w:val="center"/>
          </w:tcPr>
          <w:p>
            <w:pPr>
              <w:jc w:val="left"/>
              <w:rPr>
                <w:color w:val="auto"/>
                <w:szCs w:val="21"/>
                <w:highlight w:val="none"/>
              </w:rPr>
            </w:pPr>
            <w:r>
              <w:rPr>
                <w:color w:val="auto"/>
                <w:szCs w:val="21"/>
                <w:highlight w:val="none"/>
              </w:rPr>
              <w:t>二、压减煤炭消费量</w:t>
            </w:r>
          </w:p>
        </w:tc>
        <w:tc>
          <w:tcPr>
            <w:tcW w:w="1551" w:type="pct"/>
            <w:tcMar>
              <w:top w:w="0" w:type="dxa"/>
              <w:left w:w="57" w:type="dxa"/>
              <w:bottom w:w="0" w:type="dxa"/>
              <w:right w:w="57" w:type="dxa"/>
            </w:tcMar>
            <w:vAlign w:val="center"/>
          </w:tcPr>
          <w:p>
            <w:pPr>
              <w:jc w:val="center"/>
              <w:rPr>
                <w:color w:val="auto"/>
                <w:szCs w:val="21"/>
                <w:highlight w:val="none"/>
              </w:rPr>
            </w:pPr>
            <w:r>
              <w:rPr>
                <w:color w:val="auto"/>
                <w:szCs w:val="21"/>
                <w:highlight w:val="none"/>
              </w:rPr>
              <w:t>项目不使用煤炭</w:t>
            </w:r>
          </w:p>
        </w:tc>
        <w:tc>
          <w:tcPr>
            <w:tcW w:w="446" w:type="pct"/>
            <w:tcMar>
              <w:top w:w="0" w:type="dxa"/>
              <w:left w:w="57" w:type="dxa"/>
              <w:bottom w:w="0" w:type="dxa"/>
              <w:right w:w="57" w:type="dxa"/>
            </w:tcMar>
            <w:vAlign w:val="center"/>
          </w:tcPr>
          <w:p>
            <w:pPr>
              <w:jc w:val="center"/>
              <w:rPr>
                <w:color w:val="auto"/>
                <w:szCs w:val="21"/>
                <w:highlight w:val="none"/>
              </w:rPr>
            </w:pPr>
            <w:r>
              <w:rPr>
                <w:color w:val="auto"/>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309" w:type="pct"/>
            <w:tcMar>
              <w:top w:w="0" w:type="dxa"/>
              <w:left w:w="57" w:type="dxa"/>
              <w:bottom w:w="0" w:type="dxa"/>
              <w:right w:w="57" w:type="dxa"/>
            </w:tcMar>
            <w:vAlign w:val="center"/>
          </w:tcPr>
          <w:p>
            <w:pPr>
              <w:jc w:val="center"/>
              <w:rPr>
                <w:color w:val="auto"/>
                <w:szCs w:val="21"/>
                <w:highlight w:val="none"/>
              </w:rPr>
            </w:pPr>
            <w:r>
              <w:rPr>
                <w:color w:val="auto"/>
                <w:szCs w:val="21"/>
                <w:highlight w:val="none"/>
              </w:rPr>
              <w:t>3</w:t>
            </w:r>
          </w:p>
        </w:tc>
        <w:tc>
          <w:tcPr>
            <w:tcW w:w="2691" w:type="pct"/>
            <w:tcMar>
              <w:top w:w="0" w:type="dxa"/>
              <w:left w:w="57" w:type="dxa"/>
              <w:bottom w:w="0" w:type="dxa"/>
              <w:right w:w="57" w:type="dxa"/>
            </w:tcMar>
            <w:vAlign w:val="center"/>
          </w:tcPr>
          <w:p>
            <w:pPr>
              <w:jc w:val="left"/>
              <w:rPr>
                <w:color w:val="auto"/>
                <w:szCs w:val="21"/>
                <w:highlight w:val="none"/>
              </w:rPr>
            </w:pPr>
            <w:r>
              <w:rPr>
                <w:color w:val="auto"/>
                <w:szCs w:val="21"/>
                <w:highlight w:val="none"/>
              </w:rPr>
              <w:t>三、优化货物运输方式优化交通运输结构，大力发展铁港联运，基本形成大宗货物和集装箱中长距离运输以铁路、水路或管道为主的格局。</w:t>
            </w:r>
          </w:p>
        </w:tc>
        <w:tc>
          <w:tcPr>
            <w:tcW w:w="1551" w:type="pct"/>
            <w:tcMar>
              <w:top w:w="0" w:type="dxa"/>
              <w:left w:w="57" w:type="dxa"/>
              <w:bottom w:w="0" w:type="dxa"/>
              <w:right w:w="57" w:type="dxa"/>
            </w:tcMar>
            <w:vAlign w:val="center"/>
          </w:tcPr>
          <w:p>
            <w:pPr>
              <w:jc w:val="center"/>
              <w:rPr>
                <w:color w:val="auto"/>
                <w:szCs w:val="21"/>
                <w:highlight w:val="none"/>
              </w:rPr>
            </w:pPr>
            <w:r>
              <w:rPr>
                <w:color w:val="auto"/>
                <w:szCs w:val="21"/>
                <w:highlight w:val="none"/>
              </w:rPr>
              <w:t>项目不属于运输量较大的行业项目，基本不产生运输扬尘</w:t>
            </w:r>
          </w:p>
        </w:tc>
        <w:tc>
          <w:tcPr>
            <w:tcW w:w="446" w:type="pct"/>
            <w:tcMar>
              <w:top w:w="0" w:type="dxa"/>
              <w:left w:w="57" w:type="dxa"/>
              <w:bottom w:w="0" w:type="dxa"/>
              <w:right w:w="57" w:type="dxa"/>
            </w:tcMar>
            <w:vAlign w:val="center"/>
          </w:tcPr>
          <w:p>
            <w:pPr>
              <w:jc w:val="center"/>
              <w:rPr>
                <w:color w:val="auto"/>
                <w:highlight w:val="none"/>
              </w:rPr>
            </w:pPr>
            <w:r>
              <w:rPr>
                <w:color w:val="auto"/>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309" w:type="pct"/>
            <w:tcMar>
              <w:top w:w="0" w:type="dxa"/>
              <w:left w:w="57" w:type="dxa"/>
              <w:bottom w:w="0" w:type="dxa"/>
              <w:right w:w="57" w:type="dxa"/>
            </w:tcMar>
            <w:vAlign w:val="center"/>
          </w:tcPr>
          <w:p>
            <w:pPr>
              <w:jc w:val="center"/>
              <w:rPr>
                <w:color w:val="auto"/>
                <w:szCs w:val="21"/>
                <w:highlight w:val="none"/>
              </w:rPr>
            </w:pPr>
            <w:r>
              <w:rPr>
                <w:color w:val="auto"/>
                <w:szCs w:val="21"/>
                <w:highlight w:val="none"/>
              </w:rPr>
              <w:t>4</w:t>
            </w:r>
          </w:p>
        </w:tc>
        <w:tc>
          <w:tcPr>
            <w:tcW w:w="2691" w:type="pct"/>
            <w:tcMar>
              <w:top w:w="0" w:type="dxa"/>
              <w:left w:w="57" w:type="dxa"/>
              <w:bottom w:w="0" w:type="dxa"/>
              <w:right w:w="57" w:type="dxa"/>
            </w:tcMar>
            <w:vAlign w:val="center"/>
          </w:tcPr>
          <w:p>
            <w:pPr>
              <w:jc w:val="left"/>
              <w:rPr>
                <w:color w:val="auto"/>
                <w:szCs w:val="21"/>
                <w:highlight w:val="none"/>
              </w:rPr>
            </w:pPr>
            <w:r>
              <w:rPr>
                <w:color w:val="auto"/>
                <w:szCs w:val="21"/>
                <w:highlight w:val="none"/>
              </w:rPr>
              <w:t>四、实施VOCs全过程污染防治</w:t>
            </w:r>
          </w:p>
          <w:p>
            <w:pPr>
              <w:jc w:val="left"/>
              <w:rPr>
                <w:color w:val="auto"/>
                <w:szCs w:val="21"/>
                <w:highlight w:val="none"/>
              </w:rPr>
            </w:pPr>
            <w:r>
              <w:rPr>
                <w:color w:val="auto"/>
                <w:szCs w:val="21"/>
                <w:highlight w:val="none"/>
              </w:rPr>
              <w:t>实施低VOCs含量工业涂料、油墨、胶粘剂、清洗剂等原辅料使用替代。新、改、扩建工业涂装、包装印刷等含VOCs原辅材料使用的项目，原则上使用低（无）VOCs含量产品。2025年年底前，各市至少建立30个替代试点项目，全省溶剂型工业涂料、溶剂型油墨使用比例分别降低20、15个百分点，溶剂型胶粘剂使用量下降20%。2021年年底前，完成现有VOCs废气收集率、治理设施同步运行率和去除率排查工作，对达不到要求的收集、治理设施进行更换或升级改造；组织开展有机废气排放系统旁路摸底排查，取消非必要的旁路，确因安全生产等原因无法取消的，应安装有效的监控装置纳入监管。2025年年底前，炼化企业基本完成延迟焦化装置密闭除焦改造。强化装载废气收集治理，2022年年底前，万吨级以上原油、成品油码头全部完成油气回收治理。2025年年</w:t>
            </w:r>
            <w:r>
              <w:rPr>
                <w:color w:val="auto"/>
                <w:szCs w:val="21"/>
                <w:highlight w:val="none"/>
              </w:rPr>
              <w:cr/>
            </w:r>
            <w:r>
              <w:rPr>
                <w:color w:val="auto"/>
                <w:szCs w:val="21"/>
                <w:highlight w:val="none"/>
              </w:rPr>
              <w:t>前，80%以上的油品运输船舶具备油气回收条件。符合国家标准规定的储油库和依法被确定为重点排污单位的加油站，应安装油气回收自动监控设备并与生态环境部门联网。持续推行加油站、油库夜间加油、卸油措施。推动企业持续、规范开展泄漏检测与修复（LDAR），提升LDAR质量，鼓励石化、有机化工等大型企业自行开展LDAR。</w:t>
            </w:r>
            <w:r>
              <w:rPr>
                <w:color w:val="auto"/>
                <w:szCs w:val="21"/>
                <w:highlight w:val="none"/>
              </w:rPr>
              <w:cr/>
            </w:r>
            <w:r>
              <w:rPr>
                <w:color w:val="auto"/>
                <w:szCs w:val="21"/>
                <w:highlight w:val="none"/>
              </w:rPr>
              <w:t>强监督检查，每年O3污染高发季前，对LDAR开展情况进行抽测和检查。2023年年底前，石化、化工行业集中的城市和工业园区要建立统一的LDAR信息管理平台。（省生态环境厅牵头）</w:t>
            </w:r>
          </w:p>
        </w:tc>
        <w:tc>
          <w:tcPr>
            <w:tcW w:w="1551" w:type="pct"/>
            <w:tcMar>
              <w:top w:w="0" w:type="dxa"/>
              <w:left w:w="57" w:type="dxa"/>
              <w:bottom w:w="0" w:type="dxa"/>
              <w:right w:w="57" w:type="dxa"/>
            </w:tcMar>
            <w:vAlign w:val="center"/>
          </w:tcPr>
          <w:p>
            <w:pPr>
              <w:jc w:val="center"/>
              <w:rPr>
                <w:color w:val="auto"/>
                <w:szCs w:val="21"/>
                <w:highlight w:val="none"/>
              </w:rPr>
            </w:pPr>
            <w:r>
              <w:rPr>
                <w:color w:val="auto"/>
                <w:szCs w:val="21"/>
                <w:highlight w:val="none"/>
              </w:rPr>
              <w:t>项目</w:t>
            </w:r>
            <w:r>
              <w:rPr>
                <w:rFonts w:hint="eastAsia"/>
                <w:color w:val="auto"/>
                <w:szCs w:val="21"/>
                <w:highlight w:val="none"/>
              </w:rPr>
              <w:t>不使用</w:t>
            </w:r>
            <w:r>
              <w:rPr>
                <w:color w:val="auto"/>
                <w:szCs w:val="21"/>
                <w:highlight w:val="none"/>
              </w:rPr>
              <w:t>工业涂料、油墨、胶粘剂、清洗剂</w:t>
            </w:r>
            <w:r>
              <w:rPr>
                <w:rFonts w:hint="eastAsia"/>
                <w:color w:val="auto"/>
                <w:szCs w:val="21"/>
                <w:highlight w:val="none"/>
              </w:rPr>
              <w:t>等，不属于重点VOCs行业。</w:t>
            </w:r>
          </w:p>
        </w:tc>
        <w:tc>
          <w:tcPr>
            <w:tcW w:w="446" w:type="pct"/>
            <w:tcMar>
              <w:top w:w="0" w:type="dxa"/>
              <w:left w:w="57" w:type="dxa"/>
              <w:bottom w:w="0" w:type="dxa"/>
              <w:right w:w="57" w:type="dxa"/>
            </w:tcMar>
            <w:vAlign w:val="center"/>
          </w:tcPr>
          <w:p>
            <w:pPr>
              <w:jc w:val="center"/>
              <w:rPr>
                <w:color w:val="auto"/>
                <w:szCs w:val="21"/>
                <w:highlight w:val="none"/>
              </w:rPr>
            </w:pPr>
            <w:r>
              <w:rPr>
                <w:color w:val="auto"/>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309" w:type="pct"/>
            <w:tcMar>
              <w:top w:w="0" w:type="dxa"/>
              <w:left w:w="57" w:type="dxa"/>
              <w:bottom w:w="0" w:type="dxa"/>
              <w:right w:w="57" w:type="dxa"/>
            </w:tcMar>
            <w:vAlign w:val="center"/>
          </w:tcPr>
          <w:p>
            <w:pPr>
              <w:jc w:val="center"/>
              <w:rPr>
                <w:color w:val="auto"/>
                <w:szCs w:val="21"/>
                <w:highlight w:val="none"/>
              </w:rPr>
            </w:pPr>
            <w:r>
              <w:rPr>
                <w:color w:val="auto"/>
                <w:szCs w:val="21"/>
                <w:highlight w:val="none"/>
              </w:rPr>
              <w:t>5</w:t>
            </w:r>
          </w:p>
        </w:tc>
        <w:tc>
          <w:tcPr>
            <w:tcW w:w="2691" w:type="pct"/>
            <w:tcMar>
              <w:top w:w="0" w:type="dxa"/>
              <w:left w:w="57" w:type="dxa"/>
              <w:bottom w:w="0" w:type="dxa"/>
              <w:right w:w="57" w:type="dxa"/>
            </w:tcMar>
            <w:vAlign w:val="center"/>
          </w:tcPr>
          <w:p>
            <w:pPr>
              <w:jc w:val="left"/>
              <w:rPr>
                <w:color w:val="auto"/>
                <w:szCs w:val="21"/>
                <w:highlight w:val="none"/>
              </w:rPr>
            </w:pPr>
            <w:r>
              <w:rPr>
                <w:color w:val="auto"/>
                <w:szCs w:val="21"/>
                <w:highlight w:val="none"/>
              </w:rPr>
              <w:t>五、强化工业源NOx深度治理严格治理设施运行监管，燃煤机组、锅炉、钢铁企业污染排放稳定达到超低排放要求。2023年年底前，完成焦化、水泥行业超低排放改造。实施玻璃、陶瓷、铸造、铁合金、有色等行业污染深度治理，确保各类大气污染物稳定达标排放。重点涉气排放企业取消烟气旁路，确</w:t>
            </w:r>
            <w:r>
              <w:rPr>
                <w:color w:val="auto"/>
                <w:szCs w:val="21"/>
                <w:highlight w:val="none"/>
              </w:rPr>
              <w:cr/>
            </w:r>
            <w:r>
              <w:rPr>
                <w:color w:val="auto"/>
                <w:szCs w:val="21"/>
                <w:highlight w:val="none"/>
              </w:rPr>
              <w:t>安全生产等原因无法取消的，应安装有效监控装置纳入监管。引导重点企业在秋冬季安排停产检修、维修，减少污染物排放。</w:t>
            </w:r>
          </w:p>
        </w:tc>
        <w:tc>
          <w:tcPr>
            <w:tcW w:w="1551" w:type="pct"/>
            <w:tcMar>
              <w:top w:w="0" w:type="dxa"/>
              <w:left w:w="57" w:type="dxa"/>
              <w:bottom w:w="0" w:type="dxa"/>
              <w:right w:w="57" w:type="dxa"/>
            </w:tcMar>
            <w:vAlign w:val="center"/>
          </w:tcPr>
          <w:p>
            <w:pPr>
              <w:jc w:val="center"/>
              <w:rPr>
                <w:color w:val="auto"/>
                <w:szCs w:val="21"/>
                <w:highlight w:val="none"/>
              </w:rPr>
            </w:pPr>
            <w:r>
              <w:rPr>
                <w:color w:val="auto"/>
                <w:szCs w:val="21"/>
                <w:highlight w:val="none"/>
              </w:rPr>
              <w:t>项目不属于以上行业</w:t>
            </w:r>
          </w:p>
        </w:tc>
        <w:tc>
          <w:tcPr>
            <w:tcW w:w="446" w:type="pct"/>
            <w:tcMar>
              <w:top w:w="0" w:type="dxa"/>
              <w:left w:w="57" w:type="dxa"/>
              <w:bottom w:w="0" w:type="dxa"/>
              <w:right w:w="57" w:type="dxa"/>
            </w:tcMar>
            <w:vAlign w:val="center"/>
          </w:tcPr>
          <w:p>
            <w:pPr>
              <w:jc w:val="center"/>
              <w:rPr>
                <w:color w:val="auto"/>
                <w:szCs w:val="21"/>
                <w:highlight w:val="none"/>
              </w:rPr>
            </w:pPr>
            <w:r>
              <w:rPr>
                <w:color w:val="auto"/>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309" w:type="pct"/>
            <w:tcMar>
              <w:top w:w="0" w:type="dxa"/>
              <w:left w:w="57" w:type="dxa"/>
              <w:bottom w:w="0" w:type="dxa"/>
              <w:right w:w="57" w:type="dxa"/>
            </w:tcMar>
            <w:vAlign w:val="center"/>
          </w:tcPr>
          <w:p>
            <w:pPr>
              <w:jc w:val="center"/>
              <w:rPr>
                <w:color w:val="auto"/>
                <w:szCs w:val="21"/>
                <w:highlight w:val="none"/>
              </w:rPr>
            </w:pPr>
            <w:r>
              <w:rPr>
                <w:color w:val="auto"/>
                <w:szCs w:val="21"/>
                <w:highlight w:val="none"/>
              </w:rPr>
              <w:t>6</w:t>
            </w:r>
          </w:p>
        </w:tc>
        <w:tc>
          <w:tcPr>
            <w:tcW w:w="2691" w:type="pct"/>
            <w:tcMar>
              <w:top w:w="0" w:type="dxa"/>
              <w:left w:w="57" w:type="dxa"/>
              <w:bottom w:w="0" w:type="dxa"/>
              <w:right w:w="57" w:type="dxa"/>
            </w:tcMar>
            <w:vAlign w:val="center"/>
          </w:tcPr>
          <w:p>
            <w:pPr>
              <w:jc w:val="left"/>
              <w:rPr>
                <w:color w:val="auto"/>
                <w:szCs w:val="21"/>
                <w:highlight w:val="none"/>
              </w:rPr>
            </w:pPr>
            <w:r>
              <w:rPr>
                <w:color w:val="auto"/>
                <w:szCs w:val="21"/>
                <w:highlight w:val="none"/>
              </w:rPr>
              <w:t>七、严格扬尘污染管控。</w:t>
            </w:r>
          </w:p>
          <w:p>
            <w:pPr>
              <w:jc w:val="left"/>
              <w:rPr>
                <w:color w:val="auto"/>
                <w:szCs w:val="21"/>
                <w:highlight w:val="none"/>
              </w:rPr>
            </w:pPr>
            <w:r>
              <w:rPr>
                <w:color w:val="auto"/>
                <w:szCs w:val="21"/>
                <w:highlight w:val="none"/>
              </w:rPr>
              <w:t>加强施工扬尘精细化管控，建立并动态更新施工工地清单。全面推行绿色施工，将扬尘污染防治费用纳入工程造价，各类施工工地严格落实扬尘污染防治措施，其中建筑施工工地严格执行“六项措施”；大型煤炭、矿石等干散货码头物料堆场全面完成围挡、覆盖、自动喷淋等抑尘设施建设和物料输送系统封闭改造，鼓励有条件的码头堆场实施全封闭改造。推进露天矿山生态保护和修复，加强对露天矿山生态环境的监测。</w:t>
            </w:r>
          </w:p>
        </w:tc>
        <w:tc>
          <w:tcPr>
            <w:tcW w:w="1551" w:type="pct"/>
            <w:tcMar>
              <w:top w:w="0" w:type="dxa"/>
              <w:left w:w="57" w:type="dxa"/>
              <w:bottom w:w="0" w:type="dxa"/>
              <w:right w:w="57" w:type="dxa"/>
            </w:tcMar>
            <w:vAlign w:val="center"/>
          </w:tcPr>
          <w:p>
            <w:pPr>
              <w:jc w:val="center"/>
              <w:rPr>
                <w:color w:val="auto"/>
                <w:szCs w:val="21"/>
                <w:highlight w:val="none"/>
              </w:rPr>
            </w:pPr>
            <w:r>
              <w:rPr>
                <w:color w:val="auto"/>
                <w:szCs w:val="21"/>
                <w:highlight w:val="none"/>
              </w:rPr>
              <w:t>本项目施工期不涉及</w:t>
            </w:r>
            <w:r>
              <w:rPr>
                <w:rFonts w:hint="eastAsia"/>
                <w:color w:val="auto"/>
                <w:szCs w:val="21"/>
                <w:highlight w:val="none"/>
              </w:rPr>
              <w:t>大型</w:t>
            </w:r>
            <w:r>
              <w:rPr>
                <w:color w:val="auto"/>
                <w:szCs w:val="21"/>
                <w:highlight w:val="none"/>
              </w:rPr>
              <w:t>土建施工，且无大量土石方。</w:t>
            </w:r>
            <w:r>
              <w:rPr>
                <w:rFonts w:hint="eastAsia"/>
                <w:color w:val="auto"/>
                <w:szCs w:val="21"/>
                <w:highlight w:val="none"/>
              </w:rPr>
              <w:t>主要为钢结构厂房的建设和设备安装。施工期间企业加强施工扬尘及其他污染物的防治，在施工期间严格执行各项环保制度，确保将污染对周围环境的影响降至最低。</w:t>
            </w:r>
          </w:p>
        </w:tc>
        <w:tc>
          <w:tcPr>
            <w:tcW w:w="446" w:type="pct"/>
            <w:tcMar>
              <w:top w:w="0" w:type="dxa"/>
              <w:left w:w="57" w:type="dxa"/>
              <w:bottom w:w="0" w:type="dxa"/>
              <w:right w:w="57" w:type="dxa"/>
            </w:tcMar>
            <w:vAlign w:val="center"/>
          </w:tcPr>
          <w:p>
            <w:pPr>
              <w:jc w:val="center"/>
              <w:rPr>
                <w:color w:val="auto"/>
                <w:szCs w:val="21"/>
                <w:highlight w:val="none"/>
              </w:rPr>
            </w:pPr>
            <w:r>
              <w:rPr>
                <w:color w:val="auto"/>
                <w:szCs w:val="21"/>
                <w:highlight w:val="none"/>
              </w:rPr>
              <w:t>符合</w:t>
            </w:r>
          </w:p>
        </w:tc>
      </w:tr>
    </w:tbl>
    <w:p>
      <w:pPr>
        <w:spacing w:line="360" w:lineRule="auto"/>
        <w:ind w:firstLine="480" w:firstLineChars="200"/>
        <w:rPr>
          <w:color w:val="auto"/>
          <w:sz w:val="24"/>
          <w:highlight w:val="none"/>
        </w:rPr>
      </w:pPr>
      <w:r>
        <w:rPr>
          <w:rFonts w:hint="eastAsia"/>
          <w:color w:val="auto"/>
          <w:sz w:val="24"/>
          <w:highlight w:val="none"/>
        </w:rPr>
        <w:t>本项目符合《山东省深入打好蓝天保卫战行动计划(2021-2025年)》相关要求。</w:t>
      </w:r>
    </w:p>
    <w:p>
      <w:pPr>
        <w:spacing w:line="360" w:lineRule="auto"/>
        <w:ind w:firstLine="482" w:firstLineChars="200"/>
        <w:rPr>
          <w:b/>
          <w:color w:val="auto"/>
          <w:sz w:val="24"/>
          <w:highlight w:val="none"/>
        </w:rPr>
      </w:pPr>
      <w:r>
        <w:rPr>
          <w:b/>
          <w:color w:val="auto"/>
          <w:sz w:val="24"/>
          <w:highlight w:val="none"/>
          <w:lang w:val="zh-CN"/>
        </w:rPr>
        <w:t>4、</w:t>
      </w:r>
      <w:r>
        <w:rPr>
          <w:b/>
          <w:color w:val="auto"/>
          <w:sz w:val="24"/>
          <w:highlight w:val="none"/>
        </w:rPr>
        <w:t>与</w:t>
      </w:r>
      <w:r>
        <w:rPr>
          <w:rFonts w:hint="eastAsia"/>
          <w:b/>
          <w:color w:val="auto"/>
          <w:sz w:val="24"/>
          <w:highlight w:val="none"/>
        </w:rPr>
        <w:t>《山东省深入打好碧水保卫战行动计划(2021-2025年)》</w:t>
      </w:r>
      <w:r>
        <w:rPr>
          <w:b/>
          <w:color w:val="auto"/>
          <w:sz w:val="24"/>
          <w:highlight w:val="none"/>
        </w:rPr>
        <w:t>的符合性</w:t>
      </w:r>
    </w:p>
    <w:p>
      <w:pPr>
        <w:spacing w:line="360" w:lineRule="auto"/>
        <w:ind w:firstLine="480" w:firstLineChars="200"/>
        <w:rPr>
          <w:color w:val="auto"/>
          <w:sz w:val="24"/>
          <w:highlight w:val="none"/>
        </w:rPr>
      </w:pPr>
      <w:r>
        <w:rPr>
          <w:color w:val="auto"/>
          <w:sz w:val="24"/>
          <w:highlight w:val="none"/>
        </w:rPr>
        <w:t>项目与</w:t>
      </w:r>
      <w:r>
        <w:rPr>
          <w:rFonts w:hint="eastAsia"/>
          <w:color w:val="auto"/>
          <w:sz w:val="24"/>
          <w:highlight w:val="none"/>
        </w:rPr>
        <w:t>《山东省深入打好碧水保卫战行动计划(2021-2025年)》</w:t>
      </w:r>
      <w:r>
        <w:rPr>
          <w:color w:val="auto"/>
          <w:sz w:val="24"/>
          <w:highlight w:val="none"/>
        </w:rPr>
        <w:t>的符合性分析见表9.</w:t>
      </w:r>
      <w:r>
        <w:rPr>
          <w:rFonts w:hint="eastAsia"/>
          <w:color w:val="auto"/>
          <w:sz w:val="24"/>
          <w:highlight w:val="none"/>
        </w:rPr>
        <w:t>5</w:t>
      </w:r>
      <w:r>
        <w:rPr>
          <w:color w:val="auto"/>
          <w:sz w:val="24"/>
          <w:highlight w:val="none"/>
        </w:rPr>
        <w:t>-4。</w:t>
      </w:r>
    </w:p>
    <w:p>
      <w:pPr>
        <w:snapToGrid w:val="0"/>
        <w:spacing w:line="360" w:lineRule="auto"/>
        <w:ind w:firstLine="480" w:firstLineChars="200"/>
        <w:jc w:val="center"/>
        <w:rPr>
          <w:rFonts w:eastAsia="黑体"/>
          <w:color w:val="auto"/>
          <w:spacing w:val="-6"/>
          <w:sz w:val="24"/>
          <w:highlight w:val="none"/>
        </w:rPr>
      </w:pPr>
      <w:r>
        <w:rPr>
          <w:rFonts w:eastAsia="黑体"/>
          <w:color w:val="auto"/>
          <w:sz w:val="24"/>
          <w:highlight w:val="none"/>
        </w:rPr>
        <w:t>表9.</w:t>
      </w:r>
      <w:r>
        <w:rPr>
          <w:rFonts w:hint="eastAsia" w:eastAsia="黑体"/>
          <w:color w:val="auto"/>
          <w:sz w:val="24"/>
          <w:highlight w:val="none"/>
        </w:rPr>
        <w:t>5</w:t>
      </w:r>
      <w:r>
        <w:rPr>
          <w:rFonts w:eastAsia="黑体"/>
          <w:color w:val="auto"/>
          <w:sz w:val="24"/>
          <w:highlight w:val="none"/>
        </w:rPr>
        <w:t xml:space="preserve">-4 </w:t>
      </w:r>
      <w:r>
        <w:rPr>
          <w:rFonts w:eastAsia="黑体"/>
          <w:color w:val="auto"/>
          <w:spacing w:val="-6"/>
          <w:sz w:val="24"/>
          <w:highlight w:val="none"/>
        </w:rPr>
        <w:t xml:space="preserve"> 与</w:t>
      </w:r>
      <w:r>
        <w:rPr>
          <w:rFonts w:hint="eastAsia" w:eastAsia="黑体"/>
          <w:color w:val="auto"/>
          <w:spacing w:val="-6"/>
          <w:sz w:val="24"/>
          <w:highlight w:val="none"/>
        </w:rPr>
        <w:t>《山东省深入打好碧水保卫战行动计划(2021-2025年)》</w:t>
      </w:r>
      <w:r>
        <w:rPr>
          <w:rFonts w:eastAsia="黑体"/>
          <w:color w:val="auto"/>
          <w:spacing w:val="-6"/>
          <w:sz w:val="24"/>
          <w:highlight w:val="none"/>
        </w:rPr>
        <w:t>符合性分析</w:t>
      </w:r>
    </w:p>
    <w:tbl>
      <w:tblPr>
        <w:tblStyle w:val="59"/>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57" w:type="dxa"/>
          <w:left w:w="108" w:type="dxa"/>
          <w:bottom w:w="57" w:type="dxa"/>
          <w:right w:w="108" w:type="dxa"/>
        </w:tblCellMar>
      </w:tblPr>
      <w:tblGrid>
        <w:gridCol w:w="551"/>
        <w:gridCol w:w="4870"/>
        <w:gridCol w:w="2674"/>
        <w:gridCol w:w="7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310" w:type="pct"/>
            <w:tcMar>
              <w:top w:w="0" w:type="dxa"/>
              <w:left w:w="57" w:type="dxa"/>
              <w:bottom w:w="0" w:type="dxa"/>
              <w:right w:w="57" w:type="dxa"/>
            </w:tcMar>
            <w:vAlign w:val="center"/>
          </w:tcPr>
          <w:p>
            <w:pPr>
              <w:jc w:val="center"/>
              <w:rPr>
                <w:bCs/>
                <w:color w:val="auto"/>
                <w:szCs w:val="21"/>
                <w:highlight w:val="none"/>
              </w:rPr>
            </w:pPr>
            <w:r>
              <w:rPr>
                <w:bCs/>
                <w:color w:val="auto"/>
                <w:szCs w:val="21"/>
                <w:highlight w:val="none"/>
              </w:rPr>
              <w:t>序号</w:t>
            </w:r>
          </w:p>
        </w:tc>
        <w:tc>
          <w:tcPr>
            <w:tcW w:w="2739" w:type="pct"/>
            <w:tcMar>
              <w:top w:w="0" w:type="dxa"/>
              <w:left w:w="57" w:type="dxa"/>
              <w:bottom w:w="0" w:type="dxa"/>
              <w:right w:w="57" w:type="dxa"/>
            </w:tcMar>
            <w:vAlign w:val="center"/>
          </w:tcPr>
          <w:p>
            <w:pPr>
              <w:jc w:val="center"/>
              <w:rPr>
                <w:bCs/>
                <w:color w:val="auto"/>
                <w:szCs w:val="21"/>
                <w:highlight w:val="none"/>
              </w:rPr>
            </w:pPr>
            <w:r>
              <w:rPr>
                <w:rFonts w:hint="eastAsia"/>
                <w:bCs/>
                <w:color w:val="auto"/>
                <w:szCs w:val="21"/>
                <w:highlight w:val="none"/>
              </w:rPr>
              <w:t>政策要求</w:t>
            </w:r>
          </w:p>
        </w:tc>
        <w:tc>
          <w:tcPr>
            <w:tcW w:w="1504" w:type="pct"/>
            <w:tcMar>
              <w:top w:w="0" w:type="dxa"/>
              <w:left w:w="57" w:type="dxa"/>
              <w:bottom w:w="0" w:type="dxa"/>
              <w:right w:w="57" w:type="dxa"/>
            </w:tcMar>
            <w:vAlign w:val="center"/>
          </w:tcPr>
          <w:p>
            <w:pPr>
              <w:jc w:val="center"/>
              <w:rPr>
                <w:bCs/>
                <w:color w:val="auto"/>
                <w:szCs w:val="21"/>
                <w:highlight w:val="none"/>
              </w:rPr>
            </w:pPr>
            <w:r>
              <w:rPr>
                <w:bCs/>
                <w:color w:val="auto"/>
                <w:szCs w:val="21"/>
                <w:highlight w:val="none"/>
              </w:rPr>
              <w:t>项目</w:t>
            </w:r>
            <w:r>
              <w:rPr>
                <w:rFonts w:hint="eastAsia"/>
                <w:bCs/>
                <w:color w:val="auto"/>
                <w:szCs w:val="21"/>
                <w:highlight w:val="none"/>
              </w:rPr>
              <w:t>情况</w:t>
            </w:r>
          </w:p>
        </w:tc>
        <w:tc>
          <w:tcPr>
            <w:tcW w:w="447" w:type="pct"/>
            <w:tcMar>
              <w:top w:w="0" w:type="dxa"/>
              <w:left w:w="57" w:type="dxa"/>
              <w:bottom w:w="0" w:type="dxa"/>
              <w:right w:w="57" w:type="dxa"/>
            </w:tcMar>
            <w:vAlign w:val="center"/>
          </w:tcPr>
          <w:p>
            <w:pPr>
              <w:jc w:val="center"/>
              <w:rPr>
                <w:bCs/>
                <w:color w:val="auto"/>
                <w:szCs w:val="21"/>
                <w:highlight w:val="none"/>
              </w:rPr>
            </w:pPr>
            <w:r>
              <w:rPr>
                <w:bCs/>
                <w:color w:val="auto"/>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52" w:hRule="atLeast"/>
          <w:jc w:val="center"/>
        </w:trPr>
        <w:tc>
          <w:tcPr>
            <w:tcW w:w="310" w:type="pct"/>
            <w:tcMar>
              <w:top w:w="0" w:type="dxa"/>
              <w:left w:w="57" w:type="dxa"/>
              <w:bottom w:w="0" w:type="dxa"/>
              <w:right w:w="57" w:type="dxa"/>
            </w:tcMar>
            <w:vAlign w:val="center"/>
          </w:tcPr>
          <w:p>
            <w:pPr>
              <w:jc w:val="center"/>
              <w:rPr>
                <w:bCs/>
                <w:color w:val="auto"/>
                <w:szCs w:val="21"/>
                <w:highlight w:val="none"/>
              </w:rPr>
            </w:pPr>
            <w:r>
              <w:rPr>
                <w:rFonts w:hint="eastAsia"/>
                <w:bCs/>
                <w:color w:val="auto"/>
                <w:szCs w:val="21"/>
                <w:highlight w:val="none"/>
              </w:rPr>
              <w:t>1</w:t>
            </w:r>
          </w:p>
        </w:tc>
        <w:tc>
          <w:tcPr>
            <w:tcW w:w="2739" w:type="pct"/>
            <w:tcMar>
              <w:top w:w="0" w:type="dxa"/>
              <w:left w:w="57" w:type="dxa"/>
              <w:bottom w:w="0" w:type="dxa"/>
              <w:right w:w="57" w:type="dxa"/>
            </w:tcMar>
            <w:vAlign w:val="center"/>
          </w:tcPr>
          <w:p>
            <w:pPr>
              <w:jc w:val="left"/>
              <w:rPr>
                <w:color w:val="auto"/>
                <w:szCs w:val="21"/>
                <w:highlight w:val="none"/>
              </w:rPr>
            </w:pPr>
            <w:r>
              <w:rPr>
                <w:rFonts w:hint="eastAsia"/>
                <w:color w:val="auto"/>
                <w:szCs w:val="21"/>
                <w:highlight w:val="none"/>
              </w:rPr>
              <w:t>精准治理工业企业污染：继续推进化工、有色金属、农副食品加工、印染、制革、原料药制造、电镀、冶金等行业退城入园，提高工业园区集聚水平。指导工业园区对污水实施科学收集、分类处理，梯级循环利用工业废水。</w:t>
            </w:r>
          </w:p>
        </w:tc>
        <w:tc>
          <w:tcPr>
            <w:tcW w:w="1504" w:type="pct"/>
            <w:tcMar>
              <w:top w:w="0" w:type="dxa"/>
              <w:left w:w="57" w:type="dxa"/>
              <w:bottom w:w="0" w:type="dxa"/>
              <w:right w:w="57" w:type="dxa"/>
            </w:tcMar>
            <w:vAlign w:val="center"/>
          </w:tcPr>
          <w:p>
            <w:pPr>
              <w:jc w:val="center"/>
              <w:rPr>
                <w:color w:val="auto"/>
                <w:szCs w:val="21"/>
                <w:highlight w:val="none"/>
              </w:rPr>
            </w:pPr>
            <w:r>
              <w:rPr>
                <w:rFonts w:hint="eastAsia"/>
                <w:color w:val="auto"/>
                <w:szCs w:val="21"/>
                <w:highlight w:val="none"/>
              </w:rPr>
              <w:t>项目不属于以上行业，拟建于</w:t>
            </w:r>
            <w:r>
              <w:rPr>
                <w:rFonts w:hint="eastAsia"/>
                <w:color w:val="auto"/>
                <w:highlight w:val="none"/>
              </w:rPr>
              <w:t>枣庄市峄城区峨山镇大官庄村西</w:t>
            </w:r>
            <w:r>
              <w:rPr>
                <w:rFonts w:hint="eastAsia"/>
                <w:color w:val="auto"/>
                <w:szCs w:val="21"/>
                <w:highlight w:val="none"/>
              </w:rPr>
              <w:t>，属于工业聚集区</w:t>
            </w:r>
          </w:p>
        </w:tc>
        <w:tc>
          <w:tcPr>
            <w:tcW w:w="447" w:type="pct"/>
            <w:tcMar>
              <w:top w:w="0" w:type="dxa"/>
              <w:left w:w="57" w:type="dxa"/>
              <w:bottom w:w="0" w:type="dxa"/>
              <w:right w:w="57" w:type="dxa"/>
            </w:tcMar>
            <w:vAlign w:val="center"/>
          </w:tcPr>
          <w:p>
            <w:pPr>
              <w:jc w:val="center"/>
              <w:rPr>
                <w:color w:val="auto"/>
                <w:szCs w:val="21"/>
                <w:highlight w:val="none"/>
              </w:rPr>
            </w:pPr>
            <w:r>
              <w:rPr>
                <w:rFonts w:hint="eastAsia"/>
                <w:color w:val="auto"/>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310" w:type="pct"/>
            <w:tcMar>
              <w:top w:w="0" w:type="dxa"/>
              <w:left w:w="57" w:type="dxa"/>
              <w:bottom w:w="0" w:type="dxa"/>
              <w:right w:w="57" w:type="dxa"/>
            </w:tcMar>
            <w:vAlign w:val="center"/>
          </w:tcPr>
          <w:p>
            <w:pPr>
              <w:jc w:val="center"/>
              <w:rPr>
                <w:bCs/>
                <w:color w:val="auto"/>
                <w:szCs w:val="21"/>
                <w:highlight w:val="none"/>
              </w:rPr>
            </w:pPr>
            <w:r>
              <w:rPr>
                <w:rFonts w:hint="eastAsia"/>
                <w:bCs/>
                <w:color w:val="auto"/>
                <w:szCs w:val="21"/>
                <w:highlight w:val="none"/>
              </w:rPr>
              <w:t>2</w:t>
            </w:r>
          </w:p>
        </w:tc>
        <w:tc>
          <w:tcPr>
            <w:tcW w:w="2739" w:type="pct"/>
            <w:tcMar>
              <w:top w:w="0" w:type="dxa"/>
              <w:left w:w="57" w:type="dxa"/>
              <w:bottom w:w="0" w:type="dxa"/>
              <w:right w:w="57" w:type="dxa"/>
            </w:tcMar>
            <w:vAlign w:val="center"/>
          </w:tcPr>
          <w:p>
            <w:pPr>
              <w:jc w:val="left"/>
              <w:rPr>
                <w:color w:val="auto"/>
                <w:szCs w:val="21"/>
                <w:highlight w:val="none"/>
              </w:rPr>
            </w:pPr>
            <w:r>
              <w:rPr>
                <w:rFonts w:hint="eastAsia"/>
                <w:color w:val="auto"/>
                <w:szCs w:val="21"/>
                <w:highlight w:val="none"/>
              </w:rPr>
              <w:t>推动地表水环境质量持续向好：严守水质“只能变好、不能变差”底线，各市梳理河流水质指数和湖库水质指数较高的河湖库及重点影响因子，形成重点改善河湖库清单。</w:t>
            </w:r>
          </w:p>
        </w:tc>
        <w:tc>
          <w:tcPr>
            <w:tcW w:w="1504" w:type="pct"/>
            <w:tcMar>
              <w:top w:w="0" w:type="dxa"/>
              <w:left w:w="57" w:type="dxa"/>
              <w:bottom w:w="0" w:type="dxa"/>
              <w:right w:w="57" w:type="dxa"/>
            </w:tcMar>
            <w:vAlign w:val="center"/>
          </w:tcPr>
          <w:p>
            <w:pPr>
              <w:jc w:val="center"/>
              <w:rPr>
                <w:color w:val="auto"/>
                <w:szCs w:val="21"/>
                <w:highlight w:val="none"/>
              </w:rPr>
            </w:pPr>
            <w:r>
              <w:rPr>
                <w:rFonts w:hint="eastAsia"/>
                <w:color w:val="auto"/>
                <w:szCs w:val="21"/>
                <w:highlight w:val="none"/>
              </w:rPr>
              <w:t>项目无生产废水产生，无废水外排</w:t>
            </w:r>
          </w:p>
        </w:tc>
        <w:tc>
          <w:tcPr>
            <w:tcW w:w="447" w:type="pct"/>
            <w:tcMar>
              <w:top w:w="0" w:type="dxa"/>
              <w:left w:w="57" w:type="dxa"/>
              <w:bottom w:w="0" w:type="dxa"/>
              <w:right w:w="57" w:type="dxa"/>
            </w:tcMar>
            <w:vAlign w:val="center"/>
          </w:tcPr>
          <w:p>
            <w:pPr>
              <w:jc w:val="center"/>
              <w:rPr>
                <w:color w:val="auto"/>
                <w:szCs w:val="21"/>
                <w:highlight w:val="none"/>
              </w:rPr>
            </w:pPr>
            <w:r>
              <w:rPr>
                <w:rFonts w:hint="eastAsia"/>
                <w:color w:val="auto"/>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310" w:type="pct"/>
            <w:tcMar>
              <w:top w:w="0" w:type="dxa"/>
              <w:left w:w="57" w:type="dxa"/>
              <w:bottom w:w="0" w:type="dxa"/>
              <w:right w:w="57" w:type="dxa"/>
            </w:tcMar>
            <w:vAlign w:val="center"/>
          </w:tcPr>
          <w:p>
            <w:pPr>
              <w:jc w:val="center"/>
              <w:rPr>
                <w:color w:val="auto"/>
                <w:szCs w:val="21"/>
                <w:highlight w:val="none"/>
              </w:rPr>
            </w:pPr>
            <w:r>
              <w:rPr>
                <w:rFonts w:hint="eastAsia"/>
                <w:color w:val="auto"/>
                <w:szCs w:val="21"/>
                <w:highlight w:val="none"/>
              </w:rPr>
              <w:t>3</w:t>
            </w:r>
          </w:p>
        </w:tc>
        <w:tc>
          <w:tcPr>
            <w:tcW w:w="2739" w:type="pct"/>
            <w:tcMar>
              <w:top w:w="0" w:type="dxa"/>
              <w:left w:w="57" w:type="dxa"/>
              <w:bottom w:w="0" w:type="dxa"/>
              <w:right w:w="57" w:type="dxa"/>
            </w:tcMar>
            <w:vAlign w:val="center"/>
          </w:tcPr>
          <w:p>
            <w:pPr>
              <w:jc w:val="left"/>
              <w:rPr>
                <w:color w:val="auto"/>
                <w:szCs w:val="21"/>
                <w:highlight w:val="none"/>
              </w:rPr>
            </w:pPr>
            <w:r>
              <w:rPr>
                <w:rFonts w:hint="eastAsia"/>
                <w:color w:val="auto"/>
                <w:szCs w:val="21"/>
                <w:highlight w:val="none"/>
              </w:rPr>
              <w:t>防控地下水污染风险：持续推进地下水环境状况调查评估，2025年年底前，完成一批化工园区、化学品生产企业、危险废物处置场、垃圾填埋场、矿山开采区、尾矿库等其他重点污染源地下水基础环境状况调查评估。科学划定地下水污染防治重点区。</w:t>
            </w:r>
          </w:p>
        </w:tc>
        <w:tc>
          <w:tcPr>
            <w:tcW w:w="1504" w:type="pct"/>
            <w:tcMar>
              <w:top w:w="0" w:type="dxa"/>
              <w:left w:w="57" w:type="dxa"/>
              <w:bottom w:w="0" w:type="dxa"/>
              <w:right w:w="57" w:type="dxa"/>
            </w:tcMar>
            <w:vAlign w:val="center"/>
          </w:tcPr>
          <w:p>
            <w:pPr>
              <w:jc w:val="center"/>
              <w:rPr>
                <w:color w:val="auto"/>
                <w:szCs w:val="21"/>
                <w:highlight w:val="none"/>
              </w:rPr>
            </w:pPr>
            <w:r>
              <w:rPr>
                <w:rFonts w:hint="eastAsia"/>
                <w:color w:val="auto"/>
                <w:szCs w:val="21"/>
                <w:highlight w:val="none"/>
              </w:rPr>
              <w:t>不涉及左栏情况</w:t>
            </w:r>
          </w:p>
        </w:tc>
        <w:tc>
          <w:tcPr>
            <w:tcW w:w="447" w:type="pct"/>
            <w:tcMar>
              <w:top w:w="0" w:type="dxa"/>
              <w:left w:w="57" w:type="dxa"/>
              <w:bottom w:w="0" w:type="dxa"/>
              <w:right w:w="57" w:type="dxa"/>
            </w:tcMar>
            <w:vAlign w:val="center"/>
          </w:tcPr>
          <w:p>
            <w:pPr>
              <w:jc w:val="center"/>
              <w:rPr>
                <w:color w:val="auto"/>
                <w:highlight w:val="none"/>
              </w:rPr>
            </w:pPr>
            <w:r>
              <w:rPr>
                <w:rFonts w:hint="eastAsia"/>
                <w:color w:val="auto"/>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310" w:type="pct"/>
            <w:tcMar>
              <w:top w:w="0" w:type="dxa"/>
              <w:left w:w="57" w:type="dxa"/>
              <w:bottom w:w="0" w:type="dxa"/>
              <w:right w:w="57" w:type="dxa"/>
            </w:tcMar>
            <w:vAlign w:val="center"/>
          </w:tcPr>
          <w:p>
            <w:pPr>
              <w:jc w:val="center"/>
              <w:rPr>
                <w:color w:val="auto"/>
                <w:szCs w:val="21"/>
                <w:highlight w:val="none"/>
              </w:rPr>
            </w:pPr>
            <w:r>
              <w:rPr>
                <w:rFonts w:hint="eastAsia"/>
                <w:color w:val="auto"/>
                <w:szCs w:val="21"/>
                <w:highlight w:val="none"/>
              </w:rPr>
              <w:t>4</w:t>
            </w:r>
          </w:p>
        </w:tc>
        <w:tc>
          <w:tcPr>
            <w:tcW w:w="2739" w:type="pct"/>
            <w:tcMar>
              <w:top w:w="0" w:type="dxa"/>
              <w:left w:w="57" w:type="dxa"/>
              <w:bottom w:w="0" w:type="dxa"/>
              <w:right w:w="57" w:type="dxa"/>
            </w:tcMar>
            <w:vAlign w:val="center"/>
          </w:tcPr>
          <w:p>
            <w:pPr>
              <w:jc w:val="left"/>
              <w:rPr>
                <w:color w:val="auto"/>
                <w:szCs w:val="21"/>
                <w:highlight w:val="none"/>
              </w:rPr>
            </w:pPr>
            <w:r>
              <w:rPr>
                <w:rFonts w:hint="eastAsia"/>
                <w:color w:val="auto"/>
                <w:szCs w:val="21"/>
                <w:highlight w:val="none"/>
              </w:rPr>
              <w:t>推进水生态保护与修复：在现有29万亩人工湿地的基础上，进一步梳理适宜建设人工湿地的区域，形成需新建或修复的人工湿地清单。合理调配空间资源，保障人工湿地水质净化工程建设用地。2021年年底前，编制山东省人工湿地建设运行专项方案。</w:t>
            </w:r>
          </w:p>
        </w:tc>
        <w:tc>
          <w:tcPr>
            <w:tcW w:w="1504" w:type="pct"/>
            <w:tcMar>
              <w:top w:w="0" w:type="dxa"/>
              <w:left w:w="57" w:type="dxa"/>
              <w:bottom w:w="0" w:type="dxa"/>
              <w:right w:w="57" w:type="dxa"/>
            </w:tcMar>
            <w:vAlign w:val="center"/>
          </w:tcPr>
          <w:p>
            <w:pPr>
              <w:jc w:val="center"/>
              <w:rPr>
                <w:color w:val="auto"/>
                <w:szCs w:val="21"/>
                <w:highlight w:val="none"/>
              </w:rPr>
            </w:pPr>
            <w:r>
              <w:rPr>
                <w:rFonts w:hint="eastAsia"/>
                <w:color w:val="auto"/>
                <w:szCs w:val="21"/>
                <w:highlight w:val="none"/>
              </w:rPr>
              <w:t>不涉及左栏情况</w:t>
            </w:r>
          </w:p>
        </w:tc>
        <w:tc>
          <w:tcPr>
            <w:tcW w:w="447" w:type="pct"/>
            <w:tcMar>
              <w:top w:w="0" w:type="dxa"/>
              <w:left w:w="57" w:type="dxa"/>
              <w:bottom w:w="0" w:type="dxa"/>
              <w:right w:w="57" w:type="dxa"/>
            </w:tcMar>
            <w:vAlign w:val="center"/>
          </w:tcPr>
          <w:p>
            <w:pPr>
              <w:jc w:val="center"/>
              <w:rPr>
                <w:color w:val="auto"/>
                <w:szCs w:val="21"/>
                <w:highlight w:val="none"/>
              </w:rPr>
            </w:pPr>
            <w:r>
              <w:rPr>
                <w:rFonts w:hint="eastAsia"/>
                <w:color w:val="auto"/>
                <w:szCs w:val="21"/>
                <w:highlight w:val="none"/>
              </w:rPr>
              <w:t>符合</w:t>
            </w:r>
          </w:p>
        </w:tc>
      </w:tr>
    </w:tbl>
    <w:p>
      <w:pPr>
        <w:spacing w:line="360" w:lineRule="auto"/>
        <w:ind w:firstLine="480" w:firstLineChars="200"/>
        <w:rPr>
          <w:color w:val="auto"/>
          <w:sz w:val="24"/>
          <w:highlight w:val="none"/>
        </w:rPr>
      </w:pPr>
      <w:r>
        <w:rPr>
          <w:color w:val="auto"/>
          <w:sz w:val="24"/>
          <w:highlight w:val="none"/>
        </w:rPr>
        <w:t>由上表可见，拟建项目符合《</w:t>
      </w:r>
      <w:r>
        <w:rPr>
          <w:rFonts w:hint="eastAsia"/>
          <w:color w:val="auto"/>
          <w:sz w:val="24"/>
          <w:highlight w:val="none"/>
        </w:rPr>
        <w:t>山东省新一轮“四减四增”三年行动方案(2021-2023年)》</w:t>
      </w:r>
      <w:r>
        <w:rPr>
          <w:color w:val="auto"/>
          <w:sz w:val="24"/>
          <w:highlight w:val="none"/>
        </w:rPr>
        <w:t>中相关要求。</w:t>
      </w:r>
    </w:p>
    <w:p>
      <w:pPr>
        <w:spacing w:line="360" w:lineRule="auto"/>
        <w:ind w:firstLine="482" w:firstLineChars="200"/>
        <w:rPr>
          <w:b/>
          <w:color w:val="auto"/>
          <w:sz w:val="24"/>
          <w:highlight w:val="none"/>
        </w:rPr>
      </w:pPr>
      <w:r>
        <w:rPr>
          <w:b/>
          <w:color w:val="auto"/>
          <w:sz w:val="24"/>
          <w:highlight w:val="none"/>
          <w:lang w:val="zh-CN"/>
        </w:rPr>
        <w:t>5、</w:t>
      </w:r>
      <w:r>
        <w:rPr>
          <w:rFonts w:hint="eastAsia"/>
          <w:b/>
          <w:color w:val="auto"/>
          <w:sz w:val="24"/>
          <w:highlight w:val="none"/>
        </w:rPr>
        <w:t>项目与《山东省工业企业无组织排放分行业管控指导意见》(鲁环发[2020]30号)符合性分析</w:t>
      </w:r>
    </w:p>
    <w:p>
      <w:pPr>
        <w:spacing w:line="360" w:lineRule="auto"/>
        <w:ind w:firstLine="480" w:firstLineChars="200"/>
        <w:rPr>
          <w:color w:val="auto"/>
          <w:sz w:val="24"/>
          <w:highlight w:val="none"/>
        </w:rPr>
      </w:pPr>
      <w:r>
        <w:rPr>
          <w:color w:val="auto"/>
          <w:sz w:val="24"/>
          <w:highlight w:val="none"/>
        </w:rPr>
        <w:t>本项目与《山东省工业企业无组织排放分行业管控指导意见》</w:t>
      </w:r>
      <w:r>
        <w:rPr>
          <w:rFonts w:hint="eastAsia"/>
          <w:color w:val="auto"/>
          <w:sz w:val="24"/>
          <w:highlight w:val="none"/>
        </w:rPr>
        <w:t>(鲁环发[2020]30号)</w:t>
      </w:r>
      <w:r>
        <w:rPr>
          <w:color w:val="auto"/>
          <w:sz w:val="24"/>
          <w:highlight w:val="none"/>
        </w:rPr>
        <w:t>符合性分析见表9.</w:t>
      </w:r>
      <w:r>
        <w:rPr>
          <w:rFonts w:hint="eastAsia"/>
          <w:color w:val="auto"/>
          <w:sz w:val="24"/>
          <w:highlight w:val="none"/>
        </w:rPr>
        <w:t>5-</w:t>
      </w:r>
      <w:r>
        <w:rPr>
          <w:color w:val="auto"/>
          <w:sz w:val="24"/>
          <w:highlight w:val="none"/>
        </w:rPr>
        <w:t>5。</w:t>
      </w:r>
    </w:p>
    <w:p>
      <w:pPr>
        <w:snapToGrid w:val="0"/>
        <w:spacing w:line="360" w:lineRule="auto"/>
        <w:ind w:firstLine="480" w:firstLineChars="200"/>
        <w:jc w:val="center"/>
        <w:rPr>
          <w:rFonts w:eastAsia="黑体"/>
          <w:color w:val="auto"/>
          <w:sz w:val="24"/>
          <w:highlight w:val="none"/>
        </w:rPr>
      </w:pPr>
      <w:r>
        <w:rPr>
          <w:rFonts w:eastAsia="黑体"/>
          <w:color w:val="auto"/>
          <w:sz w:val="24"/>
          <w:highlight w:val="none"/>
        </w:rPr>
        <w:t>表9.</w:t>
      </w:r>
      <w:r>
        <w:rPr>
          <w:rFonts w:hint="eastAsia" w:eastAsia="黑体"/>
          <w:color w:val="auto"/>
          <w:sz w:val="24"/>
          <w:highlight w:val="none"/>
        </w:rPr>
        <w:t>5</w:t>
      </w:r>
      <w:r>
        <w:rPr>
          <w:rFonts w:eastAsia="黑体"/>
          <w:color w:val="auto"/>
          <w:sz w:val="24"/>
          <w:highlight w:val="none"/>
        </w:rPr>
        <w:t>-5  项目与</w:t>
      </w:r>
      <w:r>
        <w:rPr>
          <w:rFonts w:hint="eastAsia" w:eastAsia="黑体"/>
          <w:color w:val="auto"/>
          <w:sz w:val="24"/>
          <w:highlight w:val="none"/>
        </w:rPr>
        <w:t>鲁环发[2020]30号文的</w:t>
      </w:r>
      <w:r>
        <w:rPr>
          <w:rFonts w:eastAsia="黑体"/>
          <w:color w:val="auto"/>
          <w:sz w:val="24"/>
          <w:highlight w:val="none"/>
        </w:rPr>
        <w:t>符合性分析</w:t>
      </w:r>
    </w:p>
    <w:tbl>
      <w:tblPr>
        <w:tblStyle w:val="5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21"/>
        <w:gridCol w:w="1985"/>
        <w:gridCol w:w="10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90" w:type="pct"/>
            <w:vAlign w:val="center"/>
          </w:tcPr>
          <w:p>
            <w:pPr>
              <w:jc w:val="center"/>
              <w:rPr>
                <w:color w:val="auto"/>
                <w:szCs w:val="21"/>
                <w:highlight w:val="none"/>
              </w:rPr>
            </w:pPr>
            <w:r>
              <w:rPr>
                <w:color w:val="auto"/>
                <w:szCs w:val="21"/>
                <w:highlight w:val="none"/>
              </w:rPr>
              <w:t>鲁环发[2020]30号相关要求</w:t>
            </w:r>
          </w:p>
        </w:tc>
        <w:tc>
          <w:tcPr>
            <w:tcW w:w="1103" w:type="pct"/>
            <w:vAlign w:val="center"/>
          </w:tcPr>
          <w:p>
            <w:pPr>
              <w:jc w:val="center"/>
              <w:rPr>
                <w:color w:val="auto"/>
                <w:szCs w:val="21"/>
                <w:highlight w:val="none"/>
              </w:rPr>
            </w:pPr>
            <w:r>
              <w:rPr>
                <w:color w:val="auto"/>
                <w:szCs w:val="21"/>
                <w:highlight w:val="none"/>
              </w:rPr>
              <w:t>项目情况</w:t>
            </w:r>
          </w:p>
        </w:tc>
        <w:tc>
          <w:tcPr>
            <w:tcW w:w="607" w:type="pct"/>
            <w:vAlign w:val="center"/>
          </w:tcPr>
          <w:p>
            <w:pPr>
              <w:jc w:val="center"/>
              <w:rPr>
                <w:color w:val="auto"/>
                <w:szCs w:val="21"/>
                <w:highlight w:val="none"/>
              </w:rPr>
            </w:pPr>
            <w:r>
              <w:rPr>
                <w:color w:val="auto"/>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90" w:type="pct"/>
            <w:vAlign w:val="center"/>
          </w:tcPr>
          <w:p>
            <w:pPr>
              <w:jc w:val="center"/>
              <w:rPr>
                <w:color w:val="auto"/>
                <w:szCs w:val="21"/>
                <w:highlight w:val="none"/>
              </w:rPr>
            </w:pPr>
            <w:r>
              <w:rPr>
                <w:color w:val="auto"/>
                <w:szCs w:val="21"/>
                <w:highlight w:val="none"/>
              </w:rPr>
              <w:t>（一）加强物料运输、装卸环节管控。挥发性有机液体装车采用顶部浸没式或底部装载，严禁喷溅，运输相关产品的车辆具备油气回收接口</w:t>
            </w:r>
          </w:p>
        </w:tc>
        <w:tc>
          <w:tcPr>
            <w:tcW w:w="1103" w:type="pct"/>
            <w:vMerge w:val="restart"/>
            <w:vAlign w:val="center"/>
          </w:tcPr>
          <w:p>
            <w:pPr>
              <w:jc w:val="center"/>
              <w:rPr>
                <w:color w:val="auto"/>
                <w:szCs w:val="21"/>
                <w:highlight w:val="none"/>
              </w:rPr>
            </w:pPr>
            <w:r>
              <w:rPr>
                <w:color w:val="auto"/>
                <w:szCs w:val="21"/>
                <w:highlight w:val="none"/>
              </w:rPr>
              <w:t>项目</w:t>
            </w:r>
            <w:r>
              <w:rPr>
                <w:rFonts w:hint="eastAsia"/>
                <w:color w:val="auto"/>
                <w:szCs w:val="21"/>
                <w:highlight w:val="none"/>
              </w:rPr>
              <w:t>不使用含液态VOCs物料</w:t>
            </w:r>
          </w:p>
        </w:tc>
        <w:tc>
          <w:tcPr>
            <w:tcW w:w="607" w:type="pct"/>
            <w:vAlign w:val="center"/>
          </w:tcPr>
          <w:p>
            <w:pPr>
              <w:jc w:val="center"/>
              <w:rPr>
                <w:color w:val="auto"/>
                <w:szCs w:val="21"/>
                <w:highlight w:val="none"/>
              </w:rPr>
            </w:pPr>
            <w:r>
              <w:rPr>
                <w:color w:val="auto"/>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90" w:type="pct"/>
            <w:vAlign w:val="center"/>
          </w:tcPr>
          <w:p>
            <w:pPr>
              <w:jc w:val="center"/>
              <w:rPr>
                <w:color w:val="auto"/>
                <w:szCs w:val="21"/>
                <w:highlight w:val="none"/>
              </w:rPr>
            </w:pPr>
            <w:r>
              <w:rPr>
                <w:color w:val="auto"/>
                <w:szCs w:val="21"/>
                <w:highlight w:val="none"/>
              </w:rPr>
              <w:t>（二）加强物料储存、输送环节管控。含挥发性有机物（VOCs）物料储存于密闭容器、包装袋，高效密封储罐，封闭式储库、料仓等；封闭式储库、料仓设置VOCs有效收集治理设施。含VOCs物料输送，采用密闭管道或密闭容器、罐车等。</w:t>
            </w:r>
          </w:p>
        </w:tc>
        <w:tc>
          <w:tcPr>
            <w:tcW w:w="1103" w:type="pct"/>
            <w:vMerge w:val="continue"/>
            <w:vAlign w:val="center"/>
          </w:tcPr>
          <w:p>
            <w:pPr>
              <w:jc w:val="center"/>
              <w:rPr>
                <w:color w:val="auto"/>
                <w:szCs w:val="21"/>
                <w:highlight w:val="none"/>
              </w:rPr>
            </w:pPr>
          </w:p>
        </w:tc>
        <w:tc>
          <w:tcPr>
            <w:tcW w:w="607" w:type="pct"/>
            <w:vAlign w:val="center"/>
          </w:tcPr>
          <w:p>
            <w:pPr>
              <w:jc w:val="center"/>
              <w:rPr>
                <w:color w:val="auto"/>
                <w:szCs w:val="21"/>
                <w:highlight w:val="none"/>
              </w:rPr>
            </w:pPr>
            <w:r>
              <w:rPr>
                <w:color w:val="auto"/>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90" w:type="pct"/>
            <w:vAlign w:val="center"/>
          </w:tcPr>
          <w:p>
            <w:pPr>
              <w:jc w:val="center"/>
              <w:rPr>
                <w:color w:val="auto"/>
                <w:szCs w:val="21"/>
                <w:highlight w:val="none"/>
              </w:rPr>
            </w:pPr>
            <w:r>
              <w:rPr>
                <w:color w:val="auto"/>
                <w:szCs w:val="21"/>
                <w:highlight w:val="none"/>
              </w:rPr>
              <w:t>（三）加强生产环节管控。通过提高工艺自动化和设备密闭化水平，减少生产过程中的无组织排放。厂内污水收集、输送、处理，污泥产生、暂存、处置，危险废物暂存等产生VOCs或恶臭气体的区域加罩或加盖封闭并进行收集处理。涉VOCs化（试）验室实验平台设置负压集气系统，对化（试）验室中产生的废气进行集中收集治理</w:t>
            </w:r>
          </w:p>
        </w:tc>
        <w:tc>
          <w:tcPr>
            <w:tcW w:w="1103" w:type="pct"/>
            <w:vAlign w:val="center"/>
          </w:tcPr>
          <w:p>
            <w:pPr>
              <w:jc w:val="center"/>
              <w:rPr>
                <w:color w:val="auto"/>
                <w:szCs w:val="21"/>
                <w:highlight w:val="none"/>
              </w:rPr>
            </w:pPr>
            <w:r>
              <w:rPr>
                <w:rFonts w:hint="eastAsia"/>
                <w:color w:val="auto"/>
                <w:szCs w:val="21"/>
                <w:highlight w:val="none"/>
              </w:rPr>
              <w:t>项目生产设备自动化，危废暂存间封闭</w:t>
            </w:r>
          </w:p>
        </w:tc>
        <w:tc>
          <w:tcPr>
            <w:tcW w:w="607" w:type="pct"/>
            <w:vAlign w:val="center"/>
          </w:tcPr>
          <w:p>
            <w:pPr>
              <w:jc w:val="center"/>
              <w:rPr>
                <w:color w:val="auto"/>
                <w:szCs w:val="21"/>
                <w:highlight w:val="none"/>
              </w:rPr>
            </w:pPr>
            <w:r>
              <w:rPr>
                <w:color w:val="auto"/>
                <w:szCs w:val="21"/>
                <w:highlight w:val="none"/>
              </w:rPr>
              <w:t>符合</w:t>
            </w:r>
          </w:p>
        </w:tc>
      </w:tr>
    </w:tbl>
    <w:p>
      <w:pPr>
        <w:spacing w:line="360" w:lineRule="auto"/>
        <w:ind w:firstLine="482" w:firstLineChars="200"/>
        <w:rPr>
          <w:b/>
          <w:color w:val="auto"/>
          <w:sz w:val="24"/>
          <w:szCs w:val="24"/>
          <w:highlight w:val="none"/>
          <w:lang w:val="zh-CN"/>
        </w:rPr>
      </w:pPr>
      <w:r>
        <w:rPr>
          <w:b/>
          <w:color w:val="auto"/>
          <w:sz w:val="24"/>
          <w:szCs w:val="24"/>
          <w:highlight w:val="none"/>
          <w:lang w:val="zh-CN"/>
        </w:rPr>
        <w:t>6、</w:t>
      </w:r>
      <w:r>
        <w:rPr>
          <w:rFonts w:hint="eastAsia"/>
          <w:b/>
          <w:color w:val="auto"/>
          <w:sz w:val="24"/>
          <w:szCs w:val="24"/>
          <w:highlight w:val="none"/>
          <w:lang w:val="zh-CN"/>
        </w:rPr>
        <w:t>项目与《关于印发&lt;重点行业挥发性有机物综合治理方案&gt;的通知》（环大气[2019]53号）符合性分析的符合性分析</w:t>
      </w:r>
    </w:p>
    <w:p>
      <w:pPr>
        <w:tabs>
          <w:tab w:val="left" w:pos="958"/>
        </w:tabs>
        <w:kinsoku w:val="0"/>
        <w:overflowPunct w:val="0"/>
        <w:spacing w:line="360" w:lineRule="auto"/>
        <w:ind w:firstLine="472" w:firstLineChars="200"/>
        <w:rPr>
          <w:color w:val="auto"/>
          <w:spacing w:val="-2"/>
          <w:sz w:val="24"/>
          <w:szCs w:val="24"/>
          <w:highlight w:val="none"/>
          <w:lang w:val="zh-CN"/>
        </w:rPr>
      </w:pPr>
      <w:r>
        <w:rPr>
          <w:color w:val="auto"/>
          <w:spacing w:val="-2"/>
          <w:sz w:val="24"/>
          <w:szCs w:val="24"/>
          <w:highlight w:val="none"/>
          <w:lang w:val="zh-CN"/>
        </w:rPr>
        <w:t>本项目与《重点行业挥发性有机物综合治理方案》中有关化工行业的VOCs治理要求的符合性分析见表9.</w:t>
      </w:r>
      <w:r>
        <w:rPr>
          <w:rFonts w:hint="eastAsia"/>
          <w:color w:val="auto"/>
          <w:spacing w:val="-2"/>
          <w:sz w:val="24"/>
          <w:szCs w:val="24"/>
          <w:highlight w:val="none"/>
        </w:rPr>
        <w:t>5</w:t>
      </w:r>
      <w:r>
        <w:rPr>
          <w:color w:val="auto"/>
          <w:spacing w:val="-2"/>
          <w:sz w:val="24"/>
          <w:szCs w:val="24"/>
          <w:highlight w:val="none"/>
          <w:lang w:val="zh-CN"/>
        </w:rPr>
        <w:t>-</w:t>
      </w:r>
      <w:r>
        <w:rPr>
          <w:rFonts w:hint="eastAsia"/>
          <w:color w:val="auto"/>
          <w:spacing w:val="-2"/>
          <w:sz w:val="24"/>
          <w:szCs w:val="24"/>
          <w:highlight w:val="none"/>
          <w:lang w:val="zh-CN"/>
        </w:rPr>
        <w:t>6</w:t>
      </w:r>
      <w:r>
        <w:rPr>
          <w:color w:val="auto"/>
          <w:spacing w:val="-2"/>
          <w:sz w:val="24"/>
          <w:szCs w:val="24"/>
          <w:highlight w:val="none"/>
          <w:lang w:val="zh-CN"/>
        </w:rPr>
        <w:t>。</w:t>
      </w:r>
    </w:p>
    <w:p>
      <w:pPr>
        <w:spacing w:line="360" w:lineRule="auto"/>
        <w:jc w:val="center"/>
        <w:rPr>
          <w:rFonts w:eastAsia="黑体"/>
          <w:color w:val="auto"/>
          <w:sz w:val="24"/>
          <w:szCs w:val="24"/>
          <w:highlight w:val="none"/>
        </w:rPr>
      </w:pPr>
      <w:r>
        <w:rPr>
          <w:rFonts w:eastAsia="黑体"/>
          <w:color w:val="auto"/>
          <w:sz w:val="24"/>
          <w:szCs w:val="24"/>
          <w:highlight w:val="none"/>
        </w:rPr>
        <w:t>表9.</w:t>
      </w:r>
      <w:r>
        <w:rPr>
          <w:rFonts w:hint="eastAsia" w:eastAsia="黑体"/>
          <w:color w:val="auto"/>
          <w:sz w:val="24"/>
          <w:szCs w:val="24"/>
          <w:highlight w:val="none"/>
        </w:rPr>
        <w:t>5</w:t>
      </w:r>
      <w:r>
        <w:rPr>
          <w:rFonts w:eastAsia="黑体"/>
          <w:color w:val="auto"/>
          <w:sz w:val="24"/>
          <w:szCs w:val="24"/>
          <w:highlight w:val="none"/>
        </w:rPr>
        <w:t>-</w:t>
      </w:r>
      <w:r>
        <w:rPr>
          <w:rFonts w:hint="eastAsia" w:eastAsia="黑体"/>
          <w:color w:val="auto"/>
          <w:sz w:val="24"/>
          <w:szCs w:val="24"/>
          <w:highlight w:val="none"/>
        </w:rPr>
        <w:t>6</w:t>
      </w:r>
      <w:r>
        <w:rPr>
          <w:rFonts w:eastAsia="黑体"/>
          <w:color w:val="auto"/>
          <w:sz w:val="24"/>
          <w:szCs w:val="24"/>
          <w:highlight w:val="none"/>
        </w:rPr>
        <w:t xml:space="preserve">   项目与《重点行业挥发性有机物综合治理方案》的符合性分析表</w:t>
      </w:r>
    </w:p>
    <w:tbl>
      <w:tblPr>
        <w:tblStyle w:val="59"/>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6549"/>
        <w:gridCol w:w="229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blHeader/>
          <w:jc w:val="center"/>
        </w:trPr>
        <w:tc>
          <w:tcPr>
            <w:tcW w:w="3703" w:type="pct"/>
            <w:tcBorders>
              <w:top w:val="single" w:color="000000" w:sz="12" w:space="0"/>
              <w:left w:val="nil"/>
              <w:bottom w:val="single" w:color="000000" w:sz="4" w:space="0"/>
              <w:right w:val="single" w:color="000000" w:sz="4" w:space="0"/>
            </w:tcBorders>
            <w:vAlign w:val="center"/>
          </w:tcPr>
          <w:p>
            <w:pPr>
              <w:kinsoku w:val="0"/>
              <w:overflowPunct w:val="0"/>
              <w:jc w:val="center"/>
              <w:rPr>
                <w:color w:val="auto"/>
                <w:szCs w:val="21"/>
                <w:highlight w:val="none"/>
              </w:rPr>
            </w:pPr>
            <w:r>
              <w:rPr>
                <w:color w:val="auto"/>
                <w:szCs w:val="21"/>
                <w:highlight w:val="none"/>
              </w:rPr>
              <w:t>《重点行业挥发性有机物综合治理方案》</w:t>
            </w:r>
          </w:p>
        </w:tc>
        <w:tc>
          <w:tcPr>
            <w:tcW w:w="1297" w:type="pct"/>
            <w:tcBorders>
              <w:top w:val="single" w:color="000000" w:sz="12" w:space="0"/>
              <w:left w:val="single" w:color="000000" w:sz="4" w:space="0"/>
              <w:bottom w:val="single" w:color="000000" w:sz="4" w:space="0"/>
              <w:right w:val="nil"/>
            </w:tcBorders>
            <w:vAlign w:val="center"/>
          </w:tcPr>
          <w:p>
            <w:pPr>
              <w:kinsoku w:val="0"/>
              <w:overflowPunct w:val="0"/>
              <w:jc w:val="center"/>
              <w:rPr>
                <w:color w:val="auto"/>
                <w:szCs w:val="21"/>
                <w:highlight w:val="none"/>
                <w:lang w:eastAsia="en-US"/>
              </w:rPr>
            </w:pPr>
            <w:r>
              <w:rPr>
                <w:color w:val="auto"/>
                <w:szCs w:val="21"/>
                <w:highlight w:val="none"/>
                <w:lang w:eastAsia="en-US"/>
              </w:rPr>
              <w:t>项目情况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3703" w:type="pct"/>
            <w:tcBorders>
              <w:top w:val="single" w:color="000000" w:sz="4" w:space="0"/>
              <w:left w:val="nil"/>
              <w:bottom w:val="single" w:color="000000" w:sz="4" w:space="0"/>
              <w:right w:val="single" w:color="000000" w:sz="4" w:space="0"/>
            </w:tcBorders>
            <w:vAlign w:val="center"/>
          </w:tcPr>
          <w:p>
            <w:pPr>
              <w:kinsoku w:val="0"/>
              <w:overflowPunct w:val="0"/>
              <w:jc w:val="center"/>
              <w:rPr>
                <w:color w:val="auto"/>
                <w:szCs w:val="21"/>
                <w:highlight w:val="none"/>
              </w:rPr>
            </w:pPr>
            <w:r>
              <w:rPr>
                <w:color w:val="auto"/>
                <w:szCs w:val="21"/>
                <w:highlight w:val="none"/>
              </w:rPr>
              <w:t>加强制药、农药、涂料、油墨、胶粘剂、橡胶和塑料制品等行业VOCs治理力度。重点提高涉VOCs排放主要工序密闭化水平，加强无组织排放收集，加大含VOCs物料储存和装卸治理力度。废水储存、曝气池及其之前废水处理设施应按要求加盖封闭，实施废气收集与处理。密封点大于等于2000个的，要开展LDAR工作。</w:t>
            </w:r>
          </w:p>
        </w:tc>
        <w:tc>
          <w:tcPr>
            <w:tcW w:w="1297" w:type="pct"/>
            <w:tcBorders>
              <w:top w:val="single" w:color="000000" w:sz="4" w:space="0"/>
              <w:left w:val="single" w:color="000000" w:sz="4" w:space="0"/>
              <w:bottom w:val="single" w:color="000000" w:sz="4" w:space="0"/>
              <w:right w:val="nil"/>
            </w:tcBorders>
            <w:vAlign w:val="center"/>
          </w:tcPr>
          <w:p>
            <w:pPr>
              <w:kinsoku w:val="0"/>
              <w:overflowPunct w:val="0"/>
              <w:jc w:val="center"/>
              <w:rPr>
                <w:color w:val="auto"/>
                <w:szCs w:val="21"/>
                <w:highlight w:val="none"/>
              </w:rPr>
            </w:pPr>
            <w:r>
              <w:rPr>
                <w:rFonts w:hint="eastAsia"/>
                <w:color w:val="auto"/>
                <w:szCs w:val="21"/>
                <w:highlight w:val="none"/>
              </w:rPr>
              <w:t>项目有机废气经</w:t>
            </w:r>
            <w:r>
              <w:rPr>
                <w:color w:val="auto"/>
                <w:szCs w:val="21"/>
                <w:highlight w:val="none"/>
              </w:rPr>
              <w:t>布袋除尘+活性炭吸附浓缩+催化燃烧+</w:t>
            </w:r>
            <w:r>
              <w:rPr>
                <w:rFonts w:hint="eastAsia"/>
                <w:color w:val="auto"/>
                <w:szCs w:val="21"/>
                <w:highlight w:val="none"/>
                <w:lang w:eastAsia="zh-CN"/>
              </w:rPr>
              <w:t>20m</w:t>
            </w:r>
            <w:r>
              <w:rPr>
                <w:color w:val="auto"/>
                <w:szCs w:val="21"/>
                <w:highlight w:val="none"/>
              </w:rPr>
              <w:t>高排气筒</w:t>
            </w:r>
            <w:r>
              <w:rPr>
                <w:rFonts w:hint="eastAsia"/>
                <w:color w:val="auto"/>
                <w:szCs w:val="21"/>
                <w:highlight w:val="none"/>
              </w:rPr>
              <w:t>（DA001）排放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3703" w:type="pct"/>
            <w:tcBorders>
              <w:top w:val="single" w:color="000000" w:sz="4" w:space="0"/>
              <w:left w:val="nil"/>
              <w:bottom w:val="single" w:color="000000" w:sz="4" w:space="0"/>
              <w:right w:val="single" w:color="000000" w:sz="4" w:space="0"/>
            </w:tcBorders>
            <w:vAlign w:val="center"/>
          </w:tcPr>
          <w:p>
            <w:pPr>
              <w:kinsoku w:val="0"/>
              <w:overflowPunct w:val="0"/>
              <w:jc w:val="center"/>
              <w:rPr>
                <w:rFonts w:eastAsia="Calibri"/>
                <w:color w:val="auto"/>
                <w:sz w:val="22"/>
                <w:highlight w:val="none"/>
              </w:rPr>
            </w:pPr>
            <w:r>
              <w:rPr>
                <w:color w:val="auto"/>
                <w:szCs w:val="21"/>
                <w:highlight w:val="none"/>
              </w:rPr>
              <w:t>积极推广使用低VOCs含量或低反应活性的原辅材料，加快工艺改进和产品升级。制药、农药行业推广使用非卤代烃和非芳香烃类溶剂，鼓励生产水基化类农药制剂。橡胶制品行业推广使用新型偶联剂、粘合剂，使用石蜡油等替代普通芳烃油、煤焦油等助剂。优化生产工艺，农药行业推广水相法、生物酶法合成等技术；制药行业推广生物酶法合成技术；橡胶制品行业推广采用串联法混炼、常压连续脱硫工艺。</w:t>
            </w:r>
          </w:p>
        </w:tc>
        <w:tc>
          <w:tcPr>
            <w:tcW w:w="1297" w:type="pct"/>
            <w:tcBorders>
              <w:top w:val="single" w:color="000000" w:sz="4" w:space="0"/>
              <w:left w:val="single" w:color="000000" w:sz="4" w:space="0"/>
              <w:bottom w:val="single" w:color="000000" w:sz="4" w:space="0"/>
              <w:right w:val="nil"/>
            </w:tcBorders>
            <w:vAlign w:val="center"/>
          </w:tcPr>
          <w:p>
            <w:pPr>
              <w:kinsoku w:val="0"/>
              <w:overflowPunct w:val="0"/>
              <w:jc w:val="center"/>
              <w:rPr>
                <w:color w:val="auto"/>
                <w:szCs w:val="21"/>
                <w:highlight w:val="none"/>
              </w:rPr>
            </w:pPr>
            <w:r>
              <w:rPr>
                <w:rFonts w:hint="eastAsia"/>
                <w:color w:val="auto"/>
                <w:szCs w:val="21"/>
                <w:highlight w:val="none"/>
              </w:rPr>
              <w:t>项目不属于制药</w:t>
            </w:r>
            <w:r>
              <w:rPr>
                <w:rFonts w:hint="eastAsia"/>
                <w:color w:val="auto"/>
                <w:szCs w:val="21"/>
                <w:highlight w:val="none"/>
                <w:lang w:eastAsia="zh-CN"/>
              </w:rPr>
              <w:t>、</w:t>
            </w:r>
            <w:r>
              <w:rPr>
                <w:rFonts w:hint="eastAsia"/>
                <w:color w:val="auto"/>
                <w:szCs w:val="21"/>
                <w:highlight w:val="none"/>
                <w:lang w:val="en-US" w:eastAsia="zh-CN"/>
              </w:rPr>
              <w:t>农药、</w:t>
            </w:r>
            <w:r>
              <w:rPr>
                <w:rFonts w:hint="eastAsia"/>
                <w:color w:val="auto"/>
                <w:szCs w:val="21"/>
                <w:highlight w:val="none"/>
              </w:rPr>
              <w:t>橡胶制品行业，</w:t>
            </w:r>
            <w:r>
              <w:rPr>
                <w:rFonts w:hint="eastAsia"/>
                <w:color w:val="auto"/>
                <w:szCs w:val="21"/>
                <w:highlight w:val="none"/>
                <w:lang w:val="en-US" w:eastAsia="zh-CN"/>
              </w:rPr>
              <w:t>为塑料制品行业，</w:t>
            </w:r>
            <w:r>
              <w:rPr>
                <w:rFonts w:hint="eastAsia"/>
                <w:color w:val="auto"/>
                <w:szCs w:val="21"/>
                <w:highlight w:val="none"/>
              </w:rPr>
              <w:t>项目</w:t>
            </w:r>
            <w:r>
              <w:rPr>
                <w:color w:val="auto"/>
                <w:szCs w:val="21"/>
                <w:highlight w:val="none"/>
              </w:rPr>
              <w:t>生产工艺较为先进</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3703" w:type="pct"/>
            <w:tcBorders>
              <w:top w:val="single" w:color="000000" w:sz="4" w:space="0"/>
              <w:left w:val="nil"/>
              <w:bottom w:val="single" w:color="000000" w:sz="4" w:space="0"/>
              <w:right w:val="single" w:color="000000" w:sz="4" w:space="0"/>
            </w:tcBorders>
            <w:vAlign w:val="center"/>
          </w:tcPr>
          <w:p>
            <w:pPr>
              <w:kinsoku w:val="0"/>
              <w:overflowPunct w:val="0"/>
              <w:jc w:val="center"/>
              <w:rPr>
                <w:rFonts w:eastAsia="Calibri"/>
                <w:color w:val="auto"/>
                <w:sz w:val="22"/>
                <w:highlight w:val="none"/>
              </w:rPr>
            </w:pPr>
            <w:r>
              <w:rPr>
                <w:color w:val="auto"/>
                <w:szCs w:val="21"/>
                <w:highlight w:val="none"/>
              </w:rPr>
              <w:t>加快生产设备密闭化改造。对进出料、物料输送、搅拌、固液分离、干燥、灌装等过程，采取密闭化措施，提升工艺装备水平。加快淘汰敞口式、明流式设施。重点区域含VOCs物料输送原则上采用重力流或泵送方式，逐步淘汰真空方式；有机液体进料鼓励采用底部、浸入管给料方式，淘汰喷溅式给料；固体物料投加逐步推进采用密闭式投料装置。</w:t>
            </w:r>
          </w:p>
        </w:tc>
        <w:tc>
          <w:tcPr>
            <w:tcW w:w="1297" w:type="pct"/>
            <w:tcBorders>
              <w:top w:val="single" w:color="000000" w:sz="4" w:space="0"/>
              <w:left w:val="single" w:color="000000" w:sz="4" w:space="0"/>
              <w:bottom w:val="single" w:color="000000" w:sz="4" w:space="0"/>
              <w:right w:val="nil"/>
            </w:tcBorders>
            <w:vAlign w:val="center"/>
          </w:tcPr>
          <w:p>
            <w:pPr>
              <w:kinsoku w:val="0"/>
              <w:overflowPunct w:val="0"/>
              <w:jc w:val="center"/>
              <w:rPr>
                <w:rFonts w:eastAsia="Calibri"/>
                <w:color w:val="auto"/>
                <w:sz w:val="22"/>
                <w:highlight w:val="none"/>
              </w:rPr>
            </w:pPr>
            <w:r>
              <w:rPr>
                <w:color w:val="auto"/>
                <w:szCs w:val="21"/>
                <w:highlight w:val="none"/>
              </w:rPr>
              <w:t>项目工艺装备水平</w:t>
            </w:r>
            <w:r>
              <w:rPr>
                <w:rFonts w:hint="eastAsia"/>
                <w:color w:val="auto"/>
                <w:szCs w:val="21"/>
                <w:highlight w:val="none"/>
              </w:rPr>
              <w:t>较高，不使用液态含VOCs物料</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3703" w:type="pct"/>
            <w:tcBorders>
              <w:top w:val="single" w:color="000000" w:sz="4" w:space="0"/>
              <w:left w:val="nil"/>
              <w:bottom w:val="single" w:color="000000" w:sz="4" w:space="0"/>
              <w:right w:val="single" w:color="000000" w:sz="4" w:space="0"/>
            </w:tcBorders>
            <w:vAlign w:val="center"/>
          </w:tcPr>
          <w:p>
            <w:pPr>
              <w:kinsoku w:val="0"/>
              <w:overflowPunct w:val="0"/>
              <w:jc w:val="center"/>
              <w:rPr>
                <w:rFonts w:eastAsia="Calibri"/>
                <w:color w:val="auto"/>
                <w:sz w:val="22"/>
                <w:highlight w:val="none"/>
              </w:rPr>
            </w:pPr>
            <w:r>
              <w:rPr>
                <w:color w:val="auto"/>
                <w:szCs w:val="21"/>
                <w:highlight w:val="none"/>
              </w:rPr>
              <w:t>严格控制储存和装卸过程VOCs排放。鼓励采用压力罐、浮顶罐等替代固定顶罐。真实蒸气压大于等于27.6kPa（重点区域大于等于5.2kPa）的有机液体，利用固定顶罐储存的，应按有关规定采用气相平衡系统或收集净化处理。</w:t>
            </w:r>
          </w:p>
        </w:tc>
        <w:tc>
          <w:tcPr>
            <w:tcW w:w="1297" w:type="pct"/>
            <w:tcBorders>
              <w:top w:val="single" w:color="000000" w:sz="4" w:space="0"/>
              <w:left w:val="single" w:color="000000" w:sz="4" w:space="0"/>
              <w:bottom w:val="single" w:color="000000" w:sz="4" w:space="0"/>
              <w:right w:val="nil"/>
            </w:tcBorders>
            <w:vAlign w:val="center"/>
          </w:tcPr>
          <w:p>
            <w:pPr>
              <w:kinsoku w:val="0"/>
              <w:overflowPunct w:val="0"/>
              <w:jc w:val="center"/>
              <w:rPr>
                <w:color w:val="auto"/>
                <w:szCs w:val="21"/>
                <w:highlight w:val="none"/>
              </w:rPr>
            </w:pPr>
            <w:r>
              <w:rPr>
                <w:rFonts w:hint="eastAsia"/>
                <w:color w:val="auto"/>
                <w:szCs w:val="21"/>
                <w:highlight w:val="none"/>
              </w:rPr>
              <w:t>项目未设置有机物料储罐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3703" w:type="pct"/>
            <w:tcBorders>
              <w:top w:val="single" w:color="000000" w:sz="4" w:space="0"/>
              <w:left w:val="nil"/>
              <w:bottom w:val="single" w:color="000000" w:sz="4" w:space="0"/>
              <w:right w:val="single" w:color="000000" w:sz="4" w:space="0"/>
            </w:tcBorders>
            <w:vAlign w:val="center"/>
          </w:tcPr>
          <w:p>
            <w:pPr>
              <w:kinsoku w:val="0"/>
              <w:overflowPunct w:val="0"/>
              <w:jc w:val="center"/>
              <w:rPr>
                <w:rFonts w:eastAsia="Calibri"/>
                <w:color w:val="auto"/>
                <w:sz w:val="22"/>
                <w:highlight w:val="none"/>
              </w:rPr>
            </w:pPr>
            <w:r>
              <w:rPr>
                <w:color w:val="auto"/>
                <w:szCs w:val="21"/>
                <w:highlight w:val="none"/>
              </w:rPr>
              <w:t>实施废气分类收集处理。优先选用冷凝、吸附再生等回收技术；难以回收的，宜选用燃烧、吸附浓缩+燃烧等高效治理技术。水溶性、酸碱VOCs废气宜选用多级化学吸收等处理技术。恶臭类废气还应进一步加强除臭处理。</w:t>
            </w:r>
          </w:p>
        </w:tc>
        <w:tc>
          <w:tcPr>
            <w:tcW w:w="1297" w:type="pct"/>
            <w:tcBorders>
              <w:top w:val="single" w:color="000000" w:sz="4" w:space="0"/>
              <w:left w:val="single" w:color="000000" w:sz="4" w:space="0"/>
              <w:bottom w:val="single" w:color="000000" w:sz="4" w:space="0"/>
              <w:right w:val="nil"/>
            </w:tcBorders>
            <w:vAlign w:val="center"/>
          </w:tcPr>
          <w:p>
            <w:pPr>
              <w:kinsoku w:val="0"/>
              <w:overflowPunct w:val="0"/>
              <w:jc w:val="center"/>
              <w:rPr>
                <w:rFonts w:eastAsia="Calibri"/>
                <w:color w:val="auto"/>
                <w:sz w:val="22"/>
                <w:highlight w:val="none"/>
              </w:rPr>
            </w:pPr>
            <w:r>
              <w:rPr>
                <w:rFonts w:hint="eastAsia"/>
                <w:bCs/>
                <w:color w:val="auto"/>
                <w:szCs w:val="21"/>
                <w:highlight w:val="none"/>
              </w:rPr>
              <w:t>项目</w:t>
            </w:r>
            <w:r>
              <w:rPr>
                <w:bCs/>
                <w:color w:val="auto"/>
                <w:szCs w:val="21"/>
                <w:highlight w:val="none"/>
              </w:rPr>
              <w:t>挤出成型、熔融造粒、注塑</w:t>
            </w:r>
            <w:r>
              <w:rPr>
                <w:rFonts w:hint="eastAsia"/>
                <w:bCs/>
                <w:color w:val="auto"/>
                <w:szCs w:val="21"/>
                <w:highlight w:val="none"/>
              </w:rPr>
              <w:t>、破碎</w:t>
            </w:r>
            <w:r>
              <w:rPr>
                <w:bCs/>
                <w:color w:val="auto"/>
                <w:szCs w:val="21"/>
                <w:highlight w:val="none"/>
              </w:rPr>
              <w:t>废气</w:t>
            </w:r>
            <w:r>
              <w:rPr>
                <w:rFonts w:hint="eastAsia"/>
                <w:bCs/>
                <w:color w:val="auto"/>
                <w:szCs w:val="21"/>
                <w:highlight w:val="none"/>
              </w:rPr>
              <w:t>经</w:t>
            </w:r>
            <w:r>
              <w:rPr>
                <w:color w:val="auto"/>
                <w:szCs w:val="21"/>
                <w:highlight w:val="none"/>
              </w:rPr>
              <w:t>布袋除尘+活性炭吸附浓缩+催化燃烧+</w:t>
            </w:r>
            <w:r>
              <w:rPr>
                <w:rFonts w:hint="eastAsia"/>
                <w:color w:val="auto"/>
                <w:szCs w:val="21"/>
                <w:highlight w:val="none"/>
                <w:lang w:eastAsia="zh-CN"/>
              </w:rPr>
              <w:t>20m</w:t>
            </w:r>
            <w:r>
              <w:rPr>
                <w:color w:val="auto"/>
                <w:szCs w:val="21"/>
                <w:highlight w:val="none"/>
              </w:rPr>
              <w:t>高排气筒</w:t>
            </w:r>
            <w:r>
              <w:rPr>
                <w:rFonts w:hint="eastAsia"/>
                <w:color w:val="auto"/>
                <w:szCs w:val="21"/>
                <w:highlight w:val="none"/>
              </w:rPr>
              <w:t>（DA001）排放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3703" w:type="pct"/>
            <w:tcBorders>
              <w:top w:val="single" w:color="000000" w:sz="4" w:space="0"/>
              <w:left w:val="nil"/>
              <w:bottom w:val="single" w:color="000000" w:sz="12" w:space="0"/>
              <w:right w:val="single" w:color="000000" w:sz="4" w:space="0"/>
            </w:tcBorders>
            <w:vAlign w:val="center"/>
          </w:tcPr>
          <w:p>
            <w:pPr>
              <w:kinsoku w:val="0"/>
              <w:overflowPunct w:val="0"/>
              <w:jc w:val="center"/>
              <w:rPr>
                <w:color w:val="auto"/>
                <w:szCs w:val="21"/>
                <w:highlight w:val="none"/>
              </w:rPr>
            </w:pPr>
            <w:r>
              <w:rPr>
                <w:color w:val="auto"/>
                <w:szCs w:val="21"/>
                <w:highlight w:val="none"/>
              </w:rPr>
              <w:t>加强非正常工况废气排放控制。退料、吹扫、清洗等过程应加强含VOCs物料回收工作，产生的VOCs废气要加大收集处理力度。开车阶段产生的易挥发性不合格产品应收集至中间储罐等装置。重点区域化工企业应制定开停车、检维修等非正常工况VOCs治理操作规程。</w:t>
            </w:r>
          </w:p>
        </w:tc>
        <w:tc>
          <w:tcPr>
            <w:tcW w:w="1297" w:type="pct"/>
            <w:tcBorders>
              <w:top w:val="single" w:color="000000" w:sz="4" w:space="0"/>
              <w:left w:val="single" w:color="000000" w:sz="4" w:space="0"/>
              <w:bottom w:val="single" w:color="000000" w:sz="12" w:space="0"/>
              <w:right w:val="nil"/>
            </w:tcBorders>
            <w:vAlign w:val="center"/>
          </w:tcPr>
          <w:p>
            <w:pPr>
              <w:kinsoku w:val="0"/>
              <w:overflowPunct w:val="0"/>
              <w:jc w:val="center"/>
              <w:rPr>
                <w:color w:val="auto"/>
                <w:spacing w:val="-7"/>
                <w:szCs w:val="21"/>
                <w:highlight w:val="none"/>
              </w:rPr>
            </w:pPr>
            <w:r>
              <w:rPr>
                <w:color w:val="auto"/>
                <w:highlight w:val="none"/>
              </w:rPr>
              <w:t>项目属于</w:t>
            </w:r>
            <w:r>
              <w:rPr>
                <w:rFonts w:hint="eastAsia"/>
                <w:color w:val="auto"/>
                <w:highlight w:val="none"/>
              </w:rPr>
              <w:t>塑料制品行业，</w:t>
            </w:r>
            <w:r>
              <w:rPr>
                <w:color w:val="auto"/>
                <w:highlight w:val="none"/>
              </w:rPr>
              <w:t>不属于</w:t>
            </w:r>
            <w:r>
              <w:rPr>
                <w:color w:val="auto"/>
                <w:szCs w:val="21"/>
                <w:highlight w:val="none"/>
              </w:rPr>
              <w:t>方案重点区域或重点行业</w:t>
            </w:r>
            <w:r>
              <w:rPr>
                <w:rFonts w:hint="eastAsia"/>
                <w:color w:val="auto"/>
                <w:szCs w:val="21"/>
                <w:highlight w:val="none"/>
              </w:rPr>
              <w:t>。</w:t>
            </w:r>
          </w:p>
        </w:tc>
      </w:tr>
    </w:tbl>
    <w:p>
      <w:pPr>
        <w:spacing w:line="360" w:lineRule="auto"/>
        <w:ind w:firstLine="480" w:firstLineChars="200"/>
        <w:rPr>
          <w:color w:val="auto"/>
          <w:sz w:val="24"/>
          <w:szCs w:val="24"/>
          <w:highlight w:val="none"/>
          <w:lang w:val="zh-CN"/>
        </w:rPr>
      </w:pPr>
      <w:r>
        <w:rPr>
          <w:rFonts w:hint="eastAsia"/>
          <w:color w:val="auto"/>
          <w:sz w:val="24"/>
          <w:szCs w:val="24"/>
          <w:highlight w:val="none"/>
          <w:lang w:val="zh-CN"/>
        </w:rPr>
        <w:t>根据《重点行业挥发性有机物综合治理方案》(环大气[2019]53号)重点行业为石化/化工、工业涂装、包装印刷、储油库、加油站等。</w:t>
      </w:r>
    </w:p>
    <w:p>
      <w:pPr>
        <w:spacing w:line="360" w:lineRule="auto"/>
        <w:ind w:firstLine="480" w:firstLineChars="200"/>
        <w:rPr>
          <w:color w:val="auto"/>
          <w:sz w:val="24"/>
          <w:szCs w:val="24"/>
          <w:highlight w:val="none"/>
          <w:lang w:val="zh-CN"/>
        </w:rPr>
      </w:pPr>
      <w:r>
        <w:rPr>
          <w:rFonts w:hint="eastAsia"/>
          <w:color w:val="auto"/>
          <w:sz w:val="24"/>
          <w:szCs w:val="24"/>
          <w:highlight w:val="none"/>
          <w:lang w:val="zh-CN"/>
        </w:rPr>
        <w:t>项目属于塑料板、管、型材制造</w:t>
      </w:r>
      <w:r>
        <w:rPr>
          <w:rFonts w:hint="eastAsia"/>
          <w:color w:val="auto"/>
          <w:sz w:val="24"/>
          <w:szCs w:val="24"/>
          <w:highlight w:val="none"/>
        </w:rPr>
        <w:t>行业</w:t>
      </w:r>
      <w:r>
        <w:rPr>
          <w:rFonts w:hint="eastAsia"/>
          <w:color w:val="auto"/>
          <w:sz w:val="24"/>
          <w:szCs w:val="24"/>
          <w:highlight w:val="none"/>
          <w:lang w:val="zh-CN"/>
        </w:rPr>
        <w:t>，不属于《重点行业挥发性有机物综合治理方案》(环大气[2019]53号)中重点区域或重点行业，不违背相关要求。</w:t>
      </w:r>
    </w:p>
    <w:p>
      <w:pPr>
        <w:spacing w:before="156" w:beforeLines="50" w:line="360" w:lineRule="auto"/>
        <w:ind w:firstLine="482" w:firstLineChars="200"/>
        <w:rPr>
          <w:b/>
          <w:bCs/>
          <w:color w:val="auto"/>
          <w:sz w:val="24"/>
          <w:szCs w:val="24"/>
          <w:highlight w:val="none"/>
          <w:lang w:val="zh-CN"/>
        </w:rPr>
      </w:pPr>
      <w:r>
        <w:rPr>
          <w:rFonts w:hint="eastAsia"/>
          <w:b/>
          <w:bCs/>
          <w:color w:val="auto"/>
          <w:sz w:val="24"/>
          <w:szCs w:val="24"/>
          <w:highlight w:val="none"/>
          <w:lang w:val="zh-CN"/>
        </w:rPr>
        <w:t>7、项目与《山东省涉挥发性有机物企业分行业治理指导意见》(鲁环发[2019]146号)符合性分析</w:t>
      </w:r>
    </w:p>
    <w:p>
      <w:pPr>
        <w:spacing w:line="360" w:lineRule="auto"/>
        <w:ind w:firstLine="480" w:firstLineChars="200"/>
        <w:rPr>
          <w:color w:val="auto"/>
          <w:sz w:val="24"/>
          <w:szCs w:val="24"/>
          <w:highlight w:val="none"/>
          <w:lang w:val="zh-CN"/>
        </w:rPr>
      </w:pPr>
      <w:r>
        <w:rPr>
          <w:rFonts w:hint="eastAsia"/>
          <w:color w:val="auto"/>
          <w:sz w:val="24"/>
          <w:szCs w:val="24"/>
          <w:highlight w:val="none"/>
          <w:lang w:val="zh-CN"/>
        </w:rPr>
        <w:t>本项目与《山东省涉挥发性有机物企业分行业治理指导意见》(鲁环发[2019]146号)符合性分析见表9.</w:t>
      </w:r>
      <w:r>
        <w:rPr>
          <w:rFonts w:hint="eastAsia"/>
          <w:color w:val="auto"/>
          <w:sz w:val="24"/>
          <w:szCs w:val="24"/>
          <w:highlight w:val="none"/>
        </w:rPr>
        <w:t>5</w:t>
      </w:r>
      <w:r>
        <w:rPr>
          <w:rFonts w:hint="eastAsia"/>
          <w:color w:val="auto"/>
          <w:sz w:val="24"/>
          <w:szCs w:val="24"/>
          <w:highlight w:val="none"/>
          <w:lang w:val="zh-CN"/>
        </w:rPr>
        <w:t>-7。</w:t>
      </w:r>
    </w:p>
    <w:p>
      <w:pPr>
        <w:spacing w:line="360" w:lineRule="auto"/>
        <w:jc w:val="center"/>
        <w:rPr>
          <w:rFonts w:eastAsia="黑体"/>
          <w:color w:val="auto"/>
          <w:sz w:val="24"/>
          <w:highlight w:val="none"/>
        </w:rPr>
      </w:pPr>
      <w:r>
        <w:rPr>
          <w:rFonts w:eastAsia="黑体"/>
          <w:color w:val="auto"/>
          <w:sz w:val="24"/>
          <w:highlight w:val="none"/>
        </w:rPr>
        <w:t>表</w:t>
      </w:r>
      <w:r>
        <w:rPr>
          <w:rFonts w:hint="eastAsia" w:eastAsia="黑体"/>
          <w:color w:val="auto"/>
          <w:sz w:val="24"/>
          <w:highlight w:val="none"/>
        </w:rPr>
        <w:t>9.5</w:t>
      </w:r>
      <w:r>
        <w:rPr>
          <w:rFonts w:eastAsia="黑体"/>
          <w:color w:val="auto"/>
          <w:sz w:val="24"/>
          <w:highlight w:val="none"/>
        </w:rPr>
        <w:t>-</w:t>
      </w:r>
      <w:r>
        <w:rPr>
          <w:rFonts w:hint="eastAsia" w:eastAsia="黑体"/>
          <w:color w:val="auto"/>
          <w:sz w:val="24"/>
          <w:highlight w:val="none"/>
        </w:rPr>
        <w:t xml:space="preserve">7   </w:t>
      </w:r>
      <w:r>
        <w:rPr>
          <w:rFonts w:eastAsia="黑体"/>
          <w:color w:val="auto"/>
          <w:sz w:val="24"/>
          <w:highlight w:val="none"/>
        </w:rPr>
        <w:t>项目与</w:t>
      </w:r>
      <w:r>
        <w:rPr>
          <w:rFonts w:hint="eastAsia" w:eastAsia="黑体"/>
          <w:color w:val="auto"/>
          <w:sz w:val="24"/>
          <w:highlight w:val="none"/>
        </w:rPr>
        <w:t>环大气</w:t>
      </w:r>
      <w:r>
        <w:rPr>
          <w:rFonts w:eastAsia="黑体"/>
          <w:color w:val="auto"/>
          <w:sz w:val="24"/>
          <w:highlight w:val="none"/>
        </w:rPr>
        <w:t>[2019]146</w:t>
      </w:r>
      <w:r>
        <w:rPr>
          <w:rFonts w:hint="eastAsia" w:eastAsia="黑体"/>
          <w:color w:val="auto"/>
          <w:sz w:val="24"/>
          <w:highlight w:val="none"/>
        </w:rPr>
        <w:t>文的</w:t>
      </w:r>
      <w:r>
        <w:rPr>
          <w:rFonts w:eastAsia="黑体"/>
          <w:color w:val="auto"/>
          <w:sz w:val="24"/>
          <w:highlight w:val="none"/>
        </w:rPr>
        <w:t>符合性分析</w:t>
      </w:r>
    </w:p>
    <w:tbl>
      <w:tblPr>
        <w:tblStyle w:val="59"/>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32"/>
        <w:gridCol w:w="2504"/>
        <w:gridCol w:w="9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73" w:type="pct"/>
            <w:vAlign w:val="center"/>
          </w:tcPr>
          <w:p>
            <w:pPr>
              <w:jc w:val="center"/>
              <w:rPr>
                <w:color w:val="auto"/>
                <w:szCs w:val="21"/>
                <w:highlight w:val="none"/>
              </w:rPr>
            </w:pPr>
            <w:r>
              <w:rPr>
                <w:color w:val="auto"/>
                <w:szCs w:val="21"/>
                <w:highlight w:val="none"/>
              </w:rPr>
              <w:t>鲁环发[2019]146号相关要求</w:t>
            </w:r>
          </w:p>
        </w:tc>
        <w:tc>
          <w:tcPr>
            <w:tcW w:w="1391" w:type="pct"/>
            <w:vAlign w:val="center"/>
          </w:tcPr>
          <w:p>
            <w:pPr>
              <w:jc w:val="center"/>
              <w:rPr>
                <w:color w:val="auto"/>
                <w:szCs w:val="21"/>
                <w:highlight w:val="none"/>
              </w:rPr>
            </w:pPr>
            <w:r>
              <w:rPr>
                <w:color w:val="auto"/>
                <w:szCs w:val="21"/>
                <w:highlight w:val="none"/>
              </w:rPr>
              <w:t>项目情况</w:t>
            </w:r>
          </w:p>
        </w:tc>
        <w:tc>
          <w:tcPr>
            <w:tcW w:w="536" w:type="pct"/>
            <w:vAlign w:val="center"/>
          </w:tcPr>
          <w:p>
            <w:pPr>
              <w:jc w:val="center"/>
              <w:rPr>
                <w:color w:val="auto"/>
                <w:szCs w:val="21"/>
                <w:highlight w:val="none"/>
              </w:rPr>
            </w:pPr>
            <w:r>
              <w:rPr>
                <w:color w:val="auto"/>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73" w:type="pct"/>
            <w:vAlign w:val="center"/>
          </w:tcPr>
          <w:p>
            <w:pPr>
              <w:jc w:val="left"/>
              <w:rPr>
                <w:color w:val="auto"/>
                <w:szCs w:val="21"/>
                <w:highlight w:val="none"/>
              </w:rPr>
            </w:pPr>
            <w:r>
              <w:rPr>
                <w:color w:val="auto"/>
                <w:highlight w:val="none"/>
              </w:rPr>
              <w:t>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 产生。</w:t>
            </w:r>
          </w:p>
        </w:tc>
        <w:tc>
          <w:tcPr>
            <w:tcW w:w="1391" w:type="pct"/>
            <w:vAlign w:val="center"/>
          </w:tcPr>
          <w:p>
            <w:pPr>
              <w:jc w:val="left"/>
              <w:rPr>
                <w:color w:val="auto"/>
                <w:szCs w:val="21"/>
                <w:highlight w:val="none"/>
              </w:rPr>
            </w:pPr>
            <w:r>
              <w:rPr>
                <w:color w:val="auto"/>
                <w:highlight w:val="none"/>
              </w:rPr>
              <w:t>项目不使用</w:t>
            </w:r>
            <w:r>
              <w:rPr>
                <w:rFonts w:hint="eastAsia"/>
                <w:color w:val="auto"/>
                <w:highlight w:val="none"/>
              </w:rPr>
              <w:t>涂料</w:t>
            </w:r>
          </w:p>
        </w:tc>
        <w:tc>
          <w:tcPr>
            <w:tcW w:w="536" w:type="pct"/>
            <w:vAlign w:val="center"/>
          </w:tcPr>
          <w:p>
            <w:pPr>
              <w:jc w:val="center"/>
              <w:rPr>
                <w:color w:val="auto"/>
                <w:szCs w:val="21"/>
                <w:highlight w:val="none"/>
              </w:rPr>
            </w:pPr>
            <w:r>
              <w:rPr>
                <w:rFonts w:hint="eastAsia"/>
                <w:color w:val="auto"/>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73" w:type="pct"/>
            <w:vAlign w:val="center"/>
          </w:tcPr>
          <w:p>
            <w:pPr>
              <w:jc w:val="left"/>
              <w:rPr>
                <w:color w:val="auto"/>
                <w:szCs w:val="21"/>
                <w:highlight w:val="none"/>
              </w:rPr>
            </w:pPr>
            <w:r>
              <w:rPr>
                <w:color w:val="auto"/>
                <w:szCs w:val="21"/>
                <w:highlight w:val="none"/>
              </w:rPr>
              <w:t>加强无组织排放控制。重点对含VOCs物料（包括含VOCs原辅材料、含VOCs产品、含VOCs废料以及有机聚合物材料等）储存、转移和输送、设备与管线组件泄漏、敞开液面逸散、工艺过程等五类排放源实施管控，通过采取设备与场所密闭、工艺改进、废气有效收集等措施，削减VOCs无组织排放</w:t>
            </w:r>
          </w:p>
        </w:tc>
        <w:tc>
          <w:tcPr>
            <w:tcW w:w="1391" w:type="pct"/>
            <w:vAlign w:val="center"/>
          </w:tcPr>
          <w:p>
            <w:pPr>
              <w:jc w:val="left"/>
              <w:rPr>
                <w:color w:val="auto"/>
                <w:szCs w:val="21"/>
                <w:highlight w:val="none"/>
              </w:rPr>
            </w:pPr>
            <w:r>
              <w:rPr>
                <w:rFonts w:hint="eastAsia"/>
                <w:bCs/>
                <w:color w:val="auto"/>
                <w:szCs w:val="21"/>
                <w:highlight w:val="none"/>
              </w:rPr>
              <w:t>项目</w:t>
            </w:r>
            <w:r>
              <w:rPr>
                <w:bCs/>
                <w:color w:val="auto"/>
                <w:szCs w:val="21"/>
                <w:highlight w:val="none"/>
              </w:rPr>
              <w:t>挤出成型、熔融造粒、注塑</w:t>
            </w:r>
            <w:r>
              <w:rPr>
                <w:rFonts w:hint="eastAsia"/>
                <w:bCs/>
                <w:color w:val="auto"/>
                <w:szCs w:val="21"/>
                <w:highlight w:val="none"/>
              </w:rPr>
              <w:t>、破碎</w:t>
            </w:r>
            <w:r>
              <w:rPr>
                <w:bCs/>
                <w:color w:val="auto"/>
                <w:szCs w:val="21"/>
                <w:highlight w:val="none"/>
              </w:rPr>
              <w:t>废气</w:t>
            </w:r>
            <w:r>
              <w:rPr>
                <w:rFonts w:hint="eastAsia"/>
                <w:bCs/>
                <w:color w:val="auto"/>
                <w:szCs w:val="21"/>
                <w:highlight w:val="none"/>
              </w:rPr>
              <w:t>经</w:t>
            </w:r>
            <w:r>
              <w:rPr>
                <w:color w:val="auto"/>
                <w:szCs w:val="21"/>
                <w:highlight w:val="none"/>
              </w:rPr>
              <w:t>布袋除尘+活性炭吸附浓缩+催化燃烧+</w:t>
            </w:r>
            <w:r>
              <w:rPr>
                <w:rFonts w:hint="eastAsia"/>
                <w:color w:val="auto"/>
                <w:szCs w:val="21"/>
                <w:highlight w:val="none"/>
                <w:lang w:eastAsia="zh-CN"/>
              </w:rPr>
              <w:t>20m</w:t>
            </w:r>
            <w:r>
              <w:rPr>
                <w:color w:val="auto"/>
                <w:szCs w:val="21"/>
                <w:highlight w:val="none"/>
              </w:rPr>
              <w:t>高排气筒</w:t>
            </w:r>
            <w:r>
              <w:rPr>
                <w:rFonts w:hint="eastAsia"/>
                <w:color w:val="auto"/>
                <w:szCs w:val="21"/>
                <w:highlight w:val="none"/>
              </w:rPr>
              <w:t>（DA001）排放</w:t>
            </w:r>
          </w:p>
        </w:tc>
        <w:tc>
          <w:tcPr>
            <w:tcW w:w="536" w:type="pct"/>
            <w:vAlign w:val="center"/>
          </w:tcPr>
          <w:p>
            <w:pPr>
              <w:jc w:val="center"/>
              <w:rPr>
                <w:color w:val="auto"/>
                <w:szCs w:val="21"/>
                <w:highlight w:val="none"/>
              </w:rPr>
            </w:pPr>
            <w:r>
              <w:rPr>
                <w:color w:val="auto"/>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73" w:type="pct"/>
            <w:vAlign w:val="center"/>
          </w:tcPr>
          <w:p>
            <w:pPr>
              <w:jc w:val="left"/>
              <w:rPr>
                <w:color w:val="auto"/>
                <w:szCs w:val="21"/>
                <w:highlight w:val="none"/>
              </w:rPr>
            </w:pPr>
            <w:r>
              <w:rPr>
                <w:color w:val="auto"/>
                <w:szCs w:val="21"/>
                <w:highlight w:val="none"/>
              </w:rPr>
              <w:t>加强设备与场所密闭管理。含VOCs物料应储存于密闭容器、包装袋，高效密封储罐，封闭式储库、料仓等。含VOCs物料转移和输送，应采用密闭管道或密闭容器、罐车等。高VOCs含量废水（废水液面上方100毫米处VOCs检测浓度超过200ppm，其中重点区域超过100ppm，以碳计）的收集运输、储存和处理过程，应加盖密闭。含VOCs物料生产和使用过程，应采取有效收集措施或在密闭空间中操作</w:t>
            </w:r>
          </w:p>
        </w:tc>
        <w:tc>
          <w:tcPr>
            <w:tcW w:w="1391" w:type="pct"/>
            <w:vAlign w:val="center"/>
          </w:tcPr>
          <w:p>
            <w:pPr>
              <w:jc w:val="left"/>
              <w:rPr>
                <w:color w:val="auto"/>
                <w:szCs w:val="21"/>
                <w:highlight w:val="none"/>
              </w:rPr>
            </w:pPr>
            <w:r>
              <w:rPr>
                <w:color w:val="auto"/>
                <w:highlight w:val="none"/>
              </w:rPr>
              <w:t>项目</w:t>
            </w:r>
            <w:r>
              <w:rPr>
                <w:rFonts w:hint="eastAsia"/>
                <w:color w:val="auto"/>
                <w:highlight w:val="none"/>
              </w:rPr>
              <w:t>不使用含有</w:t>
            </w:r>
            <w:r>
              <w:rPr>
                <w:color w:val="auto"/>
                <w:highlight w:val="none"/>
              </w:rPr>
              <w:t>VOCs</w:t>
            </w:r>
            <w:r>
              <w:rPr>
                <w:rFonts w:hint="eastAsia"/>
                <w:color w:val="auto"/>
                <w:highlight w:val="none"/>
              </w:rPr>
              <w:t>物料</w:t>
            </w:r>
            <w:r>
              <w:rPr>
                <w:color w:val="auto"/>
                <w:highlight w:val="none"/>
              </w:rPr>
              <w:t>原</w:t>
            </w:r>
            <w:r>
              <w:rPr>
                <w:rFonts w:hint="eastAsia"/>
                <w:color w:val="auto"/>
                <w:highlight w:val="none"/>
              </w:rPr>
              <w:t>，</w:t>
            </w:r>
            <w:r>
              <w:rPr>
                <w:color w:val="auto"/>
                <w:highlight w:val="none"/>
              </w:rPr>
              <w:t>项目各生产环节位于相应生产车间内</w:t>
            </w:r>
            <w:r>
              <w:rPr>
                <w:rFonts w:hint="eastAsia"/>
                <w:color w:val="auto"/>
                <w:highlight w:val="none"/>
              </w:rPr>
              <w:t>。</w:t>
            </w:r>
          </w:p>
        </w:tc>
        <w:tc>
          <w:tcPr>
            <w:tcW w:w="536" w:type="pct"/>
            <w:vAlign w:val="center"/>
          </w:tcPr>
          <w:p>
            <w:pPr>
              <w:jc w:val="center"/>
              <w:rPr>
                <w:color w:val="auto"/>
                <w:szCs w:val="21"/>
                <w:highlight w:val="none"/>
              </w:rPr>
            </w:pPr>
            <w:r>
              <w:rPr>
                <w:color w:val="auto"/>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73" w:type="pct"/>
            <w:vAlign w:val="center"/>
          </w:tcPr>
          <w:p>
            <w:pPr>
              <w:jc w:val="left"/>
              <w:rPr>
                <w:color w:val="auto"/>
                <w:szCs w:val="21"/>
                <w:highlight w:val="none"/>
              </w:rPr>
            </w:pPr>
            <w:r>
              <w:rPr>
                <w:color w:val="auto"/>
                <w:szCs w:val="21"/>
                <w:highlight w:val="none"/>
              </w:rPr>
              <w:t>推进使用先进生产工艺。通过采用全密闭、连续化、自动化等生产技术，以及高效工艺与设备等，减少工艺过程无组织排放。挥发性有机液体装载优先采用底部装载方式</w:t>
            </w:r>
          </w:p>
        </w:tc>
        <w:tc>
          <w:tcPr>
            <w:tcW w:w="1391" w:type="pct"/>
            <w:vAlign w:val="center"/>
          </w:tcPr>
          <w:p>
            <w:pPr>
              <w:jc w:val="left"/>
              <w:rPr>
                <w:color w:val="auto"/>
                <w:szCs w:val="21"/>
                <w:highlight w:val="none"/>
              </w:rPr>
            </w:pPr>
            <w:r>
              <w:rPr>
                <w:color w:val="auto"/>
                <w:highlight w:val="none"/>
              </w:rPr>
              <w:t>项目各生产环节位于相应生产车间内，</w:t>
            </w:r>
            <w:r>
              <w:rPr>
                <w:color w:val="auto"/>
                <w:szCs w:val="21"/>
                <w:highlight w:val="none"/>
              </w:rPr>
              <w:t>项目</w:t>
            </w:r>
            <w:r>
              <w:rPr>
                <w:rFonts w:hint="eastAsia"/>
                <w:color w:val="auto"/>
                <w:szCs w:val="21"/>
                <w:highlight w:val="none"/>
              </w:rPr>
              <w:t>不使用</w:t>
            </w:r>
            <w:r>
              <w:rPr>
                <w:color w:val="auto"/>
                <w:szCs w:val="21"/>
                <w:highlight w:val="none"/>
              </w:rPr>
              <w:t>挥发性有机液体</w:t>
            </w:r>
          </w:p>
        </w:tc>
        <w:tc>
          <w:tcPr>
            <w:tcW w:w="536" w:type="pct"/>
            <w:vAlign w:val="center"/>
          </w:tcPr>
          <w:p>
            <w:pPr>
              <w:jc w:val="center"/>
              <w:rPr>
                <w:color w:val="auto"/>
                <w:szCs w:val="21"/>
                <w:highlight w:val="none"/>
              </w:rPr>
            </w:pPr>
            <w:r>
              <w:rPr>
                <w:color w:val="auto"/>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73" w:type="pct"/>
            <w:vAlign w:val="center"/>
          </w:tcPr>
          <w:p>
            <w:pPr>
              <w:jc w:val="left"/>
              <w:rPr>
                <w:color w:val="auto"/>
                <w:szCs w:val="21"/>
                <w:highlight w:val="none"/>
              </w:rPr>
            </w:pPr>
            <w:r>
              <w:rPr>
                <w:color w:val="auto"/>
                <w:szCs w:val="21"/>
                <w:highlight w:val="none"/>
              </w:rPr>
              <w:t>遵循“应收尽收、分质收集”的原则，科学设计废气收集系统，将无组织排放转变为有组织排放进行控制。采用全密闭措施的，除行业有特殊要求外，应保持微负压状态，并根据相关规范合理设置配风量。采用局部集气罩的，距集气罩开口面最远处的VOCs无组织排放位置，控制风速应不低于0.3米/秒，有行业要求的按照相关规定执行；集气罩的设计、安装应符合《机械安全局部排气通风系统安全要求》（GB/T35077），通风管路设计应符合《通风管道技术规程》（JGJ/T141）等相关规范要求，VOCs废气管路不得与其他废气管路合并</w:t>
            </w:r>
          </w:p>
        </w:tc>
        <w:tc>
          <w:tcPr>
            <w:tcW w:w="1391" w:type="pct"/>
            <w:vAlign w:val="center"/>
          </w:tcPr>
          <w:p>
            <w:pPr>
              <w:jc w:val="left"/>
              <w:rPr>
                <w:color w:val="auto"/>
                <w:szCs w:val="21"/>
                <w:highlight w:val="none"/>
              </w:rPr>
            </w:pPr>
            <w:r>
              <w:rPr>
                <w:color w:val="auto"/>
                <w:highlight w:val="none"/>
              </w:rPr>
              <w:t>建设单位将严格按照上述要求执行。项目各生产环节位于相应生产车间内，废气收集系统处于负压下运行。</w:t>
            </w:r>
          </w:p>
        </w:tc>
        <w:tc>
          <w:tcPr>
            <w:tcW w:w="536" w:type="pct"/>
            <w:vAlign w:val="center"/>
          </w:tcPr>
          <w:p>
            <w:pPr>
              <w:jc w:val="center"/>
              <w:rPr>
                <w:color w:val="auto"/>
                <w:szCs w:val="21"/>
                <w:highlight w:val="none"/>
              </w:rPr>
            </w:pPr>
            <w:r>
              <w:rPr>
                <w:color w:val="auto"/>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73" w:type="pct"/>
            <w:vAlign w:val="center"/>
          </w:tcPr>
          <w:p>
            <w:pPr>
              <w:jc w:val="left"/>
              <w:rPr>
                <w:color w:val="auto"/>
                <w:szCs w:val="21"/>
                <w:highlight w:val="none"/>
              </w:rPr>
            </w:pPr>
            <w:r>
              <w:rPr>
                <w:color w:val="auto"/>
                <w:szCs w:val="21"/>
                <w:highlight w:val="none"/>
              </w:rPr>
              <w:t>推进建设适宜高效的治污设施。企业新建治污设施或对现有治污设施实施改造，应依据排放废气的浓度、组分、风量，温度、湿度、压力，以及生产工况等，合理选择治理技术。鼓励企业采用多种技术的组合工艺，提高VOCs治理效率</w:t>
            </w:r>
          </w:p>
        </w:tc>
        <w:tc>
          <w:tcPr>
            <w:tcW w:w="1391" w:type="pct"/>
            <w:vAlign w:val="center"/>
          </w:tcPr>
          <w:p>
            <w:pPr>
              <w:jc w:val="left"/>
              <w:rPr>
                <w:color w:val="auto"/>
                <w:szCs w:val="21"/>
                <w:highlight w:val="none"/>
              </w:rPr>
            </w:pPr>
            <w:r>
              <w:rPr>
                <w:rFonts w:hint="eastAsia"/>
                <w:bCs/>
                <w:color w:val="auto"/>
                <w:szCs w:val="21"/>
                <w:highlight w:val="none"/>
              </w:rPr>
              <w:t>项目</w:t>
            </w:r>
            <w:r>
              <w:rPr>
                <w:bCs/>
                <w:color w:val="auto"/>
                <w:szCs w:val="21"/>
                <w:highlight w:val="none"/>
              </w:rPr>
              <w:t>挤出成型、熔融造粒、注塑</w:t>
            </w:r>
            <w:r>
              <w:rPr>
                <w:rFonts w:hint="eastAsia"/>
                <w:bCs/>
                <w:color w:val="auto"/>
                <w:szCs w:val="21"/>
                <w:highlight w:val="none"/>
              </w:rPr>
              <w:t>、破碎</w:t>
            </w:r>
            <w:r>
              <w:rPr>
                <w:bCs/>
                <w:color w:val="auto"/>
                <w:szCs w:val="21"/>
                <w:highlight w:val="none"/>
              </w:rPr>
              <w:t>废气</w:t>
            </w:r>
            <w:r>
              <w:rPr>
                <w:rFonts w:hint="eastAsia"/>
                <w:bCs/>
                <w:color w:val="auto"/>
                <w:szCs w:val="21"/>
                <w:highlight w:val="none"/>
              </w:rPr>
              <w:t>经</w:t>
            </w:r>
            <w:r>
              <w:rPr>
                <w:color w:val="auto"/>
                <w:szCs w:val="21"/>
                <w:highlight w:val="none"/>
              </w:rPr>
              <w:t>布袋除尘+活性炭吸附浓缩+催化燃烧+</w:t>
            </w:r>
            <w:r>
              <w:rPr>
                <w:rFonts w:hint="eastAsia"/>
                <w:color w:val="auto"/>
                <w:szCs w:val="21"/>
                <w:highlight w:val="none"/>
                <w:lang w:eastAsia="zh-CN"/>
              </w:rPr>
              <w:t>20m</w:t>
            </w:r>
            <w:r>
              <w:rPr>
                <w:color w:val="auto"/>
                <w:szCs w:val="21"/>
                <w:highlight w:val="none"/>
              </w:rPr>
              <w:t>高排气筒</w:t>
            </w:r>
            <w:r>
              <w:rPr>
                <w:rFonts w:hint="eastAsia"/>
                <w:color w:val="auto"/>
                <w:szCs w:val="21"/>
                <w:highlight w:val="none"/>
              </w:rPr>
              <w:t>（DA001）排放</w:t>
            </w:r>
          </w:p>
        </w:tc>
        <w:tc>
          <w:tcPr>
            <w:tcW w:w="536" w:type="pct"/>
            <w:vAlign w:val="center"/>
          </w:tcPr>
          <w:p>
            <w:pPr>
              <w:jc w:val="center"/>
              <w:rPr>
                <w:color w:val="auto"/>
                <w:szCs w:val="21"/>
                <w:highlight w:val="none"/>
              </w:rPr>
            </w:pPr>
            <w:r>
              <w:rPr>
                <w:color w:val="auto"/>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73" w:type="pct"/>
            <w:vAlign w:val="center"/>
          </w:tcPr>
          <w:p>
            <w:pPr>
              <w:jc w:val="left"/>
              <w:rPr>
                <w:color w:val="auto"/>
                <w:szCs w:val="21"/>
                <w:highlight w:val="none"/>
              </w:rPr>
            </w:pPr>
            <w:r>
              <w:rPr>
                <w:color w:val="auto"/>
                <w:szCs w:val="21"/>
                <w:highlight w:val="none"/>
              </w:rPr>
              <w:t>加强末端管控。实行重点排放源排放浓度与去除效率双重控制。车间或生产设施收集排放的废气，VOCs初始排放速率大于等于3千克/小时、重点区域大于等于2千克/小时的，应加大控制力度，除确保排放浓度稳定达标外，还应实行去除效率控制，VOCs去除率应不低于80%。有行业排放标准的按其相关规定执行</w:t>
            </w:r>
          </w:p>
        </w:tc>
        <w:tc>
          <w:tcPr>
            <w:tcW w:w="1391" w:type="pct"/>
            <w:vAlign w:val="center"/>
          </w:tcPr>
          <w:p>
            <w:pPr>
              <w:jc w:val="left"/>
              <w:rPr>
                <w:color w:val="auto"/>
                <w:szCs w:val="21"/>
                <w:highlight w:val="none"/>
              </w:rPr>
            </w:pPr>
            <w:r>
              <w:rPr>
                <w:rFonts w:hint="eastAsia"/>
                <w:bCs/>
                <w:color w:val="auto"/>
                <w:szCs w:val="21"/>
                <w:highlight w:val="none"/>
              </w:rPr>
              <w:t>项目</w:t>
            </w:r>
            <w:r>
              <w:rPr>
                <w:bCs/>
                <w:color w:val="auto"/>
                <w:szCs w:val="21"/>
                <w:highlight w:val="none"/>
              </w:rPr>
              <w:t>挤出成型、熔融造粒、注塑</w:t>
            </w:r>
            <w:r>
              <w:rPr>
                <w:rFonts w:hint="eastAsia"/>
                <w:bCs/>
                <w:color w:val="auto"/>
                <w:szCs w:val="21"/>
                <w:highlight w:val="none"/>
              </w:rPr>
              <w:t>、破碎</w:t>
            </w:r>
            <w:r>
              <w:rPr>
                <w:bCs/>
                <w:color w:val="auto"/>
                <w:szCs w:val="21"/>
                <w:highlight w:val="none"/>
              </w:rPr>
              <w:t>废气</w:t>
            </w:r>
            <w:r>
              <w:rPr>
                <w:rFonts w:hint="eastAsia"/>
                <w:bCs/>
                <w:color w:val="auto"/>
                <w:szCs w:val="21"/>
                <w:highlight w:val="none"/>
              </w:rPr>
              <w:t>经</w:t>
            </w:r>
            <w:r>
              <w:rPr>
                <w:color w:val="auto"/>
                <w:szCs w:val="21"/>
                <w:highlight w:val="none"/>
              </w:rPr>
              <w:t>布袋除尘+活性炭吸附浓缩+催化燃烧+</w:t>
            </w:r>
            <w:r>
              <w:rPr>
                <w:rFonts w:hint="eastAsia"/>
                <w:color w:val="auto"/>
                <w:szCs w:val="21"/>
                <w:highlight w:val="none"/>
                <w:lang w:eastAsia="zh-CN"/>
              </w:rPr>
              <w:t>20m</w:t>
            </w:r>
            <w:r>
              <w:rPr>
                <w:color w:val="auto"/>
                <w:szCs w:val="21"/>
                <w:highlight w:val="none"/>
              </w:rPr>
              <w:t>高排气筒</w:t>
            </w:r>
            <w:r>
              <w:rPr>
                <w:rFonts w:hint="eastAsia"/>
                <w:color w:val="auto"/>
                <w:szCs w:val="21"/>
                <w:highlight w:val="none"/>
              </w:rPr>
              <w:t>（DA001）排放，</w:t>
            </w:r>
            <w:r>
              <w:rPr>
                <w:color w:val="auto"/>
                <w:szCs w:val="21"/>
                <w:highlight w:val="none"/>
              </w:rPr>
              <w:t>VOCs去除效率不低于</w:t>
            </w:r>
            <w:r>
              <w:rPr>
                <w:rFonts w:hint="eastAsia"/>
                <w:color w:val="auto"/>
                <w:szCs w:val="21"/>
                <w:highlight w:val="none"/>
              </w:rPr>
              <w:t>80</w:t>
            </w:r>
            <w:r>
              <w:rPr>
                <w:color w:val="auto"/>
                <w:szCs w:val="21"/>
                <w:highlight w:val="none"/>
              </w:rPr>
              <w:t>%</w:t>
            </w:r>
          </w:p>
        </w:tc>
        <w:tc>
          <w:tcPr>
            <w:tcW w:w="536" w:type="pct"/>
            <w:vAlign w:val="center"/>
          </w:tcPr>
          <w:p>
            <w:pPr>
              <w:jc w:val="center"/>
              <w:rPr>
                <w:color w:val="auto"/>
                <w:szCs w:val="21"/>
                <w:highlight w:val="none"/>
              </w:rPr>
            </w:pPr>
            <w:r>
              <w:rPr>
                <w:color w:val="auto"/>
                <w:szCs w:val="21"/>
                <w:highlight w:val="none"/>
              </w:rPr>
              <w:t>符合</w:t>
            </w:r>
          </w:p>
        </w:tc>
      </w:tr>
    </w:tbl>
    <w:p>
      <w:pPr>
        <w:spacing w:before="156" w:beforeLines="50" w:line="360" w:lineRule="auto"/>
        <w:ind w:firstLine="482" w:firstLineChars="200"/>
        <w:rPr>
          <w:b/>
          <w:bCs/>
          <w:color w:val="auto"/>
          <w:sz w:val="24"/>
          <w:szCs w:val="24"/>
          <w:highlight w:val="none"/>
          <w:lang w:val="zh-CN"/>
        </w:rPr>
      </w:pPr>
      <w:r>
        <w:rPr>
          <w:rFonts w:hint="eastAsia"/>
          <w:b/>
          <w:bCs/>
          <w:color w:val="auto"/>
          <w:sz w:val="24"/>
          <w:szCs w:val="24"/>
          <w:highlight w:val="none"/>
          <w:lang w:val="zh-CN"/>
        </w:rPr>
        <w:t>8、与《废塑料加工利用污染防治管理规定》（环境保护部</w:t>
      </w:r>
      <w:r>
        <w:rPr>
          <w:rFonts w:hint="eastAsia"/>
          <w:b/>
          <w:bCs/>
          <w:color w:val="auto"/>
          <w:sz w:val="24"/>
          <w:szCs w:val="24"/>
          <w:highlight w:val="none"/>
        </w:rPr>
        <w:t xml:space="preserve"> </w:t>
      </w:r>
      <w:r>
        <w:rPr>
          <w:rFonts w:hint="eastAsia"/>
          <w:b/>
          <w:bCs/>
          <w:color w:val="auto"/>
          <w:sz w:val="24"/>
          <w:szCs w:val="24"/>
          <w:highlight w:val="none"/>
          <w:lang w:val="zh-CN"/>
        </w:rPr>
        <w:t>发展改革委</w:t>
      </w:r>
      <w:r>
        <w:rPr>
          <w:rFonts w:hint="eastAsia"/>
          <w:b/>
          <w:bCs/>
          <w:color w:val="auto"/>
          <w:sz w:val="24"/>
          <w:szCs w:val="24"/>
          <w:highlight w:val="none"/>
        </w:rPr>
        <w:t xml:space="preserve"> </w:t>
      </w:r>
      <w:r>
        <w:rPr>
          <w:rFonts w:hint="eastAsia"/>
          <w:b/>
          <w:bCs/>
          <w:color w:val="auto"/>
          <w:sz w:val="24"/>
          <w:szCs w:val="24"/>
          <w:highlight w:val="none"/>
          <w:lang w:val="zh-CN"/>
        </w:rPr>
        <w:t>商务部[公告2012年第55号])符合性</w:t>
      </w:r>
    </w:p>
    <w:p>
      <w:pPr>
        <w:jc w:val="center"/>
        <w:rPr>
          <w:rFonts w:ascii="黑体" w:hAnsi="黑体" w:eastAsia="黑体"/>
          <w:color w:val="auto"/>
          <w:sz w:val="24"/>
          <w:highlight w:val="none"/>
        </w:rPr>
      </w:pPr>
      <w:r>
        <w:rPr>
          <w:rFonts w:ascii="黑体" w:hAnsi="黑体" w:eastAsia="黑体"/>
          <w:color w:val="auto"/>
          <w:sz w:val="24"/>
          <w:highlight w:val="none"/>
        </w:rPr>
        <w:t>表</w:t>
      </w:r>
      <w:r>
        <w:rPr>
          <w:rFonts w:hint="eastAsia" w:ascii="黑体" w:hAnsi="黑体" w:eastAsia="黑体"/>
          <w:color w:val="auto"/>
          <w:sz w:val="24"/>
          <w:highlight w:val="none"/>
        </w:rPr>
        <w:t>9</w:t>
      </w:r>
      <w:r>
        <w:rPr>
          <w:rFonts w:ascii="黑体" w:hAnsi="黑体" w:eastAsia="黑体"/>
          <w:color w:val="auto"/>
          <w:sz w:val="24"/>
          <w:highlight w:val="none"/>
        </w:rPr>
        <w:t>.</w:t>
      </w:r>
      <w:r>
        <w:rPr>
          <w:rFonts w:hint="eastAsia" w:ascii="黑体" w:hAnsi="黑体" w:eastAsia="黑体"/>
          <w:color w:val="auto"/>
          <w:sz w:val="24"/>
          <w:highlight w:val="none"/>
        </w:rPr>
        <w:t>5</w:t>
      </w:r>
      <w:r>
        <w:rPr>
          <w:rFonts w:ascii="黑体" w:hAnsi="黑体" w:eastAsia="黑体"/>
          <w:color w:val="auto"/>
          <w:sz w:val="24"/>
          <w:highlight w:val="none"/>
        </w:rPr>
        <w:t>-</w:t>
      </w:r>
      <w:r>
        <w:rPr>
          <w:rFonts w:hint="eastAsia" w:ascii="黑体" w:hAnsi="黑体" w:eastAsia="黑体"/>
          <w:color w:val="auto"/>
          <w:sz w:val="24"/>
          <w:highlight w:val="none"/>
          <w:lang w:val="en-US" w:eastAsia="zh-CN"/>
        </w:rPr>
        <w:t>8</w:t>
      </w:r>
      <w:r>
        <w:rPr>
          <w:rFonts w:ascii="黑体" w:hAnsi="黑体" w:eastAsia="黑体"/>
          <w:color w:val="auto"/>
          <w:sz w:val="24"/>
          <w:highlight w:val="none"/>
        </w:rPr>
        <w:t xml:space="preserve">  与《废塑料加工利用污染防治管理规定》符合性</w:t>
      </w:r>
    </w:p>
    <w:tbl>
      <w:tblPr>
        <w:tblStyle w:val="5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38"/>
        <w:gridCol w:w="5045"/>
        <w:gridCol w:w="2849"/>
        <w:gridCol w:w="88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38" w:type="dxa"/>
            <w:vAlign w:val="center"/>
          </w:tcPr>
          <w:p>
            <w:pPr>
              <w:pStyle w:val="1323"/>
              <w:tabs>
                <w:tab w:val="left" w:pos="3585"/>
                <w:tab w:val="left" w:pos="5655"/>
              </w:tabs>
              <w:adjustRightInd w:val="0"/>
              <w:snapToGrid w:val="0"/>
              <w:spacing w:before="0"/>
              <w:ind w:firstLine="0"/>
              <w:jc w:val="center"/>
              <w:rPr>
                <w:rFonts w:ascii="Times New Roman" w:hAnsi="Times New Roman" w:eastAsia="宋体"/>
                <w:b/>
                <w:bCs/>
                <w:color w:val="auto"/>
                <w:kern w:val="24"/>
                <w:sz w:val="21"/>
                <w:szCs w:val="21"/>
                <w:highlight w:val="none"/>
              </w:rPr>
            </w:pPr>
            <w:r>
              <w:rPr>
                <w:rFonts w:ascii="Times New Roman" w:hAnsi="Times New Roman" w:eastAsia="宋体"/>
                <w:b/>
                <w:bCs/>
                <w:color w:val="auto"/>
                <w:kern w:val="24"/>
                <w:sz w:val="21"/>
                <w:szCs w:val="21"/>
                <w:highlight w:val="none"/>
              </w:rPr>
              <w:t>序号</w:t>
            </w:r>
          </w:p>
        </w:tc>
        <w:tc>
          <w:tcPr>
            <w:tcW w:w="5045" w:type="dxa"/>
            <w:vAlign w:val="center"/>
          </w:tcPr>
          <w:p>
            <w:pPr>
              <w:pStyle w:val="1323"/>
              <w:tabs>
                <w:tab w:val="left" w:pos="3585"/>
                <w:tab w:val="left" w:pos="5655"/>
              </w:tabs>
              <w:adjustRightInd w:val="0"/>
              <w:snapToGrid w:val="0"/>
              <w:spacing w:before="0"/>
              <w:ind w:firstLine="0"/>
              <w:jc w:val="center"/>
              <w:rPr>
                <w:rFonts w:ascii="Times New Roman" w:hAnsi="Times New Roman" w:eastAsia="宋体"/>
                <w:b/>
                <w:bCs/>
                <w:color w:val="auto"/>
                <w:kern w:val="24"/>
                <w:sz w:val="21"/>
                <w:szCs w:val="21"/>
                <w:highlight w:val="none"/>
              </w:rPr>
            </w:pPr>
            <w:r>
              <w:rPr>
                <w:rFonts w:ascii="Times New Roman" w:hAnsi="Times New Roman" w:eastAsia="宋体"/>
                <w:b/>
                <w:bCs/>
                <w:color w:val="auto"/>
                <w:kern w:val="24"/>
                <w:sz w:val="21"/>
                <w:szCs w:val="21"/>
                <w:highlight w:val="none"/>
              </w:rPr>
              <w:t>《废塑料加工利用污染防治管理规定》具体规定</w:t>
            </w:r>
          </w:p>
        </w:tc>
        <w:tc>
          <w:tcPr>
            <w:tcW w:w="2849" w:type="dxa"/>
            <w:vAlign w:val="center"/>
          </w:tcPr>
          <w:p>
            <w:pPr>
              <w:pStyle w:val="1323"/>
              <w:tabs>
                <w:tab w:val="left" w:pos="3585"/>
                <w:tab w:val="left" w:pos="5655"/>
              </w:tabs>
              <w:adjustRightInd w:val="0"/>
              <w:snapToGrid w:val="0"/>
              <w:spacing w:before="0"/>
              <w:ind w:firstLine="0"/>
              <w:jc w:val="center"/>
              <w:rPr>
                <w:rFonts w:ascii="Times New Roman" w:hAnsi="Times New Roman" w:eastAsia="宋体"/>
                <w:b/>
                <w:bCs/>
                <w:color w:val="auto"/>
                <w:kern w:val="24"/>
                <w:sz w:val="21"/>
                <w:szCs w:val="21"/>
                <w:highlight w:val="none"/>
              </w:rPr>
            </w:pPr>
            <w:r>
              <w:rPr>
                <w:rFonts w:ascii="Times New Roman" w:hAnsi="Times New Roman" w:eastAsia="宋体"/>
                <w:b/>
                <w:bCs/>
                <w:color w:val="auto"/>
                <w:kern w:val="24"/>
                <w:sz w:val="21"/>
                <w:szCs w:val="21"/>
                <w:highlight w:val="none"/>
              </w:rPr>
              <w:t>建设项目情况</w:t>
            </w:r>
          </w:p>
        </w:tc>
        <w:tc>
          <w:tcPr>
            <w:tcW w:w="881" w:type="dxa"/>
            <w:vAlign w:val="center"/>
          </w:tcPr>
          <w:p>
            <w:pPr>
              <w:pStyle w:val="1323"/>
              <w:tabs>
                <w:tab w:val="left" w:pos="3585"/>
                <w:tab w:val="left" w:pos="5655"/>
              </w:tabs>
              <w:adjustRightInd w:val="0"/>
              <w:snapToGrid w:val="0"/>
              <w:spacing w:before="0"/>
              <w:ind w:firstLine="0"/>
              <w:jc w:val="center"/>
              <w:rPr>
                <w:rFonts w:ascii="Times New Roman" w:hAnsi="Times New Roman" w:eastAsia="宋体"/>
                <w:b/>
                <w:bCs/>
                <w:color w:val="auto"/>
                <w:kern w:val="24"/>
                <w:sz w:val="21"/>
                <w:szCs w:val="21"/>
                <w:highlight w:val="none"/>
              </w:rPr>
            </w:pPr>
            <w:r>
              <w:rPr>
                <w:rFonts w:ascii="Times New Roman" w:hAnsi="Times New Roman" w:eastAsia="宋体"/>
                <w:b/>
                <w:bCs/>
                <w:color w:val="auto"/>
                <w:kern w:val="24"/>
                <w:sz w:val="21"/>
                <w:szCs w:val="21"/>
                <w:highlight w:val="none"/>
              </w:rPr>
              <w:t>是否</w:t>
            </w:r>
          </w:p>
          <w:p>
            <w:pPr>
              <w:pStyle w:val="1323"/>
              <w:tabs>
                <w:tab w:val="left" w:pos="3585"/>
                <w:tab w:val="left" w:pos="5655"/>
              </w:tabs>
              <w:adjustRightInd w:val="0"/>
              <w:snapToGrid w:val="0"/>
              <w:spacing w:before="0"/>
              <w:ind w:firstLine="0"/>
              <w:jc w:val="center"/>
              <w:rPr>
                <w:rFonts w:ascii="Times New Roman" w:hAnsi="Times New Roman" w:eastAsia="宋体"/>
                <w:b/>
                <w:bCs/>
                <w:color w:val="auto"/>
                <w:kern w:val="24"/>
                <w:sz w:val="21"/>
                <w:szCs w:val="21"/>
                <w:highlight w:val="none"/>
              </w:rPr>
            </w:pPr>
            <w:r>
              <w:rPr>
                <w:rFonts w:ascii="Times New Roman" w:hAnsi="Times New Roman" w:eastAsia="宋体"/>
                <w:b/>
                <w:bCs/>
                <w:color w:val="auto"/>
                <w:kern w:val="24"/>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38" w:type="dxa"/>
            <w:vAlign w:val="center"/>
          </w:tcPr>
          <w:p>
            <w:pPr>
              <w:pStyle w:val="1323"/>
              <w:tabs>
                <w:tab w:val="left" w:pos="3585"/>
                <w:tab w:val="left" w:pos="5655"/>
              </w:tabs>
              <w:adjustRightInd w:val="0"/>
              <w:snapToGrid w:val="0"/>
              <w:spacing w:before="0"/>
              <w:ind w:firstLine="0"/>
              <w:jc w:val="center"/>
              <w:rPr>
                <w:rFonts w:ascii="Times New Roman" w:hAnsi="Times New Roman" w:eastAsia="宋体"/>
                <w:color w:val="auto"/>
                <w:kern w:val="24"/>
                <w:sz w:val="21"/>
                <w:szCs w:val="21"/>
                <w:highlight w:val="none"/>
              </w:rPr>
            </w:pPr>
            <w:r>
              <w:rPr>
                <w:rFonts w:ascii="Times New Roman" w:hAnsi="Times New Roman" w:eastAsia="宋体"/>
                <w:color w:val="auto"/>
                <w:kern w:val="24"/>
                <w:sz w:val="21"/>
                <w:szCs w:val="21"/>
                <w:highlight w:val="none"/>
              </w:rPr>
              <w:t>1</w:t>
            </w:r>
          </w:p>
        </w:tc>
        <w:tc>
          <w:tcPr>
            <w:tcW w:w="5045" w:type="dxa"/>
            <w:vAlign w:val="center"/>
          </w:tcPr>
          <w:p>
            <w:pPr>
              <w:pStyle w:val="1323"/>
              <w:tabs>
                <w:tab w:val="left" w:pos="3585"/>
                <w:tab w:val="left" w:pos="5655"/>
              </w:tabs>
              <w:adjustRightInd w:val="0"/>
              <w:snapToGrid w:val="0"/>
              <w:spacing w:before="0"/>
              <w:ind w:firstLine="0"/>
              <w:rPr>
                <w:rFonts w:ascii="Times New Roman" w:hAnsi="Times New Roman" w:eastAsia="宋体"/>
                <w:color w:val="auto"/>
                <w:kern w:val="24"/>
                <w:sz w:val="21"/>
                <w:szCs w:val="21"/>
                <w:highlight w:val="none"/>
              </w:rPr>
            </w:pPr>
            <w:r>
              <w:rPr>
                <w:rFonts w:ascii="Times New Roman" w:hAnsi="Times New Roman" w:eastAsia="宋体"/>
                <w:color w:val="auto"/>
                <w:kern w:val="24"/>
                <w:sz w:val="21"/>
                <w:szCs w:val="21"/>
                <w:highlight w:val="none"/>
              </w:rPr>
              <w:t>禁止在居民区加工利用废塑料。禁止利用废塑料生产厚度小于0.025mm的超薄塑料购物袋和厚度小于0.015mm超薄塑料袋。禁止利用废塑料生产食品用塑料袋。禁止无危险废物经营许可证从事废塑料类危险废物的回收利用活动，包括被危险化学品、农药等污染的废弃塑料包装物，废弃的一次性医疗用塑料制品（如输液器、血袋）等。</w:t>
            </w:r>
          </w:p>
          <w:p>
            <w:pPr>
              <w:pStyle w:val="1323"/>
              <w:tabs>
                <w:tab w:val="left" w:pos="3585"/>
                <w:tab w:val="left" w:pos="5655"/>
              </w:tabs>
              <w:adjustRightInd w:val="0"/>
              <w:snapToGrid w:val="0"/>
              <w:spacing w:before="0"/>
              <w:ind w:firstLine="0"/>
              <w:rPr>
                <w:rFonts w:ascii="Times New Roman" w:hAnsi="Times New Roman" w:eastAsia="宋体"/>
                <w:color w:val="auto"/>
                <w:kern w:val="24"/>
                <w:sz w:val="21"/>
                <w:szCs w:val="21"/>
                <w:highlight w:val="none"/>
              </w:rPr>
            </w:pPr>
            <w:r>
              <w:rPr>
                <w:rFonts w:ascii="Times New Roman" w:hAnsi="Times New Roman" w:eastAsia="宋体"/>
                <w:color w:val="auto"/>
                <w:kern w:val="24"/>
                <w:sz w:val="21"/>
                <w:szCs w:val="21"/>
                <w:highlight w:val="none"/>
              </w:rPr>
              <w:t>无符合环保要求污水治理设施的，禁止从事废编织袋造粒、缸脚料淘洗、废塑料退镀（涂）、盐卤分拣等加工活动。</w:t>
            </w:r>
          </w:p>
        </w:tc>
        <w:tc>
          <w:tcPr>
            <w:tcW w:w="2849" w:type="dxa"/>
            <w:vAlign w:val="center"/>
          </w:tcPr>
          <w:p>
            <w:pPr>
              <w:pStyle w:val="1323"/>
              <w:tabs>
                <w:tab w:val="left" w:pos="3585"/>
                <w:tab w:val="left" w:pos="5655"/>
              </w:tabs>
              <w:adjustRightInd w:val="0"/>
              <w:snapToGrid w:val="0"/>
              <w:spacing w:before="0"/>
              <w:ind w:firstLine="0"/>
              <w:jc w:val="left"/>
              <w:rPr>
                <w:rFonts w:ascii="Times New Roman" w:hAnsi="Times New Roman" w:eastAsia="宋体"/>
                <w:color w:val="auto"/>
                <w:kern w:val="24"/>
                <w:sz w:val="21"/>
                <w:szCs w:val="21"/>
                <w:highlight w:val="none"/>
              </w:rPr>
            </w:pPr>
            <w:r>
              <w:rPr>
                <w:rFonts w:ascii="Times New Roman" w:hAnsi="Times New Roman" w:eastAsia="宋体"/>
                <w:color w:val="auto"/>
                <w:kern w:val="24"/>
                <w:sz w:val="21"/>
                <w:szCs w:val="21"/>
                <w:highlight w:val="none"/>
              </w:rPr>
              <w:t>项目位于枣庄市峄城区峨山镇大官庄村西，不在居民区范围内。项目</w:t>
            </w:r>
            <w:r>
              <w:rPr>
                <w:rFonts w:hint="eastAsia" w:ascii="Times New Roman" w:hAnsi="Times New Roman" w:eastAsia="宋体"/>
                <w:color w:val="auto"/>
                <w:kern w:val="24"/>
                <w:sz w:val="21"/>
                <w:szCs w:val="21"/>
                <w:highlight w:val="none"/>
              </w:rPr>
              <w:t>利用废旧塑料生产塑料管及新塑料生产给水管，</w:t>
            </w:r>
            <w:r>
              <w:rPr>
                <w:rFonts w:ascii="Times New Roman" w:hAnsi="Times New Roman" w:eastAsia="宋体"/>
                <w:color w:val="auto"/>
                <w:kern w:val="24"/>
                <w:sz w:val="21"/>
                <w:szCs w:val="21"/>
                <w:highlight w:val="none"/>
              </w:rPr>
              <w:t>不在禁止范围内。项目不进行危险废物的回收利用。</w:t>
            </w:r>
          </w:p>
        </w:tc>
        <w:tc>
          <w:tcPr>
            <w:tcW w:w="881" w:type="dxa"/>
            <w:vAlign w:val="center"/>
          </w:tcPr>
          <w:p>
            <w:pPr>
              <w:pStyle w:val="1323"/>
              <w:tabs>
                <w:tab w:val="left" w:pos="3585"/>
                <w:tab w:val="left" w:pos="5655"/>
              </w:tabs>
              <w:adjustRightInd w:val="0"/>
              <w:snapToGrid w:val="0"/>
              <w:spacing w:before="0"/>
              <w:ind w:firstLine="0"/>
              <w:jc w:val="center"/>
              <w:rPr>
                <w:rFonts w:ascii="Times New Roman" w:hAnsi="Times New Roman" w:eastAsia="宋体"/>
                <w:color w:val="auto"/>
                <w:kern w:val="24"/>
                <w:sz w:val="21"/>
                <w:szCs w:val="21"/>
                <w:highlight w:val="none"/>
              </w:rPr>
            </w:pPr>
            <w:r>
              <w:rPr>
                <w:rFonts w:ascii="Times New Roman" w:hAnsi="Times New Roman" w:eastAsia="宋体"/>
                <w:color w:val="auto"/>
                <w:kern w:val="24"/>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38" w:type="dxa"/>
            <w:vAlign w:val="center"/>
          </w:tcPr>
          <w:p>
            <w:pPr>
              <w:pStyle w:val="1323"/>
              <w:tabs>
                <w:tab w:val="left" w:pos="3585"/>
                <w:tab w:val="left" w:pos="5655"/>
              </w:tabs>
              <w:adjustRightInd w:val="0"/>
              <w:snapToGrid w:val="0"/>
              <w:spacing w:before="0"/>
              <w:ind w:firstLine="0"/>
              <w:jc w:val="center"/>
              <w:rPr>
                <w:rFonts w:ascii="Times New Roman" w:hAnsi="Times New Roman" w:eastAsia="宋体"/>
                <w:color w:val="auto"/>
                <w:kern w:val="24"/>
                <w:sz w:val="21"/>
                <w:szCs w:val="21"/>
                <w:highlight w:val="none"/>
              </w:rPr>
            </w:pPr>
            <w:r>
              <w:rPr>
                <w:rFonts w:ascii="Times New Roman" w:hAnsi="Times New Roman" w:eastAsia="宋体"/>
                <w:color w:val="auto"/>
                <w:kern w:val="24"/>
                <w:sz w:val="21"/>
                <w:szCs w:val="21"/>
                <w:highlight w:val="none"/>
              </w:rPr>
              <w:t>2</w:t>
            </w:r>
          </w:p>
        </w:tc>
        <w:tc>
          <w:tcPr>
            <w:tcW w:w="5045" w:type="dxa"/>
            <w:vAlign w:val="center"/>
          </w:tcPr>
          <w:p>
            <w:pPr>
              <w:pStyle w:val="1323"/>
              <w:tabs>
                <w:tab w:val="left" w:pos="3585"/>
                <w:tab w:val="left" w:pos="5655"/>
              </w:tabs>
              <w:adjustRightInd w:val="0"/>
              <w:snapToGrid w:val="0"/>
              <w:spacing w:before="0"/>
              <w:ind w:firstLine="0"/>
              <w:rPr>
                <w:rFonts w:ascii="Times New Roman" w:hAnsi="Times New Roman" w:eastAsia="宋体"/>
                <w:color w:val="auto"/>
                <w:kern w:val="24"/>
                <w:sz w:val="21"/>
                <w:szCs w:val="21"/>
                <w:highlight w:val="none"/>
              </w:rPr>
            </w:pPr>
            <w:r>
              <w:rPr>
                <w:rFonts w:ascii="Times New Roman" w:hAnsi="Times New Roman" w:eastAsia="宋体"/>
                <w:color w:val="auto"/>
                <w:kern w:val="24"/>
                <w:sz w:val="21"/>
                <w:szCs w:val="21"/>
                <w:highlight w:val="none"/>
              </w:rPr>
              <w:t>废塑料加工利用单位应当以环境无害化方式处理废塑料加工利用过程产生的残余垃圾、滤网；禁止交不符合环保要求的单位或个人处置。</w:t>
            </w:r>
          </w:p>
          <w:p>
            <w:pPr>
              <w:pStyle w:val="1323"/>
              <w:tabs>
                <w:tab w:val="left" w:pos="3585"/>
                <w:tab w:val="left" w:pos="5655"/>
              </w:tabs>
              <w:adjustRightInd w:val="0"/>
              <w:snapToGrid w:val="0"/>
              <w:spacing w:before="0"/>
              <w:ind w:firstLine="0"/>
              <w:rPr>
                <w:rFonts w:ascii="Times New Roman" w:hAnsi="Times New Roman" w:eastAsia="宋体"/>
                <w:color w:val="auto"/>
                <w:kern w:val="24"/>
                <w:sz w:val="21"/>
                <w:szCs w:val="21"/>
                <w:highlight w:val="none"/>
              </w:rPr>
            </w:pPr>
            <w:r>
              <w:rPr>
                <w:rFonts w:ascii="Times New Roman" w:hAnsi="Times New Roman" w:eastAsia="宋体"/>
                <w:color w:val="auto"/>
                <w:kern w:val="24"/>
                <w:sz w:val="21"/>
                <w:szCs w:val="21"/>
                <w:highlight w:val="none"/>
              </w:rPr>
              <w:t>禁止露天焚烧废塑料及加工利用过程产生的残余垃圾、滤网。</w:t>
            </w:r>
          </w:p>
        </w:tc>
        <w:tc>
          <w:tcPr>
            <w:tcW w:w="2849" w:type="dxa"/>
            <w:vAlign w:val="center"/>
          </w:tcPr>
          <w:p>
            <w:pPr>
              <w:pStyle w:val="1323"/>
              <w:tabs>
                <w:tab w:val="left" w:pos="3585"/>
                <w:tab w:val="left" w:pos="5655"/>
              </w:tabs>
              <w:adjustRightInd w:val="0"/>
              <w:snapToGrid w:val="0"/>
              <w:spacing w:before="0"/>
              <w:ind w:firstLine="0"/>
              <w:jc w:val="left"/>
              <w:rPr>
                <w:rFonts w:ascii="Times New Roman" w:hAnsi="Times New Roman" w:eastAsia="宋体"/>
                <w:color w:val="auto"/>
                <w:kern w:val="24"/>
                <w:sz w:val="21"/>
                <w:szCs w:val="21"/>
                <w:highlight w:val="none"/>
              </w:rPr>
            </w:pPr>
            <w:r>
              <w:rPr>
                <w:rFonts w:ascii="Times New Roman" w:hAnsi="Times New Roman" w:eastAsia="宋体"/>
                <w:color w:val="auto"/>
                <w:kern w:val="24"/>
                <w:sz w:val="21"/>
                <w:szCs w:val="21"/>
                <w:highlight w:val="none"/>
              </w:rPr>
              <w:t>项目固废均得到合理有效处理，符合环保要求。</w:t>
            </w:r>
          </w:p>
          <w:p>
            <w:pPr>
              <w:pStyle w:val="1323"/>
              <w:tabs>
                <w:tab w:val="left" w:pos="3585"/>
                <w:tab w:val="left" w:pos="5655"/>
              </w:tabs>
              <w:adjustRightInd w:val="0"/>
              <w:snapToGrid w:val="0"/>
              <w:spacing w:before="0"/>
              <w:ind w:firstLine="0"/>
              <w:jc w:val="center"/>
              <w:rPr>
                <w:rFonts w:ascii="Times New Roman" w:hAnsi="Times New Roman" w:eastAsia="宋体"/>
                <w:color w:val="auto"/>
                <w:kern w:val="24"/>
                <w:sz w:val="21"/>
                <w:szCs w:val="21"/>
                <w:highlight w:val="none"/>
              </w:rPr>
            </w:pPr>
            <w:r>
              <w:rPr>
                <w:rFonts w:ascii="Times New Roman" w:hAnsi="Times New Roman" w:eastAsia="宋体"/>
                <w:color w:val="auto"/>
                <w:kern w:val="24"/>
                <w:sz w:val="21"/>
                <w:szCs w:val="21"/>
                <w:highlight w:val="none"/>
              </w:rPr>
              <w:t>项目不露天焚烧废塑料及加工利用过程产生的残余垃圾、滤网。</w:t>
            </w:r>
          </w:p>
        </w:tc>
        <w:tc>
          <w:tcPr>
            <w:tcW w:w="881" w:type="dxa"/>
            <w:vAlign w:val="center"/>
          </w:tcPr>
          <w:p>
            <w:pPr>
              <w:pStyle w:val="1323"/>
              <w:tabs>
                <w:tab w:val="left" w:pos="3585"/>
                <w:tab w:val="left" w:pos="5655"/>
              </w:tabs>
              <w:adjustRightInd w:val="0"/>
              <w:snapToGrid w:val="0"/>
              <w:spacing w:before="0"/>
              <w:ind w:firstLine="0"/>
              <w:jc w:val="center"/>
              <w:rPr>
                <w:rFonts w:ascii="Times New Roman" w:hAnsi="Times New Roman" w:eastAsia="宋体"/>
                <w:color w:val="auto"/>
                <w:kern w:val="24"/>
                <w:sz w:val="21"/>
                <w:szCs w:val="21"/>
                <w:highlight w:val="none"/>
              </w:rPr>
            </w:pPr>
            <w:r>
              <w:rPr>
                <w:rFonts w:ascii="Times New Roman" w:hAnsi="Times New Roman" w:eastAsia="宋体"/>
                <w:color w:val="auto"/>
                <w:kern w:val="24"/>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38" w:type="dxa"/>
            <w:vAlign w:val="center"/>
          </w:tcPr>
          <w:p>
            <w:pPr>
              <w:pStyle w:val="1323"/>
              <w:tabs>
                <w:tab w:val="left" w:pos="3585"/>
                <w:tab w:val="left" w:pos="5655"/>
              </w:tabs>
              <w:adjustRightInd w:val="0"/>
              <w:snapToGrid w:val="0"/>
              <w:spacing w:before="0"/>
              <w:ind w:firstLine="0"/>
              <w:jc w:val="center"/>
              <w:rPr>
                <w:rFonts w:ascii="Times New Roman" w:hAnsi="Times New Roman" w:eastAsia="宋体"/>
                <w:color w:val="auto"/>
                <w:kern w:val="24"/>
                <w:sz w:val="21"/>
                <w:szCs w:val="21"/>
                <w:highlight w:val="none"/>
              </w:rPr>
            </w:pPr>
            <w:r>
              <w:rPr>
                <w:rFonts w:ascii="Times New Roman" w:hAnsi="Times New Roman" w:eastAsia="宋体"/>
                <w:color w:val="auto"/>
                <w:kern w:val="24"/>
                <w:sz w:val="21"/>
                <w:szCs w:val="21"/>
                <w:highlight w:val="none"/>
              </w:rPr>
              <w:t>3</w:t>
            </w:r>
          </w:p>
        </w:tc>
        <w:tc>
          <w:tcPr>
            <w:tcW w:w="5045" w:type="dxa"/>
            <w:vAlign w:val="center"/>
          </w:tcPr>
          <w:p>
            <w:pPr>
              <w:pStyle w:val="1323"/>
              <w:tabs>
                <w:tab w:val="left" w:pos="3585"/>
                <w:tab w:val="left" w:pos="5655"/>
              </w:tabs>
              <w:adjustRightInd w:val="0"/>
              <w:snapToGrid w:val="0"/>
              <w:spacing w:before="0"/>
              <w:ind w:firstLine="0"/>
              <w:rPr>
                <w:rFonts w:ascii="Times New Roman" w:hAnsi="Times New Roman" w:eastAsia="宋体"/>
                <w:color w:val="auto"/>
                <w:kern w:val="24"/>
                <w:sz w:val="21"/>
                <w:szCs w:val="21"/>
                <w:highlight w:val="none"/>
              </w:rPr>
            </w:pPr>
            <w:r>
              <w:rPr>
                <w:rFonts w:ascii="Times New Roman" w:hAnsi="Times New Roman" w:eastAsia="宋体"/>
                <w:color w:val="auto"/>
                <w:kern w:val="24"/>
                <w:sz w:val="21"/>
                <w:szCs w:val="21"/>
                <w:highlight w:val="none"/>
              </w:rPr>
              <w:t>进口废塑料加工利用企业应当符合《固体废物进口管理办法》以及环境保护部关于进口可用作原料的固体废物和废塑料环境保护管理相关规定。</w:t>
            </w:r>
          </w:p>
        </w:tc>
        <w:tc>
          <w:tcPr>
            <w:tcW w:w="2849" w:type="dxa"/>
            <w:vAlign w:val="center"/>
          </w:tcPr>
          <w:p>
            <w:pPr>
              <w:pStyle w:val="1323"/>
              <w:tabs>
                <w:tab w:val="left" w:pos="3585"/>
                <w:tab w:val="left" w:pos="5655"/>
              </w:tabs>
              <w:adjustRightInd w:val="0"/>
              <w:snapToGrid w:val="0"/>
              <w:spacing w:before="0"/>
              <w:ind w:firstLine="0"/>
              <w:jc w:val="center"/>
              <w:rPr>
                <w:rFonts w:ascii="Times New Roman" w:hAnsi="Times New Roman" w:eastAsia="宋体"/>
                <w:color w:val="auto"/>
                <w:kern w:val="24"/>
                <w:sz w:val="21"/>
                <w:szCs w:val="21"/>
                <w:highlight w:val="none"/>
              </w:rPr>
            </w:pPr>
            <w:r>
              <w:rPr>
                <w:rFonts w:ascii="Times New Roman" w:hAnsi="Times New Roman" w:eastAsia="宋体"/>
                <w:color w:val="auto"/>
                <w:kern w:val="24"/>
                <w:sz w:val="21"/>
                <w:szCs w:val="21"/>
                <w:highlight w:val="none"/>
              </w:rPr>
              <w:t>项目无进口塑料。</w:t>
            </w:r>
          </w:p>
        </w:tc>
        <w:tc>
          <w:tcPr>
            <w:tcW w:w="881" w:type="dxa"/>
            <w:vAlign w:val="center"/>
          </w:tcPr>
          <w:p>
            <w:pPr>
              <w:pStyle w:val="1323"/>
              <w:tabs>
                <w:tab w:val="left" w:pos="3585"/>
                <w:tab w:val="left" w:pos="5655"/>
              </w:tabs>
              <w:adjustRightInd w:val="0"/>
              <w:snapToGrid w:val="0"/>
              <w:spacing w:before="0"/>
              <w:ind w:firstLine="0"/>
              <w:jc w:val="center"/>
              <w:rPr>
                <w:rFonts w:ascii="Times New Roman" w:hAnsi="Times New Roman" w:eastAsia="宋体"/>
                <w:color w:val="auto"/>
                <w:kern w:val="24"/>
                <w:sz w:val="21"/>
                <w:szCs w:val="21"/>
                <w:highlight w:val="none"/>
              </w:rPr>
            </w:pPr>
            <w:r>
              <w:rPr>
                <w:rFonts w:ascii="Times New Roman" w:hAnsi="Times New Roman" w:eastAsia="宋体"/>
                <w:color w:val="auto"/>
                <w:kern w:val="24"/>
                <w:sz w:val="21"/>
                <w:szCs w:val="21"/>
                <w:highlight w:val="none"/>
              </w:rPr>
              <w:t>符合</w:t>
            </w:r>
          </w:p>
        </w:tc>
      </w:tr>
    </w:tbl>
    <w:p>
      <w:pPr>
        <w:adjustRightInd w:val="0"/>
        <w:snapToGrid w:val="0"/>
        <w:spacing w:line="360" w:lineRule="auto"/>
        <w:ind w:firstLine="480" w:firstLineChars="200"/>
        <w:rPr>
          <w:color w:val="auto"/>
          <w:sz w:val="24"/>
          <w:highlight w:val="none"/>
        </w:rPr>
      </w:pPr>
      <w:r>
        <w:rPr>
          <w:color w:val="auto"/>
          <w:sz w:val="24"/>
          <w:highlight w:val="none"/>
        </w:rPr>
        <w:t>由上表可知，项目符合《废塑料加工利用污染防治管理规定》的相关规定。</w:t>
      </w:r>
    </w:p>
    <w:p>
      <w:pPr>
        <w:adjustRightInd w:val="0"/>
        <w:snapToGrid w:val="0"/>
        <w:spacing w:line="360" w:lineRule="auto"/>
        <w:ind w:firstLine="482" w:firstLineChars="200"/>
        <w:rPr>
          <w:b/>
          <w:bCs/>
          <w:color w:val="auto"/>
          <w:sz w:val="24"/>
          <w:highlight w:val="none"/>
        </w:rPr>
      </w:pPr>
      <w:r>
        <w:rPr>
          <w:rFonts w:hint="eastAsia"/>
          <w:b/>
          <w:bCs/>
          <w:color w:val="auto"/>
          <w:sz w:val="24"/>
          <w:highlight w:val="none"/>
        </w:rPr>
        <w:t>9</w:t>
      </w:r>
      <w:r>
        <w:rPr>
          <w:b/>
          <w:bCs/>
          <w:color w:val="auto"/>
          <w:sz w:val="24"/>
          <w:highlight w:val="none"/>
        </w:rPr>
        <w:t>、与工信部2015年第81号关于发布《废塑料综合利用行业规范条件》及《废塑料综合利用行业规范条件公告管理暂行办法》的公告（2015年12月4日）符合性</w:t>
      </w:r>
    </w:p>
    <w:p>
      <w:pPr>
        <w:jc w:val="center"/>
        <w:rPr>
          <w:rFonts w:ascii="黑体" w:hAnsi="黑体" w:eastAsia="黑体"/>
          <w:color w:val="auto"/>
          <w:sz w:val="24"/>
          <w:highlight w:val="none"/>
        </w:rPr>
      </w:pPr>
      <w:r>
        <w:rPr>
          <w:rFonts w:ascii="黑体" w:hAnsi="黑体" w:eastAsia="黑体"/>
          <w:color w:val="auto"/>
          <w:sz w:val="24"/>
          <w:highlight w:val="none"/>
        </w:rPr>
        <w:t>表</w:t>
      </w:r>
      <w:r>
        <w:rPr>
          <w:rFonts w:hint="eastAsia" w:ascii="黑体" w:hAnsi="黑体" w:eastAsia="黑体"/>
          <w:color w:val="auto"/>
          <w:sz w:val="24"/>
          <w:highlight w:val="none"/>
        </w:rPr>
        <w:t>9</w:t>
      </w:r>
      <w:r>
        <w:rPr>
          <w:rFonts w:ascii="黑体" w:hAnsi="黑体" w:eastAsia="黑体"/>
          <w:color w:val="auto"/>
          <w:sz w:val="24"/>
          <w:highlight w:val="none"/>
        </w:rPr>
        <w:t>.</w:t>
      </w:r>
      <w:r>
        <w:rPr>
          <w:rFonts w:hint="eastAsia" w:ascii="黑体" w:hAnsi="黑体" w:eastAsia="黑体"/>
          <w:color w:val="auto"/>
          <w:sz w:val="24"/>
          <w:highlight w:val="none"/>
        </w:rPr>
        <w:t>5</w:t>
      </w:r>
      <w:r>
        <w:rPr>
          <w:rFonts w:ascii="黑体" w:hAnsi="黑体" w:eastAsia="黑体"/>
          <w:color w:val="auto"/>
          <w:sz w:val="24"/>
          <w:highlight w:val="none"/>
        </w:rPr>
        <w:t>-</w:t>
      </w:r>
      <w:r>
        <w:rPr>
          <w:rFonts w:hint="eastAsia" w:ascii="黑体" w:hAnsi="黑体" w:eastAsia="黑体"/>
          <w:color w:val="auto"/>
          <w:sz w:val="24"/>
          <w:highlight w:val="none"/>
          <w:lang w:val="en-US" w:eastAsia="zh-CN"/>
        </w:rPr>
        <w:t>9</w:t>
      </w:r>
      <w:r>
        <w:rPr>
          <w:rFonts w:hint="eastAsia" w:ascii="黑体" w:hAnsi="黑体" w:eastAsia="黑体"/>
          <w:color w:val="auto"/>
          <w:sz w:val="24"/>
          <w:highlight w:val="none"/>
        </w:rPr>
        <w:t xml:space="preserve">  </w:t>
      </w:r>
      <w:r>
        <w:rPr>
          <w:rFonts w:ascii="黑体" w:hAnsi="黑体" w:eastAsia="黑体"/>
          <w:color w:val="auto"/>
          <w:sz w:val="24"/>
          <w:highlight w:val="none"/>
        </w:rPr>
        <w:t>本项目与《塑料综合利用行业规范条件》要求的符合性</w:t>
      </w:r>
    </w:p>
    <w:tbl>
      <w:tblPr>
        <w:tblStyle w:val="59"/>
        <w:tblW w:w="0" w:type="auto"/>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767"/>
        <w:gridCol w:w="4819"/>
        <w:gridCol w:w="2492"/>
        <w:gridCol w:w="88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5586" w:type="dxa"/>
            <w:gridSpan w:val="2"/>
            <w:vAlign w:val="center"/>
          </w:tcPr>
          <w:p>
            <w:pPr>
              <w:pStyle w:val="137"/>
              <w:spacing w:line="240" w:lineRule="exact"/>
              <w:rPr>
                <w:rFonts w:ascii="Times New Roman" w:hAnsi="Times New Roman"/>
                <w:b/>
                <w:color w:val="auto"/>
                <w:sz w:val="21"/>
                <w:szCs w:val="21"/>
                <w:highlight w:val="none"/>
                <w:lang w:eastAsia="zh-CN"/>
              </w:rPr>
            </w:pPr>
            <w:r>
              <w:rPr>
                <w:rFonts w:ascii="Times New Roman" w:hAnsi="Times New Roman"/>
                <w:b/>
                <w:color w:val="auto"/>
                <w:sz w:val="21"/>
                <w:szCs w:val="21"/>
                <w:highlight w:val="none"/>
                <w:lang w:eastAsia="zh-CN"/>
              </w:rPr>
              <w:t>废塑料综合利用行业规范条件</w:t>
            </w:r>
          </w:p>
        </w:tc>
        <w:tc>
          <w:tcPr>
            <w:tcW w:w="2492" w:type="dxa"/>
            <w:vAlign w:val="center"/>
          </w:tcPr>
          <w:p>
            <w:pPr>
              <w:pStyle w:val="137"/>
              <w:spacing w:line="240" w:lineRule="exact"/>
              <w:rPr>
                <w:rFonts w:ascii="Times New Roman" w:hAnsi="Times New Roman"/>
                <w:b/>
                <w:color w:val="auto"/>
                <w:sz w:val="21"/>
                <w:szCs w:val="21"/>
                <w:highlight w:val="none"/>
              </w:rPr>
            </w:pPr>
            <w:r>
              <w:rPr>
                <w:rFonts w:ascii="Times New Roman" w:hAnsi="Times New Roman"/>
                <w:b/>
                <w:color w:val="auto"/>
                <w:sz w:val="21"/>
                <w:szCs w:val="21"/>
                <w:highlight w:val="none"/>
              </w:rPr>
              <w:t>本项目情况</w:t>
            </w:r>
          </w:p>
        </w:tc>
        <w:tc>
          <w:tcPr>
            <w:tcW w:w="880" w:type="dxa"/>
            <w:vAlign w:val="center"/>
          </w:tcPr>
          <w:p>
            <w:pPr>
              <w:pStyle w:val="137"/>
              <w:spacing w:line="240" w:lineRule="exact"/>
              <w:jc w:val="center"/>
              <w:rPr>
                <w:rFonts w:ascii="Times New Roman" w:hAnsi="Times New Roman"/>
                <w:b/>
                <w:color w:val="auto"/>
                <w:sz w:val="21"/>
                <w:szCs w:val="21"/>
                <w:highlight w:val="none"/>
              </w:rPr>
            </w:pPr>
            <w:r>
              <w:rPr>
                <w:rFonts w:ascii="Times New Roman" w:hAnsi="Times New Roman"/>
                <w:b/>
                <w:color w:val="auto"/>
                <w:sz w:val="21"/>
                <w:szCs w:val="21"/>
                <w:highlight w:val="none"/>
              </w:rPr>
              <w:t>符合性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767" w:type="dxa"/>
            <w:vMerge w:val="restart"/>
            <w:vAlign w:val="center"/>
          </w:tcPr>
          <w:p>
            <w:pPr>
              <w:pStyle w:val="137"/>
              <w:spacing w:line="240" w:lineRule="exact"/>
              <w:rPr>
                <w:rFonts w:ascii="Times New Roman" w:hAnsi="Times New Roman"/>
                <w:color w:val="auto"/>
                <w:sz w:val="21"/>
                <w:szCs w:val="21"/>
                <w:highlight w:val="none"/>
              </w:rPr>
            </w:pPr>
            <w:r>
              <w:rPr>
                <w:rFonts w:ascii="Times New Roman" w:hAnsi="Times New Roman"/>
                <w:color w:val="auto"/>
                <w:sz w:val="21"/>
                <w:szCs w:val="21"/>
                <w:highlight w:val="none"/>
              </w:rPr>
              <w:t>企业的设立和布局</w:t>
            </w:r>
          </w:p>
        </w:tc>
        <w:tc>
          <w:tcPr>
            <w:tcW w:w="4819" w:type="dxa"/>
            <w:vAlign w:val="center"/>
          </w:tcPr>
          <w:p>
            <w:pPr>
              <w:pStyle w:val="137"/>
              <w:spacing w:line="240" w:lineRule="exact"/>
              <w:jc w:val="both"/>
              <w:rPr>
                <w:rFonts w:ascii="Times New Roman" w:hAnsi="Times New Roman"/>
                <w:color w:val="auto"/>
                <w:sz w:val="21"/>
                <w:szCs w:val="21"/>
                <w:highlight w:val="none"/>
                <w:lang w:eastAsia="zh-CN"/>
              </w:rPr>
            </w:pPr>
            <w:r>
              <w:rPr>
                <w:rFonts w:ascii="Times New Roman" w:hAnsi="Times New Roman"/>
                <w:color w:val="auto"/>
                <w:sz w:val="21"/>
                <w:szCs w:val="21"/>
                <w:highlight w:val="none"/>
                <w:lang w:eastAsia="zh-CN"/>
              </w:rPr>
              <w:t>废塑料综合利用企业是指采用物理机械法对热塑性废塑料进行再生加工的企业，企业类型主要包</w:t>
            </w:r>
            <w:r>
              <w:rPr>
                <w:rFonts w:ascii="Times New Roman" w:hAnsi="Times New Roman"/>
                <w:color w:val="auto"/>
                <w:spacing w:val="-4"/>
                <w:sz w:val="21"/>
                <w:szCs w:val="21"/>
                <w:highlight w:val="none"/>
                <w:lang w:eastAsia="zh-CN"/>
              </w:rPr>
              <w:t xml:space="preserve">括 </w:t>
            </w:r>
            <w:r>
              <w:rPr>
                <w:rFonts w:ascii="Times New Roman" w:hAnsi="Times New Roman"/>
                <w:color w:val="auto"/>
                <w:sz w:val="21"/>
                <w:szCs w:val="21"/>
                <w:highlight w:val="none"/>
                <w:lang w:eastAsia="zh-CN"/>
              </w:rPr>
              <w:t>PET</w:t>
            </w:r>
            <w:r>
              <w:rPr>
                <w:rFonts w:ascii="Times New Roman" w:hAnsi="Times New Roman"/>
                <w:color w:val="auto"/>
                <w:spacing w:val="-2"/>
                <w:sz w:val="21"/>
                <w:szCs w:val="21"/>
                <w:highlight w:val="none"/>
                <w:lang w:eastAsia="zh-CN"/>
              </w:rPr>
              <w:t xml:space="preserve"> 再生瓶片类企业、废塑料破碎清洗分选类</w:t>
            </w:r>
            <w:r>
              <w:rPr>
                <w:rFonts w:ascii="Times New Roman" w:hAnsi="Times New Roman"/>
                <w:color w:val="auto"/>
                <w:sz w:val="21"/>
                <w:szCs w:val="21"/>
                <w:highlight w:val="none"/>
                <w:lang w:eastAsia="zh-CN"/>
              </w:rPr>
              <w:t>企业以及塑料再生造粒类企业。</w:t>
            </w:r>
          </w:p>
        </w:tc>
        <w:tc>
          <w:tcPr>
            <w:tcW w:w="2492" w:type="dxa"/>
            <w:vAlign w:val="center"/>
          </w:tcPr>
          <w:p>
            <w:pPr>
              <w:pStyle w:val="137"/>
              <w:spacing w:line="240" w:lineRule="exact"/>
              <w:jc w:val="both"/>
              <w:rPr>
                <w:rFonts w:ascii="Times New Roman" w:hAnsi="Times New Roman"/>
                <w:color w:val="auto"/>
                <w:sz w:val="21"/>
                <w:szCs w:val="21"/>
                <w:highlight w:val="none"/>
                <w:lang w:eastAsia="zh-CN"/>
              </w:rPr>
            </w:pPr>
            <w:r>
              <w:rPr>
                <w:rFonts w:ascii="Times New Roman" w:hAnsi="Times New Roman"/>
                <w:color w:val="auto"/>
                <w:sz w:val="21"/>
                <w:szCs w:val="21"/>
                <w:highlight w:val="none"/>
                <w:lang w:eastAsia="zh-CN"/>
              </w:rPr>
              <w:t>本项目</w:t>
            </w:r>
            <w:r>
              <w:rPr>
                <w:rFonts w:hint="eastAsia" w:ascii="Times New Roman" w:hAnsi="Times New Roman"/>
                <w:color w:val="auto"/>
                <w:sz w:val="21"/>
                <w:szCs w:val="21"/>
                <w:highlight w:val="none"/>
                <w:lang w:eastAsia="zh-CN"/>
              </w:rPr>
              <w:t>采用破碎清洗后的塑料进行</w:t>
            </w:r>
            <w:r>
              <w:rPr>
                <w:rFonts w:ascii="Times New Roman" w:hAnsi="Times New Roman"/>
                <w:color w:val="auto"/>
                <w:sz w:val="21"/>
                <w:szCs w:val="21"/>
                <w:highlight w:val="none"/>
                <w:lang w:eastAsia="zh-CN"/>
              </w:rPr>
              <w:t>再生造粒</w:t>
            </w:r>
          </w:p>
        </w:tc>
        <w:tc>
          <w:tcPr>
            <w:tcW w:w="880" w:type="dxa"/>
            <w:vAlign w:val="center"/>
          </w:tcPr>
          <w:p>
            <w:pPr>
              <w:pStyle w:val="137"/>
              <w:spacing w:line="24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767" w:type="dxa"/>
            <w:vMerge w:val="continue"/>
            <w:vAlign w:val="center"/>
          </w:tcPr>
          <w:p>
            <w:pPr>
              <w:spacing w:line="240" w:lineRule="exact"/>
              <w:jc w:val="center"/>
              <w:rPr>
                <w:color w:val="auto"/>
                <w:szCs w:val="21"/>
                <w:highlight w:val="none"/>
              </w:rPr>
            </w:pPr>
          </w:p>
        </w:tc>
        <w:tc>
          <w:tcPr>
            <w:tcW w:w="4819" w:type="dxa"/>
            <w:vAlign w:val="center"/>
          </w:tcPr>
          <w:p>
            <w:pPr>
              <w:pStyle w:val="137"/>
              <w:spacing w:line="240" w:lineRule="exact"/>
              <w:jc w:val="both"/>
              <w:rPr>
                <w:rFonts w:ascii="Times New Roman" w:hAnsi="Times New Roman"/>
                <w:color w:val="auto"/>
                <w:sz w:val="21"/>
                <w:szCs w:val="21"/>
                <w:highlight w:val="none"/>
                <w:lang w:eastAsia="zh-CN"/>
              </w:rPr>
            </w:pPr>
            <w:r>
              <w:rPr>
                <w:rFonts w:ascii="Times New Roman" w:hAnsi="Times New Roman"/>
                <w:color w:val="auto"/>
                <w:sz w:val="21"/>
                <w:szCs w:val="21"/>
                <w:highlight w:val="none"/>
                <w:lang w:eastAsia="zh-CN"/>
              </w:rPr>
              <w:t>废塑料综合利用企业所涉及的热塑性废塑料原料，不包括受到危险化学品、农药等污染的废弃塑料包装物、废弃一次性医疗用塑料制品等塑料类危险废物,以及氟塑料等特种工程塑料。</w:t>
            </w:r>
          </w:p>
        </w:tc>
        <w:tc>
          <w:tcPr>
            <w:tcW w:w="2492" w:type="dxa"/>
            <w:vAlign w:val="center"/>
          </w:tcPr>
          <w:p>
            <w:pPr>
              <w:pStyle w:val="137"/>
              <w:spacing w:line="240" w:lineRule="exact"/>
              <w:jc w:val="both"/>
              <w:rPr>
                <w:rFonts w:ascii="Times New Roman" w:hAnsi="Times New Roman"/>
                <w:color w:val="auto"/>
                <w:sz w:val="21"/>
                <w:szCs w:val="21"/>
                <w:highlight w:val="none"/>
                <w:lang w:eastAsia="zh-CN"/>
              </w:rPr>
            </w:pPr>
            <w:r>
              <w:rPr>
                <w:rFonts w:ascii="Times New Roman" w:hAnsi="Times New Roman"/>
                <w:color w:val="auto"/>
                <w:spacing w:val="15"/>
                <w:sz w:val="21"/>
                <w:szCs w:val="21"/>
                <w:highlight w:val="none"/>
                <w:lang w:eastAsia="zh-CN"/>
              </w:rPr>
              <w:t>本</w:t>
            </w:r>
            <w:r>
              <w:rPr>
                <w:rFonts w:ascii="Times New Roman" w:hAnsi="Times New Roman"/>
                <w:color w:val="auto"/>
                <w:sz w:val="21"/>
                <w:szCs w:val="21"/>
                <w:highlight w:val="none"/>
                <w:lang w:eastAsia="zh-CN"/>
              </w:rPr>
              <w:t>项目原料不包括受到危险化学品、农药等污染的废弃塑料包装物、废弃一次性医疗用塑料制品等塑料类危险废物,以及氟塑料等特种工程塑料。</w:t>
            </w:r>
          </w:p>
        </w:tc>
        <w:tc>
          <w:tcPr>
            <w:tcW w:w="880" w:type="dxa"/>
            <w:vAlign w:val="center"/>
          </w:tcPr>
          <w:p>
            <w:pPr>
              <w:pStyle w:val="137"/>
              <w:spacing w:line="24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767" w:type="dxa"/>
            <w:vMerge w:val="continue"/>
            <w:vAlign w:val="center"/>
          </w:tcPr>
          <w:p>
            <w:pPr>
              <w:spacing w:line="240" w:lineRule="exact"/>
              <w:jc w:val="center"/>
              <w:rPr>
                <w:color w:val="auto"/>
                <w:szCs w:val="21"/>
                <w:highlight w:val="none"/>
              </w:rPr>
            </w:pPr>
          </w:p>
        </w:tc>
        <w:tc>
          <w:tcPr>
            <w:tcW w:w="4819" w:type="dxa"/>
            <w:vAlign w:val="center"/>
          </w:tcPr>
          <w:p>
            <w:pPr>
              <w:pStyle w:val="137"/>
              <w:spacing w:line="240" w:lineRule="exact"/>
              <w:jc w:val="both"/>
              <w:rPr>
                <w:rFonts w:ascii="Times New Roman" w:hAnsi="Times New Roman"/>
                <w:color w:val="auto"/>
                <w:sz w:val="21"/>
                <w:szCs w:val="21"/>
                <w:highlight w:val="none"/>
                <w:lang w:eastAsia="zh-CN"/>
              </w:rPr>
            </w:pPr>
            <w:r>
              <w:rPr>
                <w:rFonts w:ascii="Times New Roman" w:hAnsi="Times New Roman"/>
                <w:color w:val="auto"/>
                <w:sz w:val="21"/>
                <w:szCs w:val="21"/>
                <w:highlight w:val="none"/>
                <w:lang w:eastAsia="zh-CN"/>
              </w:rPr>
              <w:t>新建及改造、扩建废塑料加工企业应符合国家产业政策及所在地区土地利用总体规划、城乡建设规划、环境保护、污染防治规划。企业建设应有</w:t>
            </w:r>
            <w:r>
              <w:rPr>
                <w:rFonts w:ascii="Times New Roman" w:hAnsi="Times New Roman"/>
                <w:color w:val="auto"/>
                <w:spacing w:val="-7"/>
                <w:sz w:val="21"/>
                <w:szCs w:val="21"/>
                <w:highlight w:val="none"/>
                <w:lang w:eastAsia="zh-CN"/>
              </w:rPr>
              <w:t>规范化设计要求，采用节能环保技术及生产装备。</w:t>
            </w:r>
          </w:p>
        </w:tc>
        <w:tc>
          <w:tcPr>
            <w:tcW w:w="2492" w:type="dxa"/>
            <w:vAlign w:val="center"/>
          </w:tcPr>
          <w:p>
            <w:pPr>
              <w:pStyle w:val="137"/>
              <w:spacing w:line="240" w:lineRule="exact"/>
              <w:jc w:val="both"/>
              <w:rPr>
                <w:rFonts w:ascii="Times New Roman" w:hAnsi="Times New Roman"/>
                <w:color w:val="auto"/>
                <w:sz w:val="21"/>
                <w:szCs w:val="21"/>
                <w:highlight w:val="none"/>
                <w:lang w:eastAsia="zh-CN"/>
              </w:rPr>
            </w:pPr>
            <w:r>
              <w:rPr>
                <w:rFonts w:ascii="Times New Roman" w:hAnsi="Times New Roman"/>
                <w:color w:val="auto"/>
                <w:spacing w:val="15"/>
                <w:sz w:val="21"/>
                <w:szCs w:val="21"/>
                <w:highlight w:val="none"/>
                <w:lang w:eastAsia="zh-CN"/>
              </w:rPr>
              <w:t>本项目符合国家产业</w:t>
            </w:r>
            <w:r>
              <w:rPr>
                <w:rFonts w:ascii="Times New Roman" w:hAnsi="Times New Roman"/>
                <w:color w:val="auto"/>
                <w:spacing w:val="-10"/>
                <w:sz w:val="21"/>
                <w:szCs w:val="21"/>
                <w:highlight w:val="none"/>
                <w:lang w:eastAsia="zh-CN"/>
              </w:rPr>
              <w:t>政策，本项目用地符合</w:t>
            </w:r>
            <w:r>
              <w:rPr>
                <w:rFonts w:hint="eastAsia" w:ascii="Times New Roman" w:hAnsi="Times New Roman"/>
                <w:color w:val="auto"/>
                <w:spacing w:val="-10"/>
                <w:sz w:val="21"/>
                <w:szCs w:val="21"/>
                <w:highlight w:val="none"/>
                <w:lang w:eastAsia="zh-CN"/>
              </w:rPr>
              <w:t>峨山镇</w:t>
            </w:r>
            <w:r>
              <w:rPr>
                <w:rFonts w:ascii="Times New Roman" w:hAnsi="Times New Roman"/>
                <w:color w:val="auto"/>
                <w:spacing w:val="15"/>
                <w:sz w:val="21"/>
                <w:szCs w:val="21"/>
                <w:highlight w:val="none"/>
                <w:lang w:eastAsia="zh-CN"/>
              </w:rPr>
              <w:t>土地利用总体</w:t>
            </w:r>
            <w:r>
              <w:rPr>
                <w:rFonts w:ascii="Times New Roman" w:hAnsi="Times New Roman"/>
                <w:color w:val="auto"/>
                <w:spacing w:val="-10"/>
                <w:sz w:val="21"/>
                <w:szCs w:val="21"/>
                <w:highlight w:val="none"/>
                <w:lang w:eastAsia="zh-CN"/>
              </w:rPr>
              <w:t>规划</w:t>
            </w:r>
            <w:r>
              <w:rPr>
                <w:rFonts w:ascii="Times New Roman" w:hAnsi="Times New Roman"/>
                <w:color w:val="auto"/>
                <w:spacing w:val="-18"/>
                <w:sz w:val="21"/>
                <w:szCs w:val="21"/>
                <w:highlight w:val="none"/>
                <w:lang w:eastAsia="zh-CN"/>
              </w:rPr>
              <w:t>，本</w:t>
            </w:r>
            <w:r>
              <w:rPr>
                <w:rFonts w:ascii="Times New Roman" w:hAnsi="Times New Roman"/>
                <w:color w:val="auto"/>
                <w:spacing w:val="15"/>
                <w:sz w:val="21"/>
                <w:szCs w:val="21"/>
                <w:highlight w:val="none"/>
                <w:lang w:eastAsia="zh-CN"/>
              </w:rPr>
              <w:t>项目采用节能环保的</w:t>
            </w:r>
            <w:r>
              <w:rPr>
                <w:rFonts w:ascii="Times New Roman" w:hAnsi="Times New Roman"/>
                <w:color w:val="auto"/>
                <w:sz w:val="21"/>
                <w:szCs w:val="21"/>
                <w:highlight w:val="none"/>
                <w:lang w:eastAsia="zh-CN"/>
              </w:rPr>
              <w:t>技术及相关设备</w:t>
            </w:r>
          </w:p>
        </w:tc>
        <w:tc>
          <w:tcPr>
            <w:tcW w:w="880" w:type="dxa"/>
            <w:vAlign w:val="center"/>
          </w:tcPr>
          <w:p>
            <w:pPr>
              <w:pStyle w:val="137"/>
              <w:spacing w:line="24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767" w:type="dxa"/>
            <w:vMerge w:val="continue"/>
            <w:vAlign w:val="center"/>
          </w:tcPr>
          <w:p>
            <w:pPr>
              <w:spacing w:line="240" w:lineRule="exact"/>
              <w:jc w:val="center"/>
              <w:rPr>
                <w:color w:val="auto"/>
                <w:szCs w:val="21"/>
                <w:highlight w:val="none"/>
              </w:rPr>
            </w:pPr>
          </w:p>
        </w:tc>
        <w:tc>
          <w:tcPr>
            <w:tcW w:w="4819" w:type="dxa"/>
            <w:vAlign w:val="center"/>
          </w:tcPr>
          <w:p>
            <w:pPr>
              <w:pStyle w:val="137"/>
              <w:spacing w:line="240" w:lineRule="exact"/>
              <w:jc w:val="both"/>
              <w:rPr>
                <w:rFonts w:ascii="Times New Roman" w:hAnsi="Times New Roman"/>
                <w:color w:val="auto"/>
                <w:sz w:val="21"/>
                <w:szCs w:val="21"/>
                <w:highlight w:val="none"/>
                <w:lang w:eastAsia="zh-CN"/>
              </w:rPr>
            </w:pPr>
            <w:r>
              <w:rPr>
                <w:rFonts w:ascii="Times New Roman" w:hAnsi="Times New Roman"/>
                <w:color w:val="auto"/>
                <w:sz w:val="21"/>
                <w:szCs w:val="21"/>
                <w:highlight w:val="none"/>
                <w:lang w:eastAsia="zh-CN"/>
              </w:rPr>
              <w:t>在国家法律、法规、规章和规划确定或县级及以上人民政府规定的自然保护区、风景名胜区、饮用水源保护区、基本农田保护区和其他需要特别保护的区域内，不得新建废塑料综合利用企业； 已在上述区域投产运营的废塑料综合利用企业， 要根据该区域规划要求，依法通过搬迁、转产等</w:t>
            </w:r>
          </w:p>
          <w:p>
            <w:pPr>
              <w:pStyle w:val="137"/>
              <w:spacing w:line="240" w:lineRule="exact"/>
              <w:jc w:val="both"/>
              <w:rPr>
                <w:rFonts w:ascii="Times New Roman" w:hAnsi="Times New Roman"/>
                <w:color w:val="auto"/>
                <w:sz w:val="21"/>
                <w:szCs w:val="21"/>
                <w:highlight w:val="none"/>
              </w:rPr>
            </w:pPr>
            <w:r>
              <w:rPr>
                <w:rFonts w:ascii="Times New Roman" w:hAnsi="Times New Roman"/>
                <w:color w:val="auto"/>
                <w:sz w:val="21"/>
                <w:szCs w:val="21"/>
                <w:highlight w:val="none"/>
              </w:rPr>
              <w:t>方式逐步退出。</w:t>
            </w:r>
          </w:p>
        </w:tc>
        <w:tc>
          <w:tcPr>
            <w:tcW w:w="2492" w:type="dxa"/>
            <w:vAlign w:val="center"/>
          </w:tcPr>
          <w:p>
            <w:pPr>
              <w:pStyle w:val="137"/>
              <w:spacing w:line="240" w:lineRule="exact"/>
              <w:jc w:val="both"/>
              <w:rPr>
                <w:rFonts w:ascii="Times New Roman" w:hAnsi="Times New Roman"/>
                <w:color w:val="auto"/>
                <w:sz w:val="21"/>
                <w:szCs w:val="21"/>
                <w:highlight w:val="none"/>
                <w:lang w:eastAsia="zh-CN"/>
              </w:rPr>
            </w:pPr>
            <w:r>
              <w:rPr>
                <w:rFonts w:ascii="Times New Roman" w:hAnsi="Times New Roman"/>
                <w:color w:val="auto"/>
                <w:spacing w:val="15"/>
                <w:sz w:val="21"/>
                <w:szCs w:val="21"/>
                <w:highlight w:val="none"/>
                <w:lang w:eastAsia="zh-CN"/>
              </w:rPr>
              <w:t>本项目不位于自然保</w:t>
            </w:r>
            <w:r>
              <w:rPr>
                <w:rFonts w:ascii="Times New Roman" w:hAnsi="Times New Roman"/>
                <w:color w:val="auto"/>
                <w:spacing w:val="-10"/>
                <w:sz w:val="21"/>
                <w:szCs w:val="21"/>
                <w:highlight w:val="none"/>
                <w:lang w:eastAsia="zh-CN"/>
              </w:rPr>
              <w:t>护区、水源保护区等其</w:t>
            </w:r>
            <w:r>
              <w:rPr>
                <w:rFonts w:ascii="Times New Roman" w:hAnsi="Times New Roman"/>
                <w:color w:val="auto"/>
                <w:spacing w:val="15"/>
                <w:sz w:val="21"/>
                <w:szCs w:val="21"/>
                <w:highlight w:val="none"/>
                <w:lang w:eastAsia="zh-CN"/>
              </w:rPr>
              <w:t>他需要特殊保护的区</w:t>
            </w:r>
            <w:r>
              <w:rPr>
                <w:rFonts w:ascii="Times New Roman" w:hAnsi="Times New Roman"/>
                <w:color w:val="auto"/>
                <w:sz w:val="21"/>
                <w:szCs w:val="21"/>
                <w:highlight w:val="none"/>
                <w:lang w:eastAsia="zh-CN"/>
              </w:rPr>
              <w:t>域内</w:t>
            </w:r>
          </w:p>
        </w:tc>
        <w:tc>
          <w:tcPr>
            <w:tcW w:w="880" w:type="dxa"/>
            <w:vAlign w:val="center"/>
          </w:tcPr>
          <w:p>
            <w:pPr>
              <w:pStyle w:val="137"/>
              <w:spacing w:line="24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767" w:type="dxa"/>
            <w:vAlign w:val="center"/>
          </w:tcPr>
          <w:p>
            <w:pPr>
              <w:pStyle w:val="137"/>
              <w:spacing w:line="240" w:lineRule="exact"/>
              <w:rPr>
                <w:rFonts w:ascii="Times New Roman" w:hAnsi="Times New Roman"/>
                <w:color w:val="auto"/>
                <w:sz w:val="21"/>
                <w:szCs w:val="21"/>
                <w:highlight w:val="none"/>
              </w:rPr>
            </w:pPr>
            <w:r>
              <w:rPr>
                <w:rFonts w:ascii="Times New Roman" w:hAnsi="Times New Roman"/>
                <w:color w:val="auto"/>
                <w:sz w:val="21"/>
                <w:szCs w:val="21"/>
                <w:highlight w:val="none"/>
              </w:rPr>
              <w:t>生产经营规模</w:t>
            </w:r>
          </w:p>
        </w:tc>
        <w:tc>
          <w:tcPr>
            <w:tcW w:w="4819" w:type="dxa"/>
            <w:vAlign w:val="center"/>
          </w:tcPr>
          <w:p>
            <w:pPr>
              <w:pStyle w:val="137"/>
              <w:spacing w:line="240" w:lineRule="exact"/>
              <w:jc w:val="both"/>
              <w:rPr>
                <w:rFonts w:ascii="Times New Roman" w:hAnsi="Times New Roman"/>
                <w:color w:val="auto"/>
                <w:spacing w:val="15"/>
                <w:sz w:val="21"/>
                <w:szCs w:val="21"/>
                <w:highlight w:val="none"/>
                <w:lang w:eastAsia="zh-CN"/>
              </w:rPr>
            </w:pPr>
            <w:r>
              <w:rPr>
                <w:rFonts w:ascii="Times New Roman" w:hAnsi="Times New Roman"/>
                <w:color w:val="auto"/>
                <w:spacing w:val="15"/>
                <w:sz w:val="21"/>
                <w:szCs w:val="21"/>
                <w:highlight w:val="none"/>
                <w:lang w:eastAsia="zh-CN"/>
              </w:rPr>
              <w:t>废塑料破碎、清洗、分选类企业：新建企业年废塑料处理能力不低于30000吨；已建企业年废塑料处理能力不低于20000吨。</w:t>
            </w:r>
          </w:p>
          <w:p>
            <w:pPr>
              <w:pStyle w:val="137"/>
              <w:spacing w:line="240" w:lineRule="exact"/>
              <w:jc w:val="both"/>
              <w:rPr>
                <w:rFonts w:ascii="Times New Roman" w:hAnsi="Times New Roman"/>
                <w:color w:val="auto"/>
                <w:spacing w:val="15"/>
                <w:sz w:val="21"/>
                <w:szCs w:val="21"/>
                <w:highlight w:val="none"/>
                <w:lang w:eastAsia="zh-CN"/>
              </w:rPr>
            </w:pPr>
            <w:r>
              <w:rPr>
                <w:rFonts w:ascii="Times New Roman" w:hAnsi="Times New Roman"/>
                <w:color w:val="auto"/>
                <w:spacing w:val="15"/>
                <w:sz w:val="21"/>
                <w:szCs w:val="21"/>
                <w:highlight w:val="none"/>
                <w:lang w:eastAsia="zh-CN"/>
              </w:rPr>
              <w:t>塑料再生造粒类企业：新建企业年废塑料处理能力不低于5000吨；已建企业年废塑料处理能力不低于3000吨。</w:t>
            </w:r>
          </w:p>
          <w:p>
            <w:pPr>
              <w:pStyle w:val="137"/>
              <w:spacing w:line="240" w:lineRule="exact"/>
              <w:jc w:val="both"/>
              <w:rPr>
                <w:rFonts w:ascii="Times New Roman" w:hAnsi="Times New Roman"/>
                <w:color w:val="auto"/>
                <w:spacing w:val="15"/>
                <w:sz w:val="21"/>
                <w:szCs w:val="21"/>
                <w:highlight w:val="none"/>
                <w:lang w:eastAsia="zh-CN"/>
              </w:rPr>
            </w:pPr>
            <w:r>
              <w:rPr>
                <w:rFonts w:ascii="Times New Roman" w:hAnsi="Times New Roman"/>
                <w:color w:val="auto"/>
                <w:spacing w:val="15"/>
                <w:sz w:val="21"/>
                <w:szCs w:val="21"/>
                <w:highlight w:val="none"/>
                <w:lang w:eastAsia="zh-CN"/>
              </w:rPr>
              <w:t>企业应具有与生产能力相匹配的厂区作业场地面积。</w:t>
            </w:r>
          </w:p>
        </w:tc>
        <w:tc>
          <w:tcPr>
            <w:tcW w:w="2492" w:type="dxa"/>
            <w:vAlign w:val="center"/>
          </w:tcPr>
          <w:p>
            <w:pPr>
              <w:pStyle w:val="137"/>
              <w:spacing w:line="240" w:lineRule="exact"/>
              <w:jc w:val="both"/>
              <w:rPr>
                <w:rFonts w:ascii="Times New Roman" w:hAnsi="Times New Roman"/>
                <w:color w:val="auto"/>
                <w:spacing w:val="15"/>
                <w:sz w:val="21"/>
                <w:szCs w:val="21"/>
                <w:highlight w:val="none"/>
                <w:lang w:eastAsia="zh-CN"/>
              </w:rPr>
            </w:pPr>
            <w:r>
              <w:rPr>
                <w:rFonts w:ascii="Times New Roman" w:hAnsi="Times New Roman"/>
                <w:color w:val="auto"/>
                <w:spacing w:val="15"/>
                <w:sz w:val="21"/>
                <w:szCs w:val="21"/>
                <w:highlight w:val="none"/>
                <w:lang w:eastAsia="zh-CN"/>
              </w:rPr>
              <w:t>本项目生产工艺包括</w:t>
            </w:r>
            <w:r>
              <w:rPr>
                <w:rFonts w:hint="eastAsia" w:ascii="Times New Roman" w:hAnsi="Times New Roman"/>
                <w:color w:val="auto"/>
                <w:spacing w:val="15"/>
                <w:sz w:val="21"/>
                <w:szCs w:val="21"/>
                <w:highlight w:val="none"/>
                <w:lang w:eastAsia="zh-CN"/>
              </w:rPr>
              <w:t>不含破碎清洗，造粒后用于管道生产，造粒能力大于5000吨，</w:t>
            </w:r>
            <w:r>
              <w:rPr>
                <w:rFonts w:ascii="Times New Roman" w:hAnsi="Times New Roman"/>
                <w:color w:val="auto"/>
                <w:spacing w:val="15"/>
                <w:sz w:val="21"/>
                <w:szCs w:val="21"/>
                <w:highlight w:val="none"/>
                <w:lang w:eastAsia="zh-CN"/>
              </w:rPr>
              <w:t>且本项目有足够的厂区作业场地面积</w:t>
            </w:r>
          </w:p>
        </w:tc>
        <w:tc>
          <w:tcPr>
            <w:tcW w:w="880" w:type="dxa"/>
            <w:vAlign w:val="center"/>
          </w:tcPr>
          <w:p>
            <w:pPr>
              <w:pStyle w:val="137"/>
              <w:spacing w:line="24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767" w:type="dxa"/>
            <w:vAlign w:val="center"/>
          </w:tcPr>
          <w:p>
            <w:pPr>
              <w:pStyle w:val="137"/>
              <w:spacing w:line="240" w:lineRule="exact"/>
              <w:rPr>
                <w:rFonts w:ascii="Times New Roman" w:hAnsi="Times New Roman"/>
                <w:color w:val="auto"/>
                <w:sz w:val="21"/>
                <w:szCs w:val="21"/>
                <w:highlight w:val="none"/>
              </w:rPr>
            </w:pPr>
            <w:r>
              <w:rPr>
                <w:rFonts w:ascii="Times New Roman" w:hAnsi="Times New Roman"/>
                <w:color w:val="auto"/>
                <w:sz w:val="21"/>
                <w:szCs w:val="21"/>
                <w:highlight w:val="none"/>
              </w:rPr>
              <w:t>资源综合利用及能耗</w:t>
            </w:r>
          </w:p>
        </w:tc>
        <w:tc>
          <w:tcPr>
            <w:tcW w:w="4819" w:type="dxa"/>
            <w:vAlign w:val="center"/>
          </w:tcPr>
          <w:p>
            <w:pPr>
              <w:pStyle w:val="137"/>
              <w:spacing w:line="240" w:lineRule="exact"/>
              <w:jc w:val="both"/>
              <w:rPr>
                <w:rFonts w:ascii="Times New Roman" w:hAnsi="Times New Roman"/>
                <w:color w:val="auto"/>
                <w:sz w:val="21"/>
                <w:szCs w:val="21"/>
                <w:highlight w:val="none"/>
                <w:lang w:eastAsia="zh-CN"/>
              </w:rPr>
            </w:pPr>
            <w:r>
              <w:rPr>
                <w:rFonts w:ascii="Times New Roman" w:hAnsi="Times New Roman"/>
                <w:color w:val="auto"/>
                <w:sz w:val="21"/>
                <w:szCs w:val="21"/>
                <w:highlight w:val="none"/>
                <w:lang w:eastAsia="zh-CN"/>
              </w:rPr>
              <w:t>企业应对收集的废塑料进行充分利用，提高资源回收利用效率，不得倾倒、焚烧与填埋。塑料再生加工相关生产环节的综合电耗低于500千瓦时/ 吨废塑料。PET再生瓶片类企业与废塑料破碎、清洗、分选类企业的综合新水消耗低于1.5吨/吨废塑料。塑料再生造粒类企业的综合新水消耗低于0.2吨/吨废塑料。</w:t>
            </w:r>
          </w:p>
        </w:tc>
        <w:tc>
          <w:tcPr>
            <w:tcW w:w="2492" w:type="dxa"/>
            <w:vAlign w:val="center"/>
          </w:tcPr>
          <w:p>
            <w:pPr>
              <w:pStyle w:val="137"/>
              <w:spacing w:line="240" w:lineRule="exact"/>
              <w:jc w:val="both"/>
              <w:rPr>
                <w:rFonts w:ascii="Times New Roman" w:hAnsi="Times New Roman"/>
                <w:color w:val="auto"/>
                <w:spacing w:val="15"/>
                <w:sz w:val="21"/>
                <w:szCs w:val="21"/>
                <w:highlight w:val="none"/>
                <w:lang w:eastAsia="zh-CN"/>
              </w:rPr>
            </w:pPr>
            <w:r>
              <w:rPr>
                <w:rFonts w:ascii="Times New Roman" w:hAnsi="Times New Roman"/>
                <w:color w:val="auto"/>
                <w:spacing w:val="15"/>
                <w:sz w:val="21"/>
                <w:szCs w:val="21"/>
                <w:highlight w:val="none"/>
                <w:lang w:eastAsia="zh-CN"/>
              </w:rPr>
              <w:t>本项目对收集的废塑料充分利用；本项目综合电耗低于500千瓦时/吨废塑料的标准。本项目</w:t>
            </w:r>
            <w:r>
              <w:rPr>
                <w:rFonts w:hint="eastAsia" w:ascii="Times New Roman" w:hAnsi="Times New Roman"/>
                <w:color w:val="auto"/>
                <w:spacing w:val="15"/>
                <w:sz w:val="21"/>
                <w:szCs w:val="21"/>
                <w:highlight w:val="none"/>
                <w:lang w:eastAsia="zh-CN"/>
              </w:rPr>
              <w:t>不涉及废塑料破碎清洗</w:t>
            </w:r>
          </w:p>
        </w:tc>
        <w:tc>
          <w:tcPr>
            <w:tcW w:w="880" w:type="dxa"/>
            <w:vAlign w:val="center"/>
          </w:tcPr>
          <w:p>
            <w:pPr>
              <w:pStyle w:val="137"/>
              <w:spacing w:line="24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767" w:type="dxa"/>
            <w:vAlign w:val="center"/>
          </w:tcPr>
          <w:p>
            <w:pPr>
              <w:pStyle w:val="137"/>
              <w:spacing w:line="240" w:lineRule="exact"/>
              <w:rPr>
                <w:rFonts w:ascii="Times New Roman" w:hAnsi="Times New Roman"/>
                <w:color w:val="auto"/>
                <w:sz w:val="21"/>
                <w:szCs w:val="21"/>
                <w:highlight w:val="none"/>
              </w:rPr>
            </w:pPr>
            <w:r>
              <w:rPr>
                <w:rFonts w:ascii="Times New Roman" w:hAnsi="Times New Roman"/>
                <w:color w:val="auto"/>
                <w:sz w:val="21"/>
                <w:szCs w:val="21"/>
                <w:highlight w:val="none"/>
              </w:rPr>
              <w:t>工艺与装备</w:t>
            </w:r>
          </w:p>
        </w:tc>
        <w:tc>
          <w:tcPr>
            <w:tcW w:w="4819" w:type="dxa"/>
            <w:vAlign w:val="center"/>
          </w:tcPr>
          <w:p>
            <w:pPr>
              <w:pStyle w:val="137"/>
              <w:spacing w:line="240" w:lineRule="exact"/>
              <w:jc w:val="both"/>
              <w:rPr>
                <w:rFonts w:ascii="Times New Roman" w:hAnsi="Times New Roman"/>
                <w:color w:val="auto"/>
                <w:sz w:val="21"/>
                <w:szCs w:val="21"/>
                <w:highlight w:val="none"/>
                <w:lang w:eastAsia="zh-CN"/>
              </w:rPr>
            </w:pPr>
            <w:r>
              <w:rPr>
                <w:rFonts w:ascii="Times New Roman" w:hAnsi="Times New Roman"/>
                <w:color w:val="auto"/>
                <w:sz w:val="21"/>
                <w:szCs w:val="21"/>
                <w:highlight w:val="none"/>
                <w:lang w:eastAsia="zh-CN"/>
              </w:rPr>
              <w:t>新建及改造、扩建废塑料综合利用企业应采用先进技术、工艺和装备，提高废塑料再生加工过程的自动化水平。</w:t>
            </w:r>
          </w:p>
          <w:p>
            <w:pPr>
              <w:pStyle w:val="137"/>
              <w:spacing w:line="240" w:lineRule="exact"/>
              <w:jc w:val="both"/>
              <w:rPr>
                <w:rFonts w:ascii="Times New Roman" w:hAnsi="Times New Roman"/>
                <w:color w:val="auto"/>
                <w:sz w:val="21"/>
                <w:szCs w:val="21"/>
                <w:highlight w:val="none"/>
                <w:lang w:eastAsia="zh-CN"/>
              </w:rPr>
            </w:pPr>
            <w:r>
              <w:rPr>
                <w:rFonts w:ascii="Times New Roman" w:hAnsi="Times New Roman"/>
                <w:color w:val="auto"/>
                <w:sz w:val="21"/>
                <w:szCs w:val="21"/>
                <w:highlight w:val="none"/>
                <w:lang w:eastAsia="zh-CN"/>
              </w:rPr>
              <w:t xml:space="preserve">1.PET再生瓶片类企业。应实现自动进料、自动包装与加工过程的自动控制。其中，破碎工序应采用具有减振与降噪功能的密闭破碎设备；湿法破碎、脱标、清洗等工序应实现洗涤流程自动控制和清洗液循环利用，降低耗水量与耗药量；应使用低发泡、低残留、易处理的清洗药剂。     </w:t>
            </w:r>
          </w:p>
          <w:p>
            <w:pPr>
              <w:pStyle w:val="137"/>
              <w:spacing w:line="240" w:lineRule="exact"/>
              <w:jc w:val="both"/>
              <w:rPr>
                <w:rFonts w:ascii="Times New Roman" w:hAnsi="Times New Roman"/>
                <w:color w:val="auto"/>
                <w:sz w:val="21"/>
                <w:szCs w:val="21"/>
                <w:highlight w:val="none"/>
                <w:lang w:eastAsia="zh-CN"/>
              </w:rPr>
            </w:pPr>
            <w:r>
              <w:rPr>
                <w:rFonts w:ascii="Times New Roman" w:hAnsi="Times New Roman"/>
                <w:color w:val="auto"/>
                <w:sz w:val="21"/>
                <w:szCs w:val="21"/>
                <w:highlight w:val="none"/>
                <w:lang w:eastAsia="zh-CN"/>
              </w:rPr>
              <w:t xml:space="preserve">2.废塑料破碎、清洗、分选类企业。应采用自动化处理设备和设施。其中，破碎工序应采用具有减振与降噪功能的密闭破碎设备；清洗工序应实现自动控制和清洗液循环利用，降低耗水量与耗药量；应使用低发泡、低残留、易处理的清洗药剂；分选工序鼓励采用自动化分选设备。     </w:t>
            </w:r>
          </w:p>
          <w:p>
            <w:pPr>
              <w:pStyle w:val="137"/>
              <w:spacing w:line="240" w:lineRule="exact"/>
              <w:jc w:val="both"/>
              <w:rPr>
                <w:rFonts w:ascii="Times New Roman" w:hAnsi="Times New Roman"/>
                <w:color w:val="auto"/>
                <w:sz w:val="21"/>
                <w:szCs w:val="21"/>
                <w:highlight w:val="none"/>
                <w:lang w:eastAsia="zh-CN"/>
              </w:rPr>
            </w:pPr>
            <w:r>
              <w:rPr>
                <w:rFonts w:ascii="Times New Roman" w:hAnsi="Times New Roman"/>
                <w:color w:val="auto"/>
                <w:sz w:val="21"/>
                <w:szCs w:val="21"/>
                <w:highlight w:val="none"/>
                <w:lang w:eastAsia="zh-CN"/>
              </w:rPr>
              <w:t xml:space="preserve">3.塑料再生造粒类企业。应具有与加工利用能力相适应的预处理设备和造粒设备。其中，造粒设备应具有强制排气系统，通过集气装置实现废气的集中处理；过滤装置的废弃过滤网应按照环境保护有关规定处理，禁止露天焚烧。          </w:t>
            </w:r>
          </w:p>
          <w:p>
            <w:pPr>
              <w:pStyle w:val="137"/>
              <w:spacing w:line="240" w:lineRule="exact"/>
              <w:jc w:val="both"/>
              <w:rPr>
                <w:rFonts w:ascii="Times New Roman" w:hAnsi="Times New Roman"/>
                <w:color w:val="auto"/>
                <w:sz w:val="21"/>
                <w:szCs w:val="21"/>
                <w:highlight w:val="none"/>
                <w:lang w:eastAsia="zh-CN"/>
              </w:rPr>
            </w:pPr>
            <w:r>
              <w:rPr>
                <w:rFonts w:ascii="Times New Roman" w:hAnsi="Times New Roman"/>
                <w:color w:val="auto"/>
                <w:sz w:val="21"/>
                <w:szCs w:val="21"/>
                <w:highlight w:val="none"/>
                <w:lang w:eastAsia="zh-CN"/>
              </w:rPr>
              <w:t>4.鼓励废塑料综合利用企业研发和使用生产效率高、工艺技术先进、能耗物耗低的加工生产系统。</w:t>
            </w:r>
          </w:p>
        </w:tc>
        <w:tc>
          <w:tcPr>
            <w:tcW w:w="2492" w:type="dxa"/>
            <w:vAlign w:val="center"/>
          </w:tcPr>
          <w:p>
            <w:pPr>
              <w:pStyle w:val="137"/>
              <w:spacing w:line="240" w:lineRule="exact"/>
              <w:jc w:val="left"/>
              <w:rPr>
                <w:rFonts w:ascii="Times New Roman" w:hAnsi="Times New Roman"/>
                <w:color w:val="auto"/>
                <w:spacing w:val="15"/>
                <w:sz w:val="21"/>
                <w:szCs w:val="21"/>
                <w:highlight w:val="none"/>
                <w:lang w:eastAsia="zh-CN"/>
              </w:rPr>
            </w:pPr>
            <w:r>
              <w:rPr>
                <w:rFonts w:ascii="Times New Roman" w:hAnsi="Times New Roman"/>
                <w:color w:val="auto"/>
                <w:spacing w:val="15"/>
                <w:sz w:val="21"/>
                <w:szCs w:val="21"/>
                <w:highlight w:val="none"/>
                <w:lang w:eastAsia="zh-CN"/>
              </w:rPr>
              <w:t>本项目</w:t>
            </w:r>
            <w:r>
              <w:rPr>
                <w:rFonts w:hint="eastAsia" w:ascii="Times New Roman" w:hAnsi="Times New Roman"/>
                <w:color w:val="auto"/>
                <w:spacing w:val="15"/>
                <w:sz w:val="21"/>
                <w:szCs w:val="21"/>
                <w:highlight w:val="none"/>
                <w:lang w:eastAsia="zh-CN"/>
              </w:rPr>
              <w:t>不涉及废旧塑料破碎、清洗、分选工序，</w:t>
            </w:r>
            <w:r>
              <w:rPr>
                <w:rFonts w:ascii="Times New Roman" w:hAnsi="Times New Roman"/>
                <w:color w:val="auto"/>
                <w:spacing w:val="15"/>
                <w:sz w:val="21"/>
                <w:szCs w:val="21"/>
                <w:highlight w:val="none"/>
                <w:lang w:eastAsia="zh-CN"/>
              </w:rPr>
              <w:t>本项目具有与加工利用能力相适应的预处理和造粒设备，造粒机的排气系统直接与净化装置相连，实现了废气的集中处理；</w:t>
            </w:r>
            <w:r>
              <w:rPr>
                <w:rFonts w:hint="eastAsia" w:ascii="Times New Roman" w:hAnsi="Times New Roman"/>
                <w:color w:val="auto"/>
                <w:spacing w:val="15"/>
                <w:sz w:val="21"/>
                <w:szCs w:val="21"/>
                <w:highlight w:val="none"/>
                <w:lang w:eastAsia="zh-CN"/>
              </w:rPr>
              <w:t>本项目</w:t>
            </w:r>
            <w:r>
              <w:rPr>
                <w:rFonts w:ascii="Times New Roman" w:hAnsi="Times New Roman"/>
                <w:color w:val="auto"/>
                <w:spacing w:val="15"/>
                <w:sz w:val="21"/>
                <w:szCs w:val="21"/>
                <w:highlight w:val="none"/>
                <w:lang w:eastAsia="zh-CN"/>
              </w:rPr>
              <w:t>采用无丝网过滤器</w:t>
            </w:r>
            <w:r>
              <w:rPr>
                <w:rFonts w:hint="eastAsia" w:ascii="Times New Roman" w:hAnsi="Times New Roman"/>
                <w:color w:val="auto"/>
                <w:spacing w:val="15"/>
                <w:sz w:val="21"/>
                <w:szCs w:val="21"/>
                <w:highlight w:val="none"/>
                <w:lang w:eastAsia="zh-CN"/>
              </w:rPr>
              <w:t>，不进行烧网，</w:t>
            </w:r>
            <w:r>
              <w:rPr>
                <w:rFonts w:ascii="Times New Roman" w:hAnsi="Times New Roman"/>
                <w:color w:val="auto"/>
                <w:spacing w:val="15"/>
                <w:sz w:val="21"/>
                <w:szCs w:val="21"/>
                <w:highlight w:val="none"/>
                <w:lang w:eastAsia="zh-CN"/>
              </w:rPr>
              <w:t>挤出过程产生的料渣经刮刀刮除后收集制造低端颗粒外卖塑板企业，滤网不需焚烧</w:t>
            </w:r>
          </w:p>
        </w:tc>
        <w:tc>
          <w:tcPr>
            <w:tcW w:w="880" w:type="dxa"/>
            <w:vAlign w:val="center"/>
          </w:tcPr>
          <w:p>
            <w:pPr>
              <w:pStyle w:val="137"/>
              <w:spacing w:line="24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767" w:type="dxa"/>
            <w:vMerge w:val="restart"/>
            <w:vAlign w:val="center"/>
          </w:tcPr>
          <w:p>
            <w:pPr>
              <w:pStyle w:val="137"/>
              <w:spacing w:line="240" w:lineRule="exact"/>
              <w:rPr>
                <w:rFonts w:ascii="Times New Roman" w:hAnsi="Times New Roman"/>
                <w:color w:val="auto"/>
                <w:sz w:val="21"/>
                <w:szCs w:val="21"/>
                <w:highlight w:val="none"/>
              </w:rPr>
            </w:pPr>
            <w:r>
              <w:rPr>
                <w:rFonts w:ascii="Times New Roman" w:hAnsi="Times New Roman"/>
                <w:color w:val="auto"/>
                <w:sz w:val="21"/>
                <w:szCs w:val="21"/>
                <w:highlight w:val="none"/>
              </w:rPr>
              <w:t>环境保护</w:t>
            </w:r>
          </w:p>
        </w:tc>
        <w:tc>
          <w:tcPr>
            <w:tcW w:w="4819" w:type="dxa"/>
            <w:vAlign w:val="center"/>
          </w:tcPr>
          <w:p>
            <w:pPr>
              <w:pStyle w:val="137"/>
              <w:spacing w:line="240" w:lineRule="exact"/>
              <w:jc w:val="both"/>
              <w:rPr>
                <w:rFonts w:ascii="Times New Roman" w:hAnsi="Times New Roman"/>
                <w:color w:val="auto"/>
                <w:sz w:val="21"/>
                <w:szCs w:val="21"/>
                <w:highlight w:val="none"/>
                <w:lang w:eastAsia="zh-CN"/>
              </w:rPr>
            </w:pPr>
            <w:r>
              <w:rPr>
                <w:rFonts w:ascii="Times New Roman" w:hAnsi="Times New Roman"/>
                <w:color w:val="auto"/>
                <w:sz w:val="21"/>
                <w:szCs w:val="21"/>
                <w:highlight w:val="none"/>
                <w:lang w:eastAsia="zh-CN"/>
              </w:rPr>
              <w:t>废塑料综合利用企业应严格执行《中华人民共和国环境影响评价法》，按照环境保护主管部门的相关规定报批环境影响评价文件。按照环境保护“三</w:t>
            </w:r>
          </w:p>
          <w:p>
            <w:pPr>
              <w:pStyle w:val="137"/>
              <w:spacing w:line="240" w:lineRule="exact"/>
              <w:jc w:val="both"/>
              <w:rPr>
                <w:rFonts w:ascii="Times New Roman" w:hAnsi="Times New Roman"/>
                <w:color w:val="auto"/>
                <w:sz w:val="21"/>
                <w:szCs w:val="21"/>
                <w:highlight w:val="none"/>
                <w:lang w:eastAsia="zh-CN"/>
              </w:rPr>
            </w:pPr>
            <w:r>
              <w:rPr>
                <w:rFonts w:ascii="Times New Roman" w:hAnsi="Times New Roman"/>
                <w:color w:val="auto"/>
                <w:sz w:val="21"/>
                <w:szCs w:val="21"/>
                <w:highlight w:val="none"/>
                <w:lang w:eastAsia="zh-CN"/>
              </w:rPr>
              <w:t>同时”的要求建设配套的环境保护设施，编制环境风险应急预案，并依法申请项目竣工环境保护验收。</w:t>
            </w:r>
          </w:p>
        </w:tc>
        <w:tc>
          <w:tcPr>
            <w:tcW w:w="2492" w:type="dxa"/>
            <w:vAlign w:val="center"/>
          </w:tcPr>
          <w:p>
            <w:pPr>
              <w:pStyle w:val="137"/>
              <w:spacing w:line="240" w:lineRule="exact"/>
              <w:jc w:val="both"/>
              <w:rPr>
                <w:rFonts w:ascii="Times New Roman" w:hAnsi="Times New Roman"/>
                <w:color w:val="auto"/>
                <w:spacing w:val="15"/>
                <w:sz w:val="21"/>
                <w:szCs w:val="21"/>
                <w:highlight w:val="none"/>
                <w:lang w:eastAsia="zh-CN"/>
              </w:rPr>
            </w:pPr>
            <w:r>
              <w:rPr>
                <w:rFonts w:ascii="Times New Roman" w:hAnsi="Times New Roman"/>
                <w:color w:val="auto"/>
                <w:spacing w:val="15"/>
                <w:sz w:val="21"/>
                <w:szCs w:val="21"/>
                <w:highlight w:val="none"/>
                <w:lang w:eastAsia="zh-CN"/>
              </w:rPr>
              <w:t>本项目同时配套建设环保设施，并编制环境风险应急预案，要求企业在竣工后依法申请项目竣工环境保护验收。</w:t>
            </w:r>
          </w:p>
        </w:tc>
        <w:tc>
          <w:tcPr>
            <w:tcW w:w="880" w:type="dxa"/>
            <w:vAlign w:val="center"/>
          </w:tcPr>
          <w:p>
            <w:pPr>
              <w:pStyle w:val="137"/>
              <w:spacing w:line="24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767" w:type="dxa"/>
            <w:vMerge w:val="continue"/>
            <w:vAlign w:val="center"/>
          </w:tcPr>
          <w:p>
            <w:pPr>
              <w:pStyle w:val="137"/>
              <w:spacing w:line="240" w:lineRule="exact"/>
              <w:rPr>
                <w:rFonts w:ascii="Times New Roman" w:hAnsi="Times New Roman"/>
                <w:color w:val="auto"/>
                <w:sz w:val="21"/>
                <w:szCs w:val="21"/>
                <w:highlight w:val="none"/>
                <w:lang w:eastAsia="zh-CN"/>
              </w:rPr>
            </w:pPr>
          </w:p>
        </w:tc>
        <w:tc>
          <w:tcPr>
            <w:tcW w:w="4819" w:type="dxa"/>
            <w:vAlign w:val="center"/>
          </w:tcPr>
          <w:p>
            <w:pPr>
              <w:pStyle w:val="137"/>
              <w:spacing w:line="240" w:lineRule="exact"/>
              <w:jc w:val="both"/>
              <w:rPr>
                <w:rFonts w:ascii="Times New Roman" w:hAnsi="Times New Roman"/>
                <w:color w:val="auto"/>
                <w:sz w:val="21"/>
                <w:szCs w:val="21"/>
                <w:highlight w:val="none"/>
                <w:lang w:eastAsia="zh-CN"/>
              </w:rPr>
            </w:pPr>
            <w:r>
              <w:rPr>
                <w:rFonts w:ascii="Times New Roman" w:hAnsi="Times New Roman"/>
                <w:color w:val="auto"/>
                <w:sz w:val="21"/>
                <w:szCs w:val="21"/>
                <w:highlight w:val="none"/>
                <w:lang w:eastAsia="zh-CN"/>
              </w:rPr>
              <w:t>企业加工存储场地应建有围墙，在园区内的企业可为单独厂房，地面全部硬化且无明显破损现象</w:t>
            </w:r>
          </w:p>
        </w:tc>
        <w:tc>
          <w:tcPr>
            <w:tcW w:w="2492" w:type="dxa"/>
            <w:vAlign w:val="center"/>
          </w:tcPr>
          <w:p>
            <w:pPr>
              <w:pStyle w:val="137"/>
              <w:spacing w:line="240" w:lineRule="exact"/>
              <w:jc w:val="both"/>
              <w:rPr>
                <w:rFonts w:ascii="Times New Roman" w:hAnsi="Times New Roman"/>
                <w:color w:val="auto"/>
                <w:spacing w:val="15"/>
                <w:sz w:val="21"/>
                <w:szCs w:val="21"/>
                <w:highlight w:val="none"/>
                <w:lang w:eastAsia="zh-CN"/>
              </w:rPr>
            </w:pPr>
            <w:r>
              <w:rPr>
                <w:rFonts w:ascii="Times New Roman" w:hAnsi="Times New Roman"/>
                <w:color w:val="auto"/>
                <w:spacing w:val="15"/>
                <w:sz w:val="21"/>
                <w:szCs w:val="21"/>
                <w:highlight w:val="none"/>
                <w:lang w:eastAsia="zh-CN"/>
              </w:rPr>
              <w:t>企业加工存储场地均在厂房内，地面全部硬化</w:t>
            </w:r>
          </w:p>
        </w:tc>
        <w:tc>
          <w:tcPr>
            <w:tcW w:w="880" w:type="dxa"/>
            <w:vAlign w:val="center"/>
          </w:tcPr>
          <w:p>
            <w:pPr>
              <w:pStyle w:val="137"/>
              <w:spacing w:line="24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767" w:type="dxa"/>
            <w:vMerge w:val="continue"/>
            <w:vAlign w:val="center"/>
          </w:tcPr>
          <w:p>
            <w:pPr>
              <w:pStyle w:val="137"/>
              <w:spacing w:line="240" w:lineRule="exact"/>
              <w:rPr>
                <w:rFonts w:ascii="Times New Roman" w:hAnsi="Times New Roman"/>
                <w:color w:val="auto"/>
                <w:sz w:val="21"/>
                <w:szCs w:val="21"/>
                <w:highlight w:val="none"/>
              </w:rPr>
            </w:pPr>
          </w:p>
        </w:tc>
        <w:tc>
          <w:tcPr>
            <w:tcW w:w="4819" w:type="dxa"/>
            <w:vAlign w:val="center"/>
          </w:tcPr>
          <w:p>
            <w:pPr>
              <w:pStyle w:val="137"/>
              <w:spacing w:line="240" w:lineRule="exact"/>
              <w:jc w:val="both"/>
              <w:rPr>
                <w:rFonts w:ascii="Times New Roman" w:hAnsi="Times New Roman"/>
                <w:color w:val="auto"/>
                <w:sz w:val="21"/>
                <w:szCs w:val="21"/>
                <w:highlight w:val="none"/>
                <w:lang w:eastAsia="zh-CN"/>
              </w:rPr>
            </w:pPr>
            <w:r>
              <w:rPr>
                <w:rFonts w:ascii="Times New Roman" w:hAnsi="Times New Roman"/>
                <w:color w:val="auto"/>
                <w:sz w:val="21"/>
                <w:szCs w:val="21"/>
                <w:highlight w:val="none"/>
                <w:lang w:eastAsia="zh-CN"/>
              </w:rPr>
              <w:t>企业必须配备废塑料分类存放场所。原料、产品、本企业不能利用废塑料及不可利用废物贮存在具有防雨、防风、防渗等功能的厂房或加盖雨棚的专门贮存场地内，无露天堆放现象。企业厂区管网建设应达到“雨污分流”要求。</w:t>
            </w:r>
          </w:p>
        </w:tc>
        <w:tc>
          <w:tcPr>
            <w:tcW w:w="2492" w:type="dxa"/>
            <w:vAlign w:val="center"/>
          </w:tcPr>
          <w:p>
            <w:pPr>
              <w:pStyle w:val="137"/>
              <w:spacing w:line="240" w:lineRule="exact"/>
              <w:jc w:val="both"/>
              <w:rPr>
                <w:rFonts w:ascii="Times New Roman" w:hAnsi="Times New Roman"/>
                <w:color w:val="auto"/>
                <w:spacing w:val="15"/>
                <w:sz w:val="21"/>
                <w:szCs w:val="21"/>
                <w:highlight w:val="none"/>
                <w:lang w:eastAsia="zh-CN"/>
              </w:rPr>
            </w:pPr>
            <w:r>
              <w:rPr>
                <w:rFonts w:ascii="Times New Roman" w:hAnsi="Times New Roman"/>
                <w:color w:val="auto"/>
                <w:spacing w:val="15"/>
                <w:sz w:val="21"/>
                <w:szCs w:val="21"/>
                <w:highlight w:val="none"/>
                <w:lang w:eastAsia="zh-CN"/>
              </w:rPr>
              <w:t>企业将原料进行分类分区存放，本项目不能综合利用的一般固体废物放置在固废暂存库中，本项目厂区实现雨污分流</w:t>
            </w:r>
          </w:p>
        </w:tc>
        <w:tc>
          <w:tcPr>
            <w:tcW w:w="880" w:type="dxa"/>
            <w:vAlign w:val="center"/>
          </w:tcPr>
          <w:p>
            <w:pPr>
              <w:pStyle w:val="137"/>
              <w:spacing w:line="24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767" w:type="dxa"/>
            <w:vMerge w:val="continue"/>
            <w:vAlign w:val="center"/>
          </w:tcPr>
          <w:p>
            <w:pPr>
              <w:pStyle w:val="137"/>
              <w:spacing w:line="240" w:lineRule="exact"/>
              <w:rPr>
                <w:rFonts w:ascii="Times New Roman" w:hAnsi="Times New Roman"/>
                <w:color w:val="auto"/>
                <w:sz w:val="21"/>
                <w:szCs w:val="21"/>
                <w:highlight w:val="none"/>
              </w:rPr>
            </w:pPr>
          </w:p>
        </w:tc>
        <w:tc>
          <w:tcPr>
            <w:tcW w:w="4819" w:type="dxa"/>
            <w:vAlign w:val="center"/>
          </w:tcPr>
          <w:p>
            <w:pPr>
              <w:pStyle w:val="137"/>
              <w:spacing w:line="240" w:lineRule="exact"/>
              <w:jc w:val="both"/>
              <w:rPr>
                <w:rFonts w:ascii="Times New Roman" w:hAnsi="Times New Roman"/>
                <w:color w:val="auto"/>
                <w:sz w:val="21"/>
                <w:szCs w:val="21"/>
                <w:highlight w:val="none"/>
                <w:lang w:eastAsia="zh-CN"/>
              </w:rPr>
            </w:pPr>
            <w:r>
              <w:rPr>
                <w:rFonts w:ascii="Times New Roman" w:hAnsi="Times New Roman"/>
                <w:color w:val="auto"/>
                <w:sz w:val="21"/>
                <w:szCs w:val="21"/>
                <w:highlight w:val="none"/>
                <w:lang w:eastAsia="zh-CN"/>
              </w:rPr>
              <w:t>企业对收集的废塑料中的金属、橡胶、纤维、渣土、油脂、添加物等夹杂物，应采取相应的处理措施。如企业不具备处理条件，应委托其他具有处理能力的企业处理，不得擅自丢弃、倾倒、焚烧与填埋。</w:t>
            </w:r>
          </w:p>
        </w:tc>
        <w:tc>
          <w:tcPr>
            <w:tcW w:w="2492" w:type="dxa"/>
            <w:vAlign w:val="center"/>
          </w:tcPr>
          <w:p>
            <w:pPr>
              <w:pStyle w:val="137"/>
              <w:spacing w:line="240" w:lineRule="exact"/>
              <w:jc w:val="both"/>
              <w:rPr>
                <w:rFonts w:ascii="Times New Roman" w:hAnsi="Times New Roman"/>
                <w:color w:val="auto"/>
                <w:spacing w:val="15"/>
                <w:sz w:val="21"/>
                <w:szCs w:val="21"/>
                <w:highlight w:val="none"/>
                <w:lang w:eastAsia="zh-CN"/>
              </w:rPr>
            </w:pPr>
            <w:r>
              <w:rPr>
                <w:rFonts w:ascii="Times New Roman" w:hAnsi="Times New Roman"/>
                <w:color w:val="auto"/>
                <w:spacing w:val="15"/>
                <w:sz w:val="21"/>
                <w:szCs w:val="21"/>
                <w:highlight w:val="none"/>
                <w:lang w:eastAsia="zh-CN"/>
              </w:rPr>
              <w:t>本项目</w:t>
            </w:r>
            <w:r>
              <w:rPr>
                <w:rFonts w:hint="eastAsia" w:ascii="Times New Roman" w:hAnsi="Times New Roman"/>
                <w:color w:val="auto"/>
                <w:spacing w:val="15"/>
                <w:sz w:val="21"/>
                <w:szCs w:val="21"/>
                <w:highlight w:val="none"/>
                <w:lang w:eastAsia="zh-CN"/>
              </w:rPr>
              <w:t>不涉及废旧塑料分拣</w:t>
            </w:r>
          </w:p>
        </w:tc>
        <w:tc>
          <w:tcPr>
            <w:tcW w:w="880" w:type="dxa"/>
            <w:vAlign w:val="center"/>
          </w:tcPr>
          <w:p>
            <w:pPr>
              <w:pStyle w:val="137"/>
              <w:spacing w:line="24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767" w:type="dxa"/>
            <w:vMerge w:val="continue"/>
            <w:vAlign w:val="center"/>
          </w:tcPr>
          <w:p>
            <w:pPr>
              <w:pStyle w:val="137"/>
              <w:spacing w:line="240" w:lineRule="exact"/>
              <w:rPr>
                <w:rFonts w:ascii="Times New Roman" w:hAnsi="Times New Roman"/>
                <w:color w:val="auto"/>
                <w:sz w:val="21"/>
                <w:szCs w:val="21"/>
                <w:highlight w:val="none"/>
              </w:rPr>
            </w:pPr>
          </w:p>
        </w:tc>
        <w:tc>
          <w:tcPr>
            <w:tcW w:w="4819" w:type="dxa"/>
            <w:vAlign w:val="center"/>
          </w:tcPr>
          <w:p>
            <w:pPr>
              <w:pStyle w:val="137"/>
              <w:spacing w:line="240" w:lineRule="exact"/>
              <w:jc w:val="both"/>
              <w:rPr>
                <w:rFonts w:ascii="Times New Roman" w:hAnsi="Times New Roman"/>
                <w:color w:val="auto"/>
                <w:sz w:val="21"/>
                <w:szCs w:val="21"/>
                <w:highlight w:val="none"/>
                <w:lang w:eastAsia="zh-CN"/>
              </w:rPr>
            </w:pPr>
            <w:r>
              <w:rPr>
                <w:rFonts w:ascii="Times New Roman" w:hAnsi="Times New Roman"/>
                <w:color w:val="auto"/>
                <w:sz w:val="21"/>
                <w:szCs w:val="21"/>
                <w:highlight w:val="none"/>
                <w:lang w:eastAsia="zh-CN"/>
              </w:rPr>
              <w:t>企业应具有与加工利用能力相适应的废水处理设施，中水回用率必须符合环评文件的有关要求。废水处理后需要外排的废水，必须经处理后达标排放。企业应采用高效节能环保的污泥处理工艺, 或交由具有处理资格的废物处理机构,实现污泥无害化处理。除具有获批建设、验收合格的专业盐卤废水处理设施，禁止使用盐卤分选工艺。</w:t>
            </w:r>
          </w:p>
        </w:tc>
        <w:tc>
          <w:tcPr>
            <w:tcW w:w="2492" w:type="dxa"/>
            <w:vAlign w:val="center"/>
          </w:tcPr>
          <w:p>
            <w:pPr>
              <w:pStyle w:val="137"/>
              <w:spacing w:line="240" w:lineRule="exact"/>
              <w:jc w:val="both"/>
              <w:rPr>
                <w:rFonts w:ascii="Times New Roman" w:hAnsi="Times New Roman"/>
                <w:color w:val="auto"/>
                <w:spacing w:val="15"/>
                <w:sz w:val="21"/>
                <w:szCs w:val="21"/>
                <w:highlight w:val="none"/>
                <w:lang w:eastAsia="zh-CN"/>
              </w:rPr>
            </w:pPr>
            <w:r>
              <w:rPr>
                <w:rFonts w:ascii="Times New Roman" w:hAnsi="Times New Roman"/>
                <w:color w:val="auto"/>
                <w:spacing w:val="15"/>
                <w:sz w:val="21"/>
                <w:szCs w:val="21"/>
                <w:highlight w:val="none"/>
                <w:lang w:eastAsia="zh-CN"/>
              </w:rPr>
              <w:t>项目</w:t>
            </w:r>
            <w:r>
              <w:rPr>
                <w:rFonts w:hint="eastAsia" w:ascii="Times New Roman" w:hAnsi="Times New Roman"/>
                <w:color w:val="auto"/>
                <w:spacing w:val="15"/>
                <w:sz w:val="21"/>
                <w:szCs w:val="21"/>
                <w:highlight w:val="none"/>
                <w:lang w:eastAsia="zh-CN"/>
              </w:rPr>
              <w:t>不涉及废旧塑料清洗，无</w:t>
            </w:r>
            <w:r>
              <w:rPr>
                <w:rFonts w:ascii="Times New Roman" w:hAnsi="Times New Roman"/>
                <w:color w:val="auto"/>
                <w:spacing w:val="15"/>
                <w:sz w:val="21"/>
                <w:szCs w:val="21"/>
                <w:highlight w:val="none"/>
                <w:lang w:eastAsia="zh-CN"/>
              </w:rPr>
              <w:t>生产废水</w:t>
            </w:r>
          </w:p>
        </w:tc>
        <w:tc>
          <w:tcPr>
            <w:tcW w:w="880" w:type="dxa"/>
            <w:vAlign w:val="center"/>
          </w:tcPr>
          <w:p>
            <w:pPr>
              <w:pStyle w:val="137"/>
              <w:spacing w:line="24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767" w:type="dxa"/>
            <w:vMerge w:val="continue"/>
            <w:vAlign w:val="center"/>
          </w:tcPr>
          <w:p>
            <w:pPr>
              <w:pStyle w:val="137"/>
              <w:spacing w:line="240" w:lineRule="exact"/>
              <w:rPr>
                <w:rFonts w:ascii="Times New Roman" w:hAnsi="Times New Roman"/>
                <w:color w:val="auto"/>
                <w:sz w:val="21"/>
                <w:szCs w:val="21"/>
                <w:highlight w:val="none"/>
              </w:rPr>
            </w:pPr>
          </w:p>
        </w:tc>
        <w:tc>
          <w:tcPr>
            <w:tcW w:w="4819" w:type="dxa"/>
            <w:vAlign w:val="center"/>
          </w:tcPr>
          <w:p>
            <w:pPr>
              <w:pStyle w:val="137"/>
              <w:spacing w:line="240" w:lineRule="exact"/>
              <w:jc w:val="both"/>
              <w:rPr>
                <w:rFonts w:ascii="Times New Roman" w:hAnsi="Times New Roman"/>
                <w:color w:val="auto"/>
                <w:sz w:val="21"/>
                <w:szCs w:val="21"/>
                <w:highlight w:val="none"/>
                <w:lang w:eastAsia="zh-CN"/>
              </w:rPr>
            </w:pPr>
            <w:r>
              <w:rPr>
                <w:rFonts w:ascii="Times New Roman" w:hAnsi="Times New Roman"/>
                <w:color w:val="auto"/>
                <w:sz w:val="21"/>
                <w:szCs w:val="21"/>
                <w:highlight w:val="none"/>
                <w:lang w:eastAsia="zh-CN"/>
              </w:rPr>
              <w:t>再生加工过程中产生废气、粉尘的加工车间应设置废气、粉尘收集处理设施，通过净化处理，达标后排放。</w:t>
            </w:r>
          </w:p>
        </w:tc>
        <w:tc>
          <w:tcPr>
            <w:tcW w:w="2492" w:type="dxa"/>
            <w:vAlign w:val="center"/>
          </w:tcPr>
          <w:p>
            <w:pPr>
              <w:pStyle w:val="137"/>
              <w:spacing w:line="240" w:lineRule="exact"/>
              <w:jc w:val="both"/>
              <w:rPr>
                <w:rFonts w:ascii="Times New Roman" w:hAnsi="Times New Roman"/>
                <w:color w:val="auto"/>
                <w:spacing w:val="15"/>
                <w:sz w:val="21"/>
                <w:szCs w:val="21"/>
                <w:highlight w:val="none"/>
                <w:lang w:eastAsia="zh-CN"/>
              </w:rPr>
            </w:pPr>
            <w:r>
              <w:rPr>
                <w:rFonts w:ascii="Times New Roman" w:hAnsi="Times New Roman"/>
                <w:color w:val="auto"/>
                <w:spacing w:val="15"/>
                <w:sz w:val="21"/>
                <w:szCs w:val="21"/>
                <w:highlight w:val="none"/>
                <w:lang w:eastAsia="zh-CN"/>
              </w:rPr>
              <w:t>本项目</w:t>
            </w:r>
            <w:r>
              <w:rPr>
                <w:rFonts w:ascii="Times New Roman" w:hAnsi="Times New Roman" w:eastAsia="宋体"/>
                <w:bCs/>
                <w:color w:val="auto"/>
                <w:sz w:val="21"/>
                <w:szCs w:val="21"/>
                <w:highlight w:val="none"/>
                <w:lang w:eastAsia="zh-CN"/>
              </w:rPr>
              <w:t>挤出成型、熔融造粒、注塑</w:t>
            </w:r>
            <w:r>
              <w:rPr>
                <w:rFonts w:hint="eastAsia" w:ascii="Times New Roman" w:eastAsia="宋体"/>
                <w:bCs/>
                <w:color w:val="auto"/>
                <w:sz w:val="21"/>
                <w:szCs w:val="21"/>
                <w:highlight w:val="none"/>
                <w:lang w:eastAsia="zh-CN"/>
              </w:rPr>
              <w:t>、破碎</w:t>
            </w:r>
            <w:r>
              <w:rPr>
                <w:rFonts w:ascii="Times New Roman" w:hAnsi="Times New Roman" w:eastAsia="宋体"/>
                <w:bCs/>
                <w:color w:val="auto"/>
                <w:sz w:val="21"/>
                <w:szCs w:val="21"/>
                <w:highlight w:val="none"/>
                <w:lang w:eastAsia="zh-CN"/>
              </w:rPr>
              <w:t>废气</w:t>
            </w:r>
            <w:r>
              <w:rPr>
                <w:rFonts w:hint="eastAsia" w:ascii="Times New Roman" w:hAnsi="Times New Roman" w:eastAsia="宋体"/>
                <w:bCs/>
                <w:color w:val="auto"/>
                <w:sz w:val="21"/>
                <w:szCs w:val="21"/>
                <w:highlight w:val="none"/>
                <w:lang w:eastAsia="zh-CN"/>
              </w:rPr>
              <w:t>经</w:t>
            </w:r>
            <w:r>
              <w:rPr>
                <w:rFonts w:ascii="Times New Roman" w:hAnsi="Times New Roman"/>
                <w:color w:val="auto"/>
                <w:sz w:val="21"/>
                <w:szCs w:val="21"/>
                <w:highlight w:val="none"/>
                <w:lang w:eastAsia="zh-CN"/>
              </w:rPr>
              <w:t>布袋除尘+活性炭吸附浓缩+催化燃烧+</w:t>
            </w:r>
            <w:r>
              <w:rPr>
                <w:rFonts w:hint="eastAsia" w:ascii="Times New Roman" w:hAnsi="Times New Roman"/>
                <w:color w:val="auto"/>
                <w:sz w:val="21"/>
                <w:szCs w:val="21"/>
                <w:highlight w:val="none"/>
                <w:lang w:eastAsia="zh-CN"/>
              </w:rPr>
              <w:t>20m</w:t>
            </w:r>
            <w:r>
              <w:rPr>
                <w:rFonts w:ascii="Times New Roman" w:hAnsi="Times New Roman"/>
                <w:color w:val="auto"/>
                <w:sz w:val="21"/>
                <w:szCs w:val="21"/>
                <w:highlight w:val="none"/>
                <w:lang w:eastAsia="zh-CN"/>
              </w:rPr>
              <w:t>高排气筒</w:t>
            </w:r>
            <w:r>
              <w:rPr>
                <w:rFonts w:hint="eastAsia"/>
                <w:color w:val="auto"/>
                <w:sz w:val="21"/>
                <w:szCs w:val="21"/>
                <w:highlight w:val="none"/>
                <w:lang w:eastAsia="zh-CN"/>
              </w:rPr>
              <w:t>（DA001）</w:t>
            </w:r>
            <w:r>
              <w:rPr>
                <w:rFonts w:ascii="Times New Roman" w:hAnsi="Times New Roman"/>
                <w:color w:val="auto"/>
                <w:spacing w:val="15"/>
                <w:sz w:val="21"/>
                <w:szCs w:val="21"/>
                <w:highlight w:val="none"/>
                <w:lang w:eastAsia="zh-CN"/>
              </w:rPr>
              <w:t>排放</w:t>
            </w:r>
          </w:p>
        </w:tc>
        <w:tc>
          <w:tcPr>
            <w:tcW w:w="880" w:type="dxa"/>
            <w:vAlign w:val="center"/>
          </w:tcPr>
          <w:p>
            <w:pPr>
              <w:pStyle w:val="137"/>
              <w:spacing w:line="24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767" w:type="dxa"/>
            <w:vMerge w:val="continue"/>
            <w:vAlign w:val="center"/>
          </w:tcPr>
          <w:p>
            <w:pPr>
              <w:pStyle w:val="137"/>
              <w:spacing w:line="240" w:lineRule="exact"/>
              <w:rPr>
                <w:rFonts w:ascii="Times New Roman" w:hAnsi="Times New Roman"/>
                <w:color w:val="auto"/>
                <w:sz w:val="21"/>
                <w:szCs w:val="21"/>
                <w:highlight w:val="none"/>
              </w:rPr>
            </w:pPr>
          </w:p>
        </w:tc>
        <w:tc>
          <w:tcPr>
            <w:tcW w:w="4819" w:type="dxa"/>
            <w:vAlign w:val="center"/>
          </w:tcPr>
          <w:p>
            <w:pPr>
              <w:pStyle w:val="137"/>
              <w:spacing w:line="240" w:lineRule="exact"/>
              <w:jc w:val="both"/>
              <w:rPr>
                <w:rFonts w:ascii="Times New Roman" w:hAnsi="Times New Roman"/>
                <w:color w:val="auto"/>
                <w:sz w:val="21"/>
                <w:szCs w:val="21"/>
                <w:highlight w:val="none"/>
                <w:lang w:eastAsia="zh-CN"/>
              </w:rPr>
            </w:pPr>
            <w:r>
              <w:rPr>
                <w:rFonts w:ascii="Times New Roman" w:hAnsi="Times New Roman"/>
                <w:color w:val="auto"/>
                <w:sz w:val="21"/>
                <w:szCs w:val="21"/>
                <w:highlight w:val="none"/>
                <w:lang w:eastAsia="zh-CN"/>
              </w:rPr>
              <w:t>对于加工过程中噪音污染大的设备，必须采取降噪和隔音措施，企业噪声应达到《工业企业厂界环境噪声排放标准》。</w:t>
            </w:r>
          </w:p>
        </w:tc>
        <w:tc>
          <w:tcPr>
            <w:tcW w:w="2492" w:type="dxa"/>
            <w:vAlign w:val="center"/>
          </w:tcPr>
          <w:p>
            <w:pPr>
              <w:pStyle w:val="137"/>
              <w:spacing w:line="240" w:lineRule="exact"/>
              <w:jc w:val="both"/>
              <w:rPr>
                <w:rFonts w:ascii="Times New Roman" w:hAnsi="Times New Roman"/>
                <w:color w:val="auto"/>
                <w:spacing w:val="15"/>
                <w:sz w:val="21"/>
                <w:szCs w:val="21"/>
                <w:highlight w:val="none"/>
                <w:lang w:eastAsia="zh-CN"/>
              </w:rPr>
            </w:pPr>
            <w:r>
              <w:rPr>
                <w:rFonts w:ascii="Times New Roman" w:hAnsi="Times New Roman"/>
                <w:color w:val="auto"/>
                <w:spacing w:val="15"/>
                <w:sz w:val="21"/>
                <w:szCs w:val="21"/>
                <w:highlight w:val="none"/>
                <w:lang w:eastAsia="zh-CN"/>
              </w:rPr>
              <w:t>本项目对噪音大的设备采取减震和隔声等措施使企业噪声满足《工业企业厂界环境噪声排放标准》</w:t>
            </w:r>
            <w:r>
              <w:rPr>
                <w:rFonts w:hint="eastAsia" w:ascii="Times New Roman" w:hAnsi="Times New Roman"/>
                <w:color w:val="auto"/>
                <w:spacing w:val="15"/>
                <w:sz w:val="21"/>
                <w:szCs w:val="21"/>
                <w:highlight w:val="none"/>
                <w:lang w:eastAsia="zh-CN"/>
              </w:rPr>
              <w:t>2</w:t>
            </w:r>
            <w:r>
              <w:rPr>
                <w:rFonts w:ascii="Times New Roman" w:hAnsi="Times New Roman"/>
                <w:color w:val="auto"/>
                <w:spacing w:val="15"/>
                <w:sz w:val="21"/>
                <w:szCs w:val="21"/>
                <w:highlight w:val="none"/>
                <w:lang w:eastAsia="zh-CN"/>
              </w:rPr>
              <w:t>类标准</w:t>
            </w:r>
          </w:p>
        </w:tc>
        <w:tc>
          <w:tcPr>
            <w:tcW w:w="880" w:type="dxa"/>
            <w:vAlign w:val="center"/>
          </w:tcPr>
          <w:p>
            <w:pPr>
              <w:pStyle w:val="137"/>
              <w:spacing w:line="24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767" w:type="dxa"/>
            <w:vAlign w:val="center"/>
          </w:tcPr>
          <w:p>
            <w:pPr>
              <w:pStyle w:val="137"/>
              <w:spacing w:line="240" w:lineRule="exact"/>
              <w:rPr>
                <w:rFonts w:ascii="Times New Roman" w:hAnsi="Times New Roman"/>
                <w:color w:val="auto"/>
                <w:sz w:val="21"/>
                <w:szCs w:val="21"/>
                <w:highlight w:val="none"/>
              </w:rPr>
            </w:pPr>
            <w:r>
              <w:rPr>
                <w:rFonts w:ascii="Times New Roman" w:hAnsi="Times New Roman"/>
                <w:color w:val="auto"/>
                <w:sz w:val="21"/>
                <w:szCs w:val="21"/>
                <w:highlight w:val="none"/>
              </w:rPr>
              <w:t>防火安全</w:t>
            </w:r>
          </w:p>
        </w:tc>
        <w:tc>
          <w:tcPr>
            <w:tcW w:w="4819" w:type="dxa"/>
            <w:vAlign w:val="center"/>
          </w:tcPr>
          <w:p>
            <w:pPr>
              <w:pStyle w:val="137"/>
              <w:spacing w:line="240" w:lineRule="exact"/>
              <w:jc w:val="both"/>
              <w:rPr>
                <w:rFonts w:ascii="Times New Roman" w:hAnsi="Times New Roman"/>
                <w:color w:val="auto"/>
                <w:sz w:val="21"/>
                <w:szCs w:val="21"/>
                <w:highlight w:val="none"/>
                <w:lang w:eastAsia="zh-CN"/>
              </w:rPr>
            </w:pPr>
            <w:r>
              <w:rPr>
                <w:rFonts w:ascii="Times New Roman" w:hAnsi="Times New Roman"/>
                <w:color w:val="auto"/>
                <w:sz w:val="21"/>
                <w:szCs w:val="21"/>
                <w:highlight w:val="none"/>
                <w:lang w:eastAsia="zh-CN"/>
              </w:rPr>
              <w:t>企业应严格执行《中华人民共和国消防法》的各项规定。生产厂房、仓库、堆场等场所的防火设计、施工和验收应符合国家现行相关标准的要求； 生产厂房、仓库、堆场等场所内应严禁烟火，不可存放任何易燃性物质，并应设置严禁烟火标志； 生产与使用化学药剂的生产区域应符合相关防火、防爆的要求。</w:t>
            </w:r>
          </w:p>
        </w:tc>
        <w:tc>
          <w:tcPr>
            <w:tcW w:w="2492" w:type="dxa"/>
            <w:vAlign w:val="center"/>
          </w:tcPr>
          <w:p>
            <w:pPr>
              <w:pStyle w:val="137"/>
              <w:spacing w:line="240" w:lineRule="exact"/>
              <w:jc w:val="both"/>
              <w:rPr>
                <w:rFonts w:ascii="Times New Roman" w:hAnsi="Times New Roman"/>
                <w:color w:val="auto"/>
                <w:spacing w:val="15"/>
                <w:sz w:val="21"/>
                <w:szCs w:val="21"/>
                <w:highlight w:val="none"/>
                <w:lang w:eastAsia="zh-CN"/>
              </w:rPr>
            </w:pPr>
            <w:r>
              <w:rPr>
                <w:rFonts w:ascii="Times New Roman" w:hAnsi="Times New Roman"/>
                <w:color w:val="auto"/>
                <w:spacing w:val="15"/>
                <w:sz w:val="21"/>
                <w:szCs w:val="21"/>
                <w:highlight w:val="none"/>
                <w:lang w:eastAsia="zh-CN"/>
              </w:rPr>
              <w:t>本项目生产厂房、仓库、原料和成品存放区等场所均按照相关消防标准要求进行设计，本项目生产区禁烟，生产车间内采取相应的防爆措施</w:t>
            </w:r>
          </w:p>
        </w:tc>
        <w:tc>
          <w:tcPr>
            <w:tcW w:w="880" w:type="dxa"/>
            <w:vAlign w:val="center"/>
          </w:tcPr>
          <w:p>
            <w:pPr>
              <w:pStyle w:val="137"/>
              <w:spacing w:line="24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符合</w:t>
            </w:r>
          </w:p>
        </w:tc>
      </w:tr>
    </w:tbl>
    <w:p>
      <w:pPr>
        <w:adjustRightInd w:val="0"/>
        <w:snapToGrid w:val="0"/>
        <w:spacing w:line="360" w:lineRule="auto"/>
        <w:ind w:firstLine="482"/>
        <w:rPr>
          <w:color w:val="auto"/>
          <w:highlight w:val="none"/>
        </w:rPr>
      </w:pPr>
      <w:r>
        <w:rPr>
          <w:color w:val="auto"/>
          <w:sz w:val="24"/>
          <w:highlight w:val="none"/>
        </w:rPr>
        <w:t>由上表可知，项目符合</w:t>
      </w:r>
      <w:r>
        <w:rPr>
          <w:rFonts w:hint="eastAsia"/>
          <w:color w:val="auto"/>
          <w:sz w:val="24"/>
          <w:highlight w:val="none"/>
        </w:rPr>
        <w:t>《废塑料综合利用行业规范条件》</w:t>
      </w:r>
      <w:r>
        <w:rPr>
          <w:color w:val="auto"/>
          <w:sz w:val="24"/>
          <w:highlight w:val="none"/>
        </w:rPr>
        <w:t>的相关规定。</w:t>
      </w:r>
    </w:p>
    <w:p>
      <w:pPr>
        <w:adjustRightInd w:val="0"/>
        <w:snapToGrid w:val="0"/>
        <w:spacing w:line="360" w:lineRule="auto"/>
        <w:ind w:firstLine="482"/>
        <w:rPr>
          <w:bCs/>
          <w:color w:val="auto"/>
          <w:sz w:val="24"/>
          <w:highlight w:val="none"/>
        </w:rPr>
      </w:pPr>
      <w:r>
        <w:rPr>
          <w:rFonts w:hint="eastAsia"/>
          <w:color w:val="auto"/>
          <w:sz w:val="24"/>
          <w:highlight w:val="none"/>
        </w:rPr>
        <w:t>10</w:t>
      </w:r>
      <w:r>
        <w:rPr>
          <w:color w:val="auto"/>
          <w:sz w:val="24"/>
          <w:highlight w:val="none"/>
        </w:rPr>
        <w:t>、</w:t>
      </w:r>
      <w:r>
        <w:rPr>
          <w:bCs/>
          <w:color w:val="auto"/>
          <w:sz w:val="24"/>
          <w:highlight w:val="none"/>
        </w:rPr>
        <w:t>与《山东省废塑料资源化行业污染防治技术政策》（DB37</w:t>
      </w:r>
      <w:r>
        <w:rPr>
          <w:rFonts w:hint="eastAsia"/>
          <w:bCs/>
          <w:color w:val="auto"/>
          <w:sz w:val="24"/>
          <w:highlight w:val="none"/>
        </w:rPr>
        <w:t>/</w:t>
      </w:r>
      <w:r>
        <w:rPr>
          <w:bCs/>
          <w:color w:val="auto"/>
          <w:sz w:val="24"/>
          <w:highlight w:val="none"/>
        </w:rPr>
        <w:t>T 1865－2011）符合性</w:t>
      </w:r>
    </w:p>
    <w:p>
      <w:pPr>
        <w:adjustRightInd w:val="0"/>
        <w:snapToGrid w:val="0"/>
        <w:jc w:val="center"/>
        <w:rPr>
          <w:rFonts w:ascii="黑体" w:hAnsi="黑体" w:eastAsia="黑体"/>
          <w:color w:val="auto"/>
          <w:sz w:val="24"/>
          <w:highlight w:val="none"/>
        </w:rPr>
      </w:pPr>
      <w:r>
        <w:rPr>
          <w:rFonts w:ascii="黑体" w:hAnsi="黑体" w:eastAsia="黑体"/>
          <w:color w:val="auto"/>
          <w:sz w:val="24"/>
          <w:highlight w:val="none"/>
        </w:rPr>
        <w:t>表</w:t>
      </w:r>
      <w:r>
        <w:rPr>
          <w:rFonts w:hint="eastAsia" w:ascii="黑体" w:hAnsi="黑体" w:eastAsia="黑体"/>
          <w:color w:val="auto"/>
          <w:sz w:val="24"/>
          <w:highlight w:val="none"/>
        </w:rPr>
        <w:t>9</w:t>
      </w:r>
      <w:r>
        <w:rPr>
          <w:rFonts w:ascii="黑体" w:hAnsi="黑体" w:eastAsia="黑体"/>
          <w:color w:val="auto"/>
          <w:sz w:val="24"/>
          <w:highlight w:val="none"/>
        </w:rPr>
        <w:t>.</w:t>
      </w:r>
      <w:r>
        <w:rPr>
          <w:rFonts w:hint="eastAsia" w:ascii="黑体" w:hAnsi="黑体" w:eastAsia="黑体"/>
          <w:color w:val="auto"/>
          <w:sz w:val="24"/>
          <w:highlight w:val="none"/>
        </w:rPr>
        <w:t>5-</w:t>
      </w:r>
      <w:r>
        <w:rPr>
          <w:rFonts w:hint="eastAsia" w:ascii="黑体" w:hAnsi="黑体" w:eastAsia="黑体"/>
          <w:color w:val="auto"/>
          <w:sz w:val="24"/>
          <w:highlight w:val="none"/>
          <w:lang w:val="en-US" w:eastAsia="zh-CN"/>
        </w:rPr>
        <w:t>10</w:t>
      </w:r>
      <w:r>
        <w:rPr>
          <w:rFonts w:ascii="黑体" w:hAnsi="黑体" w:eastAsia="黑体"/>
          <w:color w:val="auto"/>
          <w:sz w:val="24"/>
          <w:highlight w:val="none"/>
        </w:rPr>
        <w:t xml:space="preserve">  与《山东省废塑料资源化行业污染防治技术政策》符合性</w:t>
      </w:r>
    </w:p>
    <w:tbl>
      <w:tblPr>
        <w:tblStyle w:val="5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36"/>
        <w:gridCol w:w="4842"/>
        <w:gridCol w:w="3018"/>
        <w:gridCol w:w="87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36" w:type="dxa"/>
            <w:vAlign w:val="center"/>
          </w:tcPr>
          <w:p>
            <w:pPr>
              <w:pStyle w:val="1323"/>
              <w:tabs>
                <w:tab w:val="left" w:pos="3585"/>
                <w:tab w:val="left" w:pos="5655"/>
              </w:tabs>
              <w:adjustRightInd w:val="0"/>
              <w:snapToGrid w:val="0"/>
              <w:spacing w:before="0"/>
              <w:ind w:firstLine="0"/>
              <w:jc w:val="center"/>
              <w:rPr>
                <w:rFonts w:ascii="Times New Roman" w:hAnsi="Times New Roman" w:eastAsia="宋体"/>
                <w:b/>
                <w:bCs/>
                <w:color w:val="auto"/>
                <w:kern w:val="24"/>
                <w:sz w:val="21"/>
                <w:szCs w:val="21"/>
                <w:highlight w:val="none"/>
              </w:rPr>
            </w:pPr>
            <w:r>
              <w:rPr>
                <w:rFonts w:ascii="Times New Roman" w:hAnsi="Times New Roman" w:eastAsia="宋体"/>
                <w:b/>
                <w:bCs/>
                <w:color w:val="auto"/>
                <w:kern w:val="24"/>
                <w:sz w:val="21"/>
                <w:szCs w:val="21"/>
                <w:highlight w:val="none"/>
              </w:rPr>
              <w:t>序号</w:t>
            </w:r>
          </w:p>
        </w:tc>
        <w:tc>
          <w:tcPr>
            <w:tcW w:w="4842" w:type="dxa"/>
            <w:vAlign w:val="center"/>
          </w:tcPr>
          <w:p>
            <w:pPr>
              <w:pStyle w:val="1323"/>
              <w:tabs>
                <w:tab w:val="left" w:pos="3585"/>
                <w:tab w:val="left" w:pos="5655"/>
              </w:tabs>
              <w:adjustRightInd w:val="0"/>
              <w:snapToGrid w:val="0"/>
              <w:spacing w:before="0"/>
              <w:ind w:firstLine="0"/>
              <w:jc w:val="center"/>
              <w:rPr>
                <w:rFonts w:ascii="Times New Roman" w:hAnsi="Times New Roman" w:eastAsia="宋体"/>
                <w:b/>
                <w:bCs/>
                <w:color w:val="auto"/>
                <w:kern w:val="24"/>
                <w:sz w:val="21"/>
                <w:szCs w:val="21"/>
                <w:highlight w:val="none"/>
              </w:rPr>
            </w:pPr>
            <w:r>
              <w:rPr>
                <w:rFonts w:ascii="Times New Roman" w:hAnsi="Times New Roman" w:eastAsia="宋体"/>
                <w:b/>
                <w:bCs/>
                <w:color w:val="auto"/>
                <w:kern w:val="24"/>
                <w:sz w:val="21"/>
                <w:szCs w:val="21"/>
                <w:highlight w:val="none"/>
              </w:rPr>
              <w:t>《山东省废塑料资源化行业污染防治技术政策》具体规定</w:t>
            </w:r>
          </w:p>
        </w:tc>
        <w:tc>
          <w:tcPr>
            <w:tcW w:w="3018" w:type="dxa"/>
            <w:vAlign w:val="center"/>
          </w:tcPr>
          <w:p>
            <w:pPr>
              <w:pStyle w:val="1323"/>
              <w:tabs>
                <w:tab w:val="left" w:pos="3585"/>
                <w:tab w:val="left" w:pos="5655"/>
              </w:tabs>
              <w:adjustRightInd w:val="0"/>
              <w:snapToGrid w:val="0"/>
              <w:spacing w:before="0"/>
              <w:ind w:firstLine="0"/>
              <w:jc w:val="center"/>
              <w:rPr>
                <w:rFonts w:ascii="Times New Roman" w:hAnsi="Times New Roman" w:eastAsia="宋体"/>
                <w:b/>
                <w:bCs/>
                <w:color w:val="auto"/>
                <w:kern w:val="24"/>
                <w:sz w:val="21"/>
                <w:szCs w:val="21"/>
                <w:highlight w:val="none"/>
              </w:rPr>
            </w:pPr>
            <w:r>
              <w:rPr>
                <w:rFonts w:ascii="Times New Roman" w:hAnsi="Times New Roman" w:eastAsia="宋体"/>
                <w:b/>
                <w:bCs/>
                <w:color w:val="auto"/>
                <w:kern w:val="24"/>
                <w:sz w:val="21"/>
                <w:szCs w:val="21"/>
                <w:highlight w:val="none"/>
              </w:rPr>
              <w:t>建设项目情况</w:t>
            </w:r>
          </w:p>
        </w:tc>
        <w:tc>
          <w:tcPr>
            <w:tcW w:w="877" w:type="dxa"/>
            <w:vAlign w:val="center"/>
          </w:tcPr>
          <w:p>
            <w:pPr>
              <w:pStyle w:val="1323"/>
              <w:tabs>
                <w:tab w:val="left" w:pos="3585"/>
                <w:tab w:val="left" w:pos="5655"/>
              </w:tabs>
              <w:adjustRightInd w:val="0"/>
              <w:snapToGrid w:val="0"/>
              <w:spacing w:before="0"/>
              <w:ind w:firstLine="0"/>
              <w:jc w:val="center"/>
              <w:rPr>
                <w:rFonts w:ascii="Times New Roman" w:hAnsi="Times New Roman" w:eastAsia="宋体"/>
                <w:b/>
                <w:bCs/>
                <w:color w:val="auto"/>
                <w:kern w:val="24"/>
                <w:sz w:val="21"/>
                <w:szCs w:val="21"/>
                <w:highlight w:val="none"/>
              </w:rPr>
            </w:pPr>
            <w:r>
              <w:rPr>
                <w:rFonts w:ascii="Times New Roman" w:hAnsi="Times New Roman" w:eastAsia="宋体"/>
                <w:b/>
                <w:bCs/>
                <w:color w:val="auto"/>
                <w:kern w:val="24"/>
                <w:sz w:val="21"/>
                <w:szCs w:val="21"/>
                <w:highlight w:val="none"/>
              </w:rPr>
              <w:t>是否</w:t>
            </w:r>
          </w:p>
          <w:p>
            <w:pPr>
              <w:pStyle w:val="1323"/>
              <w:tabs>
                <w:tab w:val="left" w:pos="3585"/>
                <w:tab w:val="left" w:pos="5655"/>
              </w:tabs>
              <w:adjustRightInd w:val="0"/>
              <w:snapToGrid w:val="0"/>
              <w:spacing w:before="0"/>
              <w:ind w:firstLine="0"/>
              <w:jc w:val="center"/>
              <w:rPr>
                <w:rFonts w:ascii="Times New Roman" w:hAnsi="Times New Roman" w:eastAsia="宋体"/>
                <w:b/>
                <w:bCs/>
                <w:color w:val="auto"/>
                <w:kern w:val="24"/>
                <w:sz w:val="21"/>
                <w:szCs w:val="21"/>
                <w:highlight w:val="none"/>
              </w:rPr>
            </w:pPr>
            <w:r>
              <w:rPr>
                <w:rFonts w:ascii="Times New Roman" w:hAnsi="Times New Roman" w:eastAsia="宋体"/>
                <w:b/>
                <w:bCs/>
                <w:color w:val="auto"/>
                <w:kern w:val="24"/>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36" w:type="dxa"/>
            <w:vAlign w:val="center"/>
          </w:tcPr>
          <w:p>
            <w:pPr>
              <w:pStyle w:val="1323"/>
              <w:tabs>
                <w:tab w:val="left" w:pos="3585"/>
                <w:tab w:val="left" w:pos="5655"/>
              </w:tabs>
              <w:adjustRightInd w:val="0"/>
              <w:snapToGrid w:val="0"/>
              <w:spacing w:before="0"/>
              <w:ind w:firstLine="0"/>
              <w:jc w:val="center"/>
              <w:rPr>
                <w:rFonts w:ascii="Times New Roman" w:hAnsi="Times New Roman" w:eastAsia="宋体"/>
                <w:color w:val="auto"/>
                <w:kern w:val="24"/>
                <w:sz w:val="21"/>
                <w:szCs w:val="21"/>
                <w:highlight w:val="none"/>
              </w:rPr>
            </w:pPr>
            <w:r>
              <w:rPr>
                <w:rFonts w:ascii="Times New Roman" w:hAnsi="Times New Roman" w:eastAsia="宋体"/>
                <w:color w:val="auto"/>
                <w:kern w:val="24"/>
                <w:sz w:val="21"/>
                <w:szCs w:val="21"/>
                <w:highlight w:val="none"/>
              </w:rPr>
              <w:t>1</w:t>
            </w:r>
          </w:p>
        </w:tc>
        <w:tc>
          <w:tcPr>
            <w:tcW w:w="4842" w:type="dxa"/>
            <w:vAlign w:val="center"/>
          </w:tcPr>
          <w:p>
            <w:pPr>
              <w:pStyle w:val="1323"/>
              <w:tabs>
                <w:tab w:val="left" w:pos="3585"/>
                <w:tab w:val="left" w:pos="5655"/>
              </w:tabs>
              <w:adjustRightInd w:val="0"/>
              <w:snapToGrid w:val="0"/>
              <w:spacing w:before="0"/>
              <w:ind w:firstLine="0"/>
              <w:jc w:val="center"/>
              <w:rPr>
                <w:rFonts w:ascii="Times New Roman" w:hAnsi="Times New Roman" w:eastAsia="宋体"/>
                <w:color w:val="auto"/>
                <w:kern w:val="24"/>
                <w:sz w:val="21"/>
                <w:szCs w:val="21"/>
                <w:highlight w:val="none"/>
              </w:rPr>
            </w:pPr>
            <w:r>
              <w:rPr>
                <w:rFonts w:ascii="Times New Roman" w:hAnsi="Times New Roman" w:eastAsia="宋体"/>
                <w:color w:val="auto"/>
                <w:kern w:val="24"/>
                <w:sz w:val="21"/>
                <w:szCs w:val="21"/>
                <w:highlight w:val="none"/>
              </w:rPr>
              <w:t>在地方人民政府设立的工业区以外进行项目建设的，不得在城市规划区边界外2公里以内，省控重点河流两岸、高速公路、铁路干线及重要地下管网500米以内，城市居民区、商业区和其他需严防污染的食品、药品等企业周边1公里以内，国务院、国家有关部门和省、市人民政府规定的生态保护区、自然保护区、风景旅游区、文化遗产保护区、饮用水水源保护区内新建废塑料再生利用企业。已在上述区域内开工建设、投产运营的废塑料再生利用项目和企业，要通过搬迁、转产等方式逐步退出。</w:t>
            </w:r>
          </w:p>
        </w:tc>
        <w:tc>
          <w:tcPr>
            <w:tcW w:w="3018" w:type="dxa"/>
            <w:vAlign w:val="center"/>
          </w:tcPr>
          <w:p>
            <w:pPr>
              <w:pStyle w:val="1323"/>
              <w:tabs>
                <w:tab w:val="left" w:pos="3585"/>
                <w:tab w:val="left" w:pos="5655"/>
              </w:tabs>
              <w:adjustRightInd w:val="0"/>
              <w:snapToGrid w:val="0"/>
              <w:spacing w:before="0"/>
              <w:ind w:firstLine="0"/>
              <w:jc w:val="center"/>
              <w:rPr>
                <w:rFonts w:ascii="Times New Roman" w:hAnsi="Times New Roman" w:eastAsia="宋体"/>
                <w:color w:val="auto"/>
                <w:kern w:val="24"/>
                <w:sz w:val="21"/>
                <w:szCs w:val="21"/>
                <w:highlight w:val="none"/>
              </w:rPr>
            </w:pPr>
            <w:r>
              <w:rPr>
                <w:rFonts w:ascii="Times New Roman" w:hAnsi="Times New Roman" w:eastAsia="宋体"/>
                <w:color w:val="auto"/>
                <w:kern w:val="24"/>
                <w:sz w:val="21"/>
                <w:szCs w:val="21"/>
                <w:highlight w:val="none"/>
              </w:rPr>
              <w:t>项目不在上述区域</w:t>
            </w:r>
          </w:p>
        </w:tc>
        <w:tc>
          <w:tcPr>
            <w:tcW w:w="877" w:type="dxa"/>
            <w:vAlign w:val="center"/>
          </w:tcPr>
          <w:p>
            <w:pPr>
              <w:pStyle w:val="1323"/>
              <w:tabs>
                <w:tab w:val="left" w:pos="3585"/>
                <w:tab w:val="left" w:pos="5655"/>
              </w:tabs>
              <w:adjustRightInd w:val="0"/>
              <w:snapToGrid w:val="0"/>
              <w:spacing w:before="0"/>
              <w:ind w:firstLine="0"/>
              <w:jc w:val="center"/>
              <w:rPr>
                <w:rFonts w:ascii="Times New Roman" w:hAnsi="Times New Roman" w:eastAsia="宋体"/>
                <w:color w:val="auto"/>
                <w:kern w:val="24"/>
                <w:sz w:val="21"/>
                <w:szCs w:val="21"/>
                <w:highlight w:val="none"/>
              </w:rPr>
            </w:pPr>
            <w:r>
              <w:rPr>
                <w:rFonts w:ascii="Times New Roman" w:hAnsi="Times New Roman" w:eastAsia="宋体"/>
                <w:color w:val="auto"/>
                <w:kern w:val="24"/>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36" w:type="dxa"/>
            <w:vAlign w:val="center"/>
          </w:tcPr>
          <w:p>
            <w:pPr>
              <w:pStyle w:val="1323"/>
              <w:tabs>
                <w:tab w:val="left" w:pos="3585"/>
                <w:tab w:val="left" w:pos="5655"/>
              </w:tabs>
              <w:adjustRightInd w:val="0"/>
              <w:snapToGrid w:val="0"/>
              <w:spacing w:before="0"/>
              <w:ind w:firstLine="0"/>
              <w:jc w:val="center"/>
              <w:rPr>
                <w:rFonts w:ascii="Times New Roman" w:hAnsi="Times New Roman" w:eastAsia="宋体"/>
                <w:color w:val="auto"/>
                <w:kern w:val="24"/>
                <w:sz w:val="21"/>
                <w:szCs w:val="21"/>
                <w:highlight w:val="none"/>
              </w:rPr>
            </w:pPr>
            <w:r>
              <w:rPr>
                <w:rFonts w:ascii="Times New Roman" w:hAnsi="Times New Roman" w:eastAsia="宋体"/>
                <w:color w:val="auto"/>
                <w:kern w:val="24"/>
                <w:sz w:val="21"/>
                <w:szCs w:val="21"/>
                <w:highlight w:val="none"/>
              </w:rPr>
              <w:t>2</w:t>
            </w:r>
          </w:p>
        </w:tc>
        <w:tc>
          <w:tcPr>
            <w:tcW w:w="4842" w:type="dxa"/>
            <w:vAlign w:val="center"/>
          </w:tcPr>
          <w:p>
            <w:pPr>
              <w:pStyle w:val="1323"/>
              <w:tabs>
                <w:tab w:val="left" w:pos="3585"/>
                <w:tab w:val="left" w:pos="5655"/>
              </w:tabs>
              <w:adjustRightInd w:val="0"/>
              <w:snapToGrid w:val="0"/>
              <w:spacing w:before="0"/>
              <w:ind w:firstLine="0"/>
              <w:jc w:val="center"/>
              <w:rPr>
                <w:rFonts w:ascii="Times New Roman" w:hAnsi="Times New Roman" w:eastAsia="宋体"/>
                <w:color w:val="auto"/>
                <w:kern w:val="24"/>
                <w:sz w:val="21"/>
                <w:szCs w:val="21"/>
                <w:highlight w:val="none"/>
              </w:rPr>
            </w:pPr>
            <w:r>
              <w:rPr>
                <w:rFonts w:ascii="Times New Roman" w:hAnsi="Times New Roman" w:eastAsia="宋体"/>
                <w:color w:val="auto"/>
                <w:kern w:val="24"/>
                <w:sz w:val="21"/>
                <w:szCs w:val="21"/>
                <w:highlight w:val="none"/>
              </w:rPr>
              <w:t>废塑料再生利用项目和生产企业必须建有围墙并按功能划分厂区，包括管理区、原料贮存区、生产区、产品贮存区、污染控制区(包括不可利用的废物的贮存和处理区)。所有功能区必须有封闭或半封闭设施，必须设置防风、防雨、防渗、防火措施，并达到消防安全部门的规定</w:t>
            </w:r>
          </w:p>
        </w:tc>
        <w:tc>
          <w:tcPr>
            <w:tcW w:w="3018" w:type="dxa"/>
            <w:vAlign w:val="center"/>
          </w:tcPr>
          <w:p>
            <w:pPr>
              <w:pStyle w:val="1323"/>
              <w:tabs>
                <w:tab w:val="left" w:pos="3585"/>
                <w:tab w:val="left" w:pos="5655"/>
              </w:tabs>
              <w:adjustRightInd w:val="0"/>
              <w:snapToGrid w:val="0"/>
              <w:spacing w:before="0"/>
              <w:ind w:firstLine="0"/>
              <w:jc w:val="center"/>
              <w:rPr>
                <w:rFonts w:ascii="Times New Roman" w:hAnsi="Times New Roman" w:eastAsia="宋体"/>
                <w:color w:val="auto"/>
                <w:kern w:val="24"/>
                <w:sz w:val="21"/>
                <w:szCs w:val="21"/>
                <w:highlight w:val="none"/>
              </w:rPr>
            </w:pPr>
            <w:r>
              <w:rPr>
                <w:rFonts w:ascii="Times New Roman" w:hAnsi="Times New Roman" w:eastAsia="宋体"/>
                <w:color w:val="auto"/>
                <w:kern w:val="24"/>
                <w:sz w:val="21"/>
                <w:szCs w:val="21"/>
                <w:highlight w:val="none"/>
              </w:rPr>
              <w:t>项目按区域设置围墙和其他防控措施。</w:t>
            </w:r>
          </w:p>
        </w:tc>
        <w:tc>
          <w:tcPr>
            <w:tcW w:w="877" w:type="dxa"/>
            <w:vAlign w:val="center"/>
          </w:tcPr>
          <w:p>
            <w:pPr>
              <w:pStyle w:val="1323"/>
              <w:tabs>
                <w:tab w:val="left" w:pos="3585"/>
                <w:tab w:val="left" w:pos="5655"/>
              </w:tabs>
              <w:adjustRightInd w:val="0"/>
              <w:snapToGrid w:val="0"/>
              <w:spacing w:before="0"/>
              <w:ind w:firstLine="0"/>
              <w:jc w:val="center"/>
              <w:rPr>
                <w:rFonts w:ascii="Times New Roman" w:hAnsi="Times New Roman" w:eastAsia="宋体"/>
                <w:color w:val="auto"/>
                <w:kern w:val="24"/>
                <w:sz w:val="21"/>
                <w:szCs w:val="21"/>
                <w:highlight w:val="none"/>
              </w:rPr>
            </w:pPr>
            <w:r>
              <w:rPr>
                <w:rFonts w:ascii="Times New Roman" w:hAnsi="Times New Roman" w:eastAsia="宋体"/>
                <w:color w:val="auto"/>
                <w:kern w:val="24"/>
                <w:sz w:val="21"/>
                <w:szCs w:val="21"/>
                <w:highlight w:val="none"/>
              </w:rPr>
              <w:t>符合</w:t>
            </w:r>
          </w:p>
        </w:tc>
      </w:tr>
    </w:tbl>
    <w:p>
      <w:pPr>
        <w:adjustRightInd w:val="0"/>
        <w:snapToGrid w:val="0"/>
        <w:spacing w:line="360" w:lineRule="auto"/>
        <w:ind w:firstLine="480" w:firstLineChars="200"/>
        <w:rPr>
          <w:color w:val="auto"/>
          <w:sz w:val="24"/>
          <w:highlight w:val="none"/>
        </w:rPr>
      </w:pPr>
      <w:r>
        <w:rPr>
          <w:color w:val="auto"/>
          <w:sz w:val="24"/>
          <w:highlight w:val="none"/>
        </w:rPr>
        <w:t>由上表可知，项目符合《山东省废塑料资源化行业污染防治技术政策》的相关规定。</w:t>
      </w:r>
    </w:p>
    <w:p>
      <w:pPr>
        <w:adjustRightInd w:val="0"/>
        <w:snapToGrid w:val="0"/>
        <w:spacing w:line="360" w:lineRule="auto"/>
        <w:ind w:firstLine="480"/>
        <w:rPr>
          <w:color w:val="auto"/>
          <w:sz w:val="24"/>
          <w:highlight w:val="none"/>
        </w:rPr>
      </w:pPr>
      <w:r>
        <w:rPr>
          <w:rFonts w:hint="eastAsia"/>
          <w:color w:val="auto"/>
          <w:sz w:val="24"/>
          <w:highlight w:val="none"/>
        </w:rPr>
        <w:t>11</w:t>
      </w:r>
      <w:r>
        <w:rPr>
          <w:color w:val="auto"/>
          <w:sz w:val="24"/>
          <w:highlight w:val="none"/>
        </w:rPr>
        <w:t>、</w:t>
      </w:r>
      <w:r>
        <w:rPr>
          <w:bCs/>
          <w:color w:val="auto"/>
          <w:sz w:val="24"/>
          <w:highlight w:val="none"/>
        </w:rPr>
        <w:t>与《废塑料污染控制技术规范》（HJ364-</w:t>
      </w:r>
      <w:r>
        <w:rPr>
          <w:rFonts w:hint="eastAsia"/>
          <w:bCs/>
          <w:color w:val="auto"/>
          <w:sz w:val="24"/>
          <w:highlight w:val="none"/>
        </w:rPr>
        <w:t>2</w:t>
      </w:r>
      <w:r>
        <w:rPr>
          <w:rFonts w:hint="eastAsia"/>
          <w:color w:val="auto"/>
          <w:sz w:val="24"/>
          <w:highlight w:val="none"/>
        </w:rPr>
        <w:t>022</w:t>
      </w:r>
      <w:r>
        <w:rPr>
          <w:color w:val="auto"/>
          <w:sz w:val="24"/>
          <w:highlight w:val="none"/>
        </w:rPr>
        <w:t>）符合性</w:t>
      </w:r>
    </w:p>
    <w:p>
      <w:pPr>
        <w:adjustRightInd w:val="0"/>
        <w:snapToGrid w:val="0"/>
        <w:spacing w:line="360" w:lineRule="auto"/>
        <w:ind w:firstLine="480"/>
        <w:rPr>
          <w:color w:val="auto"/>
          <w:sz w:val="24"/>
          <w:highlight w:val="none"/>
        </w:rPr>
      </w:pPr>
      <w:r>
        <w:rPr>
          <w:color w:val="auto"/>
          <w:sz w:val="24"/>
          <w:highlight w:val="none"/>
        </w:rPr>
        <w:t>本项目</w:t>
      </w:r>
      <w:r>
        <w:rPr>
          <w:rFonts w:hint="eastAsia"/>
          <w:color w:val="auto"/>
          <w:sz w:val="24"/>
          <w:highlight w:val="none"/>
        </w:rPr>
        <w:t>中空壁缠绕管、</w:t>
      </w:r>
      <w:r>
        <w:rPr>
          <w:color w:val="auto"/>
          <w:sz w:val="24"/>
          <w:highlight w:val="none"/>
        </w:rPr>
        <w:t>双壁波纹管</w:t>
      </w:r>
      <w:r>
        <w:rPr>
          <w:rFonts w:hint="eastAsia"/>
          <w:color w:val="auto"/>
          <w:sz w:val="24"/>
          <w:highlight w:val="none"/>
        </w:rPr>
        <w:t>、注塑污水管件利用外购废塑料造粒后生产</w:t>
      </w:r>
      <w:r>
        <w:rPr>
          <w:color w:val="auto"/>
          <w:sz w:val="24"/>
          <w:highlight w:val="none"/>
        </w:rPr>
        <w:t>，与</w:t>
      </w:r>
      <w:r>
        <w:rPr>
          <w:rFonts w:hint="eastAsia"/>
          <w:color w:val="auto"/>
          <w:sz w:val="24"/>
          <w:highlight w:val="none"/>
        </w:rPr>
        <w:t>《</w:t>
      </w:r>
      <w:r>
        <w:rPr>
          <w:bCs/>
          <w:color w:val="auto"/>
          <w:sz w:val="24"/>
          <w:highlight w:val="none"/>
        </w:rPr>
        <w:t>废塑料污染控制技术规范》（HJ364-</w:t>
      </w:r>
      <w:r>
        <w:rPr>
          <w:rFonts w:hint="eastAsia"/>
          <w:bCs/>
          <w:color w:val="auto"/>
          <w:sz w:val="24"/>
          <w:highlight w:val="none"/>
        </w:rPr>
        <w:t>2</w:t>
      </w:r>
      <w:r>
        <w:rPr>
          <w:rFonts w:hint="eastAsia"/>
          <w:color w:val="auto"/>
          <w:sz w:val="24"/>
          <w:highlight w:val="none"/>
        </w:rPr>
        <w:t>022</w:t>
      </w:r>
      <w:r>
        <w:rPr>
          <w:color w:val="auto"/>
          <w:sz w:val="24"/>
          <w:highlight w:val="none"/>
        </w:rPr>
        <w:t>）的符合性详见表</w:t>
      </w:r>
      <w:r>
        <w:rPr>
          <w:rFonts w:hint="eastAsia"/>
          <w:color w:val="auto"/>
          <w:sz w:val="24"/>
          <w:highlight w:val="none"/>
        </w:rPr>
        <w:t>9.5-1</w:t>
      </w:r>
      <w:r>
        <w:rPr>
          <w:rFonts w:hint="eastAsia"/>
          <w:color w:val="auto"/>
          <w:sz w:val="24"/>
          <w:highlight w:val="none"/>
          <w:lang w:val="en-US" w:eastAsia="zh-CN"/>
        </w:rPr>
        <w:t>1</w:t>
      </w:r>
      <w:r>
        <w:rPr>
          <w:color w:val="auto"/>
          <w:sz w:val="24"/>
          <w:highlight w:val="none"/>
        </w:rPr>
        <w:t>。</w:t>
      </w:r>
    </w:p>
    <w:p>
      <w:pPr>
        <w:adjustRightInd w:val="0"/>
        <w:snapToGrid w:val="0"/>
        <w:jc w:val="center"/>
        <w:rPr>
          <w:rFonts w:ascii="黑体" w:hAnsi="黑体" w:eastAsia="黑体"/>
          <w:color w:val="auto"/>
          <w:sz w:val="24"/>
          <w:highlight w:val="none"/>
        </w:rPr>
      </w:pPr>
      <w:r>
        <w:rPr>
          <w:rFonts w:ascii="黑体" w:hAnsi="黑体" w:eastAsia="黑体"/>
          <w:color w:val="auto"/>
          <w:sz w:val="24"/>
          <w:highlight w:val="none"/>
        </w:rPr>
        <w:t>表</w:t>
      </w:r>
      <w:r>
        <w:rPr>
          <w:rFonts w:hint="eastAsia" w:ascii="黑体" w:hAnsi="黑体" w:eastAsia="黑体"/>
          <w:color w:val="auto"/>
          <w:sz w:val="24"/>
          <w:highlight w:val="none"/>
        </w:rPr>
        <w:t>9.5-1</w:t>
      </w:r>
      <w:r>
        <w:rPr>
          <w:rFonts w:hint="eastAsia" w:ascii="黑体" w:hAnsi="黑体" w:eastAsia="黑体"/>
          <w:color w:val="auto"/>
          <w:sz w:val="24"/>
          <w:highlight w:val="none"/>
          <w:lang w:val="en-US" w:eastAsia="zh-CN"/>
        </w:rPr>
        <w:t>1</w:t>
      </w:r>
      <w:r>
        <w:rPr>
          <w:rFonts w:ascii="黑体" w:hAnsi="黑体" w:eastAsia="黑体"/>
          <w:color w:val="auto"/>
          <w:sz w:val="24"/>
          <w:highlight w:val="none"/>
        </w:rPr>
        <w:t xml:space="preserve">   与废塑料回收与再生利用污染控制技术规范符合性</w:t>
      </w:r>
    </w:p>
    <w:tbl>
      <w:tblPr>
        <w:tblStyle w:val="59"/>
        <w:tblW w:w="916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85" w:type="dxa"/>
          <w:left w:w="108" w:type="dxa"/>
          <w:bottom w:w="0" w:type="dxa"/>
          <w:right w:w="94" w:type="dxa"/>
        </w:tblCellMar>
      </w:tblPr>
      <w:tblGrid>
        <w:gridCol w:w="974"/>
        <w:gridCol w:w="4133"/>
        <w:gridCol w:w="3069"/>
        <w:gridCol w:w="98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85" w:type="dxa"/>
            <w:left w:w="108" w:type="dxa"/>
            <w:bottom w:w="0" w:type="dxa"/>
            <w:right w:w="94" w:type="dxa"/>
          </w:tblCellMar>
        </w:tblPrEx>
        <w:trPr>
          <w:trHeight w:val="284" w:hRule="atLeast"/>
          <w:jc w:val="center"/>
        </w:trPr>
        <w:tc>
          <w:tcPr>
            <w:tcW w:w="974" w:type="dxa"/>
            <w:vAlign w:val="center"/>
          </w:tcPr>
          <w:p>
            <w:pPr>
              <w:pStyle w:val="1324"/>
              <w:adjustRightInd w:val="0"/>
              <w:snapToGrid w:val="0"/>
              <w:rPr>
                <w:b/>
                <w:bCs w:val="0"/>
                <w:color w:val="auto"/>
                <w:sz w:val="21"/>
                <w:szCs w:val="21"/>
                <w:highlight w:val="none"/>
              </w:rPr>
            </w:pPr>
            <w:r>
              <w:rPr>
                <w:b/>
                <w:bCs w:val="0"/>
                <w:color w:val="auto"/>
                <w:sz w:val="21"/>
                <w:szCs w:val="21"/>
                <w:highlight w:val="none"/>
              </w:rPr>
              <w:t>项目</w:t>
            </w:r>
          </w:p>
        </w:tc>
        <w:tc>
          <w:tcPr>
            <w:tcW w:w="4133" w:type="dxa"/>
            <w:vAlign w:val="center"/>
          </w:tcPr>
          <w:p>
            <w:pPr>
              <w:pStyle w:val="1324"/>
              <w:adjustRightInd w:val="0"/>
              <w:snapToGrid w:val="0"/>
              <w:rPr>
                <w:b/>
                <w:bCs w:val="0"/>
                <w:color w:val="auto"/>
                <w:sz w:val="21"/>
                <w:szCs w:val="21"/>
                <w:highlight w:val="none"/>
              </w:rPr>
            </w:pPr>
            <w:r>
              <w:rPr>
                <w:b/>
                <w:bCs w:val="0"/>
                <w:color w:val="auto"/>
                <w:sz w:val="21"/>
                <w:szCs w:val="21"/>
                <w:highlight w:val="none"/>
              </w:rPr>
              <w:t>具体要求</w:t>
            </w:r>
          </w:p>
        </w:tc>
        <w:tc>
          <w:tcPr>
            <w:tcW w:w="3069" w:type="dxa"/>
            <w:vAlign w:val="center"/>
          </w:tcPr>
          <w:p>
            <w:pPr>
              <w:pStyle w:val="1324"/>
              <w:adjustRightInd w:val="0"/>
              <w:snapToGrid w:val="0"/>
              <w:rPr>
                <w:b/>
                <w:bCs w:val="0"/>
                <w:color w:val="auto"/>
                <w:sz w:val="21"/>
                <w:szCs w:val="21"/>
                <w:highlight w:val="none"/>
              </w:rPr>
            </w:pPr>
            <w:r>
              <w:rPr>
                <w:b/>
                <w:bCs w:val="0"/>
                <w:color w:val="auto"/>
                <w:sz w:val="21"/>
                <w:szCs w:val="21"/>
                <w:highlight w:val="none"/>
              </w:rPr>
              <w:t>本项目情况</w:t>
            </w:r>
          </w:p>
        </w:tc>
        <w:tc>
          <w:tcPr>
            <w:tcW w:w="984" w:type="dxa"/>
            <w:vAlign w:val="center"/>
          </w:tcPr>
          <w:p>
            <w:pPr>
              <w:pStyle w:val="1324"/>
              <w:adjustRightInd w:val="0"/>
              <w:snapToGrid w:val="0"/>
              <w:rPr>
                <w:b/>
                <w:bCs w:val="0"/>
                <w:color w:val="auto"/>
                <w:sz w:val="21"/>
                <w:szCs w:val="21"/>
                <w:highlight w:val="none"/>
              </w:rPr>
            </w:pPr>
            <w:r>
              <w:rPr>
                <w:b/>
                <w:bCs w:val="0"/>
                <w:color w:val="auto"/>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85" w:type="dxa"/>
            <w:left w:w="108" w:type="dxa"/>
            <w:bottom w:w="0" w:type="dxa"/>
            <w:right w:w="94" w:type="dxa"/>
          </w:tblCellMar>
        </w:tblPrEx>
        <w:trPr>
          <w:trHeight w:val="284" w:hRule="atLeast"/>
          <w:jc w:val="center"/>
        </w:trPr>
        <w:tc>
          <w:tcPr>
            <w:tcW w:w="974" w:type="dxa"/>
            <w:vAlign w:val="center"/>
          </w:tcPr>
          <w:p>
            <w:pPr>
              <w:pStyle w:val="1324"/>
              <w:adjustRightInd w:val="0"/>
              <w:snapToGrid w:val="0"/>
              <w:rPr>
                <w:color w:val="auto"/>
                <w:sz w:val="21"/>
                <w:szCs w:val="21"/>
                <w:highlight w:val="none"/>
              </w:rPr>
            </w:pPr>
            <w:r>
              <w:rPr>
                <w:color w:val="auto"/>
                <w:sz w:val="21"/>
                <w:szCs w:val="21"/>
                <w:highlight w:val="none"/>
              </w:rPr>
              <w:t>总体要求</w:t>
            </w:r>
          </w:p>
        </w:tc>
        <w:tc>
          <w:tcPr>
            <w:tcW w:w="4133" w:type="dxa"/>
            <w:vAlign w:val="center"/>
          </w:tcPr>
          <w:p>
            <w:pPr>
              <w:pStyle w:val="1324"/>
              <w:adjustRightInd w:val="0"/>
              <w:snapToGrid w:val="0"/>
              <w:jc w:val="both"/>
              <w:rPr>
                <w:color w:val="auto"/>
                <w:sz w:val="21"/>
                <w:szCs w:val="21"/>
                <w:highlight w:val="none"/>
              </w:rPr>
            </w:pPr>
            <w:r>
              <w:rPr>
                <w:color w:val="auto"/>
                <w:sz w:val="21"/>
                <w:szCs w:val="21"/>
                <w:highlight w:val="none"/>
              </w:rPr>
              <w:t>1、</w:t>
            </w:r>
            <w:r>
              <w:rPr>
                <w:rFonts w:hint="eastAsia"/>
                <w:color w:val="auto"/>
                <w:sz w:val="21"/>
                <w:szCs w:val="21"/>
                <w:highlight w:val="none"/>
              </w:rPr>
              <w:t>废塑料的产生、收集、贮存、预处理和再生利用企业内应单独划分贮存场地，不同种类的废塑料宜分开贮存，贮存场地应具有防雨、防扬散、防渗漏等措施，并按 GB 15562.2的要求设置标识。</w:t>
            </w:r>
          </w:p>
          <w:p>
            <w:pPr>
              <w:pStyle w:val="1324"/>
              <w:adjustRightInd w:val="0"/>
              <w:snapToGrid w:val="0"/>
              <w:jc w:val="both"/>
              <w:rPr>
                <w:color w:val="auto"/>
                <w:sz w:val="21"/>
                <w:szCs w:val="21"/>
                <w:highlight w:val="none"/>
              </w:rPr>
            </w:pPr>
            <w:r>
              <w:rPr>
                <w:rFonts w:hint="eastAsia"/>
                <w:color w:val="auto"/>
                <w:sz w:val="21"/>
                <w:szCs w:val="21"/>
                <w:highlight w:val="none"/>
              </w:rPr>
              <w:t>2、</w:t>
            </w:r>
            <w:r>
              <w:rPr>
                <w:rFonts w:ascii="宋体" w:hAnsi="宋体" w:cs="宋体"/>
                <w:bCs w:val="0"/>
                <w:color w:val="auto"/>
                <w:sz w:val="22"/>
                <w:highlight w:val="none"/>
              </w:rPr>
              <w:t>含卤素废塑料的预处理与再生利用，宜与其他废塑料分开进行。</w:t>
            </w:r>
          </w:p>
          <w:p>
            <w:pPr>
              <w:pStyle w:val="1324"/>
              <w:adjustRightInd w:val="0"/>
              <w:snapToGrid w:val="0"/>
              <w:jc w:val="both"/>
              <w:rPr>
                <w:rFonts w:ascii="宋体" w:hAnsi="宋体" w:cs="宋体"/>
                <w:bCs w:val="0"/>
                <w:color w:val="auto"/>
                <w:sz w:val="22"/>
                <w:highlight w:val="none"/>
              </w:rPr>
            </w:pPr>
            <w:r>
              <w:rPr>
                <w:rFonts w:hint="eastAsia"/>
                <w:color w:val="auto"/>
                <w:sz w:val="21"/>
                <w:szCs w:val="21"/>
                <w:highlight w:val="none"/>
              </w:rPr>
              <w:t>3、</w:t>
            </w:r>
            <w:r>
              <w:rPr>
                <w:rFonts w:ascii="宋体" w:hAnsi="宋体" w:cs="宋体"/>
                <w:bCs w:val="0"/>
                <w:color w:val="auto"/>
                <w:sz w:val="22"/>
                <w:highlight w:val="none"/>
              </w:rPr>
              <w:t>废塑料的收集、再生利用和处置企业，应建立废塑料管理台账，内容包括废塑料的来源、种类、数量、去向等，相关台账应保存至少</w:t>
            </w:r>
            <w:r>
              <w:rPr>
                <w:rFonts w:ascii="TimesNewRomanPSMT" w:hAnsi="TimesNewRomanPSMT" w:eastAsia="TimesNewRomanPSMT" w:cs="TimesNewRomanPSMT"/>
                <w:bCs w:val="0"/>
                <w:color w:val="auto"/>
                <w:sz w:val="22"/>
                <w:highlight w:val="none"/>
              </w:rPr>
              <w:t>3</w:t>
            </w:r>
            <w:r>
              <w:rPr>
                <w:rFonts w:ascii="宋体" w:hAnsi="宋体" w:cs="宋体"/>
                <w:bCs w:val="0"/>
                <w:color w:val="auto"/>
                <w:sz w:val="22"/>
                <w:highlight w:val="none"/>
              </w:rPr>
              <w:t>年。</w:t>
            </w:r>
          </w:p>
          <w:p>
            <w:pPr>
              <w:pStyle w:val="1324"/>
              <w:adjustRightInd w:val="0"/>
              <w:snapToGrid w:val="0"/>
              <w:jc w:val="both"/>
              <w:rPr>
                <w:color w:val="auto"/>
                <w:sz w:val="21"/>
                <w:szCs w:val="21"/>
                <w:highlight w:val="none"/>
              </w:rPr>
            </w:pPr>
            <w:r>
              <w:rPr>
                <w:rFonts w:hint="eastAsia" w:ascii="宋体" w:hAnsi="宋体" w:cs="宋体"/>
                <w:bCs w:val="0"/>
                <w:color w:val="auto"/>
                <w:sz w:val="22"/>
                <w:highlight w:val="none"/>
              </w:rPr>
              <w:t>4、</w:t>
            </w:r>
            <w:r>
              <w:rPr>
                <w:rFonts w:ascii="宋体" w:hAnsi="宋体" w:cs="宋体"/>
                <w:bCs w:val="0"/>
                <w:color w:val="auto"/>
                <w:sz w:val="22"/>
                <w:highlight w:val="none"/>
              </w:rPr>
              <w:t>属于危险废物的废塑料，按照危险废物进行管理和利用处置</w:t>
            </w:r>
            <w:r>
              <w:rPr>
                <w:rFonts w:hint="eastAsia" w:ascii="宋体" w:hAnsi="宋体" w:cs="宋体"/>
                <w:bCs w:val="0"/>
                <w:color w:val="auto"/>
                <w:sz w:val="22"/>
                <w:highlight w:val="none"/>
              </w:rPr>
              <w:t>。</w:t>
            </w:r>
          </w:p>
        </w:tc>
        <w:tc>
          <w:tcPr>
            <w:tcW w:w="3069" w:type="dxa"/>
            <w:vAlign w:val="center"/>
          </w:tcPr>
          <w:p>
            <w:pPr>
              <w:pStyle w:val="1324"/>
              <w:adjustRightInd w:val="0"/>
              <w:snapToGrid w:val="0"/>
              <w:rPr>
                <w:color w:val="auto"/>
                <w:sz w:val="21"/>
                <w:szCs w:val="21"/>
                <w:highlight w:val="none"/>
              </w:rPr>
            </w:pPr>
            <w:r>
              <w:rPr>
                <w:color w:val="auto"/>
                <w:sz w:val="21"/>
                <w:szCs w:val="21"/>
                <w:highlight w:val="none"/>
              </w:rPr>
              <w:t>本项目建设专门的贮存场所</w:t>
            </w:r>
            <w:r>
              <w:rPr>
                <w:rFonts w:hint="eastAsia"/>
                <w:color w:val="auto"/>
                <w:sz w:val="21"/>
                <w:szCs w:val="21"/>
                <w:highlight w:val="none"/>
              </w:rPr>
              <w:t>，在车间内储存</w:t>
            </w:r>
            <w:r>
              <w:rPr>
                <w:color w:val="auto"/>
                <w:sz w:val="21"/>
                <w:szCs w:val="21"/>
                <w:highlight w:val="none"/>
              </w:rPr>
              <w:t>，具备防雨、防晒、防尘、防扬散、防火等措施</w:t>
            </w:r>
            <w:r>
              <w:rPr>
                <w:rFonts w:hint="eastAsia"/>
                <w:color w:val="auto"/>
                <w:sz w:val="21"/>
                <w:szCs w:val="21"/>
                <w:highlight w:val="none"/>
              </w:rPr>
              <w:t>；项目不涉及含卤素废塑料预处理及再生利用；项目生产过程中建立管理台账，并至少保存3年；项目不利用属于危险废物的废塑料</w:t>
            </w:r>
          </w:p>
        </w:tc>
        <w:tc>
          <w:tcPr>
            <w:tcW w:w="984" w:type="dxa"/>
            <w:vAlign w:val="center"/>
          </w:tcPr>
          <w:p>
            <w:pPr>
              <w:pStyle w:val="1324"/>
              <w:adjustRightInd w:val="0"/>
              <w:snapToGrid w:val="0"/>
              <w:rPr>
                <w:color w:val="auto"/>
                <w:sz w:val="21"/>
                <w:szCs w:val="21"/>
                <w:highlight w:val="none"/>
              </w:rPr>
            </w:pPr>
            <w:r>
              <w:rPr>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85" w:type="dxa"/>
            <w:left w:w="108" w:type="dxa"/>
            <w:bottom w:w="0" w:type="dxa"/>
            <w:right w:w="94" w:type="dxa"/>
          </w:tblCellMar>
        </w:tblPrEx>
        <w:trPr>
          <w:trHeight w:val="284" w:hRule="atLeast"/>
          <w:jc w:val="center"/>
        </w:trPr>
        <w:tc>
          <w:tcPr>
            <w:tcW w:w="974" w:type="dxa"/>
            <w:vAlign w:val="center"/>
          </w:tcPr>
          <w:p>
            <w:pPr>
              <w:pStyle w:val="1324"/>
              <w:adjustRightInd w:val="0"/>
              <w:snapToGrid w:val="0"/>
              <w:rPr>
                <w:color w:val="auto"/>
                <w:sz w:val="21"/>
                <w:szCs w:val="21"/>
                <w:highlight w:val="none"/>
              </w:rPr>
            </w:pPr>
            <w:r>
              <w:rPr>
                <w:rFonts w:hint="eastAsia"/>
                <w:color w:val="auto"/>
                <w:sz w:val="21"/>
                <w:szCs w:val="21"/>
                <w:highlight w:val="none"/>
              </w:rPr>
              <w:t>收集和运输污染控制要求</w:t>
            </w:r>
          </w:p>
        </w:tc>
        <w:tc>
          <w:tcPr>
            <w:tcW w:w="4133" w:type="dxa"/>
            <w:vAlign w:val="center"/>
          </w:tcPr>
          <w:p>
            <w:pPr>
              <w:pStyle w:val="1324"/>
              <w:numPr>
                <w:ilvl w:val="0"/>
                <w:numId w:val="17"/>
              </w:numPr>
              <w:adjustRightInd w:val="0"/>
              <w:snapToGrid w:val="0"/>
              <w:jc w:val="both"/>
              <w:rPr>
                <w:color w:val="auto"/>
                <w:sz w:val="21"/>
                <w:szCs w:val="21"/>
                <w:highlight w:val="none"/>
              </w:rPr>
            </w:pPr>
            <w:r>
              <w:rPr>
                <w:rFonts w:hint="eastAsia" w:ascii="宋体" w:hAnsi="宋体" w:cs="宋体"/>
                <w:bCs w:val="0"/>
                <w:color w:val="auto"/>
                <w:sz w:val="22"/>
                <w:highlight w:val="none"/>
              </w:rPr>
              <w:t>收集要求：</w:t>
            </w:r>
            <w:r>
              <w:rPr>
                <w:rFonts w:ascii="宋体" w:hAnsi="宋体" w:cs="宋体"/>
                <w:bCs w:val="0"/>
                <w:color w:val="auto"/>
                <w:sz w:val="22"/>
                <w:highlight w:val="none"/>
              </w:rPr>
              <w:t>废塑料收集企业应参照</w:t>
            </w:r>
            <w:r>
              <w:rPr>
                <w:rFonts w:ascii="TimesNewRomanPSMT" w:hAnsi="TimesNewRomanPSMT" w:eastAsia="TimesNewRomanPSMT" w:cs="TimesNewRomanPSMT"/>
                <w:bCs w:val="0"/>
                <w:color w:val="auto"/>
                <w:sz w:val="22"/>
                <w:highlight w:val="none"/>
              </w:rPr>
              <w:t>GB/T 37547</w:t>
            </w:r>
            <w:r>
              <w:rPr>
                <w:rFonts w:ascii="宋体" w:hAnsi="宋体" w:cs="宋体"/>
                <w:bCs w:val="0"/>
                <w:color w:val="auto"/>
                <w:sz w:val="22"/>
                <w:highlight w:val="none"/>
              </w:rPr>
              <w:t>，根据废塑料来源、特性及使用过程对废塑料进行分类收集</w:t>
            </w:r>
            <w:r>
              <w:rPr>
                <w:rFonts w:hint="eastAsia" w:ascii="宋体" w:hAnsi="宋体" w:cs="宋体"/>
                <w:bCs w:val="0"/>
                <w:color w:val="auto"/>
                <w:sz w:val="22"/>
                <w:highlight w:val="none"/>
              </w:rPr>
              <w:t>，</w:t>
            </w:r>
            <w:r>
              <w:rPr>
                <w:rFonts w:ascii="宋体" w:hAnsi="宋体" w:cs="宋体"/>
                <w:bCs w:val="0"/>
                <w:color w:val="auto"/>
                <w:sz w:val="22"/>
                <w:highlight w:val="none"/>
              </w:rPr>
              <w:t>废塑料收集过程中应避免扬散，不得随意倾倒残液及清洗。</w:t>
            </w:r>
          </w:p>
          <w:p>
            <w:pPr>
              <w:pStyle w:val="1324"/>
              <w:adjustRightInd w:val="0"/>
              <w:snapToGrid w:val="0"/>
              <w:jc w:val="both"/>
              <w:rPr>
                <w:color w:val="auto"/>
                <w:sz w:val="21"/>
                <w:szCs w:val="21"/>
                <w:highlight w:val="none"/>
              </w:rPr>
            </w:pPr>
            <w:r>
              <w:rPr>
                <w:rFonts w:hint="eastAsia"/>
                <w:color w:val="auto"/>
                <w:sz w:val="21"/>
                <w:szCs w:val="21"/>
                <w:highlight w:val="none"/>
              </w:rPr>
              <w:t>2、运输要求：</w:t>
            </w:r>
            <w:r>
              <w:rPr>
                <w:rFonts w:ascii="宋体" w:hAnsi="宋体" w:cs="宋体"/>
                <w:bCs w:val="0"/>
                <w:color w:val="auto"/>
                <w:sz w:val="22"/>
                <w:highlight w:val="none"/>
              </w:rPr>
              <w:t>废塑料及其预处理产物的装卸及运输过程中，应采取必要的防扬散、防渗漏措施，应保持运输车辆的洁净，避免二次污染。</w:t>
            </w:r>
          </w:p>
        </w:tc>
        <w:tc>
          <w:tcPr>
            <w:tcW w:w="3069" w:type="dxa"/>
            <w:vAlign w:val="center"/>
          </w:tcPr>
          <w:p>
            <w:pPr>
              <w:pStyle w:val="1324"/>
              <w:adjustRightInd w:val="0"/>
              <w:snapToGrid w:val="0"/>
              <w:rPr>
                <w:color w:val="auto"/>
                <w:sz w:val="21"/>
                <w:szCs w:val="21"/>
                <w:highlight w:val="none"/>
              </w:rPr>
            </w:pPr>
            <w:r>
              <w:rPr>
                <w:rFonts w:hint="eastAsia"/>
                <w:color w:val="auto"/>
                <w:sz w:val="21"/>
                <w:szCs w:val="21"/>
                <w:highlight w:val="none"/>
              </w:rPr>
              <w:t>项目不涉及废旧塑料的收集和运输</w:t>
            </w:r>
          </w:p>
        </w:tc>
        <w:tc>
          <w:tcPr>
            <w:tcW w:w="984" w:type="dxa"/>
            <w:vAlign w:val="center"/>
          </w:tcPr>
          <w:p>
            <w:pPr>
              <w:pStyle w:val="1324"/>
              <w:adjustRightInd w:val="0"/>
              <w:snapToGrid w:val="0"/>
              <w:rPr>
                <w:color w:val="auto"/>
                <w:sz w:val="21"/>
                <w:szCs w:val="21"/>
                <w:highlight w:val="none"/>
              </w:rPr>
            </w:pPr>
            <w:r>
              <w:rPr>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85" w:type="dxa"/>
            <w:left w:w="108" w:type="dxa"/>
            <w:bottom w:w="0" w:type="dxa"/>
            <w:right w:w="94" w:type="dxa"/>
          </w:tblCellMar>
        </w:tblPrEx>
        <w:trPr>
          <w:trHeight w:val="284" w:hRule="atLeast"/>
          <w:jc w:val="center"/>
        </w:trPr>
        <w:tc>
          <w:tcPr>
            <w:tcW w:w="974" w:type="dxa"/>
            <w:vAlign w:val="center"/>
          </w:tcPr>
          <w:p>
            <w:pPr>
              <w:pStyle w:val="1324"/>
              <w:adjustRightInd w:val="0"/>
              <w:snapToGrid w:val="0"/>
              <w:rPr>
                <w:color w:val="auto"/>
                <w:sz w:val="21"/>
                <w:szCs w:val="21"/>
                <w:highlight w:val="none"/>
              </w:rPr>
            </w:pPr>
            <w:r>
              <w:rPr>
                <w:rFonts w:hint="eastAsia"/>
                <w:color w:val="auto"/>
                <w:sz w:val="21"/>
                <w:szCs w:val="21"/>
                <w:highlight w:val="none"/>
              </w:rPr>
              <w:t>再生利用和处置污染控制要求</w:t>
            </w:r>
          </w:p>
        </w:tc>
        <w:tc>
          <w:tcPr>
            <w:tcW w:w="4133" w:type="dxa"/>
            <w:vAlign w:val="center"/>
          </w:tcPr>
          <w:p>
            <w:pPr>
              <w:pStyle w:val="1324"/>
              <w:numPr>
                <w:ilvl w:val="0"/>
                <w:numId w:val="18"/>
              </w:numPr>
              <w:adjustRightInd w:val="0"/>
              <w:snapToGrid w:val="0"/>
              <w:jc w:val="both"/>
              <w:rPr>
                <w:color w:val="auto"/>
                <w:sz w:val="21"/>
                <w:szCs w:val="21"/>
                <w:highlight w:val="none"/>
              </w:rPr>
            </w:pPr>
            <w:r>
              <w:rPr>
                <w:rFonts w:hint="eastAsia"/>
                <w:color w:val="auto"/>
                <w:sz w:val="21"/>
                <w:szCs w:val="21"/>
                <w:highlight w:val="none"/>
              </w:rPr>
              <w:t>废塑料的物理再生工艺中，熔融造粒车间应安装废气收集及处理装置，挤出工艺的冷却废水宜循环使用。</w:t>
            </w:r>
          </w:p>
          <w:p>
            <w:pPr>
              <w:pStyle w:val="1324"/>
              <w:adjustRightInd w:val="0"/>
              <w:snapToGrid w:val="0"/>
              <w:jc w:val="both"/>
              <w:rPr>
                <w:color w:val="auto"/>
                <w:sz w:val="21"/>
                <w:szCs w:val="21"/>
                <w:highlight w:val="none"/>
              </w:rPr>
            </w:pPr>
            <w:r>
              <w:rPr>
                <w:rFonts w:hint="eastAsia"/>
                <w:color w:val="auto"/>
                <w:sz w:val="21"/>
                <w:szCs w:val="21"/>
                <w:highlight w:val="none"/>
              </w:rPr>
              <w:t>2、</w:t>
            </w:r>
            <w:r>
              <w:rPr>
                <w:rFonts w:ascii="宋体" w:hAnsi="宋体" w:cs="宋体"/>
                <w:bCs w:val="0"/>
                <w:color w:val="auto"/>
                <w:sz w:val="22"/>
                <w:highlight w:val="none"/>
              </w:rPr>
              <w:t>宜采用节能熔融造粒技术，含卤素废塑料宜采用低温熔融造粒工艺。</w:t>
            </w:r>
          </w:p>
          <w:p>
            <w:pPr>
              <w:pStyle w:val="1324"/>
              <w:adjustRightInd w:val="0"/>
              <w:snapToGrid w:val="0"/>
              <w:jc w:val="both"/>
              <w:rPr>
                <w:color w:val="auto"/>
                <w:sz w:val="21"/>
                <w:szCs w:val="21"/>
                <w:highlight w:val="none"/>
              </w:rPr>
            </w:pPr>
            <w:r>
              <w:rPr>
                <w:rFonts w:hint="eastAsia"/>
                <w:color w:val="auto"/>
                <w:sz w:val="21"/>
                <w:szCs w:val="21"/>
                <w:highlight w:val="none"/>
              </w:rPr>
              <w:t>3、</w:t>
            </w:r>
            <w:r>
              <w:rPr>
                <w:rFonts w:ascii="宋体" w:hAnsi="宋体" w:cs="宋体"/>
                <w:bCs w:val="0"/>
                <w:color w:val="auto"/>
                <w:sz w:val="22"/>
                <w:highlight w:val="none"/>
              </w:rPr>
              <w:t>宜使用无丝网过滤器造粒机，减少废滤网产生。采用焚烧方式处理塑料挤出机过滤网片时，应配备烟气净化装置。</w:t>
            </w:r>
          </w:p>
        </w:tc>
        <w:tc>
          <w:tcPr>
            <w:tcW w:w="3069" w:type="dxa"/>
            <w:vAlign w:val="center"/>
          </w:tcPr>
          <w:p>
            <w:pPr>
              <w:pStyle w:val="1324"/>
              <w:adjustRightInd w:val="0"/>
              <w:snapToGrid w:val="0"/>
              <w:rPr>
                <w:color w:val="auto"/>
                <w:sz w:val="21"/>
                <w:szCs w:val="21"/>
                <w:highlight w:val="none"/>
              </w:rPr>
            </w:pPr>
            <w:r>
              <w:rPr>
                <w:rFonts w:hint="eastAsia"/>
                <w:color w:val="auto"/>
                <w:sz w:val="21"/>
                <w:szCs w:val="21"/>
                <w:highlight w:val="none"/>
              </w:rPr>
              <w:t>项目熔融造粒废气采用</w:t>
            </w:r>
            <w:r>
              <w:rPr>
                <w:color w:val="auto"/>
                <w:sz w:val="21"/>
                <w:szCs w:val="21"/>
                <w:highlight w:val="none"/>
              </w:rPr>
              <w:t>布袋除尘+活性炭吸附浓缩+催化燃烧+</w:t>
            </w:r>
            <w:r>
              <w:rPr>
                <w:rFonts w:hint="eastAsia"/>
                <w:color w:val="auto"/>
                <w:sz w:val="21"/>
                <w:szCs w:val="21"/>
                <w:highlight w:val="none"/>
                <w:lang w:eastAsia="zh-CN"/>
              </w:rPr>
              <w:t>20m</w:t>
            </w:r>
            <w:r>
              <w:rPr>
                <w:color w:val="auto"/>
                <w:sz w:val="21"/>
                <w:szCs w:val="21"/>
                <w:highlight w:val="none"/>
              </w:rPr>
              <w:t>高排气筒</w:t>
            </w:r>
            <w:r>
              <w:rPr>
                <w:rFonts w:hint="eastAsia"/>
                <w:color w:val="auto"/>
                <w:sz w:val="21"/>
                <w:szCs w:val="21"/>
                <w:highlight w:val="none"/>
              </w:rPr>
              <w:t>（DA001）排放，挤出工序冷却水循环使用；项目不使用含卤素废塑料；项目使用无丝网过滤器，废滤网更换后外卖，不焚烧</w:t>
            </w:r>
          </w:p>
        </w:tc>
        <w:tc>
          <w:tcPr>
            <w:tcW w:w="984" w:type="dxa"/>
            <w:vAlign w:val="center"/>
          </w:tcPr>
          <w:p>
            <w:pPr>
              <w:pStyle w:val="1324"/>
              <w:adjustRightInd w:val="0"/>
              <w:snapToGrid w:val="0"/>
              <w:rPr>
                <w:color w:val="auto"/>
                <w:sz w:val="21"/>
                <w:szCs w:val="21"/>
                <w:highlight w:val="none"/>
              </w:rPr>
            </w:pPr>
            <w:r>
              <w:rPr>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85" w:type="dxa"/>
            <w:left w:w="108" w:type="dxa"/>
            <w:bottom w:w="0" w:type="dxa"/>
            <w:right w:w="94" w:type="dxa"/>
          </w:tblCellMar>
        </w:tblPrEx>
        <w:trPr>
          <w:trHeight w:val="284" w:hRule="atLeast"/>
          <w:jc w:val="center"/>
        </w:trPr>
        <w:tc>
          <w:tcPr>
            <w:tcW w:w="974" w:type="dxa"/>
            <w:vAlign w:val="center"/>
          </w:tcPr>
          <w:p>
            <w:pPr>
              <w:pStyle w:val="1324"/>
              <w:adjustRightInd w:val="0"/>
              <w:snapToGrid w:val="0"/>
              <w:rPr>
                <w:color w:val="auto"/>
                <w:sz w:val="21"/>
                <w:szCs w:val="21"/>
                <w:highlight w:val="none"/>
              </w:rPr>
            </w:pPr>
            <w:r>
              <w:rPr>
                <w:rFonts w:hint="eastAsia"/>
                <w:color w:val="auto"/>
                <w:sz w:val="21"/>
                <w:szCs w:val="21"/>
                <w:highlight w:val="none"/>
              </w:rPr>
              <w:t>运行环境管理要求</w:t>
            </w:r>
          </w:p>
        </w:tc>
        <w:tc>
          <w:tcPr>
            <w:tcW w:w="4133" w:type="dxa"/>
            <w:vAlign w:val="center"/>
          </w:tcPr>
          <w:p>
            <w:pPr>
              <w:pStyle w:val="1324"/>
              <w:adjustRightInd w:val="0"/>
              <w:snapToGrid w:val="0"/>
              <w:jc w:val="both"/>
              <w:rPr>
                <w:color w:val="auto"/>
                <w:sz w:val="21"/>
                <w:szCs w:val="21"/>
                <w:highlight w:val="none"/>
              </w:rPr>
            </w:pPr>
            <w:r>
              <w:rPr>
                <w:color w:val="auto"/>
                <w:sz w:val="21"/>
                <w:szCs w:val="21"/>
                <w:highlight w:val="none"/>
              </w:rPr>
              <w:t>1、</w:t>
            </w:r>
            <w:r>
              <w:rPr>
                <w:rFonts w:hint="eastAsia"/>
                <w:color w:val="auto"/>
                <w:sz w:val="21"/>
                <w:szCs w:val="21"/>
                <w:highlight w:val="none"/>
              </w:rPr>
              <w:t>废塑料的产生、收集、运输、贮存和再生利用企业，应按照GB/T19001、GB/T 24001、GB/T45001等标准建立管理体系，设置专门的部门或者专（兼）职人员，负责废塑料收集和再生利用过程中的相关环境管理工作。</w:t>
            </w:r>
          </w:p>
          <w:p>
            <w:pPr>
              <w:pStyle w:val="1324"/>
              <w:adjustRightInd w:val="0"/>
              <w:snapToGrid w:val="0"/>
              <w:jc w:val="both"/>
              <w:rPr>
                <w:color w:val="auto"/>
                <w:sz w:val="21"/>
                <w:szCs w:val="21"/>
                <w:highlight w:val="none"/>
              </w:rPr>
            </w:pPr>
            <w:r>
              <w:rPr>
                <w:rFonts w:hint="eastAsia"/>
                <w:color w:val="auto"/>
                <w:sz w:val="21"/>
                <w:szCs w:val="21"/>
                <w:highlight w:val="none"/>
              </w:rPr>
              <w:t>2、</w:t>
            </w:r>
            <w:r>
              <w:rPr>
                <w:rFonts w:ascii="宋体" w:hAnsi="宋体" w:cs="宋体"/>
                <w:bCs w:val="0"/>
                <w:color w:val="auto"/>
                <w:sz w:val="22"/>
                <w:highlight w:val="none"/>
              </w:rPr>
              <w:t>废塑料的产生和再生利用企业，应按照排污许可证规定严格控制污染物排放。</w:t>
            </w:r>
          </w:p>
          <w:p>
            <w:pPr>
              <w:pStyle w:val="1324"/>
              <w:adjustRightInd w:val="0"/>
              <w:snapToGrid w:val="0"/>
              <w:jc w:val="both"/>
              <w:rPr>
                <w:color w:val="auto"/>
                <w:sz w:val="21"/>
                <w:szCs w:val="21"/>
                <w:highlight w:val="none"/>
              </w:rPr>
            </w:pPr>
            <w:r>
              <w:rPr>
                <w:rFonts w:hint="eastAsia"/>
                <w:color w:val="auto"/>
                <w:sz w:val="21"/>
                <w:szCs w:val="21"/>
                <w:highlight w:val="none"/>
              </w:rPr>
              <w:t>3、</w:t>
            </w:r>
            <w:r>
              <w:rPr>
                <w:rFonts w:ascii="宋体" w:hAnsi="宋体" w:cs="宋体"/>
                <w:bCs w:val="0"/>
                <w:color w:val="auto"/>
                <w:sz w:val="22"/>
                <w:highlight w:val="none"/>
              </w:rPr>
              <w:t>废塑料的产生、收集、运输、贮存和再生利用企业，应对从业人员进行环境保护培训</w:t>
            </w:r>
            <w:r>
              <w:rPr>
                <w:rFonts w:hint="eastAsia" w:ascii="宋体" w:hAnsi="宋体" w:cs="宋体"/>
                <w:bCs w:val="0"/>
                <w:color w:val="auto"/>
                <w:sz w:val="22"/>
                <w:highlight w:val="none"/>
              </w:rPr>
              <w:t>。</w:t>
            </w:r>
          </w:p>
          <w:p>
            <w:pPr>
              <w:pStyle w:val="1324"/>
              <w:adjustRightInd w:val="0"/>
              <w:snapToGrid w:val="0"/>
              <w:jc w:val="both"/>
              <w:rPr>
                <w:color w:val="auto"/>
                <w:sz w:val="21"/>
                <w:szCs w:val="21"/>
                <w:highlight w:val="none"/>
              </w:rPr>
            </w:pPr>
            <w:r>
              <w:rPr>
                <w:rFonts w:hint="eastAsia"/>
                <w:color w:val="auto"/>
                <w:sz w:val="21"/>
                <w:szCs w:val="21"/>
                <w:highlight w:val="none"/>
              </w:rPr>
              <w:t>4、</w:t>
            </w:r>
            <w:r>
              <w:rPr>
                <w:rFonts w:ascii="宋体" w:hAnsi="宋体" w:cs="宋体"/>
                <w:bCs w:val="0"/>
                <w:color w:val="auto"/>
                <w:sz w:val="22"/>
                <w:highlight w:val="none"/>
              </w:rPr>
              <w:t>废塑料的再生利用项目应严格执行环境影响评价和“三同时”制度。</w:t>
            </w:r>
          </w:p>
          <w:p>
            <w:pPr>
              <w:pStyle w:val="1324"/>
              <w:adjustRightInd w:val="0"/>
              <w:snapToGrid w:val="0"/>
              <w:jc w:val="both"/>
              <w:rPr>
                <w:rFonts w:ascii="宋体" w:hAnsi="宋体" w:cs="宋体"/>
                <w:bCs w:val="0"/>
                <w:color w:val="auto"/>
                <w:sz w:val="22"/>
                <w:highlight w:val="none"/>
              </w:rPr>
            </w:pPr>
            <w:r>
              <w:rPr>
                <w:rFonts w:hint="eastAsia"/>
                <w:color w:val="auto"/>
                <w:sz w:val="21"/>
                <w:szCs w:val="21"/>
                <w:highlight w:val="none"/>
              </w:rPr>
              <w:t>5、</w:t>
            </w:r>
            <w:r>
              <w:rPr>
                <w:rFonts w:ascii="宋体" w:hAnsi="宋体" w:cs="宋体"/>
                <w:bCs w:val="0"/>
                <w:color w:val="auto"/>
                <w:sz w:val="22"/>
                <w:highlight w:val="none"/>
              </w:rPr>
              <w:t>新建和改扩建废塑料再生利用项目的选址应符合当地城市总体发展规划、用地规划、生态环境分区管控方案、规划环评及其他环境保护要求。</w:t>
            </w:r>
          </w:p>
          <w:p>
            <w:pPr>
              <w:pStyle w:val="1324"/>
              <w:adjustRightInd w:val="0"/>
              <w:snapToGrid w:val="0"/>
              <w:jc w:val="both"/>
              <w:rPr>
                <w:rFonts w:ascii="宋体" w:hAnsi="宋体" w:cs="宋体"/>
                <w:bCs w:val="0"/>
                <w:color w:val="auto"/>
                <w:sz w:val="22"/>
                <w:highlight w:val="none"/>
              </w:rPr>
            </w:pPr>
            <w:r>
              <w:rPr>
                <w:rFonts w:hint="eastAsia" w:ascii="宋体" w:hAnsi="宋体" w:cs="宋体"/>
                <w:bCs w:val="0"/>
                <w:color w:val="auto"/>
                <w:sz w:val="22"/>
                <w:highlight w:val="none"/>
              </w:rPr>
              <w:t>6、</w:t>
            </w:r>
            <w:r>
              <w:rPr>
                <w:rFonts w:ascii="宋体" w:hAnsi="宋体" w:cs="宋体"/>
                <w:bCs w:val="0"/>
                <w:color w:val="auto"/>
                <w:sz w:val="22"/>
                <w:highlight w:val="none"/>
              </w:rPr>
              <w:t>废塑料再生利用项目应按功能划分厂区，包括管理区、原料贮存区、生产区、产品贮存区、不可利用废物的贮存和处理区等，各功能区应有明显的界线或标识</w:t>
            </w:r>
            <w:r>
              <w:rPr>
                <w:rFonts w:hint="eastAsia" w:ascii="宋体" w:hAnsi="宋体" w:cs="宋体"/>
                <w:bCs w:val="0"/>
                <w:color w:val="auto"/>
                <w:sz w:val="22"/>
                <w:highlight w:val="none"/>
              </w:rPr>
              <w:t>。</w:t>
            </w:r>
          </w:p>
          <w:p>
            <w:pPr>
              <w:pStyle w:val="1324"/>
              <w:adjustRightInd w:val="0"/>
              <w:snapToGrid w:val="0"/>
              <w:jc w:val="both"/>
              <w:rPr>
                <w:color w:val="auto"/>
                <w:sz w:val="21"/>
                <w:szCs w:val="21"/>
                <w:highlight w:val="none"/>
              </w:rPr>
            </w:pPr>
            <w:r>
              <w:rPr>
                <w:rFonts w:hint="eastAsia" w:ascii="宋体" w:hAnsi="宋体" w:cs="宋体"/>
                <w:bCs w:val="0"/>
                <w:color w:val="auto"/>
                <w:sz w:val="22"/>
                <w:highlight w:val="none"/>
              </w:rPr>
              <w:t>7、</w:t>
            </w:r>
            <w:r>
              <w:rPr>
                <w:rFonts w:ascii="宋体" w:hAnsi="宋体" w:cs="宋体"/>
                <w:bCs w:val="0"/>
                <w:color w:val="auto"/>
                <w:sz w:val="22"/>
                <w:highlight w:val="none"/>
              </w:rPr>
              <w:t>废塑料的再生利用企业，应积极推进工艺、技术和设备提升改造，积极应用先进的清洁生产技术</w:t>
            </w:r>
            <w:r>
              <w:rPr>
                <w:rFonts w:hint="eastAsia" w:ascii="宋体" w:hAnsi="宋体" w:cs="宋体"/>
                <w:bCs w:val="0"/>
                <w:color w:val="auto"/>
                <w:sz w:val="22"/>
                <w:highlight w:val="none"/>
              </w:rPr>
              <w:t>。</w:t>
            </w:r>
          </w:p>
        </w:tc>
        <w:tc>
          <w:tcPr>
            <w:tcW w:w="3069" w:type="dxa"/>
            <w:vAlign w:val="center"/>
          </w:tcPr>
          <w:p>
            <w:pPr>
              <w:pStyle w:val="1324"/>
              <w:adjustRightInd w:val="0"/>
              <w:snapToGrid w:val="0"/>
              <w:jc w:val="left"/>
              <w:rPr>
                <w:color w:val="auto"/>
                <w:sz w:val="21"/>
                <w:szCs w:val="21"/>
                <w:highlight w:val="none"/>
              </w:rPr>
            </w:pPr>
            <w:r>
              <w:rPr>
                <w:rFonts w:hint="eastAsia"/>
                <w:color w:val="auto"/>
                <w:sz w:val="21"/>
                <w:szCs w:val="21"/>
                <w:highlight w:val="none"/>
              </w:rPr>
              <w:t>1、公司设置环保部门专职管理</w:t>
            </w:r>
          </w:p>
          <w:p>
            <w:pPr>
              <w:pStyle w:val="1324"/>
              <w:adjustRightInd w:val="0"/>
              <w:snapToGrid w:val="0"/>
              <w:jc w:val="left"/>
              <w:rPr>
                <w:color w:val="auto"/>
                <w:sz w:val="21"/>
                <w:szCs w:val="21"/>
                <w:highlight w:val="none"/>
              </w:rPr>
            </w:pPr>
            <w:r>
              <w:rPr>
                <w:rFonts w:hint="eastAsia"/>
                <w:color w:val="auto"/>
                <w:sz w:val="21"/>
                <w:szCs w:val="21"/>
                <w:highlight w:val="none"/>
              </w:rPr>
              <w:t>2、建设单位按照排污许可证规定严格控制污染物排放</w:t>
            </w:r>
          </w:p>
          <w:p>
            <w:pPr>
              <w:pStyle w:val="1324"/>
              <w:adjustRightInd w:val="0"/>
              <w:snapToGrid w:val="0"/>
              <w:jc w:val="left"/>
              <w:rPr>
                <w:rFonts w:ascii="宋体" w:hAnsi="宋体" w:cs="宋体"/>
                <w:bCs w:val="0"/>
                <w:color w:val="auto"/>
                <w:sz w:val="22"/>
                <w:highlight w:val="none"/>
              </w:rPr>
            </w:pPr>
            <w:r>
              <w:rPr>
                <w:rFonts w:hint="eastAsia"/>
                <w:color w:val="auto"/>
                <w:sz w:val="21"/>
                <w:szCs w:val="21"/>
                <w:highlight w:val="none"/>
              </w:rPr>
              <w:t>3、项目定期对从业</w:t>
            </w:r>
            <w:r>
              <w:rPr>
                <w:rFonts w:ascii="宋体" w:hAnsi="宋体" w:cs="宋体"/>
                <w:bCs w:val="0"/>
                <w:color w:val="auto"/>
                <w:sz w:val="22"/>
                <w:highlight w:val="none"/>
              </w:rPr>
              <w:t>人员进行环境保护培训</w:t>
            </w:r>
            <w:r>
              <w:rPr>
                <w:rFonts w:hint="eastAsia" w:ascii="宋体" w:hAnsi="宋体" w:cs="宋体"/>
                <w:bCs w:val="0"/>
                <w:color w:val="auto"/>
                <w:sz w:val="22"/>
                <w:highlight w:val="none"/>
              </w:rPr>
              <w:t>。</w:t>
            </w:r>
          </w:p>
          <w:p>
            <w:pPr>
              <w:pStyle w:val="1324"/>
              <w:adjustRightInd w:val="0"/>
              <w:snapToGrid w:val="0"/>
              <w:jc w:val="both"/>
              <w:rPr>
                <w:rFonts w:ascii="宋体" w:hAnsi="宋体" w:cs="宋体"/>
                <w:bCs w:val="0"/>
                <w:color w:val="auto"/>
                <w:sz w:val="22"/>
                <w:highlight w:val="none"/>
              </w:rPr>
            </w:pPr>
            <w:r>
              <w:rPr>
                <w:rFonts w:hint="eastAsia" w:ascii="宋体" w:hAnsi="宋体" w:cs="宋体"/>
                <w:bCs w:val="0"/>
                <w:color w:val="auto"/>
                <w:sz w:val="22"/>
                <w:highlight w:val="none"/>
              </w:rPr>
              <w:t>4、项目</w:t>
            </w:r>
            <w:r>
              <w:rPr>
                <w:rFonts w:ascii="宋体" w:hAnsi="宋体" w:cs="宋体"/>
                <w:bCs w:val="0"/>
                <w:color w:val="auto"/>
                <w:sz w:val="22"/>
                <w:highlight w:val="none"/>
              </w:rPr>
              <w:t>严格执行环境影响评价和“三同时”制度。</w:t>
            </w:r>
          </w:p>
          <w:p>
            <w:pPr>
              <w:pStyle w:val="1324"/>
              <w:adjustRightInd w:val="0"/>
              <w:snapToGrid w:val="0"/>
              <w:jc w:val="both"/>
              <w:rPr>
                <w:rFonts w:ascii="宋体" w:hAnsi="宋体" w:cs="宋体"/>
                <w:bCs w:val="0"/>
                <w:color w:val="auto"/>
                <w:sz w:val="22"/>
                <w:highlight w:val="none"/>
              </w:rPr>
            </w:pPr>
            <w:r>
              <w:rPr>
                <w:rFonts w:hint="eastAsia" w:ascii="宋体" w:hAnsi="宋体" w:cs="宋体"/>
                <w:bCs w:val="0"/>
                <w:color w:val="auto"/>
                <w:sz w:val="22"/>
                <w:highlight w:val="none"/>
              </w:rPr>
              <w:t>5、项目选址符合峨山镇土地利用规划、</w:t>
            </w:r>
            <w:r>
              <w:rPr>
                <w:rFonts w:ascii="宋体" w:hAnsi="宋体" w:cs="宋体"/>
                <w:bCs w:val="0"/>
                <w:color w:val="auto"/>
                <w:sz w:val="22"/>
                <w:highlight w:val="none"/>
              </w:rPr>
              <w:t>生态环境分区管控</w:t>
            </w:r>
            <w:r>
              <w:rPr>
                <w:rFonts w:hint="eastAsia" w:ascii="宋体" w:hAnsi="宋体" w:cs="宋体"/>
                <w:bCs w:val="0"/>
                <w:color w:val="auto"/>
                <w:sz w:val="22"/>
                <w:highlight w:val="none"/>
              </w:rPr>
              <w:t>要求</w:t>
            </w:r>
          </w:p>
          <w:p>
            <w:pPr>
              <w:pStyle w:val="1324"/>
              <w:adjustRightInd w:val="0"/>
              <w:snapToGrid w:val="0"/>
              <w:jc w:val="both"/>
              <w:rPr>
                <w:rFonts w:ascii="宋体" w:hAnsi="宋体" w:cs="宋体"/>
                <w:bCs w:val="0"/>
                <w:color w:val="auto"/>
                <w:sz w:val="22"/>
                <w:highlight w:val="none"/>
              </w:rPr>
            </w:pPr>
            <w:r>
              <w:rPr>
                <w:rFonts w:hint="eastAsia" w:ascii="宋体" w:hAnsi="宋体" w:cs="宋体"/>
                <w:bCs w:val="0"/>
                <w:color w:val="auto"/>
                <w:sz w:val="22"/>
                <w:highlight w:val="none"/>
              </w:rPr>
              <w:t>6、项目已按照功能</w:t>
            </w:r>
            <w:r>
              <w:rPr>
                <w:rFonts w:ascii="宋体" w:hAnsi="宋体" w:cs="宋体"/>
                <w:bCs w:val="0"/>
                <w:color w:val="auto"/>
                <w:sz w:val="22"/>
                <w:highlight w:val="none"/>
              </w:rPr>
              <w:t>划分管理区、原料贮存区、生产区、产品贮存区</w:t>
            </w:r>
            <w:r>
              <w:rPr>
                <w:rFonts w:hint="eastAsia" w:ascii="宋体" w:hAnsi="宋体" w:cs="宋体"/>
                <w:bCs w:val="0"/>
                <w:color w:val="auto"/>
                <w:sz w:val="22"/>
                <w:highlight w:val="none"/>
              </w:rPr>
              <w:t>等</w:t>
            </w:r>
          </w:p>
          <w:p>
            <w:pPr>
              <w:pStyle w:val="1324"/>
              <w:adjustRightInd w:val="0"/>
              <w:snapToGrid w:val="0"/>
              <w:jc w:val="both"/>
              <w:rPr>
                <w:rFonts w:ascii="宋体" w:hAnsi="宋体" w:cs="宋体"/>
                <w:bCs w:val="0"/>
                <w:color w:val="auto"/>
                <w:sz w:val="22"/>
                <w:highlight w:val="none"/>
              </w:rPr>
            </w:pPr>
            <w:r>
              <w:rPr>
                <w:rFonts w:hint="eastAsia" w:ascii="宋体" w:hAnsi="宋体" w:cs="宋体"/>
                <w:bCs w:val="0"/>
                <w:color w:val="auto"/>
                <w:sz w:val="22"/>
                <w:highlight w:val="none"/>
              </w:rPr>
              <w:t>7、项目使用</w:t>
            </w:r>
            <w:r>
              <w:rPr>
                <w:rFonts w:ascii="宋体" w:hAnsi="宋体" w:cs="宋体"/>
                <w:bCs w:val="0"/>
                <w:color w:val="auto"/>
                <w:sz w:val="22"/>
                <w:highlight w:val="none"/>
              </w:rPr>
              <w:t>先进的清洁生产技术</w:t>
            </w:r>
            <w:r>
              <w:rPr>
                <w:rFonts w:hint="eastAsia" w:ascii="宋体" w:hAnsi="宋体" w:cs="宋体"/>
                <w:bCs w:val="0"/>
                <w:color w:val="auto"/>
                <w:sz w:val="22"/>
                <w:highlight w:val="none"/>
              </w:rPr>
              <w:t>和设备水平。</w:t>
            </w:r>
          </w:p>
          <w:p>
            <w:pPr>
              <w:pStyle w:val="1324"/>
              <w:adjustRightInd w:val="0"/>
              <w:snapToGrid w:val="0"/>
              <w:jc w:val="both"/>
              <w:rPr>
                <w:rFonts w:ascii="宋体" w:hAnsi="宋体" w:cs="宋体"/>
                <w:bCs w:val="0"/>
                <w:color w:val="auto"/>
                <w:sz w:val="22"/>
                <w:highlight w:val="none"/>
              </w:rPr>
            </w:pPr>
          </w:p>
          <w:p>
            <w:pPr>
              <w:pStyle w:val="1324"/>
              <w:adjustRightInd w:val="0"/>
              <w:snapToGrid w:val="0"/>
              <w:jc w:val="left"/>
              <w:rPr>
                <w:rFonts w:ascii="宋体" w:hAnsi="宋体" w:cs="宋体"/>
                <w:bCs w:val="0"/>
                <w:color w:val="auto"/>
                <w:sz w:val="22"/>
                <w:highlight w:val="none"/>
              </w:rPr>
            </w:pPr>
          </w:p>
          <w:p>
            <w:pPr>
              <w:pStyle w:val="1324"/>
              <w:adjustRightInd w:val="0"/>
              <w:snapToGrid w:val="0"/>
              <w:rPr>
                <w:color w:val="auto"/>
                <w:sz w:val="21"/>
                <w:szCs w:val="21"/>
                <w:highlight w:val="none"/>
              </w:rPr>
            </w:pPr>
          </w:p>
        </w:tc>
        <w:tc>
          <w:tcPr>
            <w:tcW w:w="984" w:type="dxa"/>
            <w:vAlign w:val="center"/>
          </w:tcPr>
          <w:p>
            <w:pPr>
              <w:pStyle w:val="1324"/>
              <w:adjustRightInd w:val="0"/>
              <w:snapToGrid w:val="0"/>
              <w:rPr>
                <w:color w:val="auto"/>
                <w:sz w:val="21"/>
                <w:szCs w:val="21"/>
                <w:highlight w:val="none"/>
              </w:rPr>
            </w:pPr>
            <w:r>
              <w:rPr>
                <w:color w:val="auto"/>
                <w:sz w:val="21"/>
                <w:szCs w:val="21"/>
                <w:highlight w:val="none"/>
              </w:rPr>
              <w:t>符合</w:t>
            </w:r>
          </w:p>
        </w:tc>
      </w:tr>
    </w:tbl>
    <w:p>
      <w:pPr>
        <w:spacing w:line="360" w:lineRule="auto"/>
        <w:ind w:firstLine="482" w:firstLineChars="200"/>
        <w:rPr>
          <w:b/>
          <w:color w:val="auto"/>
          <w:sz w:val="24"/>
          <w:szCs w:val="24"/>
          <w:highlight w:val="none"/>
          <w:lang w:val="zh-CN"/>
        </w:rPr>
      </w:pPr>
      <w:r>
        <w:rPr>
          <w:rFonts w:hint="eastAsia"/>
          <w:b/>
          <w:color w:val="auto"/>
          <w:sz w:val="24"/>
          <w:szCs w:val="24"/>
          <w:highlight w:val="none"/>
        </w:rPr>
        <w:t>12、</w:t>
      </w:r>
      <w:r>
        <w:rPr>
          <w:rFonts w:hint="eastAsia"/>
          <w:b/>
          <w:color w:val="auto"/>
          <w:sz w:val="24"/>
          <w:szCs w:val="24"/>
          <w:highlight w:val="none"/>
          <w:lang w:val="zh-CN"/>
        </w:rPr>
        <w:t>与《关于严格项目审批工作坚决防止新上“散乱污”项目的通知》（鲁环字〔2021〕58号）符合性分析</w:t>
      </w:r>
    </w:p>
    <w:p>
      <w:pPr>
        <w:spacing w:line="360" w:lineRule="auto"/>
        <w:ind w:firstLine="480" w:firstLineChars="200"/>
        <w:rPr>
          <w:color w:val="auto"/>
          <w:sz w:val="24"/>
          <w:highlight w:val="none"/>
        </w:rPr>
      </w:pPr>
      <w:r>
        <w:rPr>
          <w:rFonts w:hint="eastAsia"/>
          <w:color w:val="auto"/>
          <w:sz w:val="24"/>
          <w:szCs w:val="24"/>
          <w:highlight w:val="none"/>
          <w:lang w:val="zh-CN"/>
        </w:rPr>
        <w:t>为严格项目审批工作，防止新上不符合产业政策、规划、用地、环评等要求的“散乱污”项目，</w:t>
      </w:r>
      <w:r>
        <w:rPr>
          <w:rFonts w:hint="eastAsia"/>
          <w:color w:val="auto"/>
          <w:sz w:val="24"/>
          <w:szCs w:val="24"/>
          <w:highlight w:val="none"/>
        </w:rPr>
        <w:t>2</w:t>
      </w:r>
      <w:r>
        <w:rPr>
          <w:color w:val="auto"/>
          <w:sz w:val="24"/>
          <w:szCs w:val="24"/>
          <w:highlight w:val="none"/>
          <w:lang w:val="zh-CN"/>
        </w:rPr>
        <w:t>021</w:t>
      </w:r>
      <w:r>
        <w:rPr>
          <w:rFonts w:hint="eastAsia"/>
          <w:color w:val="auto"/>
          <w:sz w:val="24"/>
          <w:szCs w:val="24"/>
          <w:highlight w:val="none"/>
          <w:lang w:val="zh-CN"/>
        </w:rPr>
        <w:t>年3月4日，山东省生态环境厅联合山东省发展和改革委员会、山东省工业和信息化厅、山东省自然资源厅印发《关于严格项目审批工作坚决防止新上“散乱污”项目的通知》（</w:t>
      </w:r>
      <w:r>
        <w:rPr>
          <w:rFonts w:hint="eastAsia"/>
          <w:color w:val="auto"/>
          <w:sz w:val="24"/>
          <w:highlight w:val="none"/>
        </w:rPr>
        <w:t>鲁环字〔2021〕58号</w:t>
      </w:r>
      <w:r>
        <w:rPr>
          <w:rFonts w:hint="eastAsia"/>
          <w:color w:val="auto"/>
          <w:sz w:val="24"/>
          <w:szCs w:val="24"/>
          <w:highlight w:val="none"/>
          <w:lang w:val="zh-CN"/>
        </w:rPr>
        <w:t>）。</w:t>
      </w:r>
      <w:r>
        <w:rPr>
          <w:color w:val="auto"/>
          <w:sz w:val="24"/>
          <w:highlight w:val="none"/>
        </w:rPr>
        <w:t>拟建项目与</w:t>
      </w:r>
      <w:r>
        <w:rPr>
          <w:rFonts w:hint="eastAsia"/>
          <w:color w:val="auto"/>
          <w:sz w:val="24"/>
          <w:highlight w:val="none"/>
        </w:rPr>
        <w:t>鲁环字〔2021〕58号</w:t>
      </w:r>
      <w:r>
        <w:rPr>
          <w:color w:val="auto"/>
          <w:sz w:val="24"/>
          <w:highlight w:val="none"/>
        </w:rPr>
        <w:t>文的符合性分析见表9.</w:t>
      </w:r>
      <w:r>
        <w:rPr>
          <w:rFonts w:hint="eastAsia"/>
          <w:color w:val="auto"/>
          <w:sz w:val="24"/>
          <w:highlight w:val="none"/>
        </w:rPr>
        <w:t>5</w:t>
      </w:r>
      <w:r>
        <w:rPr>
          <w:color w:val="auto"/>
          <w:sz w:val="24"/>
          <w:highlight w:val="none"/>
        </w:rPr>
        <w:t>-</w:t>
      </w:r>
      <w:r>
        <w:rPr>
          <w:rFonts w:hint="eastAsia"/>
          <w:color w:val="auto"/>
          <w:sz w:val="24"/>
          <w:highlight w:val="none"/>
        </w:rPr>
        <w:t>1</w:t>
      </w:r>
      <w:r>
        <w:rPr>
          <w:rFonts w:hint="eastAsia"/>
          <w:color w:val="auto"/>
          <w:sz w:val="24"/>
          <w:highlight w:val="none"/>
          <w:lang w:val="en-US" w:eastAsia="zh-CN"/>
        </w:rPr>
        <w:t>2</w:t>
      </w:r>
      <w:r>
        <w:rPr>
          <w:color w:val="auto"/>
          <w:sz w:val="24"/>
          <w:highlight w:val="none"/>
        </w:rPr>
        <w:t>。</w:t>
      </w:r>
    </w:p>
    <w:p>
      <w:pPr>
        <w:snapToGrid w:val="0"/>
        <w:spacing w:line="360" w:lineRule="auto"/>
        <w:ind w:firstLine="480" w:firstLineChars="200"/>
        <w:jc w:val="center"/>
        <w:rPr>
          <w:rFonts w:eastAsia="黑体"/>
          <w:color w:val="auto"/>
          <w:sz w:val="24"/>
          <w:highlight w:val="none"/>
        </w:rPr>
      </w:pPr>
      <w:r>
        <w:rPr>
          <w:rFonts w:eastAsia="黑体"/>
          <w:color w:val="auto"/>
          <w:sz w:val="24"/>
          <w:highlight w:val="none"/>
        </w:rPr>
        <w:t>表9.</w:t>
      </w:r>
      <w:r>
        <w:rPr>
          <w:rFonts w:hint="eastAsia" w:eastAsia="黑体"/>
          <w:color w:val="auto"/>
          <w:sz w:val="24"/>
          <w:highlight w:val="none"/>
        </w:rPr>
        <w:t>5</w:t>
      </w:r>
      <w:r>
        <w:rPr>
          <w:rFonts w:eastAsia="黑体"/>
          <w:color w:val="auto"/>
          <w:sz w:val="24"/>
          <w:highlight w:val="none"/>
        </w:rPr>
        <w:t>-</w:t>
      </w:r>
      <w:r>
        <w:rPr>
          <w:rFonts w:hint="eastAsia" w:eastAsia="黑体"/>
          <w:color w:val="auto"/>
          <w:sz w:val="24"/>
          <w:highlight w:val="none"/>
        </w:rPr>
        <w:t>1</w:t>
      </w:r>
      <w:r>
        <w:rPr>
          <w:rFonts w:hint="eastAsia" w:eastAsia="黑体"/>
          <w:color w:val="auto"/>
          <w:sz w:val="24"/>
          <w:highlight w:val="none"/>
          <w:lang w:val="en-US" w:eastAsia="zh-CN"/>
        </w:rPr>
        <w:t>2</w:t>
      </w:r>
      <w:r>
        <w:rPr>
          <w:rFonts w:eastAsia="黑体"/>
          <w:color w:val="auto"/>
          <w:sz w:val="24"/>
          <w:highlight w:val="none"/>
        </w:rPr>
        <w:t xml:space="preserve">  </w:t>
      </w:r>
      <w:r>
        <w:rPr>
          <w:rFonts w:hint="eastAsia" w:eastAsia="黑体"/>
          <w:color w:val="auto"/>
          <w:sz w:val="24"/>
          <w:highlight w:val="none"/>
        </w:rPr>
        <w:t>与鲁环字〔2021〕58号</w:t>
      </w:r>
      <w:r>
        <w:rPr>
          <w:rFonts w:eastAsia="黑体"/>
          <w:color w:val="auto"/>
          <w:sz w:val="24"/>
          <w:highlight w:val="none"/>
        </w:rPr>
        <w:t>文符合性分析</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926"/>
        <w:gridCol w:w="2836"/>
        <w:gridCol w:w="8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 w:type="pct"/>
            <w:tcBorders>
              <w:right w:val="single" w:color="auto" w:sz="4" w:space="0"/>
            </w:tcBorders>
            <w:vAlign w:val="center"/>
          </w:tcPr>
          <w:p>
            <w:pPr>
              <w:snapToGrid w:val="0"/>
              <w:spacing w:line="260" w:lineRule="exact"/>
              <w:jc w:val="center"/>
              <w:rPr>
                <w:color w:val="auto"/>
                <w:szCs w:val="20"/>
                <w:highlight w:val="none"/>
              </w:rPr>
            </w:pPr>
            <w:r>
              <w:rPr>
                <w:color w:val="auto"/>
                <w:szCs w:val="20"/>
                <w:highlight w:val="none"/>
              </w:rPr>
              <w:t>序号</w:t>
            </w:r>
          </w:p>
        </w:tc>
        <w:tc>
          <w:tcPr>
            <w:tcW w:w="2736" w:type="pct"/>
            <w:tcBorders>
              <w:left w:val="single" w:color="auto" w:sz="4" w:space="0"/>
            </w:tcBorders>
            <w:vAlign w:val="center"/>
          </w:tcPr>
          <w:p>
            <w:pPr>
              <w:snapToGrid w:val="0"/>
              <w:spacing w:line="260" w:lineRule="exact"/>
              <w:jc w:val="center"/>
              <w:rPr>
                <w:color w:val="auto"/>
                <w:szCs w:val="20"/>
                <w:highlight w:val="none"/>
              </w:rPr>
            </w:pPr>
            <w:r>
              <w:rPr>
                <w:color w:val="auto"/>
                <w:szCs w:val="20"/>
                <w:highlight w:val="none"/>
              </w:rPr>
              <w:t>政策要求</w:t>
            </w:r>
          </w:p>
        </w:tc>
        <w:tc>
          <w:tcPr>
            <w:tcW w:w="1575" w:type="pct"/>
            <w:vAlign w:val="center"/>
          </w:tcPr>
          <w:p>
            <w:pPr>
              <w:snapToGrid w:val="0"/>
              <w:spacing w:line="260" w:lineRule="exact"/>
              <w:jc w:val="center"/>
              <w:rPr>
                <w:color w:val="auto"/>
                <w:szCs w:val="20"/>
                <w:highlight w:val="none"/>
              </w:rPr>
            </w:pPr>
            <w:r>
              <w:rPr>
                <w:rFonts w:hint="eastAsia"/>
                <w:color w:val="auto"/>
                <w:szCs w:val="20"/>
                <w:highlight w:val="none"/>
              </w:rPr>
              <w:t>项目情况</w:t>
            </w:r>
          </w:p>
        </w:tc>
        <w:tc>
          <w:tcPr>
            <w:tcW w:w="452" w:type="pct"/>
            <w:vAlign w:val="center"/>
          </w:tcPr>
          <w:p>
            <w:pPr>
              <w:snapToGrid w:val="0"/>
              <w:spacing w:line="260" w:lineRule="exact"/>
              <w:jc w:val="center"/>
              <w:rPr>
                <w:color w:val="auto"/>
                <w:szCs w:val="20"/>
                <w:highlight w:val="none"/>
              </w:rPr>
            </w:pPr>
            <w:r>
              <w:rPr>
                <w:color w:val="auto"/>
                <w:szCs w:val="20"/>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 w:type="pct"/>
            <w:tcBorders>
              <w:right w:val="single" w:color="auto" w:sz="4" w:space="0"/>
            </w:tcBorders>
            <w:vAlign w:val="center"/>
          </w:tcPr>
          <w:p>
            <w:pPr>
              <w:snapToGrid w:val="0"/>
              <w:spacing w:line="260" w:lineRule="exact"/>
              <w:jc w:val="center"/>
              <w:rPr>
                <w:bCs/>
                <w:color w:val="auto"/>
                <w:szCs w:val="20"/>
                <w:highlight w:val="none"/>
              </w:rPr>
            </w:pPr>
            <w:r>
              <w:rPr>
                <w:bCs/>
                <w:color w:val="auto"/>
                <w:szCs w:val="20"/>
                <w:highlight w:val="none"/>
              </w:rPr>
              <w:t>1</w:t>
            </w:r>
          </w:p>
        </w:tc>
        <w:tc>
          <w:tcPr>
            <w:tcW w:w="2736" w:type="pct"/>
            <w:tcBorders>
              <w:left w:val="single" w:color="auto" w:sz="4" w:space="0"/>
            </w:tcBorders>
            <w:vAlign w:val="center"/>
          </w:tcPr>
          <w:p>
            <w:pPr>
              <w:snapToGrid w:val="0"/>
              <w:spacing w:line="260" w:lineRule="exact"/>
              <w:jc w:val="center"/>
              <w:rPr>
                <w:bCs/>
                <w:color w:val="auto"/>
                <w:szCs w:val="20"/>
                <w:highlight w:val="none"/>
              </w:rPr>
            </w:pPr>
            <w:r>
              <w:rPr>
                <w:rFonts w:hint="eastAsia"/>
                <w:bCs/>
                <w:color w:val="auto"/>
                <w:szCs w:val="20"/>
                <w:highlight w:val="none"/>
              </w:rPr>
              <w:t>认真贯彻执行产业政策。新上项目必须符合国家产业政策要求，禁止采用国家公布的淘汰工艺和落后设备，不得引进耗能高、污染大、生产粗放、不符合国家产业政策的项目。各级立项部门在为企业办理手续时，要认真对照《产业结构调整指导目录（2019年本）》（如有更新，以更新后文件为准），对鼓励类项目，按照有关规定审批、核准或备案；对限制类项目，禁止新建，现有生产能力允许在一定期限内改造升级；对淘汰类项目，市场主体不得进入，行政机关不予审批。</w:t>
            </w:r>
          </w:p>
        </w:tc>
        <w:tc>
          <w:tcPr>
            <w:tcW w:w="1575" w:type="pct"/>
            <w:vAlign w:val="center"/>
          </w:tcPr>
          <w:p>
            <w:pPr>
              <w:snapToGrid w:val="0"/>
              <w:spacing w:line="260" w:lineRule="exact"/>
              <w:jc w:val="center"/>
              <w:rPr>
                <w:bCs/>
                <w:color w:val="auto"/>
                <w:szCs w:val="20"/>
                <w:highlight w:val="none"/>
              </w:rPr>
            </w:pPr>
            <w:r>
              <w:rPr>
                <w:rFonts w:hint="eastAsia"/>
                <w:bCs/>
                <w:color w:val="auto"/>
                <w:szCs w:val="20"/>
                <w:highlight w:val="none"/>
              </w:rPr>
              <w:t>本项目不属于《产业结构调整指导目录（2019年本）》中的限制类及淘汰类项目，符合国家产业政策，已完成项目备案，项目代码为</w:t>
            </w:r>
            <w:r>
              <w:rPr>
                <w:rFonts w:hint="eastAsia"/>
                <w:color w:val="auto"/>
                <w:highlight w:val="none"/>
              </w:rPr>
              <w:t>2206-370404-89-01-716661</w:t>
            </w:r>
            <w:r>
              <w:rPr>
                <w:rFonts w:hint="eastAsia"/>
                <w:bCs/>
                <w:color w:val="auto"/>
                <w:szCs w:val="20"/>
                <w:highlight w:val="none"/>
              </w:rPr>
              <w:t>。</w:t>
            </w:r>
          </w:p>
        </w:tc>
        <w:tc>
          <w:tcPr>
            <w:tcW w:w="452" w:type="pct"/>
            <w:vAlign w:val="center"/>
          </w:tcPr>
          <w:p>
            <w:pPr>
              <w:snapToGrid w:val="0"/>
              <w:spacing w:line="260" w:lineRule="exact"/>
              <w:jc w:val="center"/>
              <w:rPr>
                <w:bCs/>
                <w:color w:val="auto"/>
                <w:szCs w:val="20"/>
                <w:highlight w:val="none"/>
              </w:rPr>
            </w:pPr>
            <w:r>
              <w:rPr>
                <w:rFonts w:hint="eastAsia"/>
                <w:bCs/>
                <w:color w:val="auto"/>
                <w:szCs w:val="20"/>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 w:type="pct"/>
            <w:tcBorders>
              <w:right w:val="single" w:color="auto" w:sz="4" w:space="0"/>
            </w:tcBorders>
            <w:vAlign w:val="center"/>
          </w:tcPr>
          <w:p>
            <w:pPr>
              <w:snapToGrid w:val="0"/>
              <w:spacing w:line="260" w:lineRule="exact"/>
              <w:jc w:val="center"/>
              <w:rPr>
                <w:color w:val="auto"/>
                <w:szCs w:val="20"/>
                <w:highlight w:val="none"/>
              </w:rPr>
            </w:pPr>
            <w:r>
              <w:rPr>
                <w:color w:val="auto"/>
                <w:szCs w:val="20"/>
                <w:highlight w:val="none"/>
              </w:rPr>
              <w:t>2</w:t>
            </w:r>
          </w:p>
        </w:tc>
        <w:tc>
          <w:tcPr>
            <w:tcW w:w="2736" w:type="pct"/>
            <w:tcBorders>
              <w:left w:val="single" w:color="auto" w:sz="4" w:space="0"/>
            </w:tcBorders>
            <w:vAlign w:val="center"/>
          </w:tcPr>
          <w:p>
            <w:pPr>
              <w:snapToGrid w:val="0"/>
              <w:spacing w:line="260" w:lineRule="exact"/>
              <w:jc w:val="center"/>
              <w:rPr>
                <w:color w:val="auto"/>
                <w:szCs w:val="20"/>
                <w:highlight w:val="none"/>
              </w:rPr>
            </w:pPr>
            <w:r>
              <w:rPr>
                <w:rFonts w:hint="eastAsia"/>
                <w:color w:val="auto"/>
                <w:szCs w:val="20"/>
                <w:highlight w:val="none"/>
              </w:rPr>
              <w:t>强化规划刚性约束。新上项目必须符合国土空间规划、产业发展规划等要求，积极引导产业园区外“散乱污”整治搬迁改造企业进入产业园区或工业集聚区，并鼓励租赁标准厂房。按照“布局集中、用地集约、产业集聚、空间优化”的原则，高标准制定产业发展规划，明确主导产业、布局和产业发展方向，引导企业规范化、规模化、集约化发展。</w:t>
            </w:r>
          </w:p>
        </w:tc>
        <w:tc>
          <w:tcPr>
            <w:tcW w:w="1575" w:type="pct"/>
            <w:vAlign w:val="center"/>
          </w:tcPr>
          <w:p>
            <w:pPr>
              <w:snapToGrid w:val="0"/>
              <w:spacing w:line="260" w:lineRule="exact"/>
              <w:jc w:val="center"/>
              <w:rPr>
                <w:color w:val="auto"/>
                <w:szCs w:val="20"/>
                <w:highlight w:val="none"/>
              </w:rPr>
            </w:pPr>
            <w:r>
              <w:rPr>
                <w:rFonts w:hint="eastAsia"/>
                <w:color w:val="auto"/>
                <w:szCs w:val="20"/>
                <w:highlight w:val="none"/>
              </w:rPr>
              <w:t>项目位于</w:t>
            </w:r>
            <w:r>
              <w:rPr>
                <w:rFonts w:hint="eastAsia"/>
                <w:color w:val="auto"/>
                <w:highlight w:val="none"/>
              </w:rPr>
              <w:t>枣庄市峄城区峨山镇大官庄村西</w:t>
            </w:r>
            <w:r>
              <w:rPr>
                <w:rFonts w:hint="eastAsia"/>
                <w:color w:val="auto"/>
                <w:szCs w:val="20"/>
                <w:highlight w:val="none"/>
              </w:rPr>
              <w:t>，符合产业发展定位，符合峨山镇土地利用总体规划。</w:t>
            </w:r>
          </w:p>
        </w:tc>
        <w:tc>
          <w:tcPr>
            <w:tcW w:w="452" w:type="pct"/>
            <w:vAlign w:val="center"/>
          </w:tcPr>
          <w:p>
            <w:pPr>
              <w:snapToGrid w:val="0"/>
              <w:spacing w:line="260" w:lineRule="exact"/>
              <w:jc w:val="center"/>
              <w:rPr>
                <w:color w:val="auto"/>
                <w:szCs w:val="20"/>
                <w:highlight w:val="none"/>
              </w:rPr>
            </w:pPr>
            <w:r>
              <w:rPr>
                <w:rFonts w:hint="eastAsia"/>
                <w:color w:val="auto"/>
                <w:szCs w:val="20"/>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 w:type="pct"/>
            <w:tcBorders>
              <w:right w:val="single" w:color="auto" w:sz="4" w:space="0"/>
            </w:tcBorders>
            <w:vAlign w:val="center"/>
          </w:tcPr>
          <w:p>
            <w:pPr>
              <w:snapToGrid w:val="0"/>
              <w:spacing w:line="260" w:lineRule="exact"/>
              <w:jc w:val="center"/>
              <w:rPr>
                <w:bCs/>
                <w:color w:val="auto"/>
                <w:szCs w:val="20"/>
                <w:highlight w:val="none"/>
              </w:rPr>
            </w:pPr>
            <w:r>
              <w:rPr>
                <w:bCs/>
                <w:color w:val="auto"/>
                <w:szCs w:val="20"/>
                <w:highlight w:val="none"/>
              </w:rPr>
              <w:t>3</w:t>
            </w:r>
          </w:p>
        </w:tc>
        <w:tc>
          <w:tcPr>
            <w:tcW w:w="2736" w:type="pct"/>
            <w:tcBorders>
              <w:left w:val="single" w:color="auto" w:sz="4" w:space="0"/>
            </w:tcBorders>
            <w:vAlign w:val="center"/>
          </w:tcPr>
          <w:p>
            <w:pPr>
              <w:snapToGrid w:val="0"/>
              <w:spacing w:line="260" w:lineRule="exact"/>
              <w:jc w:val="center"/>
              <w:rPr>
                <w:color w:val="auto"/>
                <w:szCs w:val="20"/>
                <w:highlight w:val="none"/>
              </w:rPr>
            </w:pPr>
            <w:r>
              <w:rPr>
                <w:rFonts w:hint="eastAsia"/>
                <w:color w:val="auto"/>
                <w:szCs w:val="20"/>
                <w:highlight w:val="none"/>
              </w:rPr>
              <w:t>科学把好项目选址关。新建有污染物排放的工业项目，除在安全生产等方面有特殊要求的以外，应当进入工业园区或工业集聚区。各市要本着节约利用土地的原则，充分考虑项目周边环境、资金投入、推进速度等关键要素，合理选址，科学布局，切实做到符合用地政策，确保规划建设的项目有利于长远发展。</w:t>
            </w:r>
          </w:p>
        </w:tc>
        <w:tc>
          <w:tcPr>
            <w:tcW w:w="1575" w:type="pct"/>
            <w:vAlign w:val="center"/>
          </w:tcPr>
          <w:p>
            <w:pPr>
              <w:snapToGrid w:val="0"/>
              <w:spacing w:line="260" w:lineRule="exact"/>
              <w:jc w:val="center"/>
              <w:rPr>
                <w:color w:val="auto"/>
                <w:szCs w:val="20"/>
                <w:highlight w:val="none"/>
              </w:rPr>
            </w:pPr>
            <w:r>
              <w:rPr>
                <w:rFonts w:hint="eastAsia"/>
                <w:color w:val="auto"/>
                <w:szCs w:val="20"/>
                <w:highlight w:val="none"/>
              </w:rPr>
              <w:t>项目位于</w:t>
            </w:r>
            <w:r>
              <w:rPr>
                <w:rFonts w:hint="eastAsia"/>
                <w:color w:val="auto"/>
                <w:highlight w:val="none"/>
              </w:rPr>
              <w:t>枣庄市峄城区峨山镇大官庄村西，属于工业聚集区</w:t>
            </w:r>
          </w:p>
        </w:tc>
        <w:tc>
          <w:tcPr>
            <w:tcW w:w="452" w:type="pct"/>
            <w:vAlign w:val="center"/>
          </w:tcPr>
          <w:p>
            <w:pPr>
              <w:snapToGrid w:val="0"/>
              <w:spacing w:line="260" w:lineRule="exact"/>
              <w:jc w:val="center"/>
              <w:rPr>
                <w:color w:val="auto"/>
                <w:szCs w:val="20"/>
                <w:highlight w:val="none"/>
              </w:rPr>
            </w:pPr>
            <w:r>
              <w:rPr>
                <w:rFonts w:hint="eastAsia"/>
                <w:color w:val="auto"/>
                <w:szCs w:val="20"/>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 w:type="pct"/>
            <w:tcBorders>
              <w:right w:val="single" w:color="auto" w:sz="4" w:space="0"/>
            </w:tcBorders>
            <w:vAlign w:val="center"/>
          </w:tcPr>
          <w:p>
            <w:pPr>
              <w:snapToGrid w:val="0"/>
              <w:spacing w:line="260" w:lineRule="exact"/>
              <w:jc w:val="center"/>
              <w:rPr>
                <w:bCs/>
                <w:color w:val="auto"/>
                <w:szCs w:val="20"/>
                <w:highlight w:val="none"/>
              </w:rPr>
            </w:pPr>
            <w:r>
              <w:rPr>
                <w:bCs/>
                <w:color w:val="auto"/>
                <w:szCs w:val="20"/>
                <w:highlight w:val="none"/>
              </w:rPr>
              <w:t>4</w:t>
            </w:r>
          </w:p>
        </w:tc>
        <w:tc>
          <w:tcPr>
            <w:tcW w:w="2736" w:type="pct"/>
            <w:tcBorders>
              <w:left w:val="single" w:color="auto" w:sz="4" w:space="0"/>
            </w:tcBorders>
            <w:vAlign w:val="center"/>
          </w:tcPr>
          <w:p>
            <w:pPr>
              <w:snapToGrid w:val="0"/>
              <w:spacing w:line="260" w:lineRule="exact"/>
              <w:jc w:val="center"/>
              <w:rPr>
                <w:color w:val="auto"/>
                <w:szCs w:val="20"/>
                <w:highlight w:val="none"/>
              </w:rPr>
            </w:pPr>
            <w:r>
              <w:rPr>
                <w:rFonts w:hint="eastAsia"/>
                <w:color w:val="auto"/>
                <w:szCs w:val="20"/>
                <w:highlight w:val="none"/>
              </w:rPr>
              <w:t>严把项目环评审批关。新上项目必须严格执行环评审批“三挂钩”机制和“五个不批”要求，落实“三线一单”生态环境分区管控要求。强化替代约束，涉及主要污染物排放的，必须落实区域污染物排放替代，确保增产减污；涉及煤炭消耗的，必须落实煤炭消费减量替代，否则各级环评审批部门一律不予审批通过。</w:t>
            </w:r>
          </w:p>
        </w:tc>
        <w:tc>
          <w:tcPr>
            <w:tcW w:w="1575" w:type="pct"/>
            <w:vAlign w:val="center"/>
          </w:tcPr>
          <w:p>
            <w:pPr>
              <w:snapToGrid w:val="0"/>
              <w:spacing w:line="260" w:lineRule="exact"/>
              <w:jc w:val="center"/>
              <w:rPr>
                <w:color w:val="auto"/>
                <w:szCs w:val="20"/>
                <w:highlight w:val="none"/>
              </w:rPr>
            </w:pPr>
            <w:r>
              <w:rPr>
                <w:rFonts w:hint="eastAsia"/>
                <w:color w:val="auto"/>
                <w:szCs w:val="20"/>
                <w:highlight w:val="none"/>
              </w:rPr>
              <w:t>项目符合“三线一单”要求，已落实区域污染物排放替代，项目不消耗煤炭</w:t>
            </w:r>
          </w:p>
        </w:tc>
        <w:tc>
          <w:tcPr>
            <w:tcW w:w="452" w:type="pct"/>
            <w:vAlign w:val="center"/>
          </w:tcPr>
          <w:p>
            <w:pPr>
              <w:snapToGrid w:val="0"/>
              <w:spacing w:line="260" w:lineRule="exact"/>
              <w:jc w:val="center"/>
              <w:rPr>
                <w:color w:val="auto"/>
                <w:szCs w:val="20"/>
                <w:highlight w:val="none"/>
              </w:rPr>
            </w:pPr>
            <w:r>
              <w:rPr>
                <w:rFonts w:hint="eastAsia"/>
                <w:color w:val="auto"/>
                <w:szCs w:val="20"/>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 w:type="pct"/>
            <w:tcBorders>
              <w:right w:val="single" w:color="auto" w:sz="4" w:space="0"/>
            </w:tcBorders>
            <w:vAlign w:val="center"/>
          </w:tcPr>
          <w:p>
            <w:pPr>
              <w:snapToGrid w:val="0"/>
              <w:spacing w:line="260" w:lineRule="exact"/>
              <w:jc w:val="center"/>
              <w:rPr>
                <w:bCs/>
                <w:color w:val="auto"/>
                <w:szCs w:val="20"/>
                <w:highlight w:val="none"/>
              </w:rPr>
            </w:pPr>
            <w:r>
              <w:rPr>
                <w:bCs/>
                <w:color w:val="auto"/>
                <w:szCs w:val="20"/>
                <w:highlight w:val="none"/>
              </w:rPr>
              <w:t>5</w:t>
            </w:r>
          </w:p>
        </w:tc>
        <w:tc>
          <w:tcPr>
            <w:tcW w:w="2736" w:type="pct"/>
            <w:tcBorders>
              <w:left w:val="single" w:color="auto" w:sz="4" w:space="0"/>
            </w:tcBorders>
            <w:vAlign w:val="center"/>
          </w:tcPr>
          <w:p>
            <w:pPr>
              <w:snapToGrid w:val="0"/>
              <w:spacing w:line="260" w:lineRule="exact"/>
              <w:jc w:val="center"/>
              <w:rPr>
                <w:bCs/>
                <w:color w:val="auto"/>
                <w:szCs w:val="20"/>
                <w:highlight w:val="none"/>
              </w:rPr>
            </w:pPr>
            <w:r>
              <w:rPr>
                <w:rFonts w:hint="eastAsia"/>
                <w:bCs/>
                <w:color w:val="auto"/>
                <w:szCs w:val="20"/>
                <w:highlight w:val="none"/>
              </w:rPr>
              <w:t>建立部门联动协调机制。各级发展改革、工业和信息化、自然资源、生态环境等部门要按照职责分工，建立长效工作机制，密切配合，强化对项目产业政策、固定资产投资、能耗、用地标准、环境等的论证，对不符合要求的，一律不得办理立项、规划、土地、环评等手续。</w:t>
            </w:r>
          </w:p>
        </w:tc>
        <w:tc>
          <w:tcPr>
            <w:tcW w:w="1575" w:type="pct"/>
            <w:vAlign w:val="center"/>
          </w:tcPr>
          <w:p>
            <w:pPr>
              <w:snapToGrid w:val="0"/>
              <w:spacing w:line="260" w:lineRule="exact"/>
              <w:jc w:val="center"/>
              <w:rPr>
                <w:bCs/>
                <w:color w:val="auto"/>
                <w:szCs w:val="20"/>
                <w:highlight w:val="none"/>
              </w:rPr>
            </w:pPr>
            <w:r>
              <w:rPr>
                <w:rFonts w:hint="eastAsia"/>
                <w:bCs/>
                <w:color w:val="auto"/>
                <w:szCs w:val="20"/>
                <w:highlight w:val="none"/>
              </w:rPr>
              <w:t>项目已完成备案手续，项目代码为</w:t>
            </w:r>
            <w:r>
              <w:rPr>
                <w:rFonts w:hint="eastAsia"/>
                <w:color w:val="auto"/>
                <w:highlight w:val="none"/>
              </w:rPr>
              <w:t>2206-370404-89-01-716661</w:t>
            </w:r>
          </w:p>
        </w:tc>
        <w:tc>
          <w:tcPr>
            <w:tcW w:w="452" w:type="pct"/>
            <w:vAlign w:val="center"/>
          </w:tcPr>
          <w:p>
            <w:pPr>
              <w:snapToGrid w:val="0"/>
              <w:spacing w:line="260" w:lineRule="exact"/>
              <w:jc w:val="center"/>
              <w:rPr>
                <w:bCs/>
                <w:color w:val="auto"/>
                <w:szCs w:val="20"/>
                <w:highlight w:val="none"/>
              </w:rPr>
            </w:pPr>
            <w:r>
              <w:rPr>
                <w:rFonts w:hint="eastAsia"/>
                <w:bCs/>
                <w:color w:val="auto"/>
                <w:szCs w:val="20"/>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 w:type="pct"/>
            <w:tcBorders>
              <w:right w:val="single" w:color="auto" w:sz="4" w:space="0"/>
            </w:tcBorders>
            <w:vAlign w:val="center"/>
          </w:tcPr>
          <w:p>
            <w:pPr>
              <w:snapToGrid w:val="0"/>
              <w:spacing w:line="260" w:lineRule="exact"/>
              <w:jc w:val="center"/>
              <w:rPr>
                <w:bCs/>
                <w:color w:val="auto"/>
                <w:szCs w:val="20"/>
                <w:highlight w:val="none"/>
              </w:rPr>
            </w:pPr>
            <w:r>
              <w:rPr>
                <w:bCs/>
                <w:color w:val="auto"/>
                <w:szCs w:val="20"/>
                <w:highlight w:val="none"/>
              </w:rPr>
              <w:t>6</w:t>
            </w:r>
          </w:p>
        </w:tc>
        <w:tc>
          <w:tcPr>
            <w:tcW w:w="2736" w:type="pct"/>
            <w:tcBorders>
              <w:left w:val="single" w:color="auto" w:sz="4" w:space="0"/>
            </w:tcBorders>
            <w:vAlign w:val="center"/>
          </w:tcPr>
          <w:p>
            <w:pPr>
              <w:snapToGrid w:val="0"/>
              <w:spacing w:line="260" w:lineRule="exact"/>
              <w:jc w:val="center"/>
              <w:rPr>
                <w:bCs/>
                <w:color w:val="auto"/>
                <w:szCs w:val="20"/>
                <w:highlight w:val="none"/>
              </w:rPr>
            </w:pPr>
            <w:r>
              <w:rPr>
                <w:rFonts w:hint="eastAsia"/>
                <w:bCs/>
                <w:color w:val="auto"/>
                <w:szCs w:val="20"/>
                <w:highlight w:val="none"/>
              </w:rPr>
              <w:t>强化日常监管执法。持续加大对违反产业政策、规划、准入规定等违法违规建设行为的查处力度，坚决遏制“未批先建”等违法行为。畅通群众举报投诉渠道，对“散乱污”项目做到早发现、早应对、早处置，严防死灰复燃。</w:t>
            </w:r>
          </w:p>
        </w:tc>
        <w:tc>
          <w:tcPr>
            <w:tcW w:w="1575" w:type="pct"/>
            <w:vAlign w:val="center"/>
          </w:tcPr>
          <w:p>
            <w:pPr>
              <w:snapToGrid w:val="0"/>
              <w:spacing w:line="260" w:lineRule="exact"/>
              <w:jc w:val="center"/>
              <w:rPr>
                <w:bCs/>
                <w:color w:val="auto"/>
                <w:szCs w:val="20"/>
                <w:highlight w:val="none"/>
              </w:rPr>
            </w:pPr>
            <w:r>
              <w:rPr>
                <w:rFonts w:hint="eastAsia"/>
                <w:bCs/>
                <w:color w:val="auto"/>
                <w:szCs w:val="20"/>
                <w:highlight w:val="none"/>
              </w:rPr>
              <w:t>项目目前尚未建设</w:t>
            </w:r>
          </w:p>
        </w:tc>
        <w:tc>
          <w:tcPr>
            <w:tcW w:w="452" w:type="pct"/>
            <w:vAlign w:val="center"/>
          </w:tcPr>
          <w:p>
            <w:pPr>
              <w:snapToGrid w:val="0"/>
              <w:spacing w:line="260" w:lineRule="exact"/>
              <w:jc w:val="center"/>
              <w:rPr>
                <w:color w:val="auto"/>
                <w:szCs w:val="20"/>
                <w:highlight w:val="none"/>
              </w:rPr>
            </w:pPr>
            <w:r>
              <w:rPr>
                <w:rFonts w:hint="eastAsia"/>
                <w:color w:val="auto"/>
                <w:szCs w:val="20"/>
                <w:highlight w:val="none"/>
              </w:rPr>
              <w:t>符合</w:t>
            </w:r>
          </w:p>
        </w:tc>
      </w:tr>
    </w:tbl>
    <w:p>
      <w:pPr>
        <w:spacing w:line="360" w:lineRule="auto"/>
        <w:ind w:firstLine="480" w:firstLineChars="200"/>
        <w:rPr>
          <w:color w:val="auto"/>
          <w:sz w:val="24"/>
          <w:highlight w:val="none"/>
        </w:rPr>
      </w:pPr>
      <w:r>
        <w:rPr>
          <w:color w:val="auto"/>
          <w:sz w:val="24"/>
          <w:highlight w:val="none"/>
        </w:rPr>
        <w:t>由上表可见，拟建项目符合</w:t>
      </w:r>
      <w:r>
        <w:rPr>
          <w:rFonts w:hint="eastAsia"/>
          <w:color w:val="auto"/>
          <w:sz w:val="24"/>
          <w:highlight w:val="none"/>
        </w:rPr>
        <w:t>《关于严格项目审批工作坚决防止新上“散乱污”项目的通知》</w:t>
      </w:r>
      <w:r>
        <w:rPr>
          <w:color w:val="auto"/>
          <w:sz w:val="24"/>
          <w:highlight w:val="none"/>
        </w:rPr>
        <w:t>（</w:t>
      </w:r>
      <w:r>
        <w:rPr>
          <w:rFonts w:hint="eastAsia"/>
          <w:color w:val="auto"/>
          <w:sz w:val="24"/>
          <w:highlight w:val="none"/>
        </w:rPr>
        <w:t>鲁环字〔2021〕58号</w:t>
      </w:r>
      <w:r>
        <w:rPr>
          <w:color w:val="auto"/>
          <w:sz w:val="24"/>
          <w:highlight w:val="none"/>
        </w:rPr>
        <w:t>）中相关要求。</w:t>
      </w:r>
    </w:p>
    <w:p>
      <w:pPr>
        <w:spacing w:line="360" w:lineRule="auto"/>
        <w:ind w:firstLine="482" w:firstLineChars="200"/>
        <w:rPr>
          <w:b/>
          <w:color w:val="auto"/>
          <w:sz w:val="24"/>
          <w:szCs w:val="24"/>
          <w:highlight w:val="none"/>
          <w:lang w:val="zh-CN"/>
        </w:rPr>
      </w:pPr>
      <w:r>
        <w:rPr>
          <w:rFonts w:hint="eastAsia"/>
          <w:b/>
          <w:color w:val="auto"/>
          <w:sz w:val="24"/>
          <w:szCs w:val="24"/>
          <w:highlight w:val="none"/>
        </w:rPr>
        <w:t>12</w:t>
      </w:r>
      <w:r>
        <w:rPr>
          <w:rFonts w:hint="eastAsia"/>
          <w:b/>
          <w:color w:val="auto"/>
          <w:sz w:val="24"/>
          <w:szCs w:val="24"/>
          <w:highlight w:val="none"/>
          <w:lang w:val="zh-CN"/>
        </w:rPr>
        <w:t>、项目与《枣庄市生态环境局关于严格执行山东省大气污染物排放标准的通知》(枣环函[2019]56号)符合性分析</w:t>
      </w:r>
    </w:p>
    <w:p>
      <w:pPr>
        <w:spacing w:line="360" w:lineRule="auto"/>
        <w:ind w:firstLine="480" w:firstLineChars="200"/>
        <w:rPr>
          <w:color w:val="auto"/>
          <w:sz w:val="24"/>
          <w:highlight w:val="none"/>
        </w:rPr>
      </w:pPr>
      <w:r>
        <w:rPr>
          <w:color w:val="auto"/>
          <w:sz w:val="24"/>
          <w:highlight w:val="none"/>
        </w:rPr>
        <w:t>本项目与</w:t>
      </w:r>
      <w:r>
        <w:rPr>
          <w:rFonts w:hint="eastAsia"/>
          <w:color w:val="auto"/>
          <w:sz w:val="24"/>
          <w:highlight w:val="none"/>
        </w:rPr>
        <w:t>《枣庄市生态环境局关于严格执行山东省大气污染物排放标准的通知》(枣环函[2019]56号)</w:t>
      </w:r>
      <w:r>
        <w:rPr>
          <w:color w:val="auto"/>
          <w:sz w:val="24"/>
          <w:highlight w:val="none"/>
        </w:rPr>
        <w:t>符合性分析见表</w:t>
      </w:r>
      <w:r>
        <w:rPr>
          <w:rFonts w:hint="eastAsia"/>
          <w:color w:val="auto"/>
          <w:sz w:val="24"/>
          <w:highlight w:val="none"/>
        </w:rPr>
        <w:t>9</w:t>
      </w:r>
      <w:r>
        <w:rPr>
          <w:color w:val="auto"/>
          <w:sz w:val="24"/>
          <w:highlight w:val="none"/>
        </w:rPr>
        <w:t>.</w:t>
      </w:r>
      <w:r>
        <w:rPr>
          <w:rFonts w:hint="eastAsia"/>
          <w:color w:val="auto"/>
          <w:sz w:val="24"/>
          <w:highlight w:val="none"/>
        </w:rPr>
        <w:t>5</w:t>
      </w:r>
      <w:r>
        <w:rPr>
          <w:color w:val="auto"/>
          <w:sz w:val="24"/>
          <w:highlight w:val="none"/>
        </w:rPr>
        <w:t>-</w:t>
      </w:r>
      <w:r>
        <w:rPr>
          <w:rFonts w:hint="eastAsia"/>
          <w:color w:val="auto"/>
          <w:sz w:val="24"/>
          <w:highlight w:val="none"/>
        </w:rPr>
        <w:t>1</w:t>
      </w:r>
      <w:r>
        <w:rPr>
          <w:rFonts w:hint="eastAsia"/>
          <w:color w:val="auto"/>
          <w:sz w:val="24"/>
          <w:highlight w:val="none"/>
          <w:lang w:val="en-US" w:eastAsia="zh-CN"/>
        </w:rPr>
        <w:t>3</w:t>
      </w:r>
      <w:r>
        <w:rPr>
          <w:color w:val="auto"/>
          <w:sz w:val="24"/>
          <w:highlight w:val="none"/>
        </w:rPr>
        <w:t>。</w:t>
      </w:r>
    </w:p>
    <w:p>
      <w:pPr>
        <w:spacing w:line="360" w:lineRule="auto"/>
        <w:jc w:val="center"/>
        <w:rPr>
          <w:rFonts w:eastAsia="黑体"/>
          <w:color w:val="auto"/>
          <w:sz w:val="24"/>
          <w:highlight w:val="none"/>
        </w:rPr>
      </w:pPr>
      <w:r>
        <w:rPr>
          <w:rFonts w:eastAsia="黑体"/>
          <w:color w:val="auto"/>
          <w:sz w:val="24"/>
          <w:highlight w:val="none"/>
        </w:rPr>
        <w:t>表</w:t>
      </w:r>
      <w:r>
        <w:rPr>
          <w:rFonts w:hint="eastAsia" w:eastAsia="黑体"/>
          <w:color w:val="auto"/>
          <w:sz w:val="24"/>
          <w:highlight w:val="none"/>
        </w:rPr>
        <w:t>9.5</w:t>
      </w:r>
      <w:r>
        <w:rPr>
          <w:rFonts w:eastAsia="黑体"/>
          <w:color w:val="auto"/>
          <w:sz w:val="24"/>
          <w:highlight w:val="none"/>
        </w:rPr>
        <w:t>-</w:t>
      </w:r>
      <w:r>
        <w:rPr>
          <w:rFonts w:hint="eastAsia" w:eastAsia="黑体"/>
          <w:color w:val="auto"/>
          <w:sz w:val="24"/>
          <w:highlight w:val="none"/>
        </w:rPr>
        <w:t>1</w:t>
      </w:r>
      <w:r>
        <w:rPr>
          <w:rFonts w:hint="eastAsia" w:eastAsia="黑体"/>
          <w:color w:val="auto"/>
          <w:sz w:val="24"/>
          <w:highlight w:val="none"/>
          <w:lang w:val="en-US" w:eastAsia="zh-CN"/>
        </w:rPr>
        <w:t>3</w:t>
      </w:r>
      <w:r>
        <w:rPr>
          <w:rFonts w:hint="eastAsia" w:eastAsia="黑体"/>
          <w:color w:val="auto"/>
          <w:sz w:val="24"/>
          <w:highlight w:val="none"/>
        </w:rPr>
        <w:t xml:space="preserve">   </w:t>
      </w:r>
      <w:r>
        <w:rPr>
          <w:rFonts w:eastAsia="黑体"/>
          <w:color w:val="auto"/>
          <w:sz w:val="24"/>
          <w:highlight w:val="none"/>
        </w:rPr>
        <w:t>项目与</w:t>
      </w:r>
      <w:r>
        <w:rPr>
          <w:rFonts w:hint="eastAsia" w:eastAsia="黑体"/>
          <w:color w:val="auto"/>
          <w:sz w:val="24"/>
          <w:highlight w:val="none"/>
        </w:rPr>
        <w:t>枣环函[2019]56号文的</w:t>
      </w:r>
      <w:r>
        <w:rPr>
          <w:rFonts w:eastAsia="黑体"/>
          <w:color w:val="auto"/>
          <w:sz w:val="24"/>
          <w:highlight w:val="none"/>
        </w:rPr>
        <w:t>符合性分析</w:t>
      </w:r>
    </w:p>
    <w:tbl>
      <w:tblPr>
        <w:tblStyle w:val="59"/>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08"/>
        <w:gridCol w:w="4828"/>
        <w:gridCol w:w="2571"/>
        <w:gridCol w:w="68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3150" w:type="pct"/>
            <w:gridSpan w:val="2"/>
            <w:vAlign w:val="center"/>
          </w:tcPr>
          <w:p>
            <w:pPr>
              <w:jc w:val="center"/>
              <w:rPr>
                <w:color w:val="auto"/>
                <w:szCs w:val="21"/>
                <w:highlight w:val="none"/>
              </w:rPr>
            </w:pPr>
            <w:r>
              <w:rPr>
                <w:rFonts w:hint="eastAsia"/>
                <w:color w:val="auto"/>
                <w:szCs w:val="21"/>
                <w:highlight w:val="none"/>
              </w:rPr>
              <w:t>枣环函[2019]56号</w:t>
            </w:r>
          </w:p>
        </w:tc>
        <w:tc>
          <w:tcPr>
            <w:tcW w:w="1463" w:type="pct"/>
            <w:vAlign w:val="center"/>
          </w:tcPr>
          <w:p>
            <w:pPr>
              <w:jc w:val="center"/>
              <w:rPr>
                <w:color w:val="auto"/>
                <w:szCs w:val="21"/>
                <w:highlight w:val="none"/>
              </w:rPr>
            </w:pPr>
            <w:bookmarkStart w:id="414" w:name="工程情况"/>
            <w:bookmarkEnd w:id="414"/>
            <w:r>
              <w:rPr>
                <w:color w:val="auto"/>
                <w:szCs w:val="21"/>
                <w:highlight w:val="none"/>
              </w:rPr>
              <w:t>工程情况</w:t>
            </w:r>
          </w:p>
        </w:tc>
        <w:tc>
          <w:tcPr>
            <w:tcW w:w="387" w:type="pct"/>
            <w:vAlign w:val="center"/>
          </w:tcPr>
          <w:p>
            <w:pPr>
              <w:jc w:val="center"/>
              <w:rPr>
                <w:color w:val="auto"/>
                <w:szCs w:val="21"/>
                <w:highlight w:val="none"/>
              </w:rPr>
            </w:pPr>
            <w:bookmarkStart w:id="415" w:name="是否"/>
            <w:bookmarkEnd w:id="415"/>
            <w:r>
              <w:rPr>
                <w:color w:val="auto"/>
                <w:szCs w:val="21"/>
                <w:highlight w:val="none"/>
              </w:rPr>
              <w:t>符合性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54" w:hRule="atLeast"/>
        </w:trPr>
        <w:tc>
          <w:tcPr>
            <w:tcW w:w="403" w:type="pct"/>
            <w:vAlign w:val="center"/>
          </w:tcPr>
          <w:p>
            <w:pPr>
              <w:jc w:val="center"/>
              <w:rPr>
                <w:color w:val="auto"/>
                <w:szCs w:val="21"/>
                <w:highlight w:val="none"/>
              </w:rPr>
            </w:pPr>
            <w:r>
              <w:rPr>
                <w:color w:val="auto"/>
                <w:szCs w:val="21"/>
                <w:highlight w:val="none"/>
              </w:rPr>
              <w:t>严格执行各项标准限值</w:t>
            </w:r>
          </w:p>
        </w:tc>
        <w:tc>
          <w:tcPr>
            <w:tcW w:w="2747" w:type="pct"/>
            <w:vAlign w:val="center"/>
          </w:tcPr>
          <w:p>
            <w:pPr>
              <w:jc w:val="center"/>
              <w:rPr>
                <w:color w:val="auto"/>
                <w:szCs w:val="21"/>
                <w:highlight w:val="none"/>
              </w:rPr>
            </w:pPr>
            <w:r>
              <w:rPr>
                <w:color w:val="auto"/>
                <w:szCs w:val="21"/>
                <w:highlight w:val="none"/>
              </w:rPr>
              <w:t>“1+5+8”大气污染物排放标准体系对各时段的标准限值提出了明确要求，各分局要督促企业按时完成大气污染物治 理提标改造，确保在新标准排放限值执行之前，实现稳定达标排放。对列入淘汰计划的企业或设施不再要求实施超低排放改造，但其污染物排放应满足相应时段排放标准限值要求，若达不到排放标准限值要求的，应依法依规责令其开展限产或停产治理。</w:t>
            </w:r>
          </w:p>
        </w:tc>
        <w:tc>
          <w:tcPr>
            <w:tcW w:w="1463" w:type="pct"/>
            <w:vAlign w:val="center"/>
          </w:tcPr>
          <w:p>
            <w:pPr>
              <w:jc w:val="center"/>
              <w:rPr>
                <w:color w:val="auto"/>
                <w:szCs w:val="21"/>
                <w:highlight w:val="none"/>
              </w:rPr>
            </w:pPr>
            <w:r>
              <w:rPr>
                <w:color w:val="auto"/>
                <w:szCs w:val="21"/>
                <w:highlight w:val="none"/>
              </w:rPr>
              <w:t>项目废气</w:t>
            </w:r>
            <w:r>
              <w:rPr>
                <w:rFonts w:hint="eastAsia"/>
                <w:color w:val="auto"/>
                <w:szCs w:val="21"/>
                <w:highlight w:val="none"/>
              </w:rPr>
              <w:t>中颗粒物</w:t>
            </w:r>
            <w:r>
              <w:rPr>
                <w:color w:val="auto"/>
                <w:szCs w:val="21"/>
                <w:highlight w:val="none"/>
              </w:rPr>
              <w:t>经过处理后能够满足</w:t>
            </w:r>
            <w:r>
              <w:rPr>
                <w:color w:val="auto"/>
                <w:highlight w:val="none"/>
              </w:rPr>
              <w:t>《区域性大气污染物综合排放标准》(DB37/2376-2019)表1中</w:t>
            </w:r>
            <w:r>
              <w:rPr>
                <w:rFonts w:hint="eastAsia"/>
                <w:color w:val="auto"/>
                <w:highlight w:val="none"/>
              </w:rPr>
              <w:t>“</w:t>
            </w:r>
            <w:r>
              <w:rPr>
                <w:rFonts w:hint="eastAsia"/>
                <w:color w:val="auto"/>
                <w:highlight w:val="none"/>
                <w:lang w:eastAsia="zh-CN"/>
              </w:rPr>
              <w:t>重点控制区</w:t>
            </w:r>
            <w:r>
              <w:rPr>
                <w:rFonts w:hint="eastAsia"/>
                <w:color w:val="auto"/>
                <w:highlight w:val="none"/>
              </w:rPr>
              <w:t>”</w:t>
            </w:r>
            <w:r>
              <w:rPr>
                <w:color w:val="auto"/>
                <w:highlight w:val="none"/>
              </w:rPr>
              <w:t>的要求及</w:t>
            </w:r>
            <w:r>
              <w:rPr>
                <w:rFonts w:hint="eastAsia"/>
                <w:color w:val="auto"/>
                <w:szCs w:val="21"/>
                <w:highlight w:val="none"/>
                <w:lang w:val="en-GB"/>
              </w:rPr>
              <w:t>《挥发性有机物排放标准 第6部分：有机化工行业》（</w:t>
            </w:r>
            <w:r>
              <w:rPr>
                <w:color w:val="auto"/>
                <w:szCs w:val="21"/>
                <w:highlight w:val="none"/>
                <w:lang w:val="en-GB"/>
              </w:rPr>
              <w:t>DB37/2801.6-201</w:t>
            </w:r>
            <w:r>
              <w:rPr>
                <w:rFonts w:hint="eastAsia"/>
                <w:color w:val="auto"/>
                <w:szCs w:val="21"/>
                <w:highlight w:val="none"/>
                <w:lang w:val="en-GB"/>
              </w:rPr>
              <w:t>8）</w:t>
            </w:r>
            <w:r>
              <w:rPr>
                <w:rFonts w:hint="eastAsia"/>
                <w:color w:val="auto"/>
                <w:highlight w:val="none"/>
              </w:rPr>
              <w:t>表1中</w:t>
            </w:r>
            <w:r>
              <w:rPr>
                <w:rFonts w:hint="eastAsia"/>
                <w:color w:val="auto"/>
                <w:highlight w:val="none"/>
              </w:rPr>
              <w:fldChar w:fldCharType="begin"/>
            </w:r>
            <w:r>
              <w:rPr>
                <w:rFonts w:hint="eastAsia"/>
                <w:color w:val="auto"/>
                <w:highlight w:val="none"/>
              </w:rPr>
              <w:instrText xml:space="preserve"> = 2 \* ROMAN \* MERGEFORMAT </w:instrText>
            </w:r>
            <w:r>
              <w:rPr>
                <w:rFonts w:hint="eastAsia"/>
                <w:color w:val="auto"/>
                <w:highlight w:val="none"/>
              </w:rPr>
              <w:fldChar w:fldCharType="separate"/>
            </w:r>
            <w:r>
              <w:rPr>
                <w:color w:val="auto"/>
                <w:highlight w:val="none"/>
              </w:rPr>
              <w:t>II</w:t>
            </w:r>
            <w:r>
              <w:rPr>
                <w:rFonts w:hint="eastAsia"/>
                <w:color w:val="auto"/>
                <w:highlight w:val="none"/>
              </w:rPr>
              <w:fldChar w:fldCharType="end"/>
            </w:r>
            <w:r>
              <w:rPr>
                <w:rFonts w:hint="eastAsia"/>
                <w:color w:val="auto"/>
                <w:highlight w:val="none"/>
              </w:rPr>
              <w:t>时段标准要求</w:t>
            </w:r>
          </w:p>
        </w:tc>
        <w:tc>
          <w:tcPr>
            <w:tcW w:w="387" w:type="pct"/>
            <w:vAlign w:val="center"/>
          </w:tcPr>
          <w:p>
            <w:pPr>
              <w:jc w:val="center"/>
              <w:rPr>
                <w:color w:val="auto"/>
                <w:szCs w:val="21"/>
                <w:highlight w:val="none"/>
              </w:rPr>
            </w:pPr>
            <w:r>
              <w:rPr>
                <w:color w:val="auto"/>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403" w:type="pct"/>
            <w:vAlign w:val="center"/>
          </w:tcPr>
          <w:p>
            <w:pPr>
              <w:jc w:val="center"/>
              <w:rPr>
                <w:color w:val="auto"/>
                <w:szCs w:val="21"/>
                <w:highlight w:val="none"/>
              </w:rPr>
            </w:pPr>
            <w:r>
              <w:rPr>
                <w:color w:val="auto"/>
                <w:szCs w:val="21"/>
                <w:highlight w:val="none"/>
              </w:rPr>
              <w:t>鼓励实行环境污染防治协议制度</w:t>
            </w:r>
          </w:p>
        </w:tc>
        <w:tc>
          <w:tcPr>
            <w:tcW w:w="2747" w:type="pct"/>
            <w:vAlign w:val="center"/>
          </w:tcPr>
          <w:p>
            <w:pPr>
              <w:jc w:val="center"/>
              <w:rPr>
                <w:color w:val="auto"/>
                <w:szCs w:val="21"/>
                <w:highlight w:val="none"/>
              </w:rPr>
            </w:pPr>
            <w:r>
              <w:rPr>
                <w:color w:val="auto"/>
                <w:szCs w:val="21"/>
                <w:highlight w:val="none"/>
              </w:rPr>
              <w:t>《山东省环境保护条例》第五十一条规定，生态环境主管部门可以与相关排污单位签订污染防治协议，明确污染物排放要求及相应的权利和义务。各分局可结合工作实际，探索与相关排污单位签订污染防治协议，提前执行超低排放限值或加严要求，并按照超低排放限值或加严要求对企业进行监管。对提前完成超低排放改造或加严要求的企业可在错峰生产和重污染天气应急等政策制定时予以适当支持，并对提前实施超低排放或加严要求的企业依据超额减排量从大气污染资金中给予适当补贴。</w:t>
            </w:r>
          </w:p>
        </w:tc>
        <w:tc>
          <w:tcPr>
            <w:tcW w:w="1463" w:type="pct"/>
            <w:vAlign w:val="center"/>
          </w:tcPr>
          <w:p>
            <w:pPr>
              <w:jc w:val="center"/>
              <w:rPr>
                <w:color w:val="auto"/>
                <w:szCs w:val="21"/>
                <w:highlight w:val="none"/>
              </w:rPr>
            </w:pPr>
            <w:r>
              <w:rPr>
                <w:color w:val="auto"/>
                <w:szCs w:val="21"/>
                <w:highlight w:val="none"/>
              </w:rPr>
              <w:t>本项目不属于高污染物排放行业。企业根据主管部门要求，合理安排生产工期。</w:t>
            </w:r>
          </w:p>
        </w:tc>
        <w:tc>
          <w:tcPr>
            <w:tcW w:w="387" w:type="pct"/>
            <w:vAlign w:val="center"/>
          </w:tcPr>
          <w:p>
            <w:pPr>
              <w:jc w:val="center"/>
              <w:rPr>
                <w:color w:val="auto"/>
                <w:szCs w:val="21"/>
                <w:highlight w:val="none"/>
              </w:rPr>
            </w:pPr>
            <w:r>
              <w:rPr>
                <w:color w:val="auto"/>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87" w:hRule="atLeast"/>
        </w:trPr>
        <w:tc>
          <w:tcPr>
            <w:tcW w:w="403" w:type="pct"/>
            <w:vAlign w:val="center"/>
          </w:tcPr>
          <w:p>
            <w:pPr>
              <w:jc w:val="center"/>
              <w:rPr>
                <w:color w:val="auto"/>
                <w:szCs w:val="21"/>
                <w:highlight w:val="none"/>
              </w:rPr>
            </w:pPr>
            <w:r>
              <w:rPr>
                <w:color w:val="auto"/>
                <w:szCs w:val="21"/>
                <w:highlight w:val="none"/>
              </w:rPr>
              <w:t>进一步优化脱硝工艺</w:t>
            </w:r>
          </w:p>
        </w:tc>
        <w:tc>
          <w:tcPr>
            <w:tcW w:w="2747" w:type="pct"/>
            <w:vAlign w:val="center"/>
          </w:tcPr>
          <w:p>
            <w:pPr>
              <w:jc w:val="center"/>
              <w:rPr>
                <w:color w:val="auto"/>
                <w:szCs w:val="21"/>
                <w:highlight w:val="none"/>
              </w:rPr>
            </w:pPr>
            <w:r>
              <w:rPr>
                <w:color w:val="auto"/>
                <w:szCs w:val="21"/>
                <w:highlight w:val="none"/>
              </w:rPr>
              <w:t>各类锅炉、炉窑等排放NOx的设施，禁止新上不满足要求的臭氧氧化脱硝技术设施。已采用臭氧氧化脱硝的，应于2020年11月1日前逐步完成脱硝技术改造，以满足排放标准限值要求。</w:t>
            </w:r>
          </w:p>
        </w:tc>
        <w:tc>
          <w:tcPr>
            <w:tcW w:w="1463" w:type="pct"/>
            <w:vAlign w:val="center"/>
          </w:tcPr>
          <w:p>
            <w:pPr>
              <w:jc w:val="center"/>
              <w:rPr>
                <w:color w:val="auto"/>
                <w:szCs w:val="21"/>
                <w:highlight w:val="none"/>
              </w:rPr>
            </w:pPr>
            <w:r>
              <w:rPr>
                <w:color w:val="auto"/>
                <w:szCs w:val="21"/>
                <w:highlight w:val="none"/>
              </w:rPr>
              <w:t>本项目工艺及污染物治理不存在脱</w:t>
            </w:r>
            <w:r>
              <w:rPr>
                <w:rFonts w:hint="eastAsia"/>
                <w:color w:val="auto"/>
                <w:szCs w:val="21"/>
                <w:highlight w:val="none"/>
              </w:rPr>
              <w:t>硝</w:t>
            </w:r>
            <w:r>
              <w:rPr>
                <w:color w:val="auto"/>
                <w:szCs w:val="21"/>
                <w:highlight w:val="none"/>
              </w:rPr>
              <w:t>。</w:t>
            </w:r>
          </w:p>
        </w:tc>
        <w:tc>
          <w:tcPr>
            <w:tcW w:w="387" w:type="pct"/>
            <w:vAlign w:val="center"/>
          </w:tcPr>
          <w:p>
            <w:pPr>
              <w:jc w:val="center"/>
              <w:rPr>
                <w:color w:val="auto"/>
                <w:szCs w:val="21"/>
                <w:highlight w:val="none"/>
              </w:rPr>
            </w:pPr>
            <w:r>
              <w:rPr>
                <w:color w:val="auto"/>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31" w:hRule="atLeast"/>
        </w:trPr>
        <w:tc>
          <w:tcPr>
            <w:tcW w:w="403" w:type="pct"/>
            <w:vAlign w:val="center"/>
          </w:tcPr>
          <w:p>
            <w:pPr>
              <w:jc w:val="center"/>
              <w:rPr>
                <w:color w:val="auto"/>
                <w:szCs w:val="21"/>
                <w:highlight w:val="none"/>
              </w:rPr>
            </w:pPr>
            <w:r>
              <w:rPr>
                <w:color w:val="auto"/>
                <w:szCs w:val="21"/>
                <w:highlight w:val="none"/>
              </w:rPr>
              <w:t>严格环境管理工作</w:t>
            </w:r>
          </w:p>
        </w:tc>
        <w:tc>
          <w:tcPr>
            <w:tcW w:w="2747" w:type="pct"/>
            <w:vAlign w:val="center"/>
          </w:tcPr>
          <w:p>
            <w:pPr>
              <w:jc w:val="center"/>
              <w:rPr>
                <w:color w:val="auto"/>
                <w:szCs w:val="21"/>
                <w:highlight w:val="none"/>
              </w:rPr>
            </w:pPr>
            <w:r>
              <w:rPr>
                <w:color w:val="auto"/>
                <w:szCs w:val="21"/>
                <w:highlight w:val="none"/>
              </w:rPr>
              <w:t>市局各有关科室、直属单位要提前将标准规范在市局网站等媒体公开，确保企业充分知晓；同时根据新标准排放限值的执行时间同步进行调整。各分局要对辖区内企业进行排查，向有关企业逐一发放告知函，告知企业执行污染物 排放的标准限值、执行时间、整改时限、日常环境执法和监管要求。</w:t>
            </w:r>
          </w:p>
        </w:tc>
        <w:tc>
          <w:tcPr>
            <w:tcW w:w="1463" w:type="pct"/>
            <w:vAlign w:val="center"/>
          </w:tcPr>
          <w:p>
            <w:pPr>
              <w:jc w:val="center"/>
              <w:rPr>
                <w:color w:val="auto"/>
                <w:szCs w:val="21"/>
                <w:highlight w:val="none"/>
              </w:rPr>
            </w:pPr>
            <w:r>
              <w:rPr>
                <w:color w:val="auto"/>
                <w:szCs w:val="21"/>
                <w:highlight w:val="none"/>
              </w:rPr>
              <w:t>本项目各污染物排放能够满足相关标准</w:t>
            </w:r>
          </w:p>
        </w:tc>
        <w:tc>
          <w:tcPr>
            <w:tcW w:w="387" w:type="pct"/>
            <w:vAlign w:val="center"/>
          </w:tcPr>
          <w:p>
            <w:pPr>
              <w:jc w:val="center"/>
              <w:rPr>
                <w:color w:val="auto"/>
                <w:szCs w:val="21"/>
                <w:highlight w:val="none"/>
              </w:rPr>
            </w:pPr>
            <w:r>
              <w:rPr>
                <w:color w:val="auto"/>
                <w:szCs w:val="21"/>
                <w:highlight w:val="none"/>
              </w:rPr>
              <w:t>符合</w:t>
            </w:r>
          </w:p>
        </w:tc>
      </w:tr>
    </w:tbl>
    <w:p>
      <w:pPr>
        <w:spacing w:line="360" w:lineRule="auto"/>
        <w:ind w:firstLine="482" w:firstLineChars="200"/>
        <w:rPr>
          <w:b/>
          <w:color w:val="auto"/>
          <w:sz w:val="24"/>
          <w:szCs w:val="24"/>
          <w:highlight w:val="none"/>
          <w:lang w:val="zh-CN"/>
        </w:rPr>
      </w:pPr>
      <w:r>
        <w:rPr>
          <w:rFonts w:hint="eastAsia"/>
          <w:b/>
          <w:color w:val="auto"/>
          <w:sz w:val="24"/>
          <w:szCs w:val="24"/>
          <w:highlight w:val="none"/>
          <w:lang w:val="zh-CN"/>
        </w:rPr>
        <w:t>1</w:t>
      </w:r>
      <w:r>
        <w:rPr>
          <w:rFonts w:hint="eastAsia"/>
          <w:b/>
          <w:color w:val="auto"/>
          <w:sz w:val="24"/>
          <w:szCs w:val="24"/>
          <w:highlight w:val="none"/>
        </w:rPr>
        <w:t>3</w:t>
      </w:r>
      <w:r>
        <w:rPr>
          <w:rFonts w:hint="eastAsia"/>
          <w:b/>
          <w:color w:val="auto"/>
          <w:sz w:val="24"/>
          <w:szCs w:val="24"/>
          <w:highlight w:val="none"/>
          <w:lang w:val="zh-CN"/>
        </w:rPr>
        <w:t>、项目与《山东省深入打好净土保卫战行动计划(2021-2025)年》符合性分析</w:t>
      </w:r>
    </w:p>
    <w:p>
      <w:pPr>
        <w:spacing w:line="360" w:lineRule="auto"/>
        <w:ind w:firstLine="480" w:firstLineChars="200"/>
        <w:rPr>
          <w:color w:val="auto"/>
          <w:sz w:val="24"/>
          <w:highlight w:val="none"/>
        </w:rPr>
      </w:pPr>
      <w:r>
        <w:rPr>
          <w:rFonts w:hint="eastAsia"/>
          <w:color w:val="auto"/>
          <w:sz w:val="24"/>
          <w:highlight w:val="none"/>
        </w:rPr>
        <w:t>本项目与《山东省深入打好净土保卫战行动计划(2021-2025)年》符合性分析见表9.5-1</w:t>
      </w:r>
      <w:r>
        <w:rPr>
          <w:rFonts w:hint="eastAsia"/>
          <w:color w:val="auto"/>
          <w:sz w:val="24"/>
          <w:highlight w:val="none"/>
          <w:lang w:val="en-US" w:eastAsia="zh-CN"/>
        </w:rPr>
        <w:t>4</w:t>
      </w:r>
      <w:r>
        <w:rPr>
          <w:rFonts w:hint="eastAsia"/>
          <w:color w:val="auto"/>
          <w:sz w:val="24"/>
          <w:highlight w:val="none"/>
        </w:rPr>
        <w:t>。</w:t>
      </w:r>
    </w:p>
    <w:p>
      <w:pPr>
        <w:spacing w:line="360" w:lineRule="auto"/>
        <w:jc w:val="center"/>
        <w:rPr>
          <w:rFonts w:eastAsia="黑体"/>
          <w:color w:val="auto"/>
          <w:sz w:val="24"/>
          <w:highlight w:val="none"/>
        </w:rPr>
      </w:pPr>
      <w:r>
        <w:rPr>
          <w:rFonts w:eastAsia="黑体"/>
          <w:color w:val="auto"/>
          <w:sz w:val="24"/>
          <w:highlight w:val="none"/>
        </w:rPr>
        <w:t>表</w:t>
      </w:r>
      <w:r>
        <w:rPr>
          <w:rFonts w:hint="eastAsia" w:eastAsia="黑体"/>
          <w:color w:val="auto"/>
          <w:sz w:val="24"/>
          <w:highlight w:val="none"/>
        </w:rPr>
        <w:t>9.5</w:t>
      </w:r>
      <w:r>
        <w:rPr>
          <w:rFonts w:eastAsia="黑体"/>
          <w:color w:val="auto"/>
          <w:sz w:val="24"/>
          <w:highlight w:val="none"/>
        </w:rPr>
        <w:t>-</w:t>
      </w:r>
      <w:r>
        <w:rPr>
          <w:rFonts w:hint="eastAsia" w:eastAsia="黑体"/>
          <w:color w:val="auto"/>
          <w:sz w:val="24"/>
          <w:highlight w:val="none"/>
        </w:rPr>
        <w:t>1</w:t>
      </w:r>
      <w:r>
        <w:rPr>
          <w:rFonts w:hint="eastAsia" w:eastAsia="黑体"/>
          <w:color w:val="auto"/>
          <w:sz w:val="24"/>
          <w:highlight w:val="none"/>
          <w:lang w:val="en-US" w:eastAsia="zh-CN"/>
        </w:rPr>
        <w:t>4</w:t>
      </w:r>
      <w:r>
        <w:rPr>
          <w:rFonts w:hint="eastAsia" w:eastAsia="黑体"/>
          <w:color w:val="auto"/>
          <w:sz w:val="24"/>
          <w:highlight w:val="none"/>
        </w:rPr>
        <w:t xml:space="preserve">  </w:t>
      </w:r>
      <w:r>
        <w:rPr>
          <w:rFonts w:eastAsia="黑体"/>
          <w:color w:val="auto"/>
          <w:sz w:val="24"/>
          <w:highlight w:val="none"/>
        </w:rPr>
        <w:t>与</w:t>
      </w:r>
      <w:r>
        <w:rPr>
          <w:rFonts w:hint="eastAsia" w:eastAsia="黑体"/>
          <w:color w:val="auto"/>
          <w:sz w:val="24"/>
          <w:highlight w:val="none"/>
        </w:rPr>
        <w:t>《山东省深入打好净土保卫战行动计划(2021-2025)年》</w:t>
      </w:r>
      <w:r>
        <w:rPr>
          <w:rFonts w:eastAsia="黑体"/>
          <w:color w:val="auto"/>
          <w:sz w:val="24"/>
          <w:highlight w:val="none"/>
        </w:rPr>
        <w:t>符合性分析</w:t>
      </w:r>
    </w:p>
    <w:tbl>
      <w:tblPr>
        <w:tblStyle w:val="59"/>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57" w:type="dxa"/>
          <w:left w:w="108" w:type="dxa"/>
          <w:bottom w:w="57" w:type="dxa"/>
          <w:right w:w="108" w:type="dxa"/>
        </w:tblCellMar>
      </w:tblPr>
      <w:tblGrid>
        <w:gridCol w:w="551"/>
        <w:gridCol w:w="4870"/>
        <w:gridCol w:w="2674"/>
        <w:gridCol w:w="7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310" w:type="pct"/>
            <w:tcMar>
              <w:top w:w="0" w:type="dxa"/>
              <w:left w:w="57" w:type="dxa"/>
              <w:bottom w:w="0" w:type="dxa"/>
              <w:right w:w="57" w:type="dxa"/>
            </w:tcMar>
            <w:vAlign w:val="center"/>
          </w:tcPr>
          <w:p>
            <w:pPr>
              <w:jc w:val="center"/>
              <w:rPr>
                <w:bCs/>
                <w:color w:val="auto"/>
                <w:szCs w:val="21"/>
                <w:highlight w:val="none"/>
              </w:rPr>
            </w:pPr>
            <w:r>
              <w:rPr>
                <w:bCs/>
                <w:color w:val="auto"/>
                <w:szCs w:val="21"/>
                <w:highlight w:val="none"/>
              </w:rPr>
              <w:t>序号</w:t>
            </w:r>
          </w:p>
        </w:tc>
        <w:tc>
          <w:tcPr>
            <w:tcW w:w="2739" w:type="pct"/>
            <w:tcMar>
              <w:top w:w="0" w:type="dxa"/>
              <w:left w:w="57" w:type="dxa"/>
              <w:bottom w:w="0" w:type="dxa"/>
              <w:right w:w="57" w:type="dxa"/>
            </w:tcMar>
            <w:vAlign w:val="center"/>
          </w:tcPr>
          <w:p>
            <w:pPr>
              <w:jc w:val="center"/>
              <w:rPr>
                <w:bCs/>
                <w:color w:val="auto"/>
                <w:szCs w:val="21"/>
                <w:highlight w:val="none"/>
              </w:rPr>
            </w:pPr>
            <w:r>
              <w:rPr>
                <w:rFonts w:hint="eastAsia"/>
                <w:bCs/>
                <w:color w:val="auto"/>
                <w:szCs w:val="21"/>
                <w:highlight w:val="none"/>
              </w:rPr>
              <w:t>政策要求</w:t>
            </w:r>
          </w:p>
        </w:tc>
        <w:tc>
          <w:tcPr>
            <w:tcW w:w="1504" w:type="pct"/>
            <w:tcMar>
              <w:top w:w="0" w:type="dxa"/>
              <w:left w:w="57" w:type="dxa"/>
              <w:bottom w:w="0" w:type="dxa"/>
              <w:right w:w="57" w:type="dxa"/>
            </w:tcMar>
            <w:vAlign w:val="center"/>
          </w:tcPr>
          <w:p>
            <w:pPr>
              <w:jc w:val="center"/>
              <w:rPr>
                <w:bCs/>
                <w:color w:val="auto"/>
                <w:szCs w:val="21"/>
                <w:highlight w:val="none"/>
              </w:rPr>
            </w:pPr>
            <w:r>
              <w:rPr>
                <w:bCs/>
                <w:color w:val="auto"/>
                <w:szCs w:val="21"/>
                <w:highlight w:val="none"/>
              </w:rPr>
              <w:t>项目</w:t>
            </w:r>
            <w:r>
              <w:rPr>
                <w:rFonts w:hint="eastAsia"/>
                <w:bCs/>
                <w:color w:val="auto"/>
                <w:szCs w:val="21"/>
                <w:highlight w:val="none"/>
              </w:rPr>
              <w:t>情况</w:t>
            </w:r>
          </w:p>
        </w:tc>
        <w:tc>
          <w:tcPr>
            <w:tcW w:w="447" w:type="pct"/>
            <w:tcMar>
              <w:top w:w="0" w:type="dxa"/>
              <w:left w:w="57" w:type="dxa"/>
              <w:bottom w:w="0" w:type="dxa"/>
              <w:right w:w="57" w:type="dxa"/>
            </w:tcMar>
            <w:vAlign w:val="center"/>
          </w:tcPr>
          <w:p>
            <w:pPr>
              <w:jc w:val="center"/>
              <w:rPr>
                <w:bCs/>
                <w:color w:val="auto"/>
                <w:szCs w:val="21"/>
                <w:highlight w:val="none"/>
              </w:rPr>
            </w:pPr>
            <w:r>
              <w:rPr>
                <w:bCs/>
                <w:color w:val="auto"/>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52" w:hRule="atLeast"/>
          <w:jc w:val="center"/>
        </w:trPr>
        <w:tc>
          <w:tcPr>
            <w:tcW w:w="310" w:type="pct"/>
            <w:tcMar>
              <w:top w:w="0" w:type="dxa"/>
              <w:left w:w="57" w:type="dxa"/>
              <w:bottom w:w="0" w:type="dxa"/>
              <w:right w:w="57" w:type="dxa"/>
            </w:tcMar>
            <w:vAlign w:val="center"/>
          </w:tcPr>
          <w:p>
            <w:pPr>
              <w:jc w:val="center"/>
              <w:rPr>
                <w:bCs/>
                <w:color w:val="auto"/>
                <w:szCs w:val="21"/>
                <w:highlight w:val="none"/>
              </w:rPr>
            </w:pPr>
            <w:r>
              <w:rPr>
                <w:rFonts w:hint="eastAsia"/>
                <w:bCs/>
                <w:color w:val="auto"/>
                <w:szCs w:val="21"/>
                <w:highlight w:val="none"/>
              </w:rPr>
              <w:t>1</w:t>
            </w:r>
          </w:p>
        </w:tc>
        <w:tc>
          <w:tcPr>
            <w:tcW w:w="2739" w:type="pct"/>
            <w:tcMar>
              <w:top w:w="0" w:type="dxa"/>
              <w:left w:w="57" w:type="dxa"/>
              <w:bottom w:w="0" w:type="dxa"/>
              <w:right w:w="57" w:type="dxa"/>
            </w:tcMar>
            <w:vAlign w:val="center"/>
          </w:tcPr>
          <w:p>
            <w:pPr>
              <w:jc w:val="left"/>
              <w:rPr>
                <w:color w:val="auto"/>
                <w:szCs w:val="21"/>
                <w:highlight w:val="none"/>
              </w:rPr>
            </w:pPr>
            <w:r>
              <w:rPr>
                <w:rFonts w:hint="eastAsia"/>
                <w:color w:val="auto"/>
                <w:szCs w:val="21"/>
                <w:highlight w:val="none"/>
              </w:rPr>
              <w:t>加强固体废物环境管理：深入推进生活垃圾分类，建立有害垃圾收集转运体系。严格落实《山东省城市生活垃圾分类制度实施方案》，完善垃圾分类标识体系，健全垃圾分类奖励制度。</w:t>
            </w:r>
          </w:p>
        </w:tc>
        <w:tc>
          <w:tcPr>
            <w:tcW w:w="1504" w:type="pct"/>
            <w:tcMar>
              <w:top w:w="0" w:type="dxa"/>
              <w:left w:w="57" w:type="dxa"/>
              <w:bottom w:w="0" w:type="dxa"/>
              <w:right w:w="57" w:type="dxa"/>
            </w:tcMar>
            <w:vAlign w:val="center"/>
          </w:tcPr>
          <w:p>
            <w:pPr>
              <w:jc w:val="center"/>
              <w:rPr>
                <w:color w:val="auto"/>
                <w:szCs w:val="21"/>
                <w:highlight w:val="none"/>
              </w:rPr>
            </w:pPr>
            <w:r>
              <w:rPr>
                <w:rFonts w:hint="eastAsia"/>
                <w:color w:val="auto"/>
                <w:szCs w:val="21"/>
                <w:highlight w:val="none"/>
              </w:rPr>
              <w:t>不涉及</w:t>
            </w:r>
          </w:p>
        </w:tc>
        <w:tc>
          <w:tcPr>
            <w:tcW w:w="447" w:type="pct"/>
            <w:tcMar>
              <w:top w:w="0" w:type="dxa"/>
              <w:left w:w="57" w:type="dxa"/>
              <w:bottom w:w="0" w:type="dxa"/>
              <w:right w:w="57" w:type="dxa"/>
            </w:tcMar>
            <w:vAlign w:val="center"/>
          </w:tcPr>
          <w:p>
            <w:pPr>
              <w:jc w:val="center"/>
              <w:rPr>
                <w:color w:val="auto"/>
                <w:szCs w:val="21"/>
                <w:highlight w:val="none"/>
              </w:rPr>
            </w:pPr>
            <w:r>
              <w:rPr>
                <w:rFonts w:hint="eastAsia"/>
                <w:color w:val="auto"/>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310" w:type="pct"/>
            <w:tcMar>
              <w:top w:w="0" w:type="dxa"/>
              <w:left w:w="57" w:type="dxa"/>
              <w:bottom w:w="0" w:type="dxa"/>
              <w:right w:w="57" w:type="dxa"/>
            </w:tcMar>
            <w:vAlign w:val="center"/>
          </w:tcPr>
          <w:p>
            <w:pPr>
              <w:jc w:val="center"/>
              <w:rPr>
                <w:bCs/>
                <w:color w:val="auto"/>
                <w:szCs w:val="21"/>
                <w:highlight w:val="none"/>
              </w:rPr>
            </w:pPr>
            <w:r>
              <w:rPr>
                <w:rFonts w:hint="eastAsia"/>
                <w:bCs/>
                <w:color w:val="auto"/>
                <w:szCs w:val="21"/>
                <w:highlight w:val="none"/>
              </w:rPr>
              <w:t>2</w:t>
            </w:r>
          </w:p>
        </w:tc>
        <w:tc>
          <w:tcPr>
            <w:tcW w:w="2739" w:type="pct"/>
            <w:tcMar>
              <w:top w:w="0" w:type="dxa"/>
              <w:left w:w="57" w:type="dxa"/>
              <w:bottom w:w="0" w:type="dxa"/>
              <w:right w:w="57" w:type="dxa"/>
            </w:tcMar>
            <w:vAlign w:val="center"/>
          </w:tcPr>
          <w:p>
            <w:pPr>
              <w:jc w:val="left"/>
              <w:rPr>
                <w:color w:val="auto"/>
                <w:szCs w:val="21"/>
                <w:highlight w:val="none"/>
              </w:rPr>
            </w:pPr>
            <w:r>
              <w:rPr>
                <w:rFonts w:hint="eastAsia"/>
                <w:color w:val="auto"/>
                <w:szCs w:val="21"/>
                <w:highlight w:val="none"/>
              </w:rPr>
              <w:t>严格落实农用地安全利用：依法严格执行农用地分类管理制度，将符合条件的优先保护类耕地划为永久基本农田，实行严格保护，确保土壤环境质量不下降。</w:t>
            </w:r>
          </w:p>
        </w:tc>
        <w:tc>
          <w:tcPr>
            <w:tcW w:w="1504" w:type="pct"/>
            <w:tcMar>
              <w:top w:w="0" w:type="dxa"/>
              <w:left w:w="57" w:type="dxa"/>
              <w:bottom w:w="0" w:type="dxa"/>
              <w:right w:w="57" w:type="dxa"/>
            </w:tcMar>
            <w:vAlign w:val="center"/>
          </w:tcPr>
          <w:p>
            <w:pPr>
              <w:jc w:val="center"/>
              <w:rPr>
                <w:color w:val="auto"/>
                <w:szCs w:val="21"/>
                <w:highlight w:val="none"/>
              </w:rPr>
            </w:pPr>
            <w:r>
              <w:rPr>
                <w:rFonts w:hint="eastAsia"/>
                <w:color w:val="auto"/>
                <w:szCs w:val="21"/>
                <w:highlight w:val="none"/>
              </w:rPr>
              <w:t>项目在原有厂内进行为工业用地，不涉及农用地</w:t>
            </w:r>
          </w:p>
        </w:tc>
        <w:tc>
          <w:tcPr>
            <w:tcW w:w="447" w:type="pct"/>
            <w:tcMar>
              <w:top w:w="0" w:type="dxa"/>
              <w:left w:w="57" w:type="dxa"/>
              <w:bottom w:w="0" w:type="dxa"/>
              <w:right w:w="57" w:type="dxa"/>
            </w:tcMar>
            <w:vAlign w:val="center"/>
          </w:tcPr>
          <w:p>
            <w:pPr>
              <w:jc w:val="center"/>
              <w:rPr>
                <w:color w:val="auto"/>
                <w:szCs w:val="21"/>
                <w:highlight w:val="none"/>
              </w:rPr>
            </w:pPr>
            <w:r>
              <w:rPr>
                <w:rFonts w:hint="eastAsia"/>
                <w:color w:val="auto"/>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310" w:type="pct"/>
            <w:tcMar>
              <w:top w:w="0" w:type="dxa"/>
              <w:left w:w="57" w:type="dxa"/>
              <w:bottom w:w="0" w:type="dxa"/>
              <w:right w:w="57" w:type="dxa"/>
            </w:tcMar>
            <w:vAlign w:val="center"/>
          </w:tcPr>
          <w:p>
            <w:pPr>
              <w:jc w:val="center"/>
              <w:rPr>
                <w:color w:val="auto"/>
                <w:szCs w:val="21"/>
                <w:highlight w:val="none"/>
              </w:rPr>
            </w:pPr>
            <w:r>
              <w:rPr>
                <w:rFonts w:hint="eastAsia"/>
                <w:color w:val="auto"/>
                <w:szCs w:val="21"/>
                <w:highlight w:val="none"/>
              </w:rPr>
              <w:t>3</w:t>
            </w:r>
          </w:p>
        </w:tc>
        <w:tc>
          <w:tcPr>
            <w:tcW w:w="2739" w:type="pct"/>
            <w:tcMar>
              <w:top w:w="0" w:type="dxa"/>
              <w:left w:w="57" w:type="dxa"/>
              <w:bottom w:w="0" w:type="dxa"/>
              <w:right w:w="57" w:type="dxa"/>
            </w:tcMar>
            <w:vAlign w:val="center"/>
          </w:tcPr>
          <w:p>
            <w:pPr>
              <w:jc w:val="left"/>
              <w:rPr>
                <w:color w:val="auto"/>
                <w:szCs w:val="21"/>
                <w:highlight w:val="none"/>
              </w:rPr>
            </w:pPr>
            <w:r>
              <w:rPr>
                <w:rFonts w:hint="eastAsia"/>
                <w:color w:val="auto"/>
                <w:szCs w:val="21"/>
                <w:highlight w:val="none"/>
              </w:rPr>
              <w:t>严格建设用地风险管控与修复：加强部门协同，畅信息共享，完善建设用地风险信息互通机制。从严管控农药、化工等行业的重度污染地块规划用途，确需开发利用的，鼓励用于拓展生态空间。</w:t>
            </w:r>
          </w:p>
        </w:tc>
        <w:tc>
          <w:tcPr>
            <w:tcW w:w="1504" w:type="pct"/>
            <w:tcMar>
              <w:top w:w="0" w:type="dxa"/>
              <w:left w:w="57" w:type="dxa"/>
              <w:bottom w:w="0" w:type="dxa"/>
              <w:right w:w="57" w:type="dxa"/>
            </w:tcMar>
            <w:vAlign w:val="center"/>
          </w:tcPr>
          <w:p>
            <w:pPr>
              <w:jc w:val="center"/>
              <w:rPr>
                <w:color w:val="auto"/>
                <w:szCs w:val="21"/>
                <w:highlight w:val="none"/>
              </w:rPr>
            </w:pPr>
            <w:r>
              <w:rPr>
                <w:rFonts w:hint="eastAsia"/>
                <w:color w:val="auto"/>
                <w:szCs w:val="21"/>
                <w:highlight w:val="none"/>
              </w:rPr>
              <w:t>项目使用工业用地，不涉及左栏情况</w:t>
            </w:r>
          </w:p>
        </w:tc>
        <w:tc>
          <w:tcPr>
            <w:tcW w:w="447" w:type="pct"/>
            <w:tcMar>
              <w:top w:w="0" w:type="dxa"/>
              <w:left w:w="57" w:type="dxa"/>
              <w:bottom w:w="0" w:type="dxa"/>
              <w:right w:w="57" w:type="dxa"/>
            </w:tcMar>
            <w:vAlign w:val="center"/>
          </w:tcPr>
          <w:p>
            <w:pPr>
              <w:jc w:val="center"/>
              <w:rPr>
                <w:color w:val="auto"/>
                <w:highlight w:val="none"/>
              </w:rPr>
            </w:pPr>
            <w:r>
              <w:rPr>
                <w:rFonts w:hint="eastAsia"/>
                <w:color w:val="auto"/>
                <w:szCs w:val="21"/>
                <w:highlight w:val="none"/>
              </w:rPr>
              <w:t>符合</w:t>
            </w:r>
          </w:p>
        </w:tc>
      </w:tr>
    </w:tbl>
    <w:p>
      <w:pPr>
        <w:pStyle w:val="100"/>
        <w:spacing w:before="156"/>
        <w:rPr>
          <w:rFonts w:ascii="Times New Roman" w:hAnsi="Times New Roman"/>
          <w:color w:val="auto"/>
          <w:highlight w:val="none"/>
        </w:rPr>
      </w:pPr>
      <w:bookmarkStart w:id="416" w:name="_Toc4961"/>
      <w:r>
        <w:rPr>
          <w:rFonts w:ascii="Times New Roman" w:hAnsi="Times New Roman"/>
          <w:color w:val="auto"/>
          <w:highlight w:val="none"/>
        </w:rPr>
        <w:t>9.</w:t>
      </w:r>
      <w:r>
        <w:rPr>
          <w:rFonts w:hint="eastAsia" w:ascii="Times New Roman" w:hAnsi="Times New Roman"/>
          <w:color w:val="auto"/>
          <w:highlight w:val="none"/>
        </w:rPr>
        <w:t>6环境功能区划的符合性</w:t>
      </w:r>
      <w:bookmarkEnd w:id="416"/>
    </w:p>
    <w:p>
      <w:pPr>
        <w:spacing w:line="360" w:lineRule="auto"/>
        <w:ind w:firstLine="480" w:firstLineChars="200"/>
        <w:rPr>
          <w:color w:val="auto"/>
          <w:sz w:val="24"/>
          <w:highlight w:val="none"/>
        </w:rPr>
      </w:pPr>
      <w:r>
        <w:rPr>
          <w:color w:val="auto"/>
          <w:sz w:val="24"/>
          <w:highlight w:val="none"/>
        </w:rPr>
        <w:t>本项目所在地位为工业</w:t>
      </w:r>
      <w:r>
        <w:rPr>
          <w:rFonts w:hint="eastAsia"/>
          <w:color w:val="auto"/>
          <w:sz w:val="24"/>
          <w:highlight w:val="none"/>
          <w:lang w:val="en-US" w:eastAsia="zh-CN"/>
        </w:rPr>
        <w:t>聚集</w:t>
      </w:r>
      <w:r>
        <w:rPr>
          <w:color w:val="auto"/>
          <w:sz w:val="24"/>
          <w:highlight w:val="none"/>
        </w:rPr>
        <w:t>区，区域环境功能为：环境空气为二类区；地表水为Ⅲ类区；地下水为Ⅲ类区；噪声为</w:t>
      </w:r>
      <w:r>
        <w:rPr>
          <w:rFonts w:hint="eastAsia"/>
          <w:color w:val="auto"/>
          <w:sz w:val="24"/>
          <w:highlight w:val="none"/>
        </w:rPr>
        <w:t>2类</w:t>
      </w:r>
      <w:r>
        <w:rPr>
          <w:color w:val="auto"/>
          <w:sz w:val="24"/>
          <w:highlight w:val="none"/>
        </w:rPr>
        <w:t>区。根据</w:t>
      </w:r>
      <w:r>
        <w:rPr>
          <w:rFonts w:hint="eastAsia"/>
          <w:color w:val="auto"/>
          <w:sz w:val="24"/>
          <w:highlight w:val="none"/>
        </w:rPr>
        <w:t>枣庄市生态环境局峄城分局</w:t>
      </w:r>
      <w:r>
        <w:rPr>
          <w:color w:val="auto"/>
          <w:sz w:val="24"/>
          <w:highlight w:val="none"/>
        </w:rPr>
        <w:t>《关于</w:t>
      </w:r>
      <w:r>
        <w:rPr>
          <w:rFonts w:hint="eastAsia"/>
          <w:color w:val="auto"/>
          <w:sz w:val="24"/>
          <w:highlight w:val="none"/>
        </w:rPr>
        <w:t>山东付新环保科技有限公司绿色高性能复合管项目</w:t>
      </w:r>
      <w:r>
        <w:rPr>
          <w:color w:val="auto"/>
          <w:sz w:val="24"/>
          <w:highlight w:val="none"/>
        </w:rPr>
        <w:t>环境影响评价执行标准的意见》：《环境空气质量标准》</w:t>
      </w:r>
      <w:r>
        <w:rPr>
          <w:rFonts w:hint="eastAsia"/>
          <w:color w:val="auto"/>
          <w:sz w:val="24"/>
          <w:highlight w:val="none"/>
        </w:rPr>
        <w:t>(</w:t>
      </w:r>
      <w:r>
        <w:rPr>
          <w:color w:val="auto"/>
          <w:sz w:val="24"/>
          <w:highlight w:val="none"/>
        </w:rPr>
        <w:t>GB3095-2012</w:t>
      </w:r>
      <w:r>
        <w:rPr>
          <w:rFonts w:hint="eastAsia"/>
          <w:color w:val="auto"/>
          <w:sz w:val="24"/>
          <w:highlight w:val="none"/>
        </w:rPr>
        <w:t>)</w:t>
      </w:r>
      <w:r>
        <w:rPr>
          <w:color w:val="auto"/>
          <w:sz w:val="24"/>
          <w:highlight w:val="none"/>
        </w:rPr>
        <w:t>二级，《地表水环境质量标准》(GB3838-2002)Ⅲ类，《地下水质量标准》(GB/T14848-2017)Ⅲ类，《声环境质量标准》(GB3096-2008)中</w:t>
      </w:r>
      <w:r>
        <w:rPr>
          <w:rFonts w:hint="eastAsia"/>
          <w:color w:val="auto"/>
          <w:sz w:val="24"/>
          <w:highlight w:val="none"/>
        </w:rPr>
        <w:t>2类</w:t>
      </w:r>
      <w:r>
        <w:rPr>
          <w:color w:val="auto"/>
          <w:sz w:val="24"/>
          <w:highlight w:val="none"/>
        </w:rPr>
        <w:t>标准。</w:t>
      </w:r>
    </w:p>
    <w:p>
      <w:pPr>
        <w:spacing w:line="360" w:lineRule="auto"/>
        <w:ind w:firstLine="480" w:firstLineChars="200"/>
        <w:rPr>
          <w:color w:val="auto"/>
          <w:sz w:val="24"/>
          <w:highlight w:val="none"/>
        </w:rPr>
      </w:pPr>
      <w:r>
        <w:rPr>
          <w:rFonts w:hint="eastAsia"/>
          <w:color w:val="auto"/>
          <w:sz w:val="24"/>
          <w:highlight w:val="none"/>
        </w:rPr>
        <w:t>本项目挤出成型、熔融造粒、注塑、破碎废气经布袋除尘+活性炭吸附浓缩+催化燃烧+</w:t>
      </w:r>
      <w:r>
        <w:rPr>
          <w:rFonts w:hint="eastAsia"/>
          <w:color w:val="auto"/>
          <w:sz w:val="24"/>
          <w:highlight w:val="none"/>
          <w:lang w:eastAsia="zh-CN"/>
        </w:rPr>
        <w:t>20m</w:t>
      </w:r>
      <w:r>
        <w:rPr>
          <w:rFonts w:hint="eastAsia"/>
          <w:color w:val="auto"/>
          <w:sz w:val="24"/>
          <w:highlight w:val="none"/>
        </w:rPr>
        <w:t>高排气筒（DA001）排放使，各类废气经处理后均能达标排放，项目废气对周围空气环境影响较小。企业全厂实行“雨、污分流”。不产生生产废水，生活污水经化粪池收集后由环卫部门定期清运，不外排，</w:t>
      </w:r>
      <w:r>
        <w:rPr>
          <w:color w:val="auto"/>
          <w:sz w:val="24"/>
          <w:highlight w:val="none"/>
        </w:rPr>
        <w:t>对地表水环境影响较小。</w:t>
      </w:r>
      <w:r>
        <w:rPr>
          <w:rFonts w:hint="eastAsia"/>
          <w:color w:val="auto"/>
          <w:sz w:val="24"/>
          <w:highlight w:val="none"/>
        </w:rPr>
        <w:t>项目建成后各类</w:t>
      </w:r>
      <w:r>
        <w:rPr>
          <w:color w:val="auto"/>
          <w:sz w:val="24"/>
          <w:highlight w:val="none"/>
        </w:rPr>
        <w:t>固体废物得到妥善的处置。</w:t>
      </w:r>
    </w:p>
    <w:p>
      <w:pPr>
        <w:spacing w:line="360" w:lineRule="auto"/>
        <w:ind w:firstLine="480" w:firstLineChars="200"/>
        <w:rPr>
          <w:color w:val="auto"/>
          <w:sz w:val="24"/>
          <w:highlight w:val="none"/>
        </w:rPr>
      </w:pPr>
      <w:r>
        <w:rPr>
          <w:color w:val="auto"/>
          <w:sz w:val="24"/>
          <w:highlight w:val="none"/>
        </w:rPr>
        <w:t>项目各种污染物经适当处理后，符合相应排放标准和当地</w:t>
      </w:r>
      <w:r>
        <w:rPr>
          <w:rFonts w:hint="eastAsia"/>
          <w:color w:val="auto"/>
          <w:sz w:val="24"/>
          <w:highlight w:val="none"/>
        </w:rPr>
        <w:t>生态环境</w:t>
      </w:r>
      <w:r>
        <w:rPr>
          <w:color w:val="auto"/>
          <w:sz w:val="24"/>
          <w:highlight w:val="none"/>
        </w:rPr>
        <w:t>部门要求。因此，项目建于此地，符合当地环境功能区划。</w:t>
      </w:r>
    </w:p>
    <w:p>
      <w:pPr>
        <w:pStyle w:val="100"/>
        <w:spacing w:before="156"/>
        <w:rPr>
          <w:rFonts w:ascii="Times New Roman" w:hAnsi="Times New Roman"/>
          <w:color w:val="auto"/>
          <w:highlight w:val="none"/>
        </w:rPr>
      </w:pPr>
      <w:bookmarkStart w:id="417" w:name="_Toc57804803"/>
      <w:bookmarkStart w:id="418" w:name="_Toc66281328"/>
      <w:bookmarkStart w:id="419" w:name="_Toc19165"/>
      <w:r>
        <w:rPr>
          <w:rFonts w:ascii="Times New Roman" w:hAnsi="Times New Roman"/>
          <w:color w:val="auto"/>
          <w:highlight w:val="none"/>
        </w:rPr>
        <w:t>9.</w:t>
      </w:r>
      <w:r>
        <w:rPr>
          <w:rFonts w:hint="eastAsia" w:ascii="Times New Roman" w:hAnsi="Times New Roman"/>
          <w:color w:val="auto"/>
          <w:highlight w:val="none"/>
        </w:rPr>
        <w:t>7</w:t>
      </w:r>
      <w:r>
        <w:rPr>
          <w:rFonts w:ascii="Times New Roman" w:hAnsi="Times New Roman"/>
          <w:color w:val="auto"/>
          <w:highlight w:val="none"/>
        </w:rPr>
        <w:t>小结</w:t>
      </w:r>
      <w:bookmarkEnd w:id="417"/>
      <w:bookmarkEnd w:id="418"/>
      <w:bookmarkEnd w:id="419"/>
    </w:p>
    <w:p>
      <w:pPr>
        <w:pStyle w:val="99"/>
        <w:ind w:firstLine="480"/>
        <w:rPr>
          <w:color w:val="auto"/>
          <w:highlight w:val="none"/>
        </w:rPr>
      </w:pPr>
      <w:r>
        <w:rPr>
          <w:color w:val="auto"/>
          <w:highlight w:val="none"/>
        </w:rPr>
        <w:t>综上所述，本次评价认为拟建项目符合国家有关产业政策和当地城市发展规划、土地利用规划的有关规定，从产业政策、规划、环保政策、区位优势、环境功能相容性等方面分析，项目厂址选择合理。</w:t>
      </w: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9"/>
        <w:ind w:firstLine="480"/>
        <w:rPr>
          <w:color w:val="auto"/>
          <w:highlight w:val="none"/>
        </w:rPr>
      </w:pPr>
    </w:p>
    <w:p>
      <w:pPr>
        <w:pStyle w:val="98"/>
        <w:spacing w:before="156"/>
        <w:rPr>
          <w:rFonts w:ascii="Times New Roman" w:hAnsi="Times New Roman"/>
          <w:color w:val="auto"/>
          <w:highlight w:val="none"/>
        </w:rPr>
        <w:sectPr>
          <w:pgSz w:w="11906" w:h="16838"/>
          <w:pgMar w:top="1418" w:right="1418" w:bottom="1418" w:left="1701" w:header="851" w:footer="992" w:gutter="0"/>
          <w:pgBorders>
            <w:top w:val="none" w:sz="0" w:space="0"/>
            <w:left w:val="none" w:sz="0" w:space="0"/>
            <w:bottom w:val="none" w:sz="0" w:space="0"/>
            <w:right w:val="none" w:sz="0" w:space="0"/>
          </w:pgBorders>
          <w:cols w:space="425" w:num="1"/>
          <w:docGrid w:type="lines" w:linePitch="312" w:charSpace="0"/>
        </w:sectPr>
      </w:pPr>
    </w:p>
    <w:p>
      <w:pPr>
        <w:pStyle w:val="98"/>
        <w:spacing w:before="156"/>
        <w:rPr>
          <w:rFonts w:ascii="Times New Roman" w:hAnsi="Times New Roman"/>
          <w:color w:val="auto"/>
          <w:highlight w:val="none"/>
        </w:rPr>
      </w:pPr>
      <w:bookmarkStart w:id="420" w:name="_Toc57804804"/>
      <w:bookmarkStart w:id="421" w:name="_Toc66281329"/>
      <w:bookmarkStart w:id="422" w:name="_Toc9376"/>
      <w:r>
        <w:rPr>
          <w:rFonts w:ascii="Times New Roman" w:hAnsi="Times New Roman"/>
          <w:color w:val="auto"/>
          <w:highlight w:val="none"/>
        </w:rPr>
        <w:t>10.环境影响评价结论</w:t>
      </w:r>
      <w:bookmarkEnd w:id="420"/>
      <w:bookmarkEnd w:id="421"/>
      <w:bookmarkEnd w:id="422"/>
    </w:p>
    <w:p>
      <w:pPr>
        <w:pStyle w:val="100"/>
        <w:spacing w:before="156"/>
        <w:rPr>
          <w:rFonts w:ascii="Times New Roman" w:hAnsi="Times New Roman"/>
          <w:color w:val="auto"/>
          <w:highlight w:val="none"/>
        </w:rPr>
      </w:pPr>
      <w:bookmarkStart w:id="423" w:name="_Toc66281330"/>
      <w:bookmarkStart w:id="424" w:name="_Toc27684"/>
      <w:bookmarkStart w:id="425" w:name="_Toc57804805"/>
      <w:r>
        <w:rPr>
          <w:rFonts w:ascii="Times New Roman" w:hAnsi="Times New Roman"/>
          <w:color w:val="auto"/>
          <w:highlight w:val="none"/>
        </w:rPr>
        <w:t>10.1评价结论</w:t>
      </w:r>
      <w:bookmarkEnd w:id="423"/>
      <w:bookmarkEnd w:id="424"/>
      <w:bookmarkEnd w:id="425"/>
    </w:p>
    <w:p>
      <w:pPr>
        <w:pStyle w:val="101"/>
        <w:spacing w:before="78"/>
        <w:rPr>
          <w:rFonts w:ascii="Times New Roman" w:hAnsi="Times New Roman"/>
          <w:color w:val="auto"/>
          <w:highlight w:val="none"/>
        </w:rPr>
      </w:pPr>
      <w:r>
        <w:rPr>
          <w:rFonts w:ascii="Times New Roman" w:hAnsi="Times New Roman"/>
          <w:color w:val="auto"/>
          <w:highlight w:val="none"/>
        </w:rPr>
        <w:t>10.1.1项目概况</w:t>
      </w:r>
    </w:p>
    <w:p>
      <w:pPr>
        <w:pStyle w:val="99"/>
        <w:ind w:firstLine="480"/>
        <w:rPr>
          <w:color w:val="auto"/>
          <w:highlight w:val="none"/>
        </w:rPr>
      </w:pPr>
      <w:r>
        <w:rPr>
          <w:rFonts w:hint="eastAsia"/>
          <w:color w:val="auto"/>
          <w:kern w:val="0"/>
          <w:szCs w:val="24"/>
          <w:highlight w:val="none"/>
        </w:rPr>
        <w:t>山东付新环保科技有限公司</w:t>
      </w:r>
      <w:r>
        <w:rPr>
          <w:color w:val="auto"/>
          <w:kern w:val="0"/>
          <w:szCs w:val="24"/>
          <w:highlight w:val="none"/>
        </w:rPr>
        <w:t>成立于20</w:t>
      </w:r>
      <w:r>
        <w:rPr>
          <w:rFonts w:hint="eastAsia"/>
          <w:color w:val="auto"/>
          <w:kern w:val="0"/>
          <w:szCs w:val="24"/>
          <w:highlight w:val="none"/>
        </w:rPr>
        <w:t>20</w:t>
      </w:r>
      <w:r>
        <w:rPr>
          <w:color w:val="auto"/>
          <w:kern w:val="0"/>
          <w:szCs w:val="24"/>
          <w:highlight w:val="none"/>
        </w:rPr>
        <w:t>年</w:t>
      </w:r>
      <w:r>
        <w:rPr>
          <w:rFonts w:hint="eastAsia"/>
          <w:color w:val="auto"/>
          <w:kern w:val="0"/>
          <w:szCs w:val="24"/>
          <w:highlight w:val="none"/>
        </w:rPr>
        <w:t>12月</w:t>
      </w:r>
      <w:r>
        <w:rPr>
          <w:color w:val="auto"/>
          <w:kern w:val="0"/>
          <w:szCs w:val="24"/>
          <w:highlight w:val="none"/>
        </w:rPr>
        <w:t>，位于</w:t>
      </w:r>
      <w:r>
        <w:rPr>
          <w:rFonts w:hint="eastAsia"/>
          <w:color w:val="auto"/>
          <w:highlight w:val="none"/>
        </w:rPr>
        <w:t>枣庄市峄城区峨山镇大官庄村西</w:t>
      </w:r>
      <w:r>
        <w:rPr>
          <w:color w:val="auto"/>
          <w:kern w:val="0"/>
          <w:szCs w:val="24"/>
          <w:highlight w:val="none"/>
        </w:rPr>
        <w:t>，</w:t>
      </w:r>
      <w:r>
        <w:rPr>
          <w:rFonts w:hint="eastAsia"/>
          <w:color w:val="auto"/>
          <w:kern w:val="0"/>
          <w:szCs w:val="24"/>
          <w:highlight w:val="none"/>
        </w:rPr>
        <w:t>主要</w:t>
      </w:r>
      <w:r>
        <w:rPr>
          <w:color w:val="auto"/>
          <w:highlight w:val="none"/>
        </w:rPr>
        <w:t>产品包括</w:t>
      </w:r>
      <w:r>
        <w:rPr>
          <w:rFonts w:hint="eastAsia"/>
          <w:color w:val="auto"/>
          <w:kern w:val="0"/>
          <w:szCs w:val="24"/>
          <w:highlight w:val="none"/>
        </w:rPr>
        <w:t>给水管、HDPE中空壁缠绕管、HDPE双壁波纹管、PP注塑污水管件</w:t>
      </w:r>
      <w:r>
        <w:rPr>
          <w:rFonts w:hint="eastAsia"/>
          <w:color w:val="auto"/>
          <w:highlight w:val="none"/>
        </w:rPr>
        <w:t>等</w:t>
      </w:r>
      <w:r>
        <w:rPr>
          <w:color w:val="auto"/>
          <w:highlight w:val="none"/>
        </w:rPr>
        <w:t>。项目总投资</w:t>
      </w:r>
      <w:r>
        <w:rPr>
          <w:rFonts w:hint="eastAsia"/>
          <w:color w:val="auto"/>
          <w:highlight w:val="none"/>
        </w:rPr>
        <w:t>14</w:t>
      </w:r>
      <w:r>
        <w:rPr>
          <w:color w:val="auto"/>
          <w:highlight w:val="none"/>
        </w:rPr>
        <w:t>000万元，</w:t>
      </w:r>
      <w:r>
        <w:rPr>
          <w:rFonts w:hint="eastAsia"/>
          <w:color w:val="auto"/>
          <w:highlight w:val="none"/>
        </w:rPr>
        <w:t>其中环保投资115万元，占总投资的0.82%</w:t>
      </w:r>
      <w:r>
        <w:rPr>
          <w:color w:val="auto"/>
          <w:highlight w:val="none"/>
        </w:rPr>
        <w:t>。劳动定员</w:t>
      </w:r>
      <w:r>
        <w:rPr>
          <w:rFonts w:hint="eastAsia"/>
          <w:color w:val="auto"/>
          <w:highlight w:val="none"/>
        </w:rPr>
        <w:t>30</w:t>
      </w:r>
      <w:r>
        <w:rPr>
          <w:color w:val="auto"/>
          <w:highlight w:val="none"/>
        </w:rPr>
        <w:t>人，</w:t>
      </w:r>
      <w:r>
        <w:rPr>
          <w:rFonts w:hint="eastAsia"/>
          <w:color w:val="auto"/>
          <w:highlight w:val="none"/>
        </w:rPr>
        <w:t>年工作300d，每天3班，每班8h，年工作7200h</w:t>
      </w:r>
      <w:r>
        <w:rPr>
          <w:color w:val="auto"/>
          <w:highlight w:val="none"/>
        </w:rPr>
        <w:t>。</w:t>
      </w:r>
    </w:p>
    <w:p>
      <w:pPr>
        <w:pStyle w:val="99"/>
        <w:ind w:firstLine="480"/>
        <w:rPr>
          <w:color w:val="auto"/>
          <w:highlight w:val="none"/>
        </w:rPr>
      </w:pPr>
      <w:r>
        <w:rPr>
          <w:color w:val="auto"/>
          <w:highlight w:val="none"/>
        </w:rPr>
        <w:t>本项目产品包括</w:t>
      </w:r>
      <w:r>
        <w:rPr>
          <w:rFonts w:hint="eastAsia"/>
          <w:color w:val="auto"/>
          <w:highlight w:val="none"/>
        </w:rPr>
        <w:t>HDPE给水管、HDPE中空壁缠绕管、HDPE双壁波纹管、PP注塑污水管件，其中HDPE中空壁缠绕管、HDPE双壁波纹管、PP注塑污水管件使用废旧塑料生产，属于《产业结构调整指导目录（2019年本）》中鼓励类第四十三类“环境保护与资源节约综合利用”中第15款““三废”综合利用与治理技术、装备和工程”，符合国家产业政策求。</w:t>
      </w:r>
    </w:p>
    <w:p>
      <w:pPr>
        <w:pStyle w:val="101"/>
        <w:spacing w:before="78"/>
        <w:rPr>
          <w:rFonts w:ascii="Times New Roman" w:hAnsi="Times New Roman"/>
          <w:color w:val="auto"/>
          <w:highlight w:val="none"/>
        </w:rPr>
      </w:pPr>
      <w:r>
        <w:rPr>
          <w:rFonts w:ascii="Times New Roman" w:hAnsi="Times New Roman"/>
          <w:color w:val="auto"/>
          <w:highlight w:val="none"/>
        </w:rPr>
        <w:t>10.1.2区域环境质量现状</w:t>
      </w:r>
    </w:p>
    <w:p>
      <w:pPr>
        <w:spacing w:line="360" w:lineRule="auto"/>
        <w:ind w:firstLine="480" w:firstLineChars="200"/>
        <w:rPr>
          <w:snapToGrid w:val="0"/>
          <w:color w:val="auto"/>
          <w:sz w:val="24"/>
          <w:highlight w:val="none"/>
        </w:rPr>
      </w:pPr>
      <w:r>
        <w:rPr>
          <w:snapToGrid w:val="0"/>
          <w:color w:val="auto"/>
          <w:sz w:val="24"/>
          <w:highlight w:val="none"/>
        </w:rPr>
        <w:t>1、环境空气</w:t>
      </w:r>
    </w:p>
    <w:p>
      <w:pPr>
        <w:spacing w:line="360" w:lineRule="auto"/>
        <w:ind w:firstLine="480" w:firstLineChars="200"/>
        <w:rPr>
          <w:color w:val="auto"/>
          <w:sz w:val="24"/>
          <w:highlight w:val="none"/>
        </w:rPr>
      </w:pPr>
      <w:r>
        <w:rPr>
          <w:color w:val="auto"/>
          <w:sz w:val="24"/>
          <w:highlight w:val="none"/>
        </w:rPr>
        <w:t>根据</w:t>
      </w:r>
      <w:r>
        <w:rPr>
          <w:rFonts w:hint="eastAsia"/>
          <w:color w:val="auto"/>
          <w:sz w:val="24"/>
          <w:highlight w:val="none"/>
        </w:rPr>
        <w:t>202</w:t>
      </w:r>
      <w:r>
        <w:rPr>
          <w:rFonts w:hint="eastAsia"/>
          <w:color w:val="auto"/>
          <w:sz w:val="24"/>
          <w:highlight w:val="none"/>
          <w:lang w:val="en-US" w:eastAsia="zh-CN"/>
        </w:rPr>
        <w:t>1</w:t>
      </w:r>
      <w:r>
        <w:rPr>
          <w:color w:val="auto"/>
          <w:sz w:val="24"/>
          <w:highlight w:val="none"/>
        </w:rPr>
        <w:t>年</w:t>
      </w:r>
      <w:r>
        <w:rPr>
          <w:rFonts w:hint="eastAsia"/>
          <w:color w:val="auto"/>
          <w:sz w:val="24"/>
          <w:highlight w:val="none"/>
        </w:rPr>
        <w:t>峄城区</w:t>
      </w:r>
      <w:r>
        <w:rPr>
          <w:color w:val="auto"/>
          <w:sz w:val="24"/>
          <w:highlight w:val="none"/>
        </w:rPr>
        <w:t>大气自动监测站点监测数据统计结果，峄城区PM</w:t>
      </w:r>
      <w:r>
        <w:rPr>
          <w:color w:val="auto"/>
          <w:sz w:val="24"/>
          <w:highlight w:val="none"/>
          <w:vertAlign w:val="subscript"/>
        </w:rPr>
        <w:t>10</w:t>
      </w:r>
      <w:r>
        <w:rPr>
          <w:color w:val="auto"/>
          <w:sz w:val="24"/>
          <w:highlight w:val="none"/>
        </w:rPr>
        <w:t>、PM</w:t>
      </w:r>
      <w:r>
        <w:rPr>
          <w:color w:val="auto"/>
          <w:sz w:val="24"/>
          <w:highlight w:val="none"/>
          <w:vertAlign w:val="subscript"/>
        </w:rPr>
        <w:t>2.5</w:t>
      </w:r>
      <w:r>
        <w:rPr>
          <w:color w:val="auto"/>
          <w:sz w:val="24"/>
          <w:highlight w:val="none"/>
        </w:rPr>
        <w:t>污染物年评价指标不满足标准要求；SO</w:t>
      </w:r>
      <w:r>
        <w:rPr>
          <w:color w:val="auto"/>
          <w:sz w:val="24"/>
          <w:highlight w:val="none"/>
          <w:vertAlign w:val="subscript"/>
        </w:rPr>
        <w:t>2</w:t>
      </w:r>
      <w:r>
        <w:rPr>
          <w:color w:val="auto"/>
          <w:sz w:val="24"/>
          <w:highlight w:val="none"/>
        </w:rPr>
        <w:t>、NO</w:t>
      </w:r>
      <w:r>
        <w:rPr>
          <w:color w:val="auto"/>
          <w:sz w:val="24"/>
          <w:highlight w:val="none"/>
          <w:vertAlign w:val="subscript"/>
        </w:rPr>
        <w:t>2</w:t>
      </w:r>
      <w:r>
        <w:rPr>
          <w:color w:val="auto"/>
          <w:sz w:val="24"/>
          <w:highlight w:val="none"/>
        </w:rPr>
        <w:t>、CO</w:t>
      </w:r>
      <w:r>
        <w:rPr>
          <w:rFonts w:hint="eastAsia"/>
          <w:color w:val="auto"/>
          <w:sz w:val="24"/>
          <w:highlight w:val="none"/>
          <w:lang w:eastAsia="zh-CN"/>
        </w:rPr>
        <w:t>、O</w:t>
      </w:r>
      <w:r>
        <w:rPr>
          <w:rFonts w:hint="eastAsia"/>
          <w:color w:val="auto"/>
          <w:sz w:val="24"/>
          <w:highlight w:val="none"/>
          <w:vertAlign w:val="subscript"/>
          <w:lang w:eastAsia="zh-CN"/>
        </w:rPr>
        <w:t>3</w:t>
      </w:r>
      <w:r>
        <w:rPr>
          <w:color w:val="auto"/>
          <w:sz w:val="24"/>
          <w:highlight w:val="none"/>
        </w:rPr>
        <w:t>污染物年评价指标满足标准要求。因此，本评价判定项目所在区域为不达标区，超标因子为PM</w:t>
      </w:r>
      <w:r>
        <w:rPr>
          <w:color w:val="auto"/>
          <w:sz w:val="24"/>
          <w:highlight w:val="none"/>
          <w:vertAlign w:val="subscript"/>
        </w:rPr>
        <w:t>10</w:t>
      </w:r>
      <w:r>
        <w:rPr>
          <w:color w:val="auto"/>
          <w:sz w:val="24"/>
          <w:highlight w:val="none"/>
        </w:rPr>
        <w:t>、PM</w:t>
      </w:r>
      <w:r>
        <w:rPr>
          <w:color w:val="auto"/>
          <w:sz w:val="24"/>
          <w:highlight w:val="none"/>
          <w:vertAlign w:val="subscript"/>
        </w:rPr>
        <w:t>2.5</w:t>
      </w:r>
      <w:r>
        <w:rPr>
          <w:color w:val="auto"/>
          <w:sz w:val="24"/>
          <w:highlight w:val="none"/>
        </w:rPr>
        <w:t>。</w:t>
      </w:r>
    </w:p>
    <w:p>
      <w:pPr>
        <w:spacing w:line="360" w:lineRule="auto"/>
        <w:ind w:firstLine="480" w:firstLineChars="200"/>
        <w:rPr>
          <w:snapToGrid w:val="0"/>
          <w:color w:val="auto"/>
          <w:sz w:val="24"/>
          <w:highlight w:val="none"/>
        </w:rPr>
      </w:pPr>
      <w:r>
        <w:rPr>
          <w:snapToGrid w:val="0"/>
          <w:color w:val="auto"/>
          <w:sz w:val="24"/>
          <w:highlight w:val="none"/>
        </w:rPr>
        <w:t>根据监测数据，</w:t>
      </w:r>
      <w:r>
        <w:rPr>
          <w:rFonts w:hint="eastAsia"/>
          <w:snapToGrid w:val="0"/>
          <w:color w:val="auto"/>
          <w:sz w:val="24"/>
          <w:highlight w:val="none"/>
        </w:rPr>
        <w:t>评价区范围内VOCs、TSP各次监测值均不超标。TSP满足</w:t>
      </w:r>
      <w:r>
        <w:rPr>
          <w:color w:val="auto"/>
          <w:sz w:val="24"/>
          <w:highlight w:val="none"/>
        </w:rPr>
        <w:t>《环境空气质量标准》(GB3095-2012)中的二级标准</w:t>
      </w:r>
      <w:r>
        <w:rPr>
          <w:rFonts w:hint="eastAsia"/>
          <w:color w:val="auto"/>
          <w:sz w:val="24"/>
          <w:highlight w:val="none"/>
        </w:rPr>
        <w:t>要求；</w:t>
      </w:r>
      <w:r>
        <w:rPr>
          <w:rFonts w:hint="eastAsia"/>
          <w:bCs/>
          <w:color w:val="auto"/>
          <w:sz w:val="24"/>
          <w:highlight w:val="none"/>
        </w:rPr>
        <w:t>VOCs满足</w:t>
      </w:r>
      <w:r>
        <w:rPr>
          <w:color w:val="auto"/>
          <w:sz w:val="24"/>
          <w:highlight w:val="none"/>
        </w:rPr>
        <w:t>《大气污染物综合排放标准》(GB16297-1996)表2中非甲烷总烃周界外浓度最高点限值的1/2</w:t>
      </w:r>
      <w:r>
        <w:rPr>
          <w:rFonts w:hint="eastAsia"/>
          <w:color w:val="auto"/>
          <w:sz w:val="24"/>
          <w:highlight w:val="none"/>
        </w:rPr>
        <w:t>的标准限值，</w:t>
      </w:r>
      <w:r>
        <w:rPr>
          <w:rFonts w:hint="eastAsia"/>
          <w:snapToGrid w:val="0"/>
          <w:color w:val="auto"/>
          <w:sz w:val="24"/>
          <w:highlight w:val="none"/>
        </w:rPr>
        <w:t>区域大气尚有一定的环境容量。</w:t>
      </w:r>
    </w:p>
    <w:p>
      <w:pPr>
        <w:spacing w:line="360" w:lineRule="auto"/>
        <w:ind w:firstLine="480" w:firstLineChars="200"/>
        <w:rPr>
          <w:color w:val="auto"/>
          <w:sz w:val="24"/>
          <w:highlight w:val="none"/>
        </w:rPr>
      </w:pPr>
      <w:r>
        <w:rPr>
          <w:snapToGrid w:val="0"/>
          <w:color w:val="auto"/>
          <w:sz w:val="24"/>
          <w:highlight w:val="none"/>
        </w:rPr>
        <w:t>2</w:t>
      </w:r>
      <w:r>
        <w:rPr>
          <w:color w:val="auto"/>
          <w:sz w:val="24"/>
          <w:highlight w:val="none"/>
        </w:rPr>
        <w:t>、地表水</w:t>
      </w:r>
    </w:p>
    <w:p>
      <w:pPr>
        <w:spacing w:line="360" w:lineRule="auto"/>
        <w:ind w:firstLine="480" w:firstLineChars="200"/>
        <w:rPr>
          <w:snapToGrid w:val="0"/>
          <w:color w:val="auto"/>
          <w:sz w:val="24"/>
          <w:highlight w:val="none"/>
        </w:rPr>
      </w:pPr>
      <w:r>
        <w:rPr>
          <w:rFonts w:hint="eastAsia"/>
          <w:snapToGrid w:val="0"/>
          <w:color w:val="auto"/>
          <w:sz w:val="24"/>
          <w:highlight w:val="none"/>
        </w:rPr>
        <w:t>由3.4.2章节评价结果可知，202</w:t>
      </w:r>
      <w:r>
        <w:rPr>
          <w:rFonts w:hint="eastAsia"/>
          <w:snapToGrid w:val="0"/>
          <w:color w:val="auto"/>
          <w:sz w:val="24"/>
          <w:highlight w:val="none"/>
          <w:lang w:val="en-US" w:eastAsia="zh-CN"/>
        </w:rPr>
        <w:t>1</w:t>
      </w:r>
      <w:r>
        <w:rPr>
          <w:rFonts w:hint="eastAsia"/>
          <w:snapToGrid w:val="0"/>
          <w:color w:val="auto"/>
          <w:sz w:val="24"/>
          <w:highlight w:val="none"/>
        </w:rPr>
        <w:t>年峄城大沙河贾庄闸断面的各项监测指标除总氮外均满足《地表水环境质量标准》(GB3838-2002)中Ⅲ类标准。</w:t>
      </w:r>
    </w:p>
    <w:p>
      <w:pPr>
        <w:spacing w:line="360" w:lineRule="auto"/>
        <w:ind w:firstLine="480" w:firstLineChars="200"/>
        <w:rPr>
          <w:snapToGrid w:val="0"/>
          <w:color w:val="auto"/>
          <w:sz w:val="24"/>
          <w:highlight w:val="none"/>
        </w:rPr>
      </w:pPr>
      <w:r>
        <w:rPr>
          <w:snapToGrid w:val="0"/>
          <w:color w:val="auto"/>
          <w:sz w:val="24"/>
          <w:highlight w:val="none"/>
        </w:rPr>
        <w:t>3、地下水</w:t>
      </w:r>
    </w:p>
    <w:p>
      <w:pPr>
        <w:spacing w:line="360" w:lineRule="auto"/>
        <w:ind w:firstLine="480" w:firstLineChars="200"/>
        <w:rPr>
          <w:snapToGrid w:val="0"/>
          <w:color w:val="auto"/>
          <w:sz w:val="24"/>
          <w:highlight w:val="none"/>
        </w:rPr>
      </w:pPr>
      <w:r>
        <w:rPr>
          <w:rFonts w:hint="eastAsia"/>
          <w:snapToGrid w:val="0"/>
          <w:color w:val="auto"/>
          <w:sz w:val="24"/>
          <w:highlight w:val="none"/>
        </w:rPr>
        <w:t>根据监测结果可知，项目所在区域地下水各监测点位监测因子均符合《地下水质量标准》(GB/T14848-2017)Ⅲ类标准，项目周围地下水质量较好。</w:t>
      </w:r>
    </w:p>
    <w:p>
      <w:pPr>
        <w:spacing w:line="360" w:lineRule="auto"/>
        <w:ind w:firstLine="480" w:firstLineChars="200"/>
        <w:rPr>
          <w:snapToGrid w:val="0"/>
          <w:color w:val="auto"/>
          <w:sz w:val="24"/>
          <w:highlight w:val="none"/>
        </w:rPr>
      </w:pPr>
      <w:r>
        <w:rPr>
          <w:snapToGrid w:val="0"/>
          <w:color w:val="auto"/>
          <w:sz w:val="24"/>
          <w:highlight w:val="none"/>
        </w:rPr>
        <w:t>4、噪声</w:t>
      </w:r>
    </w:p>
    <w:p>
      <w:pPr>
        <w:spacing w:line="360" w:lineRule="auto"/>
        <w:ind w:firstLine="480" w:firstLineChars="200"/>
        <w:rPr>
          <w:snapToGrid w:val="0"/>
          <w:color w:val="auto"/>
          <w:sz w:val="24"/>
          <w:highlight w:val="none"/>
        </w:rPr>
      </w:pPr>
      <w:r>
        <w:rPr>
          <w:snapToGrid w:val="0"/>
          <w:color w:val="auto"/>
          <w:sz w:val="24"/>
          <w:highlight w:val="none"/>
        </w:rPr>
        <w:t>由监测结果可知，</w:t>
      </w:r>
      <w:r>
        <w:rPr>
          <w:rFonts w:hint="eastAsia"/>
          <w:snapToGrid w:val="0"/>
          <w:color w:val="auto"/>
          <w:sz w:val="24"/>
          <w:highlight w:val="none"/>
        </w:rPr>
        <w:t>东、北、西厂界</w:t>
      </w:r>
      <w:r>
        <w:rPr>
          <w:snapToGrid w:val="0"/>
          <w:color w:val="auto"/>
          <w:sz w:val="24"/>
          <w:highlight w:val="none"/>
        </w:rPr>
        <w:t>昼、夜间噪声值均低于《声环境质量标准》(GB3096-2008)</w:t>
      </w:r>
      <w:r>
        <w:rPr>
          <w:rFonts w:hint="eastAsia"/>
          <w:snapToGrid w:val="0"/>
          <w:color w:val="auto"/>
          <w:sz w:val="24"/>
          <w:highlight w:val="none"/>
        </w:rPr>
        <w:t>2</w:t>
      </w:r>
      <w:r>
        <w:rPr>
          <w:snapToGrid w:val="0"/>
          <w:color w:val="auto"/>
          <w:sz w:val="24"/>
          <w:highlight w:val="none"/>
        </w:rPr>
        <w:t>类标准的要求</w:t>
      </w:r>
      <w:r>
        <w:rPr>
          <w:rFonts w:hint="eastAsia"/>
          <w:snapToGrid w:val="0"/>
          <w:color w:val="auto"/>
          <w:sz w:val="24"/>
          <w:highlight w:val="none"/>
        </w:rPr>
        <w:t>，</w:t>
      </w:r>
      <w:r>
        <w:rPr>
          <w:snapToGrid w:val="0"/>
          <w:color w:val="auto"/>
          <w:sz w:val="24"/>
          <w:highlight w:val="none"/>
        </w:rPr>
        <w:t>由此可知，该地区噪声环境背景值情况总体良好。</w:t>
      </w:r>
    </w:p>
    <w:p>
      <w:pPr>
        <w:spacing w:line="360" w:lineRule="auto"/>
        <w:ind w:firstLine="480" w:firstLineChars="200"/>
        <w:rPr>
          <w:snapToGrid w:val="0"/>
          <w:color w:val="auto"/>
          <w:sz w:val="24"/>
          <w:highlight w:val="none"/>
        </w:rPr>
      </w:pPr>
      <w:r>
        <w:rPr>
          <w:snapToGrid w:val="0"/>
          <w:color w:val="auto"/>
          <w:sz w:val="24"/>
          <w:highlight w:val="none"/>
        </w:rPr>
        <w:t>5、土壤</w:t>
      </w:r>
    </w:p>
    <w:p>
      <w:pPr>
        <w:spacing w:line="360" w:lineRule="auto"/>
        <w:ind w:firstLine="480" w:firstLineChars="200"/>
        <w:rPr>
          <w:snapToGrid w:val="0"/>
          <w:color w:val="auto"/>
          <w:sz w:val="24"/>
          <w:highlight w:val="none"/>
        </w:rPr>
      </w:pPr>
      <w:r>
        <w:rPr>
          <w:snapToGrid w:val="0"/>
          <w:color w:val="auto"/>
          <w:sz w:val="24"/>
          <w:highlight w:val="none"/>
        </w:rPr>
        <w:t>由评价结果可知，</w:t>
      </w:r>
      <w:r>
        <w:rPr>
          <w:rFonts w:hint="eastAsia"/>
          <w:snapToGrid w:val="0"/>
          <w:color w:val="auto"/>
          <w:sz w:val="24"/>
          <w:highlight w:val="none"/>
        </w:rPr>
        <w:t>T1~T3点位各监测指标均满足《土壤环境质量 建设用地土壤污染风险管控标准（试行）》 (GB36600-2018)中表1第二类用地标准要求，</w:t>
      </w:r>
      <w:r>
        <w:rPr>
          <w:color w:val="auto"/>
          <w:sz w:val="24"/>
          <w:highlight w:val="none"/>
        </w:rPr>
        <w:t>表明该区域</w:t>
      </w:r>
      <w:r>
        <w:rPr>
          <w:snapToGrid w:val="0"/>
          <w:color w:val="auto"/>
          <w:sz w:val="24"/>
          <w:highlight w:val="none"/>
        </w:rPr>
        <w:t>土壤环境质量现状较好。</w:t>
      </w:r>
    </w:p>
    <w:p>
      <w:pPr>
        <w:pStyle w:val="101"/>
        <w:spacing w:before="78"/>
        <w:rPr>
          <w:rFonts w:ascii="Times New Roman" w:hAnsi="Times New Roman"/>
          <w:color w:val="auto"/>
          <w:highlight w:val="none"/>
        </w:rPr>
      </w:pPr>
      <w:r>
        <w:rPr>
          <w:rFonts w:ascii="Times New Roman" w:hAnsi="Times New Roman"/>
          <w:color w:val="auto"/>
          <w:highlight w:val="none"/>
        </w:rPr>
        <w:t>10.1.3污染物排放及环境影响预测</w:t>
      </w:r>
    </w:p>
    <w:p>
      <w:pPr>
        <w:pStyle w:val="99"/>
        <w:ind w:firstLine="482"/>
        <w:rPr>
          <w:b/>
          <w:bCs/>
          <w:color w:val="auto"/>
          <w:highlight w:val="none"/>
        </w:rPr>
      </w:pPr>
      <w:r>
        <w:rPr>
          <w:b/>
          <w:bCs/>
          <w:color w:val="auto"/>
          <w:highlight w:val="none"/>
        </w:rPr>
        <w:t>1、废气</w:t>
      </w:r>
    </w:p>
    <w:p>
      <w:pPr>
        <w:pStyle w:val="99"/>
        <w:ind w:firstLine="480"/>
        <w:rPr>
          <w:color w:val="auto"/>
          <w:szCs w:val="21"/>
          <w:highlight w:val="none"/>
        </w:rPr>
      </w:pPr>
      <w:r>
        <w:rPr>
          <w:color w:val="auto"/>
          <w:highlight w:val="none"/>
        </w:rPr>
        <w:t>项目产生的废气主要包括：</w:t>
      </w:r>
      <w:r>
        <w:rPr>
          <w:rFonts w:hint="eastAsia"/>
          <w:color w:val="auto"/>
          <w:highlight w:val="none"/>
        </w:rPr>
        <w:t>挤出、缠绕、熔融、注塑、破碎</w:t>
      </w:r>
      <w:r>
        <w:rPr>
          <w:rFonts w:hint="eastAsia"/>
          <w:color w:val="auto"/>
          <w:szCs w:val="21"/>
          <w:highlight w:val="none"/>
        </w:rPr>
        <w:t>造</w:t>
      </w:r>
      <w:r>
        <w:rPr>
          <w:color w:val="auto"/>
          <w:highlight w:val="none"/>
        </w:rPr>
        <w:t>等</w:t>
      </w:r>
      <w:r>
        <w:rPr>
          <w:rFonts w:hint="eastAsia"/>
          <w:color w:val="auto"/>
          <w:highlight w:val="none"/>
        </w:rPr>
        <w:t>，经</w:t>
      </w:r>
      <w:r>
        <w:rPr>
          <w:rFonts w:hint="eastAsia"/>
          <w:color w:val="auto"/>
          <w:szCs w:val="21"/>
          <w:highlight w:val="none"/>
        </w:rPr>
        <w:t>布袋除尘+活性炭吸附浓缩+催化燃烧+</w:t>
      </w:r>
      <w:r>
        <w:rPr>
          <w:rFonts w:hint="eastAsia"/>
          <w:color w:val="auto"/>
          <w:szCs w:val="21"/>
          <w:highlight w:val="none"/>
          <w:lang w:eastAsia="zh-CN"/>
        </w:rPr>
        <w:t>20m</w:t>
      </w:r>
      <w:r>
        <w:rPr>
          <w:rFonts w:hint="eastAsia"/>
          <w:color w:val="auto"/>
          <w:szCs w:val="21"/>
          <w:highlight w:val="none"/>
        </w:rPr>
        <w:t>高排气筒（DA001）排放，污染物</w:t>
      </w:r>
      <w:r>
        <w:rPr>
          <w:rFonts w:hint="eastAsia"/>
          <w:color w:val="auto"/>
          <w:highlight w:val="none"/>
        </w:rPr>
        <w:t>收集效率90％，颗粒物治理效率9</w:t>
      </w:r>
      <w:r>
        <w:rPr>
          <w:rFonts w:hint="eastAsia"/>
          <w:color w:val="auto"/>
          <w:highlight w:val="none"/>
          <w:lang w:val="en-US" w:eastAsia="zh-CN"/>
        </w:rPr>
        <w:t>5</w:t>
      </w:r>
      <w:r>
        <w:rPr>
          <w:rFonts w:hint="eastAsia"/>
          <w:color w:val="auto"/>
          <w:highlight w:val="none"/>
        </w:rPr>
        <w:t>％，VOCs治理效率9</w:t>
      </w:r>
      <w:r>
        <w:rPr>
          <w:rFonts w:hint="eastAsia"/>
          <w:color w:val="auto"/>
          <w:highlight w:val="none"/>
          <w:lang w:val="en-US" w:eastAsia="zh-CN"/>
        </w:rPr>
        <w:t>5</w:t>
      </w:r>
      <w:r>
        <w:rPr>
          <w:rFonts w:hint="eastAsia"/>
          <w:color w:val="auto"/>
          <w:highlight w:val="none"/>
        </w:rPr>
        <w:t>％，</w:t>
      </w:r>
      <w:r>
        <w:rPr>
          <w:rFonts w:hint="eastAsia"/>
          <w:color w:val="auto"/>
          <w:szCs w:val="21"/>
          <w:highlight w:val="none"/>
        </w:rPr>
        <w:t>外排废气DA001中挥发性有机物排放浓度和排放速率满足《挥发性有机物排放标准 第6部分：有机化工行业》（DB37/2801.6-2018）表1中Ⅱ时段的排放限值要求，颗粒物排放浓度满足《山东省区域性大气污染物综合排放标准》（DB37/2376-2019）表1</w:t>
      </w:r>
      <w:r>
        <w:rPr>
          <w:rFonts w:hint="eastAsia"/>
          <w:color w:val="auto"/>
          <w:szCs w:val="21"/>
          <w:highlight w:val="none"/>
          <w:lang w:eastAsia="zh-CN"/>
        </w:rPr>
        <w:t>重点控制区</w:t>
      </w:r>
      <w:r>
        <w:rPr>
          <w:rFonts w:hint="eastAsia"/>
          <w:color w:val="auto"/>
          <w:szCs w:val="21"/>
          <w:highlight w:val="none"/>
        </w:rPr>
        <w:t>标准要求，未收集的无组织废气车间强制通风。</w:t>
      </w:r>
    </w:p>
    <w:p>
      <w:pPr>
        <w:pStyle w:val="99"/>
        <w:ind w:firstLine="480"/>
        <w:rPr>
          <w:color w:val="auto"/>
          <w:highlight w:val="none"/>
        </w:rPr>
      </w:pPr>
      <w:r>
        <w:rPr>
          <w:rFonts w:hint="eastAsia"/>
          <w:color w:val="auto"/>
          <w:highlight w:val="none"/>
        </w:rPr>
        <w:t>根据预测结果可知：</w:t>
      </w:r>
    </w:p>
    <w:p>
      <w:pPr>
        <w:pStyle w:val="99"/>
        <w:ind w:firstLine="480"/>
        <w:rPr>
          <w:color w:val="auto"/>
          <w:highlight w:val="none"/>
        </w:rPr>
      </w:pPr>
      <w:r>
        <w:rPr>
          <w:rFonts w:hint="eastAsia"/>
          <w:color w:val="auto"/>
          <w:highlight w:val="none"/>
        </w:rPr>
        <w:t>排气筒(DA001)外排的颗粒物、</w:t>
      </w:r>
      <w:r>
        <w:rPr>
          <w:color w:val="auto"/>
          <w:highlight w:val="none"/>
        </w:rPr>
        <w:t>VOC</w:t>
      </w:r>
      <w:r>
        <w:rPr>
          <w:color w:val="auto"/>
          <w:highlight w:val="none"/>
          <w:vertAlign w:val="subscript"/>
        </w:rPr>
        <w:t>S</w:t>
      </w:r>
      <w:r>
        <w:rPr>
          <w:rFonts w:hint="eastAsia"/>
          <w:color w:val="auto"/>
          <w:highlight w:val="none"/>
        </w:rPr>
        <w:t>最大落地浓度分别为0.9119</w:t>
      </w:r>
      <w:r>
        <w:rPr>
          <w:color w:val="auto"/>
          <w:szCs w:val="21"/>
          <w:highlight w:val="none"/>
        </w:rPr>
        <w:t>μ</w:t>
      </w:r>
      <w:r>
        <w:rPr>
          <w:color w:val="auto"/>
          <w:highlight w:val="none"/>
        </w:rPr>
        <w:t>g/m</w:t>
      </w:r>
      <w:r>
        <w:rPr>
          <w:color w:val="auto"/>
          <w:highlight w:val="none"/>
          <w:vertAlign w:val="superscript"/>
        </w:rPr>
        <w:t>3</w:t>
      </w:r>
      <w:r>
        <w:rPr>
          <w:rFonts w:hint="eastAsia"/>
          <w:color w:val="auto"/>
          <w:highlight w:val="none"/>
        </w:rPr>
        <w:t>、25.0781</w:t>
      </w:r>
      <w:r>
        <w:rPr>
          <w:color w:val="auto"/>
          <w:szCs w:val="21"/>
          <w:highlight w:val="none"/>
        </w:rPr>
        <w:t>μ</w:t>
      </w:r>
      <w:r>
        <w:rPr>
          <w:color w:val="auto"/>
          <w:highlight w:val="none"/>
        </w:rPr>
        <w:t>g/m</w:t>
      </w:r>
      <w:r>
        <w:rPr>
          <w:color w:val="auto"/>
          <w:highlight w:val="none"/>
          <w:vertAlign w:val="superscript"/>
        </w:rPr>
        <w:t>3</w:t>
      </w:r>
      <w:r>
        <w:rPr>
          <w:rFonts w:hint="eastAsia"/>
          <w:color w:val="auto"/>
          <w:highlight w:val="none"/>
        </w:rPr>
        <w:t>，颗粒物在</w:t>
      </w:r>
      <w:r>
        <w:rPr>
          <w:color w:val="auto"/>
          <w:szCs w:val="24"/>
          <w:highlight w:val="none"/>
        </w:rPr>
        <w:t>网格点浓度贡献值可以满足《环境空气质量标准》</w:t>
      </w:r>
      <w:r>
        <w:rPr>
          <w:rFonts w:hint="eastAsia"/>
          <w:color w:val="auto"/>
          <w:szCs w:val="24"/>
          <w:highlight w:val="none"/>
        </w:rPr>
        <w:t>(</w:t>
      </w:r>
      <w:r>
        <w:rPr>
          <w:color w:val="auto"/>
          <w:szCs w:val="24"/>
          <w:highlight w:val="none"/>
        </w:rPr>
        <w:t>GB3095-2012</w:t>
      </w:r>
      <w:r>
        <w:rPr>
          <w:rFonts w:hint="eastAsia"/>
          <w:color w:val="auto"/>
          <w:szCs w:val="24"/>
          <w:highlight w:val="none"/>
        </w:rPr>
        <w:t>)</w:t>
      </w:r>
      <w:r>
        <w:rPr>
          <w:color w:val="auto"/>
          <w:szCs w:val="24"/>
          <w:highlight w:val="none"/>
        </w:rPr>
        <w:t>中二级标准要求</w:t>
      </w:r>
      <w:r>
        <w:rPr>
          <w:rFonts w:hint="eastAsia"/>
          <w:color w:val="auto"/>
          <w:szCs w:val="24"/>
          <w:highlight w:val="none"/>
        </w:rPr>
        <w:t>，</w:t>
      </w:r>
      <w:r>
        <w:rPr>
          <w:rFonts w:hint="eastAsia"/>
          <w:bCs/>
          <w:color w:val="auto"/>
          <w:highlight w:val="none"/>
        </w:rPr>
        <w:t>VOCs浓度</w:t>
      </w:r>
      <w:r>
        <w:rPr>
          <w:color w:val="auto"/>
          <w:szCs w:val="24"/>
          <w:highlight w:val="none"/>
        </w:rPr>
        <w:t>度贡献值可以</w:t>
      </w:r>
      <w:r>
        <w:rPr>
          <w:rFonts w:hint="eastAsia"/>
          <w:color w:val="auto"/>
          <w:highlight w:val="none"/>
        </w:rPr>
        <w:t>满足</w:t>
      </w:r>
      <w:r>
        <w:rPr>
          <w:color w:val="auto"/>
          <w:highlight w:val="none"/>
        </w:rPr>
        <w:t>《大气污染物综合排放标准》(GB16297-1996)表2中非甲烷总烃周界外浓度最高点限值的1/2</w:t>
      </w:r>
      <w:r>
        <w:rPr>
          <w:rFonts w:hint="eastAsia"/>
          <w:color w:val="auto"/>
          <w:highlight w:val="none"/>
        </w:rPr>
        <w:t>标准要求</w:t>
      </w:r>
      <w:r>
        <w:rPr>
          <w:color w:val="auto"/>
          <w:highlight w:val="none"/>
        </w:rPr>
        <w:t>。</w:t>
      </w:r>
    </w:p>
    <w:p>
      <w:pPr>
        <w:pStyle w:val="99"/>
        <w:ind w:firstLine="480"/>
        <w:rPr>
          <w:color w:val="auto"/>
          <w:highlight w:val="none"/>
        </w:rPr>
      </w:pPr>
      <w:r>
        <w:rPr>
          <w:rFonts w:hint="eastAsia"/>
          <w:color w:val="auto"/>
          <w:highlight w:val="none"/>
        </w:rPr>
        <w:t>无组织排放的颗粒物厂界排放浓度能满足《大气污染物综合排放标准》(GB16297-1996)表2无组织排放监控浓度限值(1</w:t>
      </w:r>
      <w:r>
        <w:rPr>
          <w:color w:val="auto"/>
          <w:highlight w:val="none"/>
        </w:rPr>
        <w:t>.0</w:t>
      </w:r>
      <w:r>
        <w:rPr>
          <w:rFonts w:hint="eastAsia"/>
          <w:color w:val="auto"/>
          <w:highlight w:val="none"/>
        </w:rPr>
        <w:t>mg/m</w:t>
      </w:r>
      <w:r>
        <w:rPr>
          <w:rFonts w:hint="eastAsia"/>
          <w:color w:val="auto"/>
          <w:highlight w:val="none"/>
          <w:vertAlign w:val="superscript"/>
        </w:rPr>
        <w:t>3</w:t>
      </w:r>
      <w:r>
        <w:rPr>
          <w:rFonts w:hint="eastAsia"/>
          <w:color w:val="auto"/>
          <w:highlight w:val="none"/>
        </w:rPr>
        <w:t>)；VOC</w:t>
      </w:r>
      <w:r>
        <w:rPr>
          <w:rFonts w:hint="eastAsia"/>
          <w:color w:val="auto"/>
          <w:highlight w:val="none"/>
          <w:vertAlign w:val="subscript"/>
        </w:rPr>
        <w:t>S</w:t>
      </w:r>
      <w:r>
        <w:rPr>
          <w:rFonts w:hint="eastAsia"/>
          <w:color w:val="auto"/>
          <w:highlight w:val="none"/>
        </w:rPr>
        <w:t>排放浓度满足《挥发性有机物排放标准 第6部分：有机化工行业》（DB37/2801.6-2018）表3中排放标准(</w:t>
      </w:r>
      <w:r>
        <w:rPr>
          <w:color w:val="auto"/>
          <w:highlight w:val="none"/>
        </w:rPr>
        <w:t>2.0</w:t>
      </w:r>
      <w:r>
        <w:rPr>
          <w:rFonts w:hint="eastAsia"/>
          <w:color w:val="auto"/>
          <w:highlight w:val="none"/>
        </w:rPr>
        <w:t>mg/m</w:t>
      </w:r>
      <w:r>
        <w:rPr>
          <w:rFonts w:hint="eastAsia"/>
          <w:color w:val="auto"/>
          <w:highlight w:val="none"/>
          <w:vertAlign w:val="superscript"/>
        </w:rPr>
        <w:t>3</w:t>
      </w:r>
      <w:r>
        <w:rPr>
          <w:rFonts w:hint="eastAsia"/>
          <w:color w:val="auto"/>
          <w:highlight w:val="none"/>
        </w:rPr>
        <w:t>)</w:t>
      </w:r>
      <w:r>
        <w:rPr>
          <w:color w:val="auto"/>
          <w:highlight w:val="none"/>
        </w:rPr>
        <w:t>。</w:t>
      </w:r>
    </w:p>
    <w:p>
      <w:pPr>
        <w:pStyle w:val="99"/>
        <w:ind w:firstLine="480"/>
        <w:rPr>
          <w:color w:val="auto"/>
          <w:szCs w:val="28"/>
          <w:highlight w:val="none"/>
        </w:rPr>
      </w:pPr>
      <w:r>
        <w:rPr>
          <w:color w:val="auto"/>
          <w:szCs w:val="24"/>
          <w:highlight w:val="none"/>
        </w:rPr>
        <w:t>本项目正常排放下厂界外，污染物短期浓度贡献值的最大浓度占标率</w:t>
      </w:r>
      <w:r>
        <w:rPr>
          <w:rFonts w:hint="eastAsia"/>
          <w:color w:val="auto"/>
          <w:szCs w:val="24"/>
          <w:highlight w:val="none"/>
        </w:rPr>
        <w:t>2.60</w:t>
      </w:r>
      <w:r>
        <w:rPr>
          <w:color w:val="auto"/>
          <w:szCs w:val="24"/>
          <w:highlight w:val="none"/>
        </w:rPr>
        <w:t>%</w:t>
      </w:r>
      <w:r>
        <w:rPr>
          <w:rFonts w:hint="eastAsia"/>
          <w:color w:val="auto"/>
          <w:szCs w:val="24"/>
          <w:highlight w:val="none"/>
        </w:rPr>
        <w:t>&lt;10%</w:t>
      </w:r>
      <w:r>
        <w:rPr>
          <w:color w:val="auto"/>
          <w:szCs w:val="24"/>
          <w:highlight w:val="none"/>
        </w:rPr>
        <w:t>，</w:t>
      </w:r>
      <w:r>
        <w:rPr>
          <w:color w:val="auto"/>
          <w:highlight w:val="none"/>
        </w:rPr>
        <w:t>根据预测，</w:t>
      </w:r>
      <w:r>
        <w:rPr>
          <w:color w:val="auto"/>
          <w:szCs w:val="32"/>
          <w:highlight w:val="none"/>
        </w:rPr>
        <w:t>本项目各污染物均无超出环境质量标准点位，因此本项目厂区不需要设置大气环境防护距离。</w:t>
      </w:r>
    </w:p>
    <w:p>
      <w:pPr>
        <w:spacing w:line="360" w:lineRule="auto"/>
        <w:ind w:firstLine="480" w:firstLineChars="200"/>
        <w:rPr>
          <w:color w:val="auto"/>
          <w:sz w:val="24"/>
          <w:highlight w:val="none"/>
        </w:rPr>
      </w:pPr>
      <w:r>
        <w:rPr>
          <w:color w:val="auto"/>
          <w:sz w:val="24"/>
          <w:szCs w:val="24"/>
          <w:highlight w:val="none"/>
        </w:rPr>
        <w:t>综上所述，本项目大气环境影响可以接受。</w:t>
      </w:r>
    </w:p>
    <w:p>
      <w:pPr>
        <w:pStyle w:val="99"/>
        <w:ind w:firstLine="482"/>
        <w:rPr>
          <w:b/>
          <w:bCs/>
          <w:color w:val="auto"/>
          <w:highlight w:val="none"/>
        </w:rPr>
      </w:pPr>
      <w:r>
        <w:rPr>
          <w:b/>
          <w:bCs/>
          <w:color w:val="auto"/>
          <w:highlight w:val="none"/>
        </w:rPr>
        <w:t>2、废水</w:t>
      </w:r>
    </w:p>
    <w:p>
      <w:pPr>
        <w:pStyle w:val="99"/>
        <w:ind w:firstLine="480"/>
        <w:rPr>
          <w:color w:val="auto"/>
          <w:szCs w:val="28"/>
          <w:highlight w:val="none"/>
        </w:rPr>
      </w:pPr>
      <w:r>
        <w:rPr>
          <w:rFonts w:hint="eastAsia"/>
          <w:color w:val="auto"/>
          <w:highlight w:val="none"/>
        </w:rPr>
        <w:t>项目无生产废水，</w:t>
      </w:r>
      <w:r>
        <w:rPr>
          <w:color w:val="auto"/>
          <w:highlight w:val="none"/>
        </w:rPr>
        <w:t>生活污水</w:t>
      </w:r>
      <w:r>
        <w:rPr>
          <w:rFonts w:hint="eastAsia"/>
          <w:color w:val="auto"/>
          <w:highlight w:val="none"/>
        </w:rPr>
        <w:t>产生量为288</w:t>
      </w:r>
      <w:r>
        <w:rPr>
          <w:color w:val="auto"/>
          <w:highlight w:val="none"/>
        </w:rPr>
        <w:t>m</w:t>
      </w:r>
      <w:r>
        <w:rPr>
          <w:color w:val="auto"/>
          <w:highlight w:val="none"/>
          <w:vertAlign w:val="superscript"/>
        </w:rPr>
        <w:t>3</w:t>
      </w:r>
      <w:r>
        <w:rPr>
          <w:color w:val="auto"/>
          <w:highlight w:val="none"/>
        </w:rPr>
        <w:t>/a</w:t>
      </w:r>
      <w:r>
        <w:rPr>
          <w:rFonts w:hint="eastAsia"/>
          <w:color w:val="auto"/>
          <w:highlight w:val="none"/>
        </w:rPr>
        <w:t>，经化粪池收集后由环卫部门定期清掏，不外排</w:t>
      </w:r>
      <w:r>
        <w:rPr>
          <w:rFonts w:hint="eastAsia"/>
          <w:color w:val="auto"/>
          <w:szCs w:val="21"/>
          <w:highlight w:val="none"/>
        </w:rPr>
        <w:t>。</w:t>
      </w:r>
    </w:p>
    <w:p>
      <w:pPr>
        <w:pStyle w:val="99"/>
        <w:ind w:firstLine="482"/>
        <w:rPr>
          <w:b/>
          <w:bCs/>
          <w:color w:val="auto"/>
          <w:highlight w:val="none"/>
        </w:rPr>
      </w:pPr>
      <w:r>
        <w:rPr>
          <w:b/>
          <w:bCs/>
          <w:color w:val="auto"/>
          <w:highlight w:val="none"/>
        </w:rPr>
        <w:t>3、固废</w:t>
      </w:r>
    </w:p>
    <w:p>
      <w:pPr>
        <w:pStyle w:val="99"/>
        <w:ind w:firstLine="480"/>
        <w:rPr>
          <w:color w:val="auto"/>
          <w:highlight w:val="none"/>
        </w:rPr>
      </w:pPr>
      <w:r>
        <w:rPr>
          <w:color w:val="auto"/>
          <w:highlight w:val="none"/>
        </w:rPr>
        <w:t>本项目固体废物包括危险废物、一般工业固废和生活垃圾。</w:t>
      </w:r>
    </w:p>
    <w:p>
      <w:pPr>
        <w:pStyle w:val="99"/>
        <w:ind w:firstLine="480"/>
        <w:rPr>
          <w:color w:val="auto"/>
          <w:highlight w:val="none"/>
        </w:rPr>
      </w:pPr>
      <w:r>
        <w:rPr>
          <w:color w:val="auto"/>
          <w:highlight w:val="none"/>
        </w:rPr>
        <w:t>一般固体废物：</w:t>
      </w:r>
      <w:r>
        <w:rPr>
          <w:rFonts w:hint="eastAsia"/>
          <w:color w:val="auto"/>
          <w:highlight w:val="none"/>
        </w:rPr>
        <w:t>生活垃圾、管道及配件生产切割下脚料、质检不合格产品，造粒工序熔融挤出废料、废网。管道及配件生产切割下脚料、质检不合格产品经破碎后回用于造粒工序；造粒工序熔融挤出废料、废滤网外卖</w:t>
      </w:r>
      <w:r>
        <w:rPr>
          <w:rFonts w:hint="eastAsia"/>
          <w:color w:val="auto"/>
          <w:szCs w:val="21"/>
          <w:highlight w:val="none"/>
        </w:rPr>
        <w:t>；</w:t>
      </w:r>
      <w:r>
        <w:rPr>
          <w:color w:val="auto"/>
          <w:highlight w:val="none"/>
        </w:rPr>
        <w:t>生活垃圾由当地环卫部门定期清运。</w:t>
      </w:r>
    </w:p>
    <w:p>
      <w:pPr>
        <w:pStyle w:val="99"/>
        <w:ind w:firstLine="480"/>
        <w:rPr>
          <w:color w:val="auto"/>
          <w:highlight w:val="none"/>
        </w:rPr>
      </w:pPr>
      <w:r>
        <w:rPr>
          <w:color w:val="auto"/>
          <w:highlight w:val="none"/>
        </w:rPr>
        <w:t>危险废物：主要包括废活性炭</w:t>
      </w:r>
      <w:r>
        <w:rPr>
          <w:rFonts w:hint="eastAsia"/>
          <w:color w:val="auto"/>
          <w:highlight w:val="none"/>
        </w:rPr>
        <w:t>、废催化剂、</w:t>
      </w:r>
      <w:r>
        <w:rPr>
          <w:color w:val="auto"/>
          <w:highlight w:val="none"/>
        </w:rPr>
        <w:t>废</w:t>
      </w:r>
      <w:r>
        <w:rPr>
          <w:rFonts w:hint="eastAsia"/>
          <w:color w:val="auto"/>
          <w:highlight w:val="none"/>
        </w:rPr>
        <w:t>矿物</w:t>
      </w:r>
      <w:r>
        <w:rPr>
          <w:color w:val="auto"/>
          <w:highlight w:val="none"/>
        </w:rPr>
        <w:t>油。所有危险废物分类收集，设置特定区域存放，并委托有处理资质的公司及时</w:t>
      </w:r>
      <w:r>
        <w:rPr>
          <w:rFonts w:hint="eastAsia"/>
          <w:color w:val="auto"/>
          <w:highlight w:val="none"/>
        </w:rPr>
        <w:t>转运</w:t>
      </w:r>
      <w:r>
        <w:rPr>
          <w:color w:val="auto"/>
          <w:highlight w:val="none"/>
        </w:rPr>
        <w:t>处理。所有使用危险化学品的车间地面、危险废物储库地面均采取严格的防渗措施。</w:t>
      </w:r>
    </w:p>
    <w:p>
      <w:pPr>
        <w:pStyle w:val="99"/>
        <w:ind w:firstLine="480"/>
        <w:rPr>
          <w:color w:val="auto"/>
          <w:highlight w:val="none"/>
        </w:rPr>
      </w:pPr>
      <w:r>
        <w:rPr>
          <w:color w:val="auto"/>
          <w:szCs w:val="24"/>
          <w:highlight w:val="none"/>
        </w:rPr>
        <w:t>综上所述，项目运营过程中产生的固废都根据自身的特点得到合理的利用和处置，不外排，不会对周围环境及人群造成影响。</w:t>
      </w:r>
    </w:p>
    <w:p>
      <w:pPr>
        <w:pStyle w:val="99"/>
        <w:ind w:firstLine="482"/>
        <w:rPr>
          <w:b/>
          <w:bCs/>
          <w:color w:val="auto"/>
          <w:highlight w:val="none"/>
        </w:rPr>
      </w:pPr>
      <w:r>
        <w:rPr>
          <w:b/>
          <w:bCs/>
          <w:color w:val="auto"/>
          <w:highlight w:val="none"/>
        </w:rPr>
        <w:t>4、噪声</w:t>
      </w:r>
    </w:p>
    <w:p>
      <w:pPr>
        <w:pStyle w:val="99"/>
        <w:ind w:firstLine="480"/>
        <w:rPr>
          <w:color w:val="auto"/>
          <w:highlight w:val="none"/>
        </w:rPr>
      </w:pPr>
      <w:r>
        <w:rPr>
          <w:rFonts w:hint="eastAsia"/>
          <w:color w:val="auto"/>
          <w:highlight w:val="none"/>
        </w:rPr>
        <w:t>根据4.4章节可知，</w:t>
      </w:r>
      <w:r>
        <w:rPr>
          <w:color w:val="auto"/>
          <w:highlight w:val="none"/>
        </w:rPr>
        <w:t>项目</w:t>
      </w:r>
      <w:r>
        <w:rPr>
          <w:rFonts w:hint="eastAsia"/>
          <w:color w:val="auto"/>
          <w:highlight w:val="none"/>
        </w:rPr>
        <w:t>主要噪声源经采取基础减震、建筑隔声、距离衰减等降噪措施后，厂界昼间噪声贡献值能满足《工业企业厂界环境噪声排放标准》(GB12348-2008)2类区标准要求。</w:t>
      </w:r>
    </w:p>
    <w:p>
      <w:pPr>
        <w:pStyle w:val="101"/>
        <w:spacing w:before="78"/>
        <w:rPr>
          <w:rFonts w:ascii="Times New Roman" w:hAnsi="Times New Roman"/>
          <w:color w:val="auto"/>
          <w:highlight w:val="none"/>
        </w:rPr>
      </w:pPr>
      <w:r>
        <w:rPr>
          <w:rFonts w:ascii="Times New Roman" w:hAnsi="Times New Roman"/>
          <w:color w:val="auto"/>
          <w:highlight w:val="none"/>
        </w:rPr>
        <w:t>10.1.4环境风险评价</w:t>
      </w:r>
    </w:p>
    <w:p>
      <w:pPr>
        <w:pStyle w:val="99"/>
        <w:ind w:firstLine="480"/>
        <w:rPr>
          <w:color w:val="auto"/>
          <w:highlight w:val="none"/>
        </w:rPr>
      </w:pPr>
      <w:r>
        <w:rPr>
          <w:rFonts w:hint="eastAsia"/>
          <w:color w:val="auto"/>
          <w:highlight w:val="none"/>
        </w:rPr>
        <w:t>本项目运营期环境风险主要为危险物质废矿物油等油类物质等在储运、生产过程中发生泄漏、火灾或爆炸事故，造成有毒有害物质扩散，危及周边居民健康或造成环境严重污染。经分析，项目风险潜势为Ⅰ，评价等级为简单分析。根据《建设项目环境风险评价技术导则》(</w:t>
      </w:r>
      <w:r>
        <w:rPr>
          <w:color w:val="auto"/>
          <w:highlight w:val="none"/>
        </w:rPr>
        <w:t>HJ169-2018</w:t>
      </w:r>
      <w:r>
        <w:rPr>
          <w:rFonts w:hint="eastAsia"/>
          <w:color w:val="auto"/>
          <w:highlight w:val="none"/>
        </w:rPr>
        <w:t>)的规定，大气环境风险评价范围：对于简单分析无评价范围要求，结合厂区周边环境敏感目标分布情况，风险评价范围同大气环境影响评价范围；地表水环境风险评价范围：覆盖污染影响所及水域；地下水环境风险评价范围：同地下水环境影响评价范围。</w:t>
      </w:r>
    </w:p>
    <w:p>
      <w:pPr>
        <w:spacing w:line="360" w:lineRule="auto"/>
        <w:ind w:firstLine="480" w:firstLineChars="200"/>
        <w:rPr>
          <w:color w:val="auto"/>
          <w:sz w:val="24"/>
          <w:szCs w:val="24"/>
          <w:highlight w:val="none"/>
        </w:rPr>
      </w:pPr>
      <w:r>
        <w:rPr>
          <w:rFonts w:hint="eastAsia"/>
          <w:color w:val="auto"/>
          <w:sz w:val="24"/>
          <w:szCs w:val="24"/>
          <w:highlight w:val="none"/>
        </w:rPr>
        <w:t>本项目不存在重大风险源，在设计中充分考虑了各种危险因素和可能造成的危害，并采取了相应的处理措施，只要各工作岗位严格遵守岗位操作规程，避免误操作， 加强设备的维护和管理，可以在设计年限内平稳安全地运行。</w:t>
      </w:r>
    </w:p>
    <w:p>
      <w:pPr>
        <w:pStyle w:val="99"/>
        <w:ind w:firstLine="480"/>
        <w:rPr>
          <w:color w:val="auto"/>
          <w:highlight w:val="none"/>
        </w:rPr>
      </w:pPr>
      <w:r>
        <w:rPr>
          <w:rFonts w:hint="eastAsia"/>
          <w:color w:val="auto"/>
          <w:szCs w:val="24"/>
          <w:highlight w:val="none"/>
        </w:rPr>
        <w:t>从环境风险控制的角度来评价，经采取相应应急措施，能大大减少事故发生概率，并且如一旦发生事故，能迅速采取有力措施，减小对环境污染。其潜在的事故风险是可以防范的。</w:t>
      </w:r>
    </w:p>
    <w:p>
      <w:pPr>
        <w:pStyle w:val="101"/>
        <w:spacing w:before="78"/>
        <w:rPr>
          <w:rFonts w:ascii="Times New Roman" w:hAnsi="Times New Roman"/>
          <w:color w:val="auto"/>
          <w:highlight w:val="none"/>
        </w:rPr>
      </w:pPr>
      <w:r>
        <w:rPr>
          <w:rFonts w:ascii="Times New Roman" w:hAnsi="Times New Roman"/>
          <w:color w:val="auto"/>
          <w:highlight w:val="none"/>
        </w:rPr>
        <w:t>10.1.5项目选址合理性分析</w:t>
      </w:r>
    </w:p>
    <w:p>
      <w:pPr>
        <w:pStyle w:val="99"/>
        <w:ind w:firstLine="480"/>
        <w:rPr>
          <w:color w:val="auto"/>
          <w:highlight w:val="none"/>
        </w:rPr>
      </w:pPr>
      <w:r>
        <w:rPr>
          <w:color w:val="auto"/>
          <w:highlight w:val="none"/>
        </w:rPr>
        <w:t>项目选址不在生态保护红线范围内，能够满足环境质量底线及资源利用上线，不在环境准入负面清单以内；项目选址符合用地性质的要求。项目建设后不会对当地环境质量影响较小。项目采取的环境保护措施技术可靠、经济可行，各种污染物的排放浓度、排放量均能够满足相应标准要求。因此，拟建项目建设厂址合理。</w:t>
      </w:r>
    </w:p>
    <w:p>
      <w:pPr>
        <w:pStyle w:val="101"/>
        <w:spacing w:before="78"/>
        <w:rPr>
          <w:rFonts w:ascii="Times New Roman" w:hAnsi="Times New Roman"/>
          <w:color w:val="auto"/>
          <w:highlight w:val="none"/>
        </w:rPr>
      </w:pPr>
      <w:r>
        <w:rPr>
          <w:rFonts w:ascii="Times New Roman" w:hAnsi="Times New Roman"/>
          <w:color w:val="auto"/>
          <w:highlight w:val="none"/>
        </w:rPr>
        <w:t>10.1.6环境经济损益分析</w:t>
      </w:r>
    </w:p>
    <w:p>
      <w:pPr>
        <w:spacing w:line="360" w:lineRule="auto"/>
        <w:ind w:firstLine="480" w:firstLineChars="200"/>
        <w:rPr>
          <w:color w:val="auto"/>
          <w:sz w:val="24"/>
          <w:highlight w:val="none"/>
        </w:rPr>
      </w:pPr>
      <w:r>
        <w:rPr>
          <w:color w:val="auto"/>
          <w:sz w:val="24"/>
          <w:highlight w:val="none"/>
        </w:rPr>
        <w:t>营运期主要是废气、废水、固废及噪声等对环境造成影响，为消除这些影响，相应建设了有针对性的环保措施用于治理，环保投资为</w:t>
      </w:r>
      <w:r>
        <w:rPr>
          <w:rFonts w:hint="eastAsia"/>
          <w:color w:val="auto"/>
          <w:sz w:val="24"/>
          <w:highlight w:val="none"/>
        </w:rPr>
        <w:t>115</w:t>
      </w:r>
      <w:r>
        <w:rPr>
          <w:color w:val="auto"/>
          <w:sz w:val="24"/>
          <w:highlight w:val="none"/>
        </w:rPr>
        <w:t>万元，占总投资的</w:t>
      </w:r>
      <w:r>
        <w:rPr>
          <w:rFonts w:hint="eastAsia"/>
          <w:color w:val="auto"/>
          <w:sz w:val="24"/>
          <w:highlight w:val="none"/>
        </w:rPr>
        <w:t>0.82</w:t>
      </w:r>
      <w:r>
        <w:rPr>
          <w:color w:val="auto"/>
          <w:sz w:val="24"/>
          <w:highlight w:val="none"/>
        </w:rPr>
        <w:t>%。环境效益主要体现在对“三废”的综合利用和能源的回收利用能有效地控制和减少生产过程中的污染物，实现污染物的达标排放。</w:t>
      </w:r>
    </w:p>
    <w:p>
      <w:pPr>
        <w:pStyle w:val="99"/>
        <w:ind w:firstLine="480"/>
        <w:rPr>
          <w:color w:val="auto"/>
          <w:highlight w:val="none"/>
        </w:rPr>
      </w:pPr>
      <w:r>
        <w:rPr>
          <w:color w:val="auto"/>
          <w:highlight w:val="none"/>
        </w:rPr>
        <w:t>拟建项目具有较好的社会效益和经济效益；对环境造成的损失是局部的、小范围的，部份环境损失经适当的措施后是可以弥补的。项目从环境、社会、经济等角度综合考查，损失是小范围的。因此，项目从环境影响经济损益角度是可行的。</w:t>
      </w:r>
    </w:p>
    <w:p>
      <w:pPr>
        <w:pStyle w:val="101"/>
        <w:keepNext w:val="0"/>
        <w:keepLines w:val="0"/>
        <w:spacing w:before="78"/>
        <w:rPr>
          <w:rFonts w:ascii="Times New Roman" w:hAnsi="Times New Roman"/>
          <w:color w:val="auto"/>
          <w:highlight w:val="none"/>
        </w:rPr>
      </w:pPr>
      <w:r>
        <w:rPr>
          <w:rFonts w:ascii="Times New Roman" w:hAnsi="Times New Roman"/>
          <w:color w:val="auto"/>
          <w:highlight w:val="none"/>
        </w:rPr>
        <w:t>10.1.7公众参与开展情况</w:t>
      </w:r>
    </w:p>
    <w:p>
      <w:pPr>
        <w:spacing w:line="360" w:lineRule="auto"/>
        <w:ind w:firstLine="480" w:firstLineChars="200"/>
        <w:rPr>
          <w:color w:val="auto"/>
          <w:kern w:val="0"/>
          <w:sz w:val="24"/>
          <w:highlight w:val="none"/>
        </w:rPr>
      </w:pPr>
      <w:r>
        <w:rPr>
          <w:color w:val="auto"/>
          <w:kern w:val="0"/>
          <w:sz w:val="24"/>
          <w:highlight w:val="none"/>
        </w:rPr>
        <w:t>建设单位</w:t>
      </w:r>
      <w:r>
        <w:rPr>
          <w:color w:val="auto"/>
          <w:sz w:val="24"/>
          <w:highlight w:val="none"/>
        </w:rPr>
        <w:t>在委托我公司承担项目环境影响评价工作后，</w:t>
      </w:r>
      <w:r>
        <w:rPr>
          <w:rFonts w:hint="eastAsia"/>
          <w:color w:val="auto"/>
          <w:sz w:val="24"/>
          <w:highlight w:val="none"/>
        </w:rPr>
        <w:t>在</w:t>
      </w:r>
      <w:r>
        <w:rPr>
          <w:color w:val="auto"/>
          <w:kern w:val="0"/>
          <w:sz w:val="24"/>
          <w:highlight w:val="none"/>
        </w:rPr>
        <w:t>峄城区人民政府网于202</w:t>
      </w:r>
      <w:r>
        <w:rPr>
          <w:rFonts w:hint="eastAsia"/>
          <w:color w:val="auto"/>
          <w:kern w:val="0"/>
          <w:sz w:val="24"/>
          <w:highlight w:val="none"/>
        </w:rPr>
        <w:t>2</w:t>
      </w:r>
      <w:r>
        <w:rPr>
          <w:color w:val="auto"/>
          <w:kern w:val="0"/>
          <w:sz w:val="24"/>
          <w:highlight w:val="none"/>
        </w:rPr>
        <w:t>年</w:t>
      </w:r>
      <w:r>
        <w:rPr>
          <w:rFonts w:hint="eastAsia"/>
          <w:color w:val="auto"/>
          <w:kern w:val="0"/>
          <w:sz w:val="24"/>
          <w:highlight w:val="none"/>
        </w:rPr>
        <w:t>6</w:t>
      </w:r>
      <w:r>
        <w:rPr>
          <w:color w:val="auto"/>
          <w:kern w:val="0"/>
          <w:sz w:val="24"/>
          <w:highlight w:val="none"/>
        </w:rPr>
        <w:t>月2</w:t>
      </w:r>
      <w:r>
        <w:rPr>
          <w:rFonts w:hint="eastAsia"/>
          <w:color w:val="auto"/>
          <w:kern w:val="0"/>
          <w:sz w:val="24"/>
          <w:highlight w:val="none"/>
        </w:rPr>
        <w:t>7</w:t>
      </w:r>
      <w:r>
        <w:rPr>
          <w:color w:val="auto"/>
          <w:kern w:val="0"/>
          <w:sz w:val="24"/>
          <w:highlight w:val="none"/>
        </w:rPr>
        <w:t>日发布了第一次环评信息公告。2022年</w:t>
      </w:r>
      <w:r>
        <w:rPr>
          <w:rFonts w:hint="eastAsia"/>
          <w:color w:val="auto"/>
          <w:kern w:val="0"/>
          <w:sz w:val="24"/>
          <w:highlight w:val="none"/>
        </w:rPr>
        <w:t>8</w:t>
      </w:r>
      <w:r>
        <w:rPr>
          <w:color w:val="auto"/>
          <w:kern w:val="0"/>
          <w:sz w:val="24"/>
          <w:highlight w:val="none"/>
        </w:rPr>
        <w:t>月</w:t>
      </w:r>
      <w:r>
        <w:rPr>
          <w:rFonts w:hint="eastAsia"/>
          <w:color w:val="auto"/>
          <w:kern w:val="0"/>
          <w:sz w:val="24"/>
          <w:highlight w:val="none"/>
        </w:rPr>
        <w:t>15</w:t>
      </w:r>
      <w:r>
        <w:rPr>
          <w:color w:val="auto"/>
          <w:kern w:val="0"/>
          <w:sz w:val="24"/>
          <w:highlight w:val="none"/>
        </w:rPr>
        <w:t>日，</w:t>
      </w:r>
      <w:r>
        <w:rPr>
          <w:rFonts w:hint="eastAsia"/>
          <w:color w:val="auto"/>
          <w:kern w:val="0"/>
          <w:sz w:val="24"/>
          <w:highlight w:val="none"/>
        </w:rPr>
        <w:t>建设单位</w:t>
      </w:r>
      <w:r>
        <w:rPr>
          <w:color w:val="auto"/>
          <w:kern w:val="0"/>
          <w:sz w:val="24"/>
          <w:highlight w:val="none"/>
        </w:rPr>
        <w:t>在峄城区人民政府网上进行了第二次环评信息公示。自公示之日起10个工作日内，未收到公众和团体有关本工程建设和环境保护方面的电话和信件。</w:t>
      </w:r>
      <w:r>
        <w:rPr>
          <w:rFonts w:hint="eastAsia"/>
          <w:color w:val="auto"/>
          <w:kern w:val="0"/>
          <w:sz w:val="24"/>
          <w:highlight w:val="none"/>
        </w:rPr>
        <w:t>建设单位已将公众参与相关内容单独编制成册。</w:t>
      </w:r>
    </w:p>
    <w:p>
      <w:pPr>
        <w:pStyle w:val="101"/>
        <w:spacing w:before="78"/>
        <w:rPr>
          <w:rFonts w:ascii="Times New Roman" w:hAnsi="Times New Roman"/>
          <w:color w:val="auto"/>
          <w:highlight w:val="none"/>
        </w:rPr>
      </w:pPr>
      <w:r>
        <w:rPr>
          <w:rFonts w:ascii="Times New Roman" w:hAnsi="Times New Roman"/>
          <w:color w:val="auto"/>
          <w:highlight w:val="none"/>
        </w:rPr>
        <w:t>10.1.8结论</w:t>
      </w:r>
    </w:p>
    <w:p>
      <w:pPr>
        <w:pStyle w:val="99"/>
        <w:ind w:firstLine="480"/>
        <w:rPr>
          <w:color w:val="auto"/>
          <w:highlight w:val="none"/>
        </w:rPr>
      </w:pPr>
      <w:bookmarkStart w:id="426" w:name="_Hlk50800750"/>
      <w:r>
        <w:rPr>
          <w:rFonts w:hint="eastAsia"/>
          <w:color w:val="auto"/>
          <w:kern w:val="0"/>
          <w:szCs w:val="24"/>
          <w:highlight w:val="none"/>
        </w:rPr>
        <w:t>山东付新环保科技有限公司</w:t>
      </w:r>
      <w:bookmarkEnd w:id="426"/>
      <w:r>
        <w:rPr>
          <w:rFonts w:hint="eastAsia"/>
          <w:color w:val="auto"/>
          <w:highlight w:val="none"/>
        </w:rPr>
        <w:t>绿色高性能复合管项目</w:t>
      </w:r>
      <w:r>
        <w:rPr>
          <w:color w:val="auto"/>
          <w:highlight w:val="none"/>
        </w:rPr>
        <w:t>拟建于</w:t>
      </w:r>
      <w:r>
        <w:rPr>
          <w:rFonts w:hint="eastAsia"/>
          <w:color w:val="auto"/>
          <w:highlight w:val="none"/>
        </w:rPr>
        <w:t>枣庄市峄城区峨山镇大官庄村西</w:t>
      </w:r>
      <w:r>
        <w:rPr>
          <w:color w:val="auto"/>
          <w:highlight w:val="none"/>
        </w:rPr>
        <w:t>，</w:t>
      </w:r>
      <w:r>
        <w:rPr>
          <w:rFonts w:hint="eastAsia"/>
          <w:color w:val="auto"/>
          <w:highlight w:val="none"/>
        </w:rPr>
        <w:t>符合峨山镇土地利用总体规划，</w:t>
      </w:r>
      <w:r>
        <w:rPr>
          <w:color w:val="auto"/>
          <w:highlight w:val="none"/>
        </w:rPr>
        <w:t>项目符合国家产业政策和各项环保政策</w:t>
      </w:r>
      <w:r>
        <w:rPr>
          <w:rFonts w:hint="eastAsia"/>
          <w:color w:val="auto"/>
          <w:highlight w:val="none"/>
        </w:rPr>
        <w:t>，</w:t>
      </w:r>
      <w:r>
        <w:rPr>
          <w:color w:val="auto"/>
          <w:highlight w:val="none"/>
        </w:rPr>
        <w:t>项目厂址交通条件优越，环境影响可接受。</w:t>
      </w:r>
    </w:p>
    <w:p>
      <w:pPr>
        <w:pStyle w:val="99"/>
        <w:ind w:firstLine="480"/>
        <w:rPr>
          <w:color w:val="auto"/>
          <w:highlight w:val="none"/>
        </w:rPr>
      </w:pPr>
      <w:r>
        <w:rPr>
          <w:color w:val="auto"/>
          <w:highlight w:val="none"/>
        </w:rPr>
        <w:t>项目的建设将不可避免的对区域空气、地表水、地下水和声环境等产生一定的不利影响，通过采取资源综合利用手段和完善可行的污染防治措施后，将会使污染物外排总量和排放浓度均有所减少；通过采取针对性强的风险防范措施和应急预案，工程风险可以得到有效控制；只要在生产中切实做好“三同时”工作，落实评价提出的污染防治措施，就可将项目的不利影响降到最低，使经济效益、社会效益和环境效益有机统一起来，实现经济、社会和环境的可持续发展。拟建项目在落实好各项措施建议的</w:t>
      </w:r>
      <w:r>
        <w:rPr>
          <w:rFonts w:hint="eastAsia"/>
          <w:color w:val="auto"/>
          <w:highlight w:val="none"/>
          <w:lang w:val="en-US" w:eastAsia="zh-CN"/>
        </w:rPr>
        <w:t>情况</w:t>
      </w:r>
      <w:r>
        <w:rPr>
          <w:color w:val="auto"/>
          <w:highlight w:val="none"/>
        </w:rPr>
        <w:t>下，从环境角度上讲</w:t>
      </w:r>
      <w:r>
        <w:rPr>
          <w:rFonts w:hint="eastAsia"/>
          <w:color w:val="auto"/>
          <w:highlight w:val="none"/>
        </w:rPr>
        <w:t>，</w:t>
      </w:r>
      <w:r>
        <w:rPr>
          <w:color w:val="auto"/>
          <w:highlight w:val="none"/>
        </w:rPr>
        <w:t>该项目建设是可行的。</w:t>
      </w:r>
    </w:p>
    <w:p>
      <w:pPr>
        <w:pStyle w:val="100"/>
        <w:spacing w:before="0" w:beforeLines="0"/>
        <w:rPr>
          <w:rFonts w:ascii="Times New Roman" w:hAnsi="Times New Roman"/>
          <w:color w:val="auto"/>
          <w:highlight w:val="none"/>
        </w:rPr>
      </w:pPr>
      <w:bookmarkStart w:id="427" w:name="_Toc22242"/>
      <w:bookmarkStart w:id="428" w:name="_Toc57804806"/>
      <w:bookmarkStart w:id="429" w:name="_Toc66281331"/>
      <w:r>
        <w:rPr>
          <w:rFonts w:ascii="Times New Roman" w:hAnsi="Times New Roman"/>
          <w:color w:val="auto"/>
          <w:highlight w:val="none"/>
        </w:rPr>
        <w:t>10.2建议</w:t>
      </w:r>
      <w:bookmarkEnd w:id="427"/>
      <w:bookmarkEnd w:id="428"/>
      <w:bookmarkEnd w:id="429"/>
    </w:p>
    <w:p>
      <w:pPr>
        <w:pStyle w:val="102"/>
        <w:ind w:firstLine="480"/>
        <w:rPr>
          <w:color w:val="auto"/>
          <w:highlight w:val="none"/>
        </w:rPr>
      </w:pPr>
      <w:r>
        <w:rPr>
          <w:color w:val="auto"/>
          <w:highlight w:val="none"/>
        </w:rPr>
        <w:t>1、加强生产管理，尽量减少物料消耗，尤其应尽量减少物料在输送、转运等环节产生的损失。</w:t>
      </w:r>
    </w:p>
    <w:p>
      <w:pPr>
        <w:pStyle w:val="102"/>
        <w:ind w:firstLine="480"/>
        <w:rPr>
          <w:color w:val="auto"/>
          <w:highlight w:val="none"/>
        </w:rPr>
      </w:pPr>
      <w:r>
        <w:rPr>
          <w:color w:val="auto"/>
          <w:highlight w:val="none"/>
        </w:rPr>
        <w:t>2、项目建成后应根据《中华人民共和国清洁生产促进法》的要求，积极开展清洁生产审计，进一步节能降耗，多方考虑资源的重复利用。</w:t>
      </w:r>
    </w:p>
    <w:p>
      <w:pPr>
        <w:pStyle w:val="102"/>
        <w:ind w:firstLine="480"/>
        <w:rPr>
          <w:color w:val="auto"/>
          <w:highlight w:val="none"/>
        </w:rPr>
      </w:pPr>
      <w:r>
        <w:rPr>
          <w:color w:val="auto"/>
          <w:highlight w:val="none"/>
        </w:rPr>
        <w:t>3、项目建成后应尽快开展ISO9001质量管理体系、ISO14001环境管理体系和OHSMS18001职业安全卫生管理体系认证，提高管理水平和企业形象。</w:t>
      </w:r>
    </w:p>
    <w:p>
      <w:pPr>
        <w:pStyle w:val="102"/>
        <w:ind w:firstLine="480"/>
        <w:rPr>
          <w:color w:val="auto"/>
          <w:highlight w:val="none"/>
        </w:rPr>
      </w:pPr>
      <w:r>
        <w:rPr>
          <w:color w:val="auto"/>
          <w:highlight w:val="none"/>
        </w:rPr>
        <w:t>4、加强企业内部管理，实施本报告书中提出的环境管理和监测计划。</w:t>
      </w:r>
    </w:p>
    <w:p>
      <w:pPr>
        <w:pStyle w:val="99"/>
        <w:ind w:firstLine="480"/>
        <w:rPr>
          <w:color w:val="auto"/>
          <w:highlight w:val="none"/>
        </w:rPr>
      </w:pPr>
      <w:r>
        <w:rPr>
          <w:color w:val="auto"/>
          <w:highlight w:val="none"/>
        </w:rPr>
        <w:t>5、按照本报告书中所提事故预防措施，落实预防和应急措施，完善事故预防应急计划，尽量减少损失和环境污染。</w:t>
      </w:r>
    </w:p>
    <w:p>
      <w:pPr>
        <w:pStyle w:val="99"/>
        <w:ind w:firstLine="480"/>
        <w:rPr>
          <w:color w:val="auto"/>
          <w:highlight w:val="none"/>
        </w:rPr>
      </w:pPr>
    </w:p>
    <w:p>
      <w:pPr>
        <w:rPr>
          <w:color w:val="auto"/>
          <w:highlight w:val="none"/>
        </w:rPr>
      </w:pPr>
    </w:p>
    <w:bookmarkEnd w:id="430"/>
    <w:sectPr>
      <w:headerReference r:id="rId27" w:type="default"/>
      <w:headerReference r:id="rId28" w:type="even"/>
      <w:pgSz w:w="11906" w:h="16838"/>
      <w:pgMar w:top="1418" w:right="1418" w:bottom="1418" w:left="1701"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华文细黑">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FLGPEK+TimesNewRoman,Italic">
    <w:altName w:val="宋体"/>
    <w:panose1 w:val="00000000000000000000"/>
    <w:charset w:val="86"/>
    <w:family w:val="roma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TimesNewRomanPSMT">
    <w:altName w:val="宋体"/>
    <w:panose1 w:val="00000000000000000000"/>
    <w:charset w:val="00"/>
    <w:family w:val="roman"/>
    <w:pitch w:val="default"/>
    <w:sig w:usb0="00000000" w:usb1="00000000" w:usb2="00000010" w:usb3="00000000" w:csb0="00040001" w:csb1="00000000"/>
  </w:font>
  <w:font w:name="Microsoft YaHei UI">
    <w:panose1 w:val="020B0503020204020204"/>
    <w:charset w:val="86"/>
    <w:family w:val="swiss"/>
    <w:pitch w:val="default"/>
    <w:sig w:usb0="80000287" w:usb1="2ACF3C50" w:usb2="00000016" w:usb3="00000000" w:csb0="0004001F" w:csb1="00000000"/>
  </w:font>
  <w:font w:name="汉鼎简书宋">
    <w:altName w:val="宋体"/>
    <w:panose1 w:val="00000000000000000000"/>
    <w:charset w:val="86"/>
    <w:family w:val="modern"/>
    <w:pitch w:val="default"/>
    <w:sig w:usb0="00000000" w:usb1="00000000" w:usb2="00000010" w:usb3="00000000" w:csb0="00040000" w:csb1="00000000"/>
  </w:font>
  <w:font w:name="”“Times New Roman”“">
    <w:altName w:val="宋体"/>
    <w:panose1 w:val="00000000000000000000"/>
    <w:charset w:val="86"/>
    <w:family w:val="roma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 w:name="华文楷体">
    <w:panose1 w:val="02010600040101010101"/>
    <w:charset w:val="86"/>
    <w:family w:val="auto"/>
    <w:pitch w:val="default"/>
    <w:sig w:usb0="00000287" w:usb1="080F0000" w:usb2="00000000" w:usb3="00000000" w:csb0="0004009F" w:csb1="DFD70000"/>
  </w:font>
  <w:font w:name="Tms Rmn">
    <w:altName w:val="Segoe Print"/>
    <w:panose1 w:val="02020603040505020304"/>
    <w:charset w:val="00"/>
    <w:family w:val="roman"/>
    <w:pitch w:val="default"/>
    <w:sig w:usb0="00000000" w:usb1="00000000" w:usb2="00000000" w:usb3="00000000" w:csb0="00000001" w:csb1="00000000"/>
  </w:font>
  <w:font w:name="Arial Black">
    <w:panose1 w:val="020B0A04020102020204"/>
    <w:charset w:val="00"/>
    <w:family w:val="swiss"/>
    <w:pitch w:val="default"/>
    <w:sig w:usb0="A00002AF" w:usb1="400078FB" w:usb2="00000000" w:usb3="00000000" w:csb0="6000009F" w:csb1="DFD70000"/>
  </w:font>
  <w:font w:name="汉鼎简特宋">
    <w:altName w:val="宋体"/>
    <w:panose1 w:val="00000000000000000000"/>
    <w:charset w:val="86"/>
    <w:family w:val="modern"/>
    <w:pitch w:val="default"/>
    <w:sig w:usb0="00000000" w:usb1="00000000" w:usb2="00000010" w:usb3="00000000" w:csb0="00040000" w:csb1="00000000"/>
  </w:font>
  <w:font w:name="Garamond">
    <w:panose1 w:val="02020404030301010803"/>
    <w:charset w:val="00"/>
    <w:family w:val="roman"/>
    <w:pitch w:val="default"/>
    <w:sig w:usb0="00000287" w:usb1="00000000" w:usb2="00000000" w:usb3="00000000" w:csb0="0000009F" w:csb1="DFD70000"/>
  </w:font>
  <w:font w:name="Plotter">
    <w:altName w:val="Lucida Console"/>
    <w:panose1 w:val="00000000000000000000"/>
    <w:charset w:val="00"/>
    <w:family w:val="modern"/>
    <w:pitch w:val="default"/>
    <w:sig w:usb0="00000000" w:usb1="00000000" w:usb2="00000000" w:usb3="00000000" w:csb0="00000001" w:csb1="00000000"/>
  </w:font>
  <w:font w:name="Times New Roman Bold">
    <w:altName w:val="Times New Roman"/>
    <w:panose1 w:val="02020803070505020304"/>
    <w:charset w:val="00"/>
    <w:family w:val="roman"/>
    <w:pitch w:val="default"/>
    <w:sig w:usb0="00000000" w:usb1="00000000" w:usb2="00000000" w:usb3="00000000" w:csb0="006609FE" w:csb1="00BD5CC0"/>
  </w:font>
  <w:font w:name="仿宋">
    <w:panose1 w:val="02010609060101010101"/>
    <w:charset w:val="86"/>
    <w:family w:val="auto"/>
    <w:pitch w:val="default"/>
    <w:sig w:usb0="800002BF" w:usb1="38CF7CFA" w:usb2="00000016" w:usb3="00000000" w:csb0="00040001" w:csb1="00000000"/>
  </w:font>
  <w:font w:name="TimesNewRomanPS-BoldMT">
    <w:altName w:val="Times New Roman"/>
    <w:panose1 w:val="00000000000000000000"/>
    <w:charset w:val="00"/>
    <w:family w:val="roman"/>
    <w:pitch w:val="default"/>
    <w:sig w:usb0="00000000" w:usb1="00000000" w:usb2="00000000" w:usb3="00000000" w:csb0="00000000" w:csb1="00000000"/>
  </w:font>
  <w:font w:name="Segoe UI Symbol">
    <w:panose1 w:val="020B0502040204020203"/>
    <w:charset w:val="00"/>
    <w:family w:val="swiss"/>
    <w:pitch w:val="default"/>
    <w:sig w:usb0="800001E3" w:usb1="1200FFEF" w:usb2="00040000" w:usb3="04000000" w:csb0="00000001" w:csb1="40000000"/>
  </w:font>
  <w:font w:name="Wingdings 2">
    <w:panose1 w:val="05020102010507070707"/>
    <w:charset w:val="02"/>
    <w:family w:val="roman"/>
    <w:pitch w:val="default"/>
    <w:sig w:usb0="00000000" w:usb1="00000000" w:usb2="00000000" w:usb3="00000000" w:csb0="80000000" w:csb1="00000000"/>
  </w:font>
  <w:font w:name="新宋体">
    <w:panose1 w:val="02010609030101010101"/>
    <w:charset w:val="86"/>
    <w:family w:val="modern"/>
    <w:pitch w:val="default"/>
    <w:sig w:usb0="00000203" w:usb1="288F0000" w:usb2="00000006" w:usb3="00000000" w:csb0="00040001" w:csb1="00000000"/>
  </w:font>
  <w:font w:name="方正书宋简体">
    <w:altName w:val="宋体"/>
    <w:panose1 w:val="00000000000000000000"/>
    <w:charset w:val="86"/>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Lucida Console">
    <w:panose1 w:val="020B0609040504020204"/>
    <w:charset w:val="00"/>
    <w:family w:val="auto"/>
    <w:pitch w:val="default"/>
    <w:sig w:usb0="8000028F" w:usb1="00001800" w:usb2="00000000" w:usb3="00000000" w:csb0="0000001F" w:csb1="D7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wordWrap w:val="0"/>
      <w:ind w:firstLine="360"/>
      <w:jc w:val="right"/>
    </w:pPr>
    <w:r>
      <w:fldChar w:fldCharType="begin"/>
    </w:r>
    <w:r>
      <w:instrText xml:space="preserve">PAGE   \* MERGEFORMAT</w:instrText>
    </w:r>
    <w:r>
      <w:fldChar w:fldCharType="separate"/>
    </w:r>
    <w:r>
      <w:rPr>
        <w:lang w:val="zh-CN"/>
      </w:rPr>
      <w:t>1</w:t>
    </w:r>
    <w:r>
      <w:fldChar w:fldCharType="end"/>
    </w:r>
    <w:r>
      <w:rPr>
        <w:rFonts w:hint="eastAsia"/>
      </w:rPr>
      <w:t xml:space="preserve">                        </w:t>
    </w:r>
    <w:r>
      <w:rPr>
        <w:rFonts w:hint="eastAsia" w:ascii="黑体" w:eastAsia="黑体"/>
      </w:rPr>
      <w:t>枣庄市宇辰环保咨询有限公司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w:rPr>
        <w:rFonts w:hint="eastAsia" w:ascii="黑体" w:eastAsia="黑体"/>
      </w:rPr>
      <w:t xml:space="preserve">枣庄市宇辰环保咨询有限公司                        </w:t>
    </w:r>
    <w:r>
      <w:fldChar w:fldCharType="begin"/>
    </w:r>
    <w:r>
      <w:instrText xml:space="preserve">PAGE   \* MERGEFORMAT</w:instrText>
    </w:r>
    <w:r>
      <w:fldChar w:fldCharType="separate"/>
    </w:r>
    <w:r>
      <w:rPr>
        <w:lang w:val="zh-CN"/>
      </w:rPr>
      <w:t>2</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180"/>
      <w:jc w:val="right"/>
      <w:rPr>
        <w:rFonts w:ascii="黑体" w:eastAsia="黑体"/>
      </w:rPr>
    </w:pPr>
    <w:r>
      <w:rPr>
        <w:rFonts w:hint="eastAsia" w:ascii="黑体" w:eastAsia="黑体"/>
      </w:rPr>
      <w:t>概述</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left"/>
      <w:rPr>
        <w:rFonts w:ascii="黑体" w:eastAsia="黑体"/>
      </w:rPr>
    </w:pPr>
    <w:r>
      <w:rPr>
        <w:rFonts w:hint="eastAsia" w:ascii="黑体" w:eastAsia="黑体"/>
        <w:lang w:val="en-US" w:eastAsia="zh-CN"/>
      </w:rPr>
      <w:t>3</w:t>
    </w:r>
    <w:r>
      <w:rPr>
        <w:rFonts w:ascii="黑体" w:eastAsia="黑体"/>
      </w:rPr>
      <w:t>.</w:t>
    </w:r>
    <w:r>
      <w:rPr>
        <w:rFonts w:hint="eastAsia" w:ascii="黑体" w:eastAsia="黑体"/>
      </w:rPr>
      <w:t>环境</w:t>
    </w:r>
    <w:r>
      <w:rPr>
        <w:rFonts w:hint="eastAsia" w:ascii="黑体" w:eastAsia="黑体"/>
        <w:lang w:val="en-US" w:eastAsia="zh-CN"/>
      </w:rPr>
      <w:t>现状调查与评价</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黑体" w:eastAsia="黑体"/>
      </w:rPr>
    </w:pPr>
    <w:r>
      <w:rPr>
        <w:rFonts w:hint="eastAsia" w:ascii="黑体" w:eastAsia="黑体"/>
      </w:rPr>
      <w:t>4.环境影响预测与评价</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left"/>
      <w:rPr>
        <w:rFonts w:ascii="黑体" w:eastAsia="黑体"/>
      </w:rPr>
    </w:pPr>
    <w:r>
      <w:rPr>
        <w:rFonts w:ascii="黑体" w:eastAsia="黑体"/>
      </w:rPr>
      <w:t>4.</w:t>
    </w:r>
    <w:r>
      <w:rPr>
        <w:rFonts w:hint="eastAsia" w:ascii="黑体" w:eastAsia="黑体"/>
      </w:rPr>
      <w:t>环境影响预测与评价</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黑体" w:eastAsia="黑体"/>
      </w:rPr>
    </w:pPr>
    <w:r>
      <w:rPr>
        <w:rFonts w:ascii="黑体" w:eastAsia="黑体"/>
      </w:rPr>
      <w:t>5.</w:t>
    </w:r>
    <w:r>
      <w:rPr>
        <w:rFonts w:hint="eastAsia" w:ascii="黑体" w:eastAsia="黑体"/>
      </w:rPr>
      <w:t>环境风险评价</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left"/>
      <w:rPr>
        <w:rFonts w:ascii="黑体" w:eastAsia="黑体"/>
      </w:rPr>
    </w:pPr>
    <w:r>
      <w:rPr>
        <w:rFonts w:ascii="黑体" w:eastAsia="黑体"/>
      </w:rPr>
      <w:t>5.</w:t>
    </w:r>
    <w:r>
      <w:rPr>
        <w:rFonts w:hint="eastAsia" w:ascii="黑体" w:eastAsia="黑体"/>
      </w:rPr>
      <w:t>环境风险评价</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rPr>
        <w:rFonts w:ascii="黑体" w:eastAsia="黑体"/>
      </w:rPr>
      <w:t>6.</w:t>
    </w:r>
    <w:r>
      <w:rPr>
        <w:rFonts w:hint="eastAsia" w:ascii="黑体" w:eastAsia="黑体"/>
      </w:rPr>
      <w:t>环境保护措施及其可行性论证</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left"/>
      <w:rPr>
        <w:rFonts w:ascii="黑体" w:eastAsia="黑体"/>
      </w:rPr>
    </w:pPr>
    <w:r>
      <w:rPr>
        <w:rFonts w:ascii="黑体" w:eastAsia="黑体"/>
      </w:rPr>
      <w:t>6.</w:t>
    </w:r>
    <w:r>
      <w:rPr>
        <w:rFonts w:hint="eastAsia" w:ascii="黑体" w:eastAsia="黑体"/>
      </w:rPr>
      <w:t>环境保护措施及其可行性论证</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黑体" w:eastAsia="黑体"/>
      </w:rPr>
    </w:pPr>
    <w:r>
      <w:rPr>
        <w:rFonts w:ascii="黑体" w:eastAsia="黑体"/>
      </w:rPr>
      <w:t>7.</w:t>
    </w:r>
    <w:r>
      <w:rPr>
        <w:rFonts w:hint="eastAsia" w:ascii="黑体" w:eastAsia="黑体"/>
      </w:rPr>
      <w:t>环境影响经济损益分析</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left"/>
      <w:rPr>
        <w:rFonts w:ascii="黑体" w:eastAsia="黑体"/>
      </w:rPr>
    </w:pPr>
    <w:r>
      <w:rPr>
        <w:rFonts w:ascii="黑体" w:eastAsia="黑体"/>
      </w:rPr>
      <w:t>7.</w:t>
    </w:r>
    <w:r>
      <w:rPr>
        <w:rFonts w:hint="eastAsia" w:ascii="黑体" w:eastAsia="黑体"/>
      </w:rPr>
      <w:t>环境影响经济损益分析</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黑体" w:eastAsia="黑体"/>
      </w:rPr>
    </w:pPr>
    <w:r>
      <w:rPr>
        <w:rFonts w:ascii="黑体" w:eastAsia="黑体"/>
      </w:rPr>
      <w:t>8.</w:t>
    </w:r>
    <w:r>
      <w:rPr>
        <w:rFonts w:hint="eastAsia" w:ascii="黑体" w:eastAsia="黑体"/>
      </w:rPr>
      <w:t>环境管理及监测计划</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left"/>
      <w:rPr>
        <w:rFonts w:ascii="黑体" w:eastAsia="黑体"/>
      </w:rPr>
    </w:pPr>
    <w:r>
      <w:rPr>
        <w:rFonts w:hint="eastAsia" w:ascii="黑体" w:eastAsia="黑体"/>
      </w:rPr>
      <w:t>概述</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left"/>
      <w:rPr>
        <w:rFonts w:ascii="黑体" w:eastAsia="黑体"/>
      </w:rPr>
    </w:pPr>
    <w:r>
      <w:rPr>
        <w:rFonts w:ascii="黑体" w:eastAsia="黑体"/>
      </w:rPr>
      <w:t>8.</w:t>
    </w:r>
    <w:r>
      <w:rPr>
        <w:rFonts w:hint="eastAsia" w:ascii="黑体" w:eastAsia="黑体"/>
      </w:rPr>
      <w:t>环境管理及监测计划</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黑体" w:eastAsia="黑体"/>
      </w:rPr>
    </w:pPr>
    <w:r>
      <w:rPr>
        <w:rFonts w:ascii="黑体" w:eastAsia="黑体"/>
      </w:rPr>
      <w:t>9.</w:t>
    </w:r>
    <w:r>
      <w:rPr>
        <w:rFonts w:hint="eastAsia" w:ascii="黑体" w:eastAsia="黑体"/>
      </w:rPr>
      <w:t>建设项目符合性分析</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left"/>
      <w:rPr>
        <w:rFonts w:ascii="黑体" w:eastAsia="黑体"/>
      </w:rPr>
    </w:pPr>
    <w:r>
      <w:rPr>
        <w:rFonts w:ascii="黑体" w:eastAsia="黑体"/>
      </w:rPr>
      <w:t>9.</w:t>
    </w:r>
    <w:r>
      <w:rPr>
        <w:rFonts w:hint="eastAsia" w:ascii="黑体" w:eastAsia="黑体"/>
      </w:rPr>
      <w:t>建设项目符合性分析</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黑体" w:eastAsia="黑体"/>
      </w:rPr>
    </w:pPr>
    <w:r>
      <w:rPr>
        <w:rFonts w:ascii="黑体" w:eastAsia="黑体"/>
      </w:rPr>
      <w:t>10.</w:t>
    </w:r>
    <w:r>
      <w:rPr>
        <w:rFonts w:hint="eastAsia" w:ascii="黑体" w:eastAsia="黑体"/>
      </w:rPr>
      <w:t>环境影响评价结论</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left"/>
      <w:rPr>
        <w:rFonts w:ascii="黑体" w:eastAsia="黑体"/>
      </w:rPr>
    </w:pPr>
    <w:r>
      <w:rPr>
        <w:rFonts w:ascii="黑体" w:eastAsia="黑体"/>
      </w:rPr>
      <w:t>10.</w:t>
    </w:r>
    <w:r>
      <w:rPr>
        <w:rFonts w:hint="eastAsia" w:ascii="黑体" w:eastAsia="黑体"/>
      </w:rPr>
      <w:t>环境影响评价结论</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180"/>
      <w:jc w:val="right"/>
      <w:rPr>
        <w:rFonts w:ascii="黑体" w:eastAsia="黑体"/>
      </w:rPr>
    </w:pPr>
    <w:r>
      <w:rPr>
        <w:rFonts w:hint="eastAsia" w:ascii="黑体" w:eastAsia="黑体"/>
      </w:rPr>
      <w:t>目录</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left"/>
      <w:rPr>
        <w:rFonts w:ascii="黑体" w:eastAsia="黑体"/>
      </w:rPr>
    </w:pPr>
    <w:r>
      <w:rPr>
        <w:rFonts w:hint="eastAsia" w:ascii="黑体" w:eastAsia="黑体"/>
      </w:rPr>
      <w:t>目录</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黑体" w:eastAsia="黑体"/>
      </w:rPr>
    </w:pPr>
    <w:r>
      <w:rPr>
        <w:rFonts w:hint="eastAsia" w:ascii="黑体" w:eastAsia="黑体"/>
      </w:rPr>
      <w:t>1</w:t>
    </w:r>
    <w:r>
      <w:rPr>
        <w:rFonts w:ascii="黑体" w:eastAsia="黑体"/>
      </w:rPr>
      <w:t>.</w:t>
    </w:r>
    <w:r>
      <w:rPr>
        <w:rFonts w:hint="eastAsia" w:ascii="黑体" w:eastAsia="黑体"/>
      </w:rPr>
      <w:t>总论</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left"/>
      <w:rPr>
        <w:rFonts w:ascii="黑体" w:eastAsia="黑体"/>
      </w:rPr>
    </w:pPr>
    <w:r>
      <w:rPr>
        <w:rFonts w:hint="eastAsia" w:ascii="黑体" w:eastAsia="黑体"/>
      </w:rPr>
      <w:t>1.总论</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黑体" w:eastAsia="黑体"/>
      </w:rPr>
    </w:pPr>
    <w:r>
      <w:rPr>
        <w:rFonts w:ascii="黑体" w:eastAsia="黑体"/>
      </w:rPr>
      <w:t>2.</w:t>
    </w:r>
    <w:r>
      <w:rPr>
        <w:rFonts w:hint="eastAsia" w:ascii="黑体" w:eastAsia="黑体"/>
      </w:rPr>
      <w:t>工程分析</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left"/>
      <w:rPr>
        <w:rFonts w:ascii="黑体" w:eastAsia="黑体"/>
      </w:rPr>
    </w:pPr>
    <w:r>
      <w:rPr>
        <w:rFonts w:ascii="黑体" w:eastAsia="黑体"/>
      </w:rPr>
      <w:t>2.</w:t>
    </w:r>
    <w:r>
      <w:rPr>
        <w:rFonts w:hint="eastAsia" w:ascii="黑体" w:eastAsia="黑体"/>
      </w:rPr>
      <w:t>工程分析</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黑体" w:eastAsia="黑体"/>
      </w:rPr>
    </w:pPr>
    <w:r>
      <w:rPr>
        <w:rFonts w:ascii="黑体" w:eastAsia="黑体"/>
      </w:rPr>
      <w:t>3.</w:t>
    </w:r>
    <w:r>
      <w:rPr>
        <w:rFonts w:hint="eastAsia" w:ascii="黑体" w:eastAsia="黑体"/>
      </w:rPr>
      <w:t>环境现状调查与评价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6EEA42"/>
    <w:multiLevelType w:val="singleLevel"/>
    <w:tmpl w:val="956EEA42"/>
    <w:lvl w:ilvl="0" w:tentative="0">
      <w:start w:val="6"/>
      <w:numFmt w:val="decimal"/>
      <w:suff w:val="nothing"/>
      <w:lvlText w:val="（%1）"/>
      <w:lvlJc w:val="left"/>
    </w:lvl>
  </w:abstractNum>
  <w:abstractNum w:abstractNumId="1">
    <w:nsid w:val="C73B5C5D"/>
    <w:multiLevelType w:val="singleLevel"/>
    <w:tmpl w:val="C73B5C5D"/>
    <w:lvl w:ilvl="0" w:tentative="0">
      <w:start w:val="1"/>
      <w:numFmt w:val="decimal"/>
      <w:suff w:val="nothing"/>
      <w:lvlText w:val="%1、"/>
      <w:lvlJc w:val="left"/>
    </w:lvl>
  </w:abstractNum>
  <w:abstractNum w:abstractNumId="2">
    <w:nsid w:val="E891EEE6"/>
    <w:multiLevelType w:val="singleLevel"/>
    <w:tmpl w:val="E891EEE6"/>
    <w:lvl w:ilvl="0" w:tentative="0">
      <w:start w:val="4"/>
      <w:numFmt w:val="decimal"/>
      <w:suff w:val="nothing"/>
      <w:lvlText w:val="%1、"/>
      <w:lvlJc w:val="left"/>
    </w:lvl>
  </w:abstractNum>
  <w:abstractNum w:abstractNumId="3">
    <w:nsid w:val="FFFFFF7C"/>
    <w:multiLevelType w:val="singleLevel"/>
    <w:tmpl w:val="FFFFFF7C"/>
    <w:lvl w:ilvl="0" w:tentative="0">
      <w:start w:val="1"/>
      <w:numFmt w:val="decimal"/>
      <w:pStyle w:val="791"/>
      <w:lvlText w:val="(%1)"/>
      <w:lvlJc w:val="left"/>
      <w:pPr>
        <w:tabs>
          <w:tab w:val="left" w:pos="0"/>
        </w:tabs>
        <w:ind w:left="0" w:firstLine="0"/>
      </w:pPr>
      <w:rPr>
        <w:rFonts w:hint="eastAsia" w:ascii="Times New Roman" w:hAnsi="Times New Roman" w:eastAsia="宋体"/>
        <w:b w:val="0"/>
        <w:i w:val="0"/>
        <w:sz w:val="24"/>
      </w:rPr>
    </w:lvl>
  </w:abstractNum>
  <w:abstractNum w:abstractNumId="4">
    <w:nsid w:val="0000000F"/>
    <w:multiLevelType w:val="multilevel"/>
    <w:tmpl w:val="0000000F"/>
    <w:lvl w:ilvl="0" w:tentative="0">
      <w:start w:val="1"/>
      <w:numFmt w:val="decimal"/>
      <w:lvlText w:val="(%1)"/>
      <w:lvlJc w:val="left"/>
      <w:pPr>
        <w:tabs>
          <w:tab w:val="left" w:pos="0"/>
        </w:tabs>
        <w:ind w:left="0" w:firstLine="0"/>
      </w:pPr>
      <w:rPr>
        <w:rFonts w:hint="eastAsia" w:ascii="Times New Roman" w:hAnsi="Times New Roman" w:eastAsia="宋体"/>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pStyle w:val="659"/>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6EC4CFD"/>
    <w:multiLevelType w:val="multilevel"/>
    <w:tmpl w:val="06EC4CFD"/>
    <w:lvl w:ilvl="0" w:tentative="0">
      <w:start w:val="1"/>
      <w:numFmt w:val="decimal"/>
      <w:lvlText w:val="(%1)"/>
      <w:lvlJc w:val="left"/>
      <w:pPr>
        <w:tabs>
          <w:tab w:val="left" w:pos="908"/>
        </w:tabs>
        <w:ind w:left="908" w:hanging="420"/>
      </w:pPr>
      <w:rPr>
        <w:rFonts w:hint="eastAsia" w:ascii="Times New Roman" w:hAnsi="Times New Roman" w:eastAsia="宋体"/>
        <w:b w:val="0"/>
        <w:i w:val="0"/>
        <w:sz w:val="24"/>
      </w:rPr>
    </w:lvl>
    <w:lvl w:ilvl="1" w:tentative="0">
      <w:start w:val="1"/>
      <w:numFmt w:val="decimal"/>
      <w:pStyle w:val="721"/>
      <w:lvlText w:val="%2、"/>
      <w:lvlJc w:val="left"/>
      <w:pPr>
        <w:tabs>
          <w:tab w:val="left" w:pos="840"/>
        </w:tabs>
        <w:ind w:left="840" w:hanging="420"/>
      </w:pPr>
      <w:rPr>
        <w:b w:val="0"/>
        <w:i w:val="0"/>
        <w:sz w:val="24"/>
      </w:rPr>
    </w:lvl>
    <w:lvl w:ilvl="2" w:tentative="0">
      <w:start w:val="1"/>
      <w:numFmt w:val="decimal"/>
      <w:lvlText w:val="(%3)"/>
      <w:lvlJc w:val="left"/>
      <w:pPr>
        <w:tabs>
          <w:tab w:val="left" w:pos="240"/>
        </w:tabs>
        <w:ind w:left="640" w:hanging="400"/>
      </w:pPr>
      <w:rPr>
        <w:b w:val="0"/>
        <w:i w:val="0"/>
        <w:sz w:val="24"/>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15202B6A"/>
    <w:multiLevelType w:val="multilevel"/>
    <w:tmpl w:val="15202B6A"/>
    <w:lvl w:ilvl="0" w:tentative="0">
      <w:start w:val="1"/>
      <w:numFmt w:val="decimal"/>
      <w:lvlText w:val="(%1)"/>
      <w:lvlJc w:val="left"/>
      <w:pPr>
        <w:tabs>
          <w:tab w:val="left" w:pos="71"/>
        </w:tabs>
        <w:ind w:left="71" w:firstLine="454"/>
      </w:pPr>
      <w:rPr>
        <w:rFonts w:hint="eastAsia"/>
      </w:rPr>
    </w:lvl>
    <w:lvl w:ilvl="1" w:tentative="0">
      <w:start w:val="1"/>
      <w:numFmt w:val="decimal"/>
      <w:lvlText w:val="(%2)"/>
      <w:lvlJc w:val="left"/>
      <w:pPr>
        <w:tabs>
          <w:tab w:val="left" w:pos="810"/>
        </w:tabs>
        <w:ind w:left="810" w:hanging="39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720"/>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25D75C80"/>
    <w:multiLevelType w:val="multilevel"/>
    <w:tmpl w:val="25D75C80"/>
    <w:lvl w:ilvl="0" w:tentative="0">
      <w:start w:val="1"/>
      <w:numFmt w:val="decimal"/>
      <w:isLgl/>
      <w:suff w:val="nothing"/>
      <w:lvlText w:val="(%1)"/>
      <w:lvlJc w:val="left"/>
      <w:pPr>
        <w:ind w:left="0" w:firstLine="113"/>
      </w:pPr>
      <w:rPr>
        <w:rFonts w:hint="eastAsia"/>
      </w:rPr>
    </w:lvl>
    <w:lvl w:ilvl="1" w:tentative="0">
      <w:start w:val="1"/>
      <w:numFmt w:val="lowerLetter"/>
      <w:lvlText w:val="%2)"/>
      <w:lvlJc w:val="left"/>
      <w:pPr>
        <w:tabs>
          <w:tab w:val="left" w:pos="735"/>
        </w:tabs>
        <w:ind w:left="735" w:hanging="420"/>
      </w:pPr>
      <w:rPr>
        <w:rFonts w:hint="eastAsia"/>
      </w:rPr>
    </w:lvl>
    <w:lvl w:ilvl="2" w:tentative="0">
      <w:start w:val="1"/>
      <w:numFmt w:val="lowerRoman"/>
      <w:lvlText w:val="%3."/>
      <w:lvlJc w:val="right"/>
      <w:pPr>
        <w:tabs>
          <w:tab w:val="left" w:pos="1155"/>
        </w:tabs>
        <w:ind w:left="1155" w:hanging="420"/>
      </w:pPr>
      <w:rPr>
        <w:rFonts w:hint="eastAsia"/>
      </w:rPr>
    </w:lvl>
    <w:lvl w:ilvl="3" w:tentative="0">
      <w:start w:val="1"/>
      <w:numFmt w:val="decimal"/>
      <w:lvlText w:val="%4."/>
      <w:lvlJc w:val="left"/>
      <w:pPr>
        <w:tabs>
          <w:tab w:val="left" w:pos="1575"/>
        </w:tabs>
        <w:ind w:left="1575" w:hanging="420"/>
      </w:pPr>
      <w:rPr>
        <w:rFonts w:hint="eastAsia"/>
      </w:rPr>
    </w:lvl>
    <w:lvl w:ilvl="4" w:tentative="0">
      <w:start w:val="1"/>
      <w:numFmt w:val="lowerLetter"/>
      <w:lvlText w:val="%5)"/>
      <w:lvlJc w:val="left"/>
      <w:pPr>
        <w:tabs>
          <w:tab w:val="left" w:pos="1995"/>
        </w:tabs>
        <w:ind w:left="1995" w:hanging="420"/>
      </w:pPr>
      <w:rPr>
        <w:rFonts w:hint="eastAsia"/>
      </w:rPr>
    </w:lvl>
    <w:lvl w:ilvl="5" w:tentative="0">
      <w:start w:val="1"/>
      <w:numFmt w:val="lowerRoman"/>
      <w:lvlText w:val="%6."/>
      <w:lvlJc w:val="right"/>
      <w:pPr>
        <w:tabs>
          <w:tab w:val="left" w:pos="2415"/>
        </w:tabs>
        <w:ind w:left="2415" w:hanging="420"/>
      </w:pPr>
      <w:rPr>
        <w:rFonts w:hint="eastAsia"/>
      </w:rPr>
    </w:lvl>
    <w:lvl w:ilvl="6" w:tentative="0">
      <w:start w:val="1"/>
      <w:numFmt w:val="decimal"/>
      <w:lvlText w:val="%7."/>
      <w:lvlJc w:val="left"/>
      <w:pPr>
        <w:tabs>
          <w:tab w:val="left" w:pos="2835"/>
        </w:tabs>
        <w:ind w:left="2835" w:hanging="420"/>
      </w:pPr>
      <w:rPr>
        <w:rFonts w:hint="eastAsia"/>
      </w:rPr>
    </w:lvl>
    <w:lvl w:ilvl="7" w:tentative="0">
      <w:start w:val="1"/>
      <w:numFmt w:val="lowerLetter"/>
      <w:lvlText w:val="%8)"/>
      <w:lvlJc w:val="left"/>
      <w:pPr>
        <w:tabs>
          <w:tab w:val="left" w:pos="3255"/>
        </w:tabs>
        <w:ind w:left="3255" w:hanging="420"/>
      </w:pPr>
      <w:rPr>
        <w:rFonts w:hint="eastAsia"/>
      </w:rPr>
    </w:lvl>
    <w:lvl w:ilvl="8" w:tentative="0">
      <w:start w:val="1"/>
      <w:numFmt w:val="lowerRoman"/>
      <w:lvlText w:val="%9."/>
      <w:lvlJc w:val="right"/>
      <w:pPr>
        <w:tabs>
          <w:tab w:val="left" w:pos="3675"/>
        </w:tabs>
        <w:ind w:left="3675" w:hanging="420"/>
      </w:pPr>
      <w:rPr>
        <w:rFonts w:hint="eastAsia"/>
      </w:rPr>
    </w:lvl>
  </w:abstractNum>
  <w:abstractNum w:abstractNumId="8">
    <w:nsid w:val="2D9442B0"/>
    <w:multiLevelType w:val="multilevel"/>
    <w:tmpl w:val="2D9442B0"/>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992"/>
        </w:tabs>
        <w:ind w:left="992" w:hanging="567"/>
      </w:pPr>
    </w:lvl>
    <w:lvl w:ilvl="2" w:tentative="0">
      <w:start w:val="1"/>
      <w:numFmt w:val="decimal"/>
      <w:pStyle w:val="438"/>
      <w:lvlText w:val="%1.%2.%3"/>
      <w:lvlJc w:val="left"/>
      <w:pPr>
        <w:tabs>
          <w:tab w:val="left" w:pos="1418"/>
        </w:tabs>
        <w:ind w:left="1418"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3038ACCA"/>
    <w:multiLevelType w:val="singleLevel"/>
    <w:tmpl w:val="3038ACCA"/>
    <w:lvl w:ilvl="0" w:tentative="0">
      <w:start w:val="1"/>
      <w:numFmt w:val="decimal"/>
      <w:suff w:val="nothing"/>
      <w:lvlText w:val="%1、"/>
      <w:lvlJc w:val="left"/>
    </w:lvl>
  </w:abstractNum>
  <w:abstractNum w:abstractNumId="10">
    <w:nsid w:val="337960D3"/>
    <w:multiLevelType w:val="multilevel"/>
    <w:tmpl w:val="337960D3"/>
    <w:lvl w:ilvl="0" w:tentative="0">
      <w:start w:val="1"/>
      <w:numFmt w:val="decimal"/>
      <w:isLgl/>
      <w:suff w:val="nothing"/>
      <w:lvlText w:val="(%1)"/>
      <w:lvlJc w:val="left"/>
      <w:pPr>
        <w:ind w:left="0" w:firstLine="454"/>
      </w:pPr>
      <w:rPr>
        <w:rFonts w:hint="eastAsia"/>
      </w:rPr>
    </w:lvl>
    <w:lvl w:ilvl="1" w:tentative="0">
      <w:start w:val="1"/>
      <w:numFmt w:val="lowerLetter"/>
      <w:lvlText w:val="%2)"/>
      <w:lvlJc w:val="left"/>
      <w:pPr>
        <w:tabs>
          <w:tab w:val="left" w:pos="735"/>
        </w:tabs>
        <w:ind w:left="735" w:hanging="420"/>
      </w:pPr>
      <w:rPr>
        <w:rFonts w:hint="eastAsia"/>
      </w:rPr>
    </w:lvl>
    <w:lvl w:ilvl="2" w:tentative="0">
      <w:start w:val="1"/>
      <w:numFmt w:val="lowerRoman"/>
      <w:lvlText w:val="%3."/>
      <w:lvlJc w:val="right"/>
      <w:pPr>
        <w:tabs>
          <w:tab w:val="left" w:pos="1155"/>
        </w:tabs>
        <w:ind w:left="1155" w:hanging="420"/>
      </w:pPr>
      <w:rPr>
        <w:rFonts w:hint="eastAsia"/>
      </w:rPr>
    </w:lvl>
    <w:lvl w:ilvl="3" w:tentative="0">
      <w:start w:val="1"/>
      <w:numFmt w:val="decimal"/>
      <w:lvlText w:val="%4."/>
      <w:lvlJc w:val="left"/>
      <w:pPr>
        <w:tabs>
          <w:tab w:val="left" w:pos="1575"/>
        </w:tabs>
        <w:ind w:left="1575" w:hanging="420"/>
      </w:pPr>
      <w:rPr>
        <w:rFonts w:hint="eastAsia"/>
      </w:rPr>
    </w:lvl>
    <w:lvl w:ilvl="4" w:tentative="0">
      <w:start w:val="1"/>
      <w:numFmt w:val="lowerLetter"/>
      <w:lvlText w:val="%5)"/>
      <w:lvlJc w:val="left"/>
      <w:pPr>
        <w:tabs>
          <w:tab w:val="left" w:pos="1995"/>
        </w:tabs>
        <w:ind w:left="1995" w:hanging="420"/>
      </w:pPr>
      <w:rPr>
        <w:rFonts w:hint="eastAsia"/>
      </w:rPr>
    </w:lvl>
    <w:lvl w:ilvl="5" w:tentative="0">
      <w:start w:val="1"/>
      <w:numFmt w:val="lowerRoman"/>
      <w:lvlText w:val="%6."/>
      <w:lvlJc w:val="right"/>
      <w:pPr>
        <w:tabs>
          <w:tab w:val="left" w:pos="2415"/>
        </w:tabs>
        <w:ind w:left="2415" w:hanging="420"/>
      </w:pPr>
      <w:rPr>
        <w:rFonts w:hint="eastAsia"/>
      </w:rPr>
    </w:lvl>
    <w:lvl w:ilvl="6" w:tentative="0">
      <w:start w:val="1"/>
      <w:numFmt w:val="decimal"/>
      <w:lvlText w:val="%7."/>
      <w:lvlJc w:val="left"/>
      <w:pPr>
        <w:tabs>
          <w:tab w:val="left" w:pos="2835"/>
        </w:tabs>
        <w:ind w:left="2835" w:hanging="420"/>
      </w:pPr>
      <w:rPr>
        <w:rFonts w:hint="eastAsia"/>
      </w:rPr>
    </w:lvl>
    <w:lvl w:ilvl="7" w:tentative="0">
      <w:start w:val="1"/>
      <w:numFmt w:val="lowerLetter"/>
      <w:lvlText w:val="%8)"/>
      <w:lvlJc w:val="left"/>
      <w:pPr>
        <w:tabs>
          <w:tab w:val="left" w:pos="3255"/>
        </w:tabs>
        <w:ind w:left="3255" w:hanging="420"/>
      </w:pPr>
      <w:rPr>
        <w:rFonts w:hint="eastAsia"/>
      </w:rPr>
    </w:lvl>
    <w:lvl w:ilvl="8" w:tentative="0">
      <w:start w:val="1"/>
      <w:numFmt w:val="lowerRoman"/>
      <w:lvlText w:val="%9."/>
      <w:lvlJc w:val="right"/>
      <w:pPr>
        <w:tabs>
          <w:tab w:val="left" w:pos="3675"/>
        </w:tabs>
        <w:ind w:left="3675" w:hanging="420"/>
      </w:pPr>
      <w:rPr>
        <w:rFonts w:hint="eastAsia"/>
      </w:rPr>
    </w:lvl>
  </w:abstractNum>
  <w:abstractNum w:abstractNumId="11">
    <w:nsid w:val="358745ED"/>
    <w:multiLevelType w:val="multilevel"/>
    <w:tmpl w:val="358745ED"/>
    <w:lvl w:ilvl="0" w:tentative="0">
      <w:start w:val="1"/>
      <w:numFmt w:val="decimal"/>
      <w:lvlText w:val="%1."/>
      <w:lvlJc w:val="left"/>
      <w:pPr>
        <w:tabs>
          <w:tab w:val="left" w:pos="425"/>
        </w:tabs>
        <w:ind w:left="425" w:hanging="425"/>
      </w:pPr>
    </w:lvl>
    <w:lvl w:ilvl="1" w:tentative="0">
      <w:start w:val="1"/>
      <w:numFmt w:val="decimal"/>
      <w:pStyle w:val="642"/>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2">
    <w:nsid w:val="4E8B5E40"/>
    <w:multiLevelType w:val="multilevel"/>
    <w:tmpl w:val="4E8B5E40"/>
    <w:lvl w:ilvl="0" w:tentative="0">
      <w:start w:val="1"/>
      <w:numFmt w:val="decimal"/>
      <w:suff w:val="nothing"/>
      <w:lvlText w:val="(%1)"/>
      <w:lvlJc w:val="left"/>
      <w:pPr>
        <w:ind w:left="0" w:firstLine="454"/>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3">
    <w:nsid w:val="50994002"/>
    <w:multiLevelType w:val="multilevel"/>
    <w:tmpl w:val="50994002"/>
    <w:lvl w:ilvl="0" w:tentative="0">
      <w:start w:val="1"/>
      <w:numFmt w:val="decimal"/>
      <w:suff w:val="nothing"/>
      <w:lvlText w:val="(%1)"/>
      <w:lvlJc w:val="left"/>
      <w:pPr>
        <w:ind w:left="0" w:firstLine="454"/>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4">
    <w:nsid w:val="54423F06"/>
    <w:multiLevelType w:val="multilevel"/>
    <w:tmpl w:val="54423F06"/>
    <w:lvl w:ilvl="0" w:tentative="0">
      <w:start w:val="1"/>
      <w:numFmt w:val="decimal"/>
      <w:suff w:val="nothing"/>
      <w:lvlText w:val="(%1)"/>
      <w:lvlJc w:val="left"/>
      <w:pPr>
        <w:ind w:left="0" w:firstLine="454"/>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5">
    <w:nsid w:val="5BBA2A47"/>
    <w:multiLevelType w:val="multilevel"/>
    <w:tmpl w:val="5BBA2A47"/>
    <w:lvl w:ilvl="0" w:tentative="0">
      <w:start w:val="1"/>
      <w:numFmt w:val="decimal"/>
      <w:suff w:val="nothing"/>
      <w:lvlText w:val="(%1)"/>
      <w:lvlJc w:val="left"/>
      <w:pPr>
        <w:ind w:left="-28" w:firstLine="454"/>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6">
    <w:nsid w:val="686377EC"/>
    <w:multiLevelType w:val="multilevel"/>
    <w:tmpl w:val="686377EC"/>
    <w:lvl w:ilvl="0" w:tentative="0">
      <w:start w:val="1"/>
      <w:numFmt w:val="decimal"/>
      <w:suff w:val="nothing"/>
      <w:lvlText w:val="(%1)"/>
      <w:lvlJc w:val="left"/>
      <w:pPr>
        <w:ind w:left="0" w:firstLine="454"/>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7">
    <w:nsid w:val="6A2C63F8"/>
    <w:multiLevelType w:val="multilevel"/>
    <w:tmpl w:val="6A2C63F8"/>
    <w:lvl w:ilvl="0" w:tentative="0">
      <w:start w:val="1"/>
      <w:numFmt w:val="decimal"/>
      <w:suff w:val="nothing"/>
      <w:lvlText w:val="(%1)"/>
      <w:lvlJc w:val="left"/>
      <w:pPr>
        <w:ind w:left="0" w:firstLine="454"/>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num>
  <w:num w:numId="7">
    <w:abstractNumId w:val="7"/>
  </w:num>
  <w:num w:numId="8">
    <w:abstractNumId w:val="10"/>
  </w:num>
  <w:num w:numId="9">
    <w:abstractNumId w:val="16"/>
  </w:num>
  <w:num w:numId="10">
    <w:abstractNumId w:val="14"/>
  </w:num>
  <w:num w:numId="11">
    <w:abstractNumId w:val="13"/>
  </w:num>
  <w:num w:numId="12">
    <w:abstractNumId w:val="12"/>
  </w:num>
  <w:num w:numId="13">
    <w:abstractNumId w:val="17"/>
  </w:num>
  <w:num w:numId="14">
    <w:abstractNumId w:val="15"/>
  </w:num>
  <w:num w:numId="15">
    <w:abstractNumId w:val="2"/>
  </w:num>
  <w:num w:numId="16">
    <w:abstractNumId w:val="0"/>
  </w:num>
  <w:num w:numId="17">
    <w:abstractNumId w:val="9"/>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0"/>
  <w:bordersDoNotSurroundFooter w:val="0"/>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U0NzA2OTM4ZTI5OGI0NzMxN2E0OTBlMDc0YjAzOTQifQ=="/>
  </w:docVars>
  <w:rsids>
    <w:rsidRoot w:val="00871779"/>
    <w:rsid w:val="000005DC"/>
    <w:rsid w:val="00001AF9"/>
    <w:rsid w:val="000031A5"/>
    <w:rsid w:val="00003AAD"/>
    <w:rsid w:val="00005338"/>
    <w:rsid w:val="000061B9"/>
    <w:rsid w:val="00006A60"/>
    <w:rsid w:val="000106DF"/>
    <w:rsid w:val="00010AB8"/>
    <w:rsid w:val="00010C0C"/>
    <w:rsid w:val="00010C72"/>
    <w:rsid w:val="00011BCD"/>
    <w:rsid w:val="00012E95"/>
    <w:rsid w:val="0001354D"/>
    <w:rsid w:val="00013B97"/>
    <w:rsid w:val="00013DBC"/>
    <w:rsid w:val="0001440C"/>
    <w:rsid w:val="00014550"/>
    <w:rsid w:val="00014CC5"/>
    <w:rsid w:val="000153AA"/>
    <w:rsid w:val="000154B1"/>
    <w:rsid w:val="000176AF"/>
    <w:rsid w:val="00017BF8"/>
    <w:rsid w:val="00020AEB"/>
    <w:rsid w:val="00022591"/>
    <w:rsid w:val="00022BEE"/>
    <w:rsid w:val="00023330"/>
    <w:rsid w:val="00024858"/>
    <w:rsid w:val="000252A5"/>
    <w:rsid w:val="00025ABB"/>
    <w:rsid w:val="00025C62"/>
    <w:rsid w:val="00025E98"/>
    <w:rsid w:val="00026C05"/>
    <w:rsid w:val="00027392"/>
    <w:rsid w:val="000279DE"/>
    <w:rsid w:val="00027C6B"/>
    <w:rsid w:val="000309AC"/>
    <w:rsid w:val="00030B72"/>
    <w:rsid w:val="00030E1A"/>
    <w:rsid w:val="000314DF"/>
    <w:rsid w:val="000328FF"/>
    <w:rsid w:val="000333E7"/>
    <w:rsid w:val="0003451D"/>
    <w:rsid w:val="00034E4B"/>
    <w:rsid w:val="00034F45"/>
    <w:rsid w:val="00035F32"/>
    <w:rsid w:val="00036F7C"/>
    <w:rsid w:val="0004060E"/>
    <w:rsid w:val="00040845"/>
    <w:rsid w:val="00040B20"/>
    <w:rsid w:val="000412FC"/>
    <w:rsid w:val="00042028"/>
    <w:rsid w:val="000422E6"/>
    <w:rsid w:val="00042A8D"/>
    <w:rsid w:val="00042C58"/>
    <w:rsid w:val="000433D2"/>
    <w:rsid w:val="00043AB3"/>
    <w:rsid w:val="00044D88"/>
    <w:rsid w:val="00044DB6"/>
    <w:rsid w:val="000452C2"/>
    <w:rsid w:val="00047BBF"/>
    <w:rsid w:val="000504E6"/>
    <w:rsid w:val="000506F6"/>
    <w:rsid w:val="00050E8F"/>
    <w:rsid w:val="000512BB"/>
    <w:rsid w:val="00052BB8"/>
    <w:rsid w:val="000531F4"/>
    <w:rsid w:val="0005447C"/>
    <w:rsid w:val="00054B2E"/>
    <w:rsid w:val="00055833"/>
    <w:rsid w:val="00057DC0"/>
    <w:rsid w:val="00060F7E"/>
    <w:rsid w:val="0006112E"/>
    <w:rsid w:val="000612F6"/>
    <w:rsid w:val="000651F3"/>
    <w:rsid w:val="00065BE7"/>
    <w:rsid w:val="00065CD9"/>
    <w:rsid w:val="00070AA8"/>
    <w:rsid w:val="0007267D"/>
    <w:rsid w:val="00072A4A"/>
    <w:rsid w:val="000742D5"/>
    <w:rsid w:val="00074391"/>
    <w:rsid w:val="00074C37"/>
    <w:rsid w:val="00075FA8"/>
    <w:rsid w:val="00075FC6"/>
    <w:rsid w:val="00076B6C"/>
    <w:rsid w:val="00077712"/>
    <w:rsid w:val="00080396"/>
    <w:rsid w:val="0008066B"/>
    <w:rsid w:val="00080886"/>
    <w:rsid w:val="0008128A"/>
    <w:rsid w:val="00081F2B"/>
    <w:rsid w:val="0008282F"/>
    <w:rsid w:val="00083180"/>
    <w:rsid w:val="00083A7E"/>
    <w:rsid w:val="0008627C"/>
    <w:rsid w:val="0008636F"/>
    <w:rsid w:val="000863D9"/>
    <w:rsid w:val="00086DD2"/>
    <w:rsid w:val="0008705E"/>
    <w:rsid w:val="0008726A"/>
    <w:rsid w:val="00087D94"/>
    <w:rsid w:val="00090A69"/>
    <w:rsid w:val="000918EA"/>
    <w:rsid w:val="00092609"/>
    <w:rsid w:val="00092938"/>
    <w:rsid w:val="0009293C"/>
    <w:rsid w:val="00093835"/>
    <w:rsid w:val="00093E14"/>
    <w:rsid w:val="000948E1"/>
    <w:rsid w:val="00096108"/>
    <w:rsid w:val="0009611D"/>
    <w:rsid w:val="00096986"/>
    <w:rsid w:val="0009746D"/>
    <w:rsid w:val="00097CE6"/>
    <w:rsid w:val="00097D4A"/>
    <w:rsid w:val="000A01C0"/>
    <w:rsid w:val="000A03AD"/>
    <w:rsid w:val="000A05C0"/>
    <w:rsid w:val="000A1CA9"/>
    <w:rsid w:val="000A23D9"/>
    <w:rsid w:val="000A26B2"/>
    <w:rsid w:val="000A2B09"/>
    <w:rsid w:val="000A3634"/>
    <w:rsid w:val="000A3B41"/>
    <w:rsid w:val="000A4064"/>
    <w:rsid w:val="000A431D"/>
    <w:rsid w:val="000A6C9A"/>
    <w:rsid w:val="000A7A0E"/>
    <w:rsid w:val="000A7AF5"/>
    <w:rsid w:val="000B0182"/>
    <w:rsid w:val="000B070B"/>
    <w:rsid w:val="000B0DD5"/>
    <w:rsid w:val="000B0F40"/>
    <w:rsid w:val="000B17AE"/>
    <w:rsid w:val="000B18E4"/>
    <w:rsid w:val="000B1B26"/>
    <w:rsid w:val="000B2B6D"/>
    <w:rsid w:val="000B4337"/>
    <w:rsid w:val="000B501B"/>
    <w:rsid w:val="000B51DB"/>
    <w:rsid w:val="000B5990"/>
    <w:rsid w:val="000B6CFE"/>
    <w:rsid w:val="000B7D5A"/>
    <w:rsid w:val="000C06BA"/>
    <w:rsid w:val="000C180D"/>
    <w:rsid w:val="000C1CA1"/>
    <w:rsid w:val="000C1D87"/>
    <w:rsid w:val="000C21FC"/>
    <w:rsid w:val="000C2C80"/>
    <w:rsid w:val="000C43E4"/>
    <w:rsid w:val="000C48F4"/>
    <w:rsid w:val="000C5461"/>
    <w:rsid w:val="000C5E4D"/>
    <w:rsid w:val="000C5EE9"/>
    <w:rsid w:val="000C61C6"/>
    <w:rsid w:val="000C622B"/>
    <w:rsid w:val="000C62A0"/>
    <w:rsid w:val="000C658E"/>
    <w:rsid w:val="000C67BC"/>
    <w:rsid w:val="000D00BB"/>
    <w:rsid w:val="000D03C4"/>
    <w:rsid w:val="000D0652"/>
    <w:rsid w:val="000D10F4"/>
    <w:rsid w:val="000D19ED"/>
    <w:rsid w:val="000D1B56"/>
    <w:rsid w:val="000D249F"/>
    <w:rsid w:val="000D3601"/>
    <w:rsid w:val="000D36BE"/>
    <w:rsid w:val="000D38BB"/>
    <w:rsid w:val="000D40B4"/>
    <w:rsid w:val="000D4627"/>
    <w:rsid w:val="000D621B"/>
    <w:rsid w:val="000D6875"/>
    <w:rsid w:val="000D728D"/>
    <w:rsid w:val="000D735E"/>
    <w:rsid w:val="000E0075"/>
    <w:rsid w:val="000E01F8"/>
    <w:rsid w:val="000E19C4"/>
    <w:rsid w:val="000E2C2E"/>
    <w:rsid w:val="000E31B2"/>
    <w:rsid w:val="000E3BF0"/>
    <w:rsid w:val="000E3FC3"/>
    <w:rsid w:val="000E3FE0"/>
    <w:rsid w:val="000E4160"/>
    <w:rsid w:val="000E4F23"/>
    <w:rsid w:val="000E664E"/>
    <w:rsid w:val="000E7631"/>
    <w:rsid w:val="000E7682"/>
    <w:rsid w:val="000E7F79"/>
    <w:rsid w:val="000F0186"/>
    <w:rsid w:val="000F074C"/>
    <w:rsid w:val="000F0F4F"/>
    <w:rsid w:val="000F0FF3"/>
    <w:rsid w:val="000F13C8"/>
    <w:rsid w:val="000F2275"/>
    <w:rsid w:val="000F2639"/>
    <w:rsid w:val="000F2758"/>
    <w:rsid w:val="000F2AC8"/>
    <w:rsid w:val="000F33EB"/>
    <w:rsid w:val="000F371A"/>
    <w:rsid w:val="000F382F"/>
    <w:rsid w:val="000F48C1"/>
    <w:rsid w:val="000F4EE4"/>
    <w:rsid w:val="000F59C9"/>
    <w:rsid w:val="000F6003"/>
    <w:rsid w:val="000F7BCC"/>
    <w:rsid w:val="000F7EA9"/>
    <w:rsid w:val="001000F5"/>
    <w:rsid w:val="00100912"/>
    <w:rsid w:val="0010292D"/>
    <w:rsid w:val="00103CFB"/>
    <w:rsid w:val="0010428B"/>
    <w:rsid w:val="00104A8F"/>
    <w:rsid w:val="00104BF3"/>
    <w:rsid w:val="00105137"/>
    <w:rsid w:val="00105FA1"/>
    <w:rsid w:val="00106C38"/>
    <w:rsid w:val="00107832"/>
    <w:rsid w:val="001078D1"/>
    <w:rsid w:val="001117B7"/>
    <w:rsid w:val="0011289F"/>
    <w:rsid w:val="001129BA"/>
    <w:rsid w:val="0011429D"/>
    <w:rsid w:val="00114480"/>
    <w:rsid w:val="00114AF0"/>
    <w:rsid w:val="00115997"/>
    <w:rsid w:val="00115B9B"/>
    <w:rsid w:val="00115C9E"/>
    <w:rsid w:val="00116360"/>
    <w:rsid w:val="00116A84"/>
    <w:rsid w:val="00116DD2"/>
    <w:rsid w:val="00116E61"/>
    <w:rsid w:val="0011739D"/>
    <w:rsid w:val="00117632"/>
    <w:rsid w:val="001176D3"/>
    <w:rsid w:val="001208CB"/>
    <w:rsid w:val="00121116"/>
    <w:rsid w:val="00121D1C"/>
    <w:rsid w:val="00121E5F"/>
    <w:rsid w:val="00123DF6"/>
    <w:rsid w:val="00123E97"/>
    <w:rsid w:val="001245B4"/>
    <w:rsid w:val="001258AB"/>
    <w:rsid w:val="00125B7A"/>
    <w:rsid w:val="0012613F"/>
    <w:rsid w:val="001261B7"/>
    <w:rsid w:val="001262E2"/>
    <w:rsid w:val="001262F2"/>
    <w:rsid w:val="00130CED"/>
    <w:rsid w:val="00131088"/>
    <w:rsid w:val="0013182C"/>
    <w:rsid w:val="00132366"/>
    <w:rsid w:val="001324FC"/>
    <w:rsid w:val="00133106"/>
    <w:rsid w:val="00133229"/>
    <w:rsid w:val="0013509F"/>
    <w:rsid w:val="00135C1E"/>
    <w:rsid w:val="001365DF"/>
    <w:rsid w:val="00141521"/>
    <w:rsid w:val="00141E69"/>
    <w:rsid w:val="00141F70"/>
    <w:rsid w:val="00142053"/>
    <w:rsid w:val="00142455"/>
    <w:rsid w:val="0014245A"/>
    <w:rsid w:val="00144838"/>
    <w:rsid w:val="001452E0"/>
    <w:rsid w:val="00145F91"/>
    <w:rsid w:val="00146B12"/>
    <w:rsid w:val="00146F37"/>
    <w:rsid w:val="001472CB"/>
    <w:rsid w:val="00147AE2"/>
    <w:rsid w:val="00150A5B"/>
    <w:rsid w:val="0015127F"/>
    <w:rsid w:val="00151A17"/>
    <w:rsid w:val="00151FEC"/>
    <w:rsid w:val="00152A8A"/>
    <w:rsid w:val="00152D75"/>
    <w:rsid w:val="00152EAC"/>
    <w:rsid w:val="001535BE"/>
    <w:rsid w:val="0015394E"/>
    <w:rsid w:val="00154217"/>
    <w:rsid w:val="001547D2"/>
    <w:rsid w:val="00154A8C"/>
    <w:rsid w:val="0015551F"/>
    <w:rsid w:val="0015575A"/>
    <w:rsid w:val="00155D27"/>
    <w:rsid w:val="00156590"/>
    <w:rsid w:val="0016089D"/>
    <w:rsid w:val="00160E8A"/>
    <w:rsid w:val="00161506"/>
    <w:rsid w:val="00161568"/>
    <w:rsid w:val="00161801"/>
    <w:rsid w:val="00162737"/>
    <w:rsid w:val="00162789"/>
    <w:rsid w:val="00162797"/>
    <w:rsid w:val="0016306B"/>
    <w:rsid w:val="0016356B"/>
    <w:rsid w:val="001635AA"/>
    <w:rsid w:val="0016475A"/>
    <w:rsid w:val="00164C5E"/>
    <w:rsid w:val="001653CC"/>
    <w:rsid w:val="00165625"/>
    <w:rsid w:val="001675D3"/>
    <w:rsid w:val="00167C39"/>
    <w:rsid w:val="0017023F"/>
    <w:rsid w:val="00170C16"/>
    <w:rsid w:val="001729E3"/>
    <w:rsid w:val="00172CDD"/>
    <w:rsid w:val="00173295"/>
    <w:rsid w:val="00174EF1"/>
    <w:rsid w:val="00180B7F"/>
    <w:rsid w:val="001816B0"/>
    <w:rsid w:val="0018206E"/>
    <w:rsid w:val="001822AD"/>
    <w:rsid w:val="00182513"/>
    <w:rsid w:val="00183DD6"/>
    <w:rsid w:val="001859DC"/>
    <w:rsid w:val="00185E3F"/>
    <w:rsid w:val="001860F9"/>
    <w:rsid w:val="00186841"/>
    <w:rsid w:val="00186D19"/>
    <w:rsid w:val="00192116"/>
    <w:rsid w:val="0019255F"/>
    <w:rsid w:val="00193639"/>
    <w:rsid w:val="0019414C"/>
    <w:rsid w:val="001942EB"/>
    <w:rsid w:val="001943BF"/>
    <w:rsid w:val="00194DA6"/>
    <w:rsid w:val="00195194"/>
    <w:rsid w:val="00195758"/>
    <w:rsid w:val="0019668C"/>
    <w:rsid w:val="00196B36"/>
    <w:rsid w:val="00197781"/>
    <w:rsid w:val="001A0B20"/>
    <w:rsid w:val="001A134F"/>
    <w:rsid w:val="001A1355"/>
    <w:rsid w:val="001A1E9E"/>
    <w:rsid w:val="001A1F75"/>
    <w:rsid w:val="001A288E"/>
    <w:rsid w:val="001A33B2"/>
    <w:rsid w:val="001A3A19"/>
    <w:rsid w:val="001A405F"/>
    <w:rsid w:val="001A49FC"/>
    <w:rsid w:val="001A5484"/>
    <w:rsid w:val="001A5C8B"/>
    <w:rsid w:val="001A60DC"/>
    <w:rsid w:val="001A6234"/>
    <w:rsid w:val="001A6EAA"/>
    <w:rsid w:val="001A756B"/>
    <w:rsid w:val="001B0A07"/>
    <w:rsid w:val="001B15DA"/>
    <w:rsid w:val="001B216D"/>
    <w:rsid w:val="001B21ED"/>
    <w:rsid w:val="001B223C"/>
    <w:rsid w:val="001B351E"/>
    <w:rsid w:val="001B3897"/>
    <w:rsid w:val="001B518A"/>
    <w:rsid w:val="001B6691"/>
    <w:rsid w:val="001B79D1"/>
    <w:rsid w:val="001C1D67"/>
    <w:rsid w:val="001C2FF5"/>
    <w:rsid w:val="001C4857"/>
    <w:rsid w:val="001C56DF"/>
    <w:rsid w:val="001C6933"/>
    <w:rsid w:val="001C7717"/>
    <w:rsid w:val="001C7C08"/>
    <w:rsid w:val="001D077F"/>
    <w:rsid w:val="001D0A12"/>
    <w:rsid w:val="001D16EE"/>
    <w:rsid w:val="001D1C75"/>
    <w:rsid w:val="001D2DBA"/>
    <w:rsid w:val="001D4EA5"/>
    <w:rsid w:val="001D56C6"/>
    <w:rsid w:val="001D5FE1"/>
    <w:rsid w:val="001D617F"/>
    <w:rsid w:val="001D6391"/>
    <w:rsid w:val="001D64E5"/>
    <w:rsid w:val="001D7564"/>
    <w:rsid w:val="001D7D62"/>
    <w:rsid w:val="001E1083"/>
    <w:rsid w:val="001E1300"/>
    <w:rsid w:val="001E15C5"/>
    <w:rsid w:val="001E1AA7"/>
    <w:rsid w:val="001E2B5C"/>
    <w:rsid w:val="001E3855"/>
    <w:rsid w:val="001E3E48"/>
    <w:rsid w:val="001E3F08"/>
    <w:rsid w:val="001E43A7"/>
    <w:rsid w:val="001E4A75"/>
    <w:rsid w:val="001E4CD1"/>
    <w:rsid w:val="001E6A5A"/>
    <w:rsid w:val="001E6DFB"/>
    <w:rsid w:val="001E74F2"/>
    <w:rsid w:val="001F0D74"/>
    <w:rsid w:val="001F2C50"/>
    <w:rsid w:val="001F3198"/>
    <w:rsid w:val="001F41DE"/>
    <w:rsid w:val="001F585E"/>
    <w:rsid w:val="001F62CB"/>
    <w:rsid w:val="001F6492"/>
    <w:rsid w:val="001F65CF"/>
    <w:rsid w:val="001F7F9E"/>
    <w:rsid w:val="0020097E"/>
    <w:rsid w:val="00200B99"/>
    <w:rsid w:val="002019E2"/>
    <w:rsid w:val="00201DC4"/>
    <w:rsid w:val="002033F7"/>
    <w:rsid w:val="00203976"/>
    <w:rsid w:val="002039CF"/>
    <w:rsid w:val="00206437"/>
    <w:rsid w:val="002078E1"/>
    <w:rsid w:val="00210488"/>
    <w:rsid w:val="002109FF"/>
    <w:rsid w:val="00210B3A"/>
    <w:rsid w:val="00210CC2"/>
    <w:rsid w:val="0021267F"/>
    <w:rsid w:val="002126E1"/>
    <w:rsid w:val="00212CAB"/>
    <w:rsid w:val="00212CAF"/>
    <w:rsid w:val="00213133"/>
    <w:rsid w:val="00214618"/>
    <w:rsid w:val="002170EF"/>
    <w:rsid w:val="00217529"/>
    <w:rsid w:val="0022045A"/>
    <w:rsid w:val="00220BA8"/>
    <w:rsid w:val="002221CA"/>
    <w:rsid w:val="00222368"/>
    <w:rsid w:val="00222BB8"/>
    <w:rsid w:val="0022328D"/>
    <w:rsid w:val="00223323"/>
    <w:rsid w:val="00223D2D"/>
    <w:rsid w:val="002242D2"/>
    <w:rsid w:val="002248B1"/>
    <w:rsid w:val="00224AAE"/>
    <w:rsid w:val="00224EC7"/>
    <w:rsid w:val="0022570C"/>
    <w:rsid w:val="00225C64"/>
    <w:rsid w:val="00226DE5"/>
    <w:rsid w:val="00227061"/>
    <w:rsid w:val="002275CA"/>
    <w:rsid w:val="0022775F"/>
    <w:rsid w:val="00227E6C"/>
    <w:rsid w:val="002302D6"/>
    <w:rsid w:val="0023046D"/>
    <w:rsid w:val="002305DB"/>
    <w:rsid w:val="00230ECD"/>
    <w:rsid w:val="00230F13"/>
    <w:rsid w:val="0023130C"/>
    <w:rsid w:val="00232168"/>
    <w:rsid w:val="00232524"/>
    <w:rsid w:val="00232DCE"/>
    <w:rsid w:val="00234C48"/>
    <w:rsid w:val="00235C58"/>
    <w:rsid w:val="00236114"/>
    <w:rsid w:val="002365E4"/>
    <w:rsid w:val="00236C93"/>
    <w:rsid w:val="0023734F"/>
    <w:rsid w:val="00237596"/>
    <w:rsid w:val="002377D1"/>
    <w:rsid w:val="0024129C"/>
    <w:rsid w:val="00241D5D"/>
    <w:rsid w:val="00244AE4"/>
    <w:rsid w:val="002457AC"/>
    <w:rsid w:val="00246E97"/>
    <w:rsid w:val="0024743C"/>
    <w:rsid w:val="00247532"/>
    <w:rsid w:val="00247664"/>
    <w:rsid w:val="002478E2"/>
    <w:rsid w:val="00250263"/>
    <w:rsid w:val="00250BD0"/>
    <w:rsid w:val="00251012"/>
    <w:rsid w:val="00251F0D"/>
    <w:rsid w:val="00252FC4"/>
    <w:rsid w:val="0025333F"/>
    <w:rsid w:val="002552AB"/>
    <w:rsid w:val="00255F25"/>
    <w:rsid w:val="00257909"/>
    <w:rsid w:val="00257E38"/>
    <w:rsid w:val="0026140E"/>
    <w:rsid w:val="00263A03"/>
    <w:rsid w:val="0026438E"/>
    <w:rsid w:val="002655A5"/>
    <w:rsid w:val="00265819"/>
    <w:rsid w:val="00265AB5"/>
    <w:rsid w:val="002661B6"/>
    <w:rsid w:val="00266C0C"/>
    <w:rsid w:val="00266CA3"/>
    <w:rsid w:val="00266D54"/>
    <w:rsid w:val="00266DE7"/>
    <w:rsid w:val="00266EBC"/>
    <w:rsid w:val="00267276"/>
    <w:rsid w:val="002675EB"/>
    <w:rsid w:val="00267853"/>
    <w:rsid w:val="00267CC7"/>
    <w:rsid w:val="00270244"/>
    <w:rsid w:val="0027055C"/>
    <w:rsid w:val="00270700"/>
    <w:rsid w:val="00270C53"/>
    <w:rsid w:val="002713D7"/>
    <w:rsid w:val="00271F54"/>
    <w:rsid w:val="00273389"/>
    <w:rsid w:val="00273ACA"/>
    <w:rsid w:val="00273C09"/>
    <w:rsid w:val="00273E1D"/>
    <w:rsid w:val="00274F60"/>
    <w:rsid w:val="00275323"/>
    <w:rsid w:val="002759C5"/>
    <w:rsid w:val="00275B8F"/>
    <w:rsid w:val="00275D8F"/>
    <w:rsid w:val="002762B8"/>
    <w:rsid w:val="002767ED"/>
    <w:rsid w:val="00276C92"/>
    <w:rsid w:val="00280730"/>
    <w:rsid w:val="00280894"/>
    <w:rsid w:val="00281053"/>
    <w:rsid w:val="00281BC1"/>
    <w:rsid w:val="00282230"/>
    <w:rsid w:val="00282A9D"/>
    <w:rsid w:val="00284416"/>
    <w:rsid w:val="00284F1A"/>
    <w:rsid w:val="00285D21"/>
    <w:rsid w:val="00286073"/>
    <w:rsid w:val="00286426"/>
    <w:rsid w:val="002867C1"/>
    <w:rsid w:val="002873E3"/>
    <w:rsid w:val="00287A32"/>
    <w:rsid w:val="0029024B"/>
    <w:rsid w:val="002911FE"/>
    <w:rsid w:val="002926E5"/>
    <w:rsid w:val="00292B10"/>
    <w:rsid w:val="00292E09"/>
    <w:rsid w:val="00293977"/>
    <w:rsid w:val="00294128"/>
    <w:rsid w:val="0029489B"/>
    <w:rsid w:val="002948D3"/>
    <w:rsid w:val="00294F05"/>
    <w:rsid w:val="002955BA"/>
    <w:rsid w:val="00296580"/>
    <w:rsid w:val="00297064"/>
    <w:rsid w:val="002970D5"/>
    <w:rsid w:val="002A184E"/>
    <w:rsid w:val="002A1EEF"/>
    <w:rsid w:val="002A25EF"/>
    <w:rsid w:val="002A2839"/>
    <w:rsid w:val="002A3144"/>
    <w:rsid w:val="002A37F1"/>
    <w:rsid w:val="002A4BEB"/>
    <w:rsid w:val="002A5A6B"/>
    <w:rsid w:val="002A62B1"/>
    <w:rsid w:val="002A6621"/>
    <w:rsid w:val="002A6995"/>
    <w:rsid w:val="002A6A63"/>
    <w:rsid w:val="002A6ED6"/>
    <w:rsid w:val="002A7F40"/>
    <w:rsid w:val="002B215F"/>
    <w:rsid w:val="002B22F8"/>
    <w:rsid w:val="002B30FB"/>
    <w:rsid w:val="002B34A0"/>
    <w:rsid w:val="002B41BF"/>
    <w:rsid w:val="002B4E66"/>
    <w:rsid w:val="002B5032"/>
    <w:rsid w:val="002B59C0"/>
    <w:rsid w:val="002B5D91"/>
    <w:rsid w:val="002B5E9A"/>
    <w:rsid w:val="002B7650"/>
    <w:rsid w:val="002B7877"/>
    <w:rsid w:val="002B7A30"/>
    <w:rsid w:val="002C0243"/>
    <w:rsid w:val="002C0B3F"/>
    <w:rsid w:val="002C0E98"/>
    <w:rsid w:val="002C1B40"/>
    <w:rsid w:val="002C370D"/>
    <w:rsid w:val="002C3D11"/>
    <w:rsid w:val="002C3DCC"/>
    <w:rsid w:val="002C3F3D"/>
    <w:rsid w:val="002C4061"/>
    <w:rsid w:val="002C5FCF"/>
    <w:rsid w:val="002C7402"/>
    <w:rsid w:val="002C7714"/>
    <w:rsid w:val="002D08F7"/>
    <w:rsid w:val="002D15D4"/>
    <w:rsid w:val="002D1B53"/>
    <w:rsid w:val="002D250B"/>
    <w:rsid w:val="002D3C15"/>
    <w:rsid w:val="002D4DC1"/>
    <w:rsid w:val="002D57BE"/>
    <w:rsid w:val="002D73AB"/>
    <w:rsid w:val="002E0DC1"/>
    <w:rsid w:val="002E2EC4"/>
    <w:rsid w:val="002E31AA"/>
    <w:rsid w:val="002E3543"/>
    <w:rsid w:val="002E49F2"/>
    <w:rsid w:val="002E55E4"/>
    <w:rsid w:val="002E59BD"/>
    <w:rsid w:val="002E7023"/>
    <w:rsid w:val="002E7249"/>
    <w:rsid w:val="002E74BF"/>
    <w:rsid w:val="002F031B"/>
    <w:rsid w:val="002F41FD"/>
    <w:rsid w:val="002F42B2"/>
    <w:rsid w:val="002F49B6"/>
    <w:rsid w:val="002F4EB9"/>
    <w:rsid w:val="0030222B"/>
    <w:rsid w:val="003038B8"/>
    <w:rsid w:val="00303D0A"/>
    <w:rsid w:val="003044D7"/>
    <w:rsid w:val="00304789"/>
    <w:rsid w:val="003059E5"/>
    <w:rsid w:val="00307C38"/>
    <w:rsid w:val="0031039A"/>
    <w:rsid w:val="003117A3"/>
    <w:rsid w:val="00311BCE"/>
    <w:rsid w:val="00312B07"/>
    <w:rsid w:val="003141F1"/>
    <w:rsid w:val="00314236"/>
    <w:rsid w:val="003164C5"/>
    <w:rsid w:val="0031681B"/>
    <w:rsid w:val="00316932"/>
    <w:rsid w:val="00317374"/>
    <w:rsid w:val="00317ADF"/>
    <w:rsid w:val="003208A7"/>
    <w:rsid w:val="00320AC6"/>
    <w:rsid w:val="00321335"/>
    <w:rsid w:val="003219AC"/>
    <w:rsid w:val="003227ED"/>
    <w:rsid w:val="00323963"/>
    <w:rsid w:val="00323E40"/>
    <w:rsid w:val="003265F7"/>
    <w:rsid w:val="00326C30"/>
    <w:rsid w:val="00326C7E"/>
    <w:rsid w:val="00327021"/>
    <w:rsid w:val="00327BFE"/>
    <w:rsid w:val="003307F6"/>
    <w:rsid w:val="00330BEC"/>
    <w:rsid w:val="00330C3E"/>
    <w:rsid w:val="00331261"/>
    <w:rsid w:val="003330C8"/>
    <w:rsid w:val="00333E6D"/>
    <w:rsid w:val="00334CAB"/>
    <w:rsid w:val="0033522D"/>
    <w:rsid w:val="003353CD"/>
    <w:rsid w:val="0033574C"/>
    <w:rsid w:val="00335A96"/>
    <w:rsid w:val="003372F4"/>
    <w:rsid w:val="0034018D"/>
    <w:rsid w:val="00340393"/>
    <w:rsid w:val="003414A2"/>
    <w:rsid w:val="003424FC"/>
    <w:rsid w:val="0034253E"/>
    <w:rsid w:val="0034281F"/>
    <w:rsid w:val="00344433"/>
    <w:rsid w:val="00344EF7"/>
    <w:rsid w:val="00346D06"/>
    <w:rsid w:val="00346EC4"/>
    <w:rsid w:val="0035078D"/>
    <w:rsid w:val="00350866"/>
    <w:rsid w:val="00351026"/>
    <w:rsid w:val="00351A07"/>
    <w:rsid w:val="00351D55"/>
    <w:rsid w:val="0035307C"/>
    <w:rsid w:val="00353C5E"/>
    <w:rsid w:val="00354BB4"/>
    <w:rsid w:val="00355278"/>
    <w:rsid w:val="00356043"/>
    <w:rsid w:val="0035713E"/>
    <w:rsid w:val="00360BE9"/>
    <w:rsid w:val="0036160E"/>
    <w:rsid w:val="00361965"/>
    <w:rsid w:val="00362855"/>
    <w:rsid w:val="0036291F"/>
    <w:rsid w:val="00362FB6"/>
    <w:rsid w:val="0036350D"/>
    <w:rsid w:val="0036371D"/>
    <w:rsid w:val="00363FE6"/>
    <w:rsid w:val="00366DA0"/>
    <w:rsid w:val="0036720B"/>
    <w:rsid w:val="0036767C"/>
    <w:rsid w:val="00367B26"/>
    <w:rsid w:val="003708F4"/>
    <w:rsid w:val="00370B8F"/>
    <w:rsid w:val="00370EBA"/>
    <w:rsid w:val="00371A65"/>
    <w:rsid w:val="00372021"/>
    <w:rsid w:val="003725D6"/>
    <w:rsid w:val="00372A04"/>
    <w:rsid w:val="00373065"/>
    <w:rsid w:val="003732FC"/>
    <w:rsid w:val="00373C9A"/>
    <w:rsid w:val="00374E3A"/>
    <w:rsid w:val="00376194"/>
    <w:rsid w:val="00376AA6"/>
    <w:rsid w:val="00376BBE"/>
    <w:rsid w:val="003771AE"/>
    <w:rsid w:val="0037734F"/>
    <w:rsid w:val="0037764F"/>
    <w:rsid w:val="00377B3D"/>
    <w:rsid w:val="00380760"/>
    <w:rsid w:val="00380C96"/>
    <w:rsid w:val="0038147B"/>
    <w:rsid w:val="00381EED"/>
    <w:rsid w:val="00383BB9"/>
    <w:rsid w:val="00385B47"/>
    <w:rsid w:val="00386270"/>
    <w:rsid w:val="00387F02"/>
    <w:rsid w:val="003902C9"/>
    <w:rsid w:val="0039111F"/>
    <w:rsid w:val="003919AE"/>
    <w:rsid w:val="00393AAF"/>
    <w:rsid w:val="00394309"/>
    <w:rsid w:val="003943BF"/>
    <w:rsid w:val="003943DD"/>
    <w:rsid w:val="00394775"/>
    <w:rsid w:val="00395C48"/>
    <w:rsid w:val="00396395"/>
    <w:rsid w:val="003A1B57"/>
    <w:rsid w:val="003A235A"/>
    <w:rsid w:val="003A242B"/>
    <w:rsid w:val="003A2444"/>
    <w:rsid w:val="003A29B4"/>
    <w:rsid w:val="003A2B20"/>
    <w:rsid w:val="003A33C4"/>
    <w:rsid w:val="003A4EC4"/>
    <w:rsid w:val="003A53EB"/>
    <w:rsid w:val="003A5447"/>
    <w:rsid w:val="003A5F1C"/>
    <w:rsid w:val="003A6247"/>
    <w:rsid w:val="003A7151"/>
    <w:rsid w:val="003A7CA0"/>
    <w:rsid w:val="003B0894"/>
    <w:rsid w:val="003B103E"/>
    <w:rsid w:val="003B178C"/>
    <w:rsid w:val="003B3123"/>
    <w:rsid w:val="003B3892"/>
    <w:rsid w:val="003B4021"/>
    <w:rsid w:val="003B4B68"/>
    <w:rsid w:val="003B4ECE"/>
    <w:rsid w:val="003B55F9"/>
    <w:rsid w:val="003B5EA6"/>
    <w:rsid w:val="003B5F9C"/>
    <w:rsid w:val="003B6463"/>
    <w:rsid w:val="003B6799"/>
    <w:rsid w:val="003B73CD"/>
    <w:rsid w:val="003B772D"/>
    <w:rsid w:val="003B78A0"/>
    <w:rsid w:val="003B7DA8"/>
    <w:rsid w:val="003C071F"/>
    <w:rsid w:val="003C0977"/>
    <w:rsid w:val="003C1A62"/>
    <w:rsid w:val="003C27AC"/>
    <w:rsid w:val="003C2C3B"/>
    <w:rsid w:val="003C3AF6"/>
    <w:rsid w:val="003C4075"/>
    <w:rsid w:val="003C449C"/>
    <w:rsid w:val="003C48E8"/>
    <w:rsid w:val="003C561C"/>
    <w:rsid w:val="003C5E3D"/>
    <w:rsid w:val="003D0325"/>
    <w:rsid w:val="003D16BA"/>
    <w:rsid w:val="003D1C96"/>
    <w:rsid w:val="003D1FCF"/>
    <w:rsid w:val="003D3673"/>
    <w:rsid w:val="003D389A"/>
    <w:rsid w:val="003D4640"/>
    <w:rsid w:val="003D5356"/>
    <w:rsid w:val="003D6316"/>
    <w:rsid w:val="003D6494"/>
    <w:rsid w:val="003D7725"/>
    <w:rsid w:val="003D7AAC"/>
    <w:rsid w:val="003E0AAB"/>
    <w:rsid w:val="003E0C43"/>
    <w:rsid w:val="003E156A"/>
    <w:rsid w:val="003E1F19"/>
    <w:rsid w:val="003E29EF"/>
    <w:rsid w:val="003E302A"/>
    <w:rsid w:val="003E31C5"/>
    <w:rsid w:val="003E401E"/>
    <w:rsid w:val="003E476E"/>
    <w:rsid w:val="003E5184"/>
    <w:rsid w:val="003E5D64"/>
    <w:rsid w:val="003E5E5E"/>
    <w:rsid w:val="003E6AA5"/>
    <w:rsid w:val="003E6F8A"/>
    <w:rsid w:val="003E761E"/>
    <w:rsid w:val="003F0296"/>
    <w:rsid w:val="003F0ACA"/>
    <w:rsid w:val="003F0B90"/>
    <w:rsid w:val="003F17B3"/>
    <w:rsid w:val="003F192D"/>
    <w:rsid w:val="003F23CE"/>
    <w:rsid w:val="003F306A"/>
    <w:rsid w:val="003F3961"/>
    <w:rsid w:val="003F3D90"/>
    <w:rsid w:val="003F43DE"/>
    <w:rsid w:val="003F6A99"/>
    <w:rsid w:val="003F6FAA"/>
    <w:rsid w:val="00400187"/>
    <w:rsid w:val="00400411"/>
    <w:rsid w:val="00400668"/>
    <w:rsid w:val="00400AD2"/>
    <w:rsid w:val="00400EF9"/>
    <w:rsid w:val="0040262C"/>
    <w:rsid w:val="004030E9"/>
    <w:rsid w:val="004031A7"/>
    <w:rsid w:val="00403C5D"/>
    <w:rsid w:val="00403D78"/>
    <w:rsid w:val="004049FA"/>
    <w:rsid w:val="00404EB2"/>
    <w:rsid w:val="004058C8"/>
    <w:rsid w:val="00406249"/>
    <w:rsid w:val="0040666E"/>
    <w:rsid w:val="00406B74"/>
    <w:rsid w:val="00407540"/>
    <w:rsid w:val="00407CCB"/>
    <w:rsid w:val="00410227"/>
    <w:rsid w:val="004106D2"/>
    <w:rsid w:val="00411141"/>
    <w:rsid w:val="00411578"/>
    <w:rsid w:val="00412AC9"/>
    <w:rsid w:val="00412CF0"/>
    <w:rsid w:val="00412E8D"/>
    <w:rsid w:val="00413535"/>
    <w:rsid w:val="0041374A"/>
    <w:rsid w:val="00413D67"/>
    <w:rsid w:val="0041426D"/>
    <w:rsid w:val="004143B0"/>
    <w:rsid w:val="00414ABE"/>
    <w:rsid w:val="00414ADA"/>
    <w:rsid w:val="0041573E"/>
    <w:rsid w:val="00415D7E"/>
    <w:rsid w:val="00417FD2"/>
    <w:rsid w:val="00417FF1"/>
    <w:rsid w:val="00420150"/>
    <w:rsid w:val="00420CEC"/>
    <w:rsid w:val="00420DAF"/>
    <w:rsid w:val="00420DBA"/>
    <w:rsid w:val="00421459"/>
    <w:rsid w:val="00421A7C"/>
    <w:rsid w:val="00421E88"/>
    <w:rsid w:val="00422531"/>
    <w:rsid w:val="00422676"/>
    <w:rsid w:val="00423BC4"/>
    <w:rsid w:val="0042457E"/>
    <w:rsid w:val="004248A8"/>
    <w:rsid w:val="00425B56"/>
    <w:rsid w:val="00426F4F"/>
    <w:rsid w:val="00427060"/>
    <w:rsid w:val="0043139F"/>
    <w:rsid w:val="0043144A"/>
    <w:rsid w:val="00433703"/>
    <w:rsid w:val="004340A8"/>
    <w:rsid w:val="0043411E"/>
    <w:rsid w:val="004342FE"/>
    <w:rsid w:val="00434DEE"/>
    <w:rsid w:val="00435724"/>
    <w:rsid w:val="0043578B"/>
    <w:rsid w:val="00435946"/>
    <w:rsid w:val="004362F8"/>
    <w:rsid w:val="004364FD"/>
    <w:rsid w:val="00437A5D"/>
    <w:rsid w:val="00437B84"/>
    <w:rsid w:val="00440EAF"/>
    <w:rsid w:val="00441250"/>
    <w:rsid w:val="004412DD"/>
    <w:rsid w:val="00441310"/>
    <w:rsid w:val="0044186C"/>
    <w:rsid w:val="004418B2"/>
    <w:rsid w:val="00441E0E"/>
    <w:rsid w:val="0044298F"/>
    <w:rsid w:val="004455FB"/>
    <w:rsid w:val="0044658E"/>
    <w:rsid w:val="00447674"/>
    <w:rsid w:val="004478F1"/>
    <w:rsid w:val="00447B44"/>
    <w:rsid w:val="00447EEE"/>
    <w:rsid w:val="0045011E"/>
    <w:rsid w:val="004501AC"/>
    <w:rsid w:val="00451D4C"/>
    <w:rsid w:val="0045215D"/>
    <w:rsid w:val="0045243E"/>
    <w:rsid w:val="00452BE3"/>
    <w:rsid w:val="00452D8F"/>
    <w:rsid w:val="004533F6"/>
    <w:rsid w:val="00453EE3"/>
    <w:rsid w:val="00454E12"/>
    <w:rsid w:val="00455E3E"/>
    <w:rsid w:val="00455FCF"/>
    <w:rsid w:val="00457A92"/>
    <w:rsid w:val="004619C4"/>
    <w:rsid w:val="004626E3"/>
    <w:rsid w:val="00462B56"/>
    <w:rsid w:val="00464D60"/>
    <w:rsid w:val="00465BCC"/>
    <w:rsid w:val="004674CB"/>
    <w:rsid w:val="00467C97"/>
    <w:rsid w:val="00471582"/>
    <w:rsid w:val="004718F1"/>
    <w:rsid w:val="004737A3"/>
    <w:rsid w:val="004740A5"/>
    <w:rsid w:val="00477061"/>
    <w:rsid w:val="004770C6"/>
    <w:rsid w:val="00477103"/>
    <w:rsid w:val="00480373"/>
    <w:rsid w:val="00481006"/>
    <w:rsid w:val="00482368"/>
    <w:rsid w:val="00482B0B"/>
    <w:rsid w:val="00483D85"/>
    <w:rsid w:val="004847A6"/>
    <w:rsid w:val="00484E51"/>
    <w:rsid w:val="00486A7D"/>
    <w:rsid w:val="004871F2"/>
    <w:rsid w:val="00487EDC"/>
    <w:rsid w:val="00490599"/>
    <w:rsid w:val="0049121C"/>
    <w:rsid w:val="0049169B"/>
    <w:rsid w:val="00491B28"/>
    <w:rsid w:val="00492226"/>
    <w:rsid w:val="0049337B"/>
    <w:rsid w:val="0049417D"/>
    <w:rsid w:val="004944FD"/>
    <w:rsid w:val="004947DE"/>
    <w:rsid w:val="00495132"/>
    <w:rsid w:val="004955B8"/>
    <w:rsid w:val="00495DD6"/>
    <w:rsid w:val="00496B68"/>
    <w:rsid w:val="00496DD0"/>
    <w:rsid w:val="004973B4"/>
    <w:rsid w:val="0049761F"/>
    <w:rsid w:val="004979F1"/>
    <w:rsid w:val="004A04E5"/>
    <w:rsid w:val="004A0FEF"/>
    <w:rsid w:val="004A1DCB"/>
    <w:rsid w:val="004A450B"/>
    <w:rsid w:val="004A4822"/>
    <w:rsid w:val="004A4B3B"/>
    <w:rsid w:val="004A4B91"/>
    <w:rsid w:val="004A4C55"/>
    <w:rsid w:val="004A55D4"/>
    <w:rsid w:val="004A7836"/>
    <w:rsid w:val="004A7CC4"/>
    <w:rsid w:val="004A7F6E"/>
    <w:rsid w:val="004B0434"/>
    <w:rsid w:val="004B08E3"/>
    <w:rsid w:val="004B1480"/>
    <w:rsid w:val="004B18F9"/>
    <w:rsid w:val="004B1A13"/>
    <w:rsid w:val="004B6E73"/>
    <w:rsid w:val="004B6E78"/>
    <w:rsid w:val="004B7116"/>
    <w:rsid w:val="004B7D35"/>
    <w:rsid w:val="004C0DE1"/>
    <w:rsid w:val="004C16AF"/>
    <w:rsid w:val="004C198E"/>
    <w:rsid w:val="004C1A58"/>
    <w:rsid w:val="004C1BB0"/>
    <w:rsid w:val="004C2AFE"/>
    <w:rsid w:val="004C3452"/>
    <w:rsid w:val="004C37E1"/>
    <w:rsid w:val="004C3CD6"/>
    <w:rsid w:val="004C5498"/>
    <w:rsid w:val="004C58BA"/>
    <w:rsid w:val="004C5C5F"/>
    <w:rsid w:val="004D07EE"/>
    <w:rsid w:val="004D11A8"/>
    <w:rsid w:val="004D27AC"/>
    <w:rsid w:val="004D286D"/>
    <w:rsid w:val="004D3958"/>
    <w:rsid w:val="004D4181"/>
    <w:rsid w:val="004D435E"/>
    <w:rsid w:val="004D4604"/>
    <w:rsid w:val="004D5941"/>
    <w:rsid w:val="004D5976"/>
    <w:rsid w:val="004D61DF"/>
    <w:rsid w:val="004D7376"/>
    <w:rsid w:val="004D7EFF"/>
    <w:rsid w:val="004E1F8E"/>
    <w:rsid w:val="004E258A"/>
    <w:rsid w:val="004E3310"/>
    <w:rsid w:val="004E373C"/>
    <w:rsid w:val="004E3B2B"/>
    <w:rsid w:val="004E3EED"/>
    <w:rsid w:val="004E4551"/>
    <w:rsid w:val="004E5C1B"/>
    <w:rsid w:val="004E6714"/>
    <w:rsid w:val="004E7447"/>
    <w:rsid w:val="004E7B34"/>
    <w:rsid w:val="004F060A"/>
    <w:rsid w:val="004F121E"/>
    <w:rsid w:val="004F4EF1"/>
    <w:rsid w:val="004F6BCB"/>
    <w:rsid w:val="004F748E"/>
    <w:rsid w:val="004F74A6"/>
    <w:rsid w:val="0050035B"/>
    <w:rsid w:val="005005FE"/>
    <w:rsid w:val="00500C73"/>
    <w:rsid w:val="00500FA7"/>
    <w:rsid w:val="00502136"/>
    <w:rsid w:val="0050249A"/>
    <w:rsid w:val="0050258F"/>
    <w:rsid w:val="00502AC7"/>
    <w:rsid w:val="00502F5A"/>
    <w:rsid w:val="00503BED"/>
    <w:rsid w:val="0050449A"/>
    <w:rsid w:val="005044FF"/>
    <w:rsid w:val="00505685"/>
    <w:rsid w:val="00506840"/>
    <w:rsid w:val="005103E3"/>
    <w:rsid w:val="005108C6"/>
    <w:rsid w:val="005112D4"/>
    <w:rsid w:val="0051168A"/>
    <w:rsid w:val="005125D4"/>
    <w:rsid w:val="005130E5"/>
    <w:rsid w:val="00513333"/>
    <w:rsid w:val="0051385E"/>
    <w:rsid w:val="005145B9"/>
    <w:rsid w:val="00516FA0"/>
    <w:rsid w:val="00517D46"/>
    <w:rsid w:val="00520F97"/>
    <w:rsid w:val="005218E1"/>
    <w:rsid w:val="005225DE"/>
    <w:rsid w:val="0052275B"/>
    <w:rsid w:val="00522E80"/>
    <w:rsid w:val="005231D2"/>
    <w:rsid w:val="00525CCD"/>
    <w:rsid w:val="00526C5D"/>
    <w:rsid w:val="00526F11"/>
    <w:rsid w:val="00527D4A"/>
    <w:rsid w:val="00527FFA"/>
    <w:rsid w:val="00530552"/>
    <w:rsid w:val="005305F7"/>
    <w:rsid w:val="005308CC"/>
    <w:rsid w:val="00530E1F"/>
    <w:rsid w:val="0053154D"/>
    <w:rsid w:val="005315B4"/>
    <w:rsid w:val="00531841"/>
    <w:rsid w:val="00531BA5"/>
    <w:rsid w:val="005324EA"/>
    <w:rsid w:val="00532688"/>
    <w:rsid w:val="005328C5"/>
    <w:rsid w:val="00532EAF"/>
    <w:rsid w:val="00537172"/>
    <w:rsid w:val="00540242"/>
    <w:rsid w:val="0054031F"/>
    <w:rsid w:val="005405AC"/>
    <w:rsid w:val="0054142E"/>
    <w:rsid w:val="00541D2F"/>
    <w:rsid w:val="00542AA7"/>
    <w:rsid w:val="00543220"/>
    <w:rsid w:val="00544300"/>
    <w:rsid w:val="0054461A"/>
    <w:rsid w:val="00544819"/>
    <w:rsid w:val="00544BC6"/>
    <w:rsid w:val="005456F1"/>
    <w:rsid w:val="00546B69"/>
    <w:rsid w:val="00546CE3"/>
    <w:rsid w:val="0055046B"/>
    <w:rsid w:val="005506C3"/>
    <w:rsid w:val="00550C62"/>
    <w:rsid w:val="00556B19"/>
    <w:rsid w:val="00560FB0"/>
    <w:rsid w:val="0056190D"/>
    <w:rsid w:val="00561FFD"/>
    <w:rsid w:val="00562633"/>
    <w:rsid w:val="00563973"/>
    <w:rsid w:val="00563C15"/>
    <w:rsid w:val="00564118"/>
    <w:rsid w:val="00564125"/>
    <w:rsid w:val="0056486E"/>
    <w:rsid w:val="00564B87"/>
    <w:rsid w:val="00564F28"/>
    <w:rsid w:val="0056541B"/>
    <w:rsid w:val="00565D99"/>
    <w:rsid w:val="00566071"/>
    <w:rsid w:val="005660C6"/>
    <w:rsid w:val="005666C7"/>
    <w:rsid w:val="0056755B"/>
    <w:rsid w:val="00567AB2"/>
    <w:rsid w:val="00567F3B"/>
    <w:rsid w:val="005700DA"/>
    <w:rsid w:val="00570BA9"/>
    <w:rsid w:val="00571D07"/>
    <w:rsid w:val="005734DB"/>
    <w:rsid w:val="005736C9"/>
    <w:rsid w:val="00573B83"/>
    <w:rsid w:val="00573D85"/>
    <w:rsid w:val="0057451D"/>
    <w:rsid w:val="005746E1"/>
    <w:rsid w:val="0057533A"/>
    <w:rsid w:val="00575A4C"/>
    <w:rsid w:val="00575B0D"/>
    <w:rsid w:val="0057707E"/>
    <w:rsid w:val="00580A6B"/>
    <w:rsid w:val="00581A2C"/>
    <w:rsid w:val="00582B04"/>
    <w:rsid w:val="005837A8"/>
    <w:rsid w:val="00583948"/>
    <w:rsid w:val="00583DF9"/>
    <w:rsid w:val="0058402C"/>
    <w:rsid w:val="005843BE"/>
    <w:rsid w:val="00584489"/>
    <w:rsid w:val="0058523E"/>
    <w:rsid w:val="00585CFF"/>
    <w:rsid w:val="00586BF0"/>
    <w:rsid w:val="00586FEC"/>
    <w:rsid w:val="0058733A"/>
    <w:rsid w:val="005875F9"/>
    <w:rsid w:val="005910A3"/>
    <w:rsid w:val="00591A80"/>
    <w:rsid w:val="0059289B"/>
    <w:rsid w:val="00592C6B"/>
    <w:rsid w:val="005930E9"/>
    <w:rsid w:val="00593121"/>
    <w:rsid w:val="005939DD"/>
    <w:rsid w:val="00593C8D"/>
    <w:rsid w:val="00593EEC"/>
    <w:rsid w:val="005940D9"/>
    <w:rsid w:val="00594DA7"/>
    <w:rsid w:val="00597BD1"/>
    <w:rsid w:val="00597E0C"/>
    <w:rsid w:val="00597FEE"/>
    <w:rsid w:val="005A03EB"/>
    <w:rsid w:val="005A07E2"/>
    <w:rsid w:val="005A10FC"/>
    <w:rsid w:val="005A2375"/>
    <w:rsid w:val="005A28A5"/>
    <w:rsid w:val="005A37F9"/>
    <w:rsid w:val="005A3E13"/>
    <w:rsid w:val="005A40CB"/>
    <w:rsid w:val="005A44D2"/>
    <w:rsid w:val="005A4EEE"/>
    <w:rsid w:val="005A55A7"/>
    <w:rsid w:val="005A6BFD"/>
    <w:rsid w:val="005A6CD5"/>
    <w:rsid w:val="005A6D7D"/>
    <w:rsid w:val="005A6E0B"/>
    <w:rsid w:val="005A70A6"/>
    <w:rsid w:val="005B0579"/>
    <w:rsid w:val="005B093E"/>
    <w:rsid w:val="005B0F75"/>
    <w:rsid w:val="005B20F5"/>
    <w:rsid w:val="005B2165"/>
    <w:rsid w:val="005B29F0"/>
    <w:rsid w:val="005B3AE4"/>
    <w:rsid w:val="005B3E28"/>
    <w:rsid w:val="005B40F9"/>
    <w:rsid w:val="005B49D7"/>
    <w:rsid w:val="005B4EEA"/>
    <w:rsid w:val="005B5240"/>
    <w:rsid w:val="005B5461"/>
    <w:rsid w:val="005B5D5C"/>
    <w:rsid w:val="005B689E"/>
    <w:rsid w:val="005B6F86"/>
    <w:rsid w:val="005B7167"/>
    <w:rsid w:val="005B78DD"/>
    <w:rsid w:val="005C087A"/>
    <w:rsid w:val="005C0CD0"/>
    <w:rsid w:val="005C1089"/>
    <w:rsid w:val="005C10F5"/>
    <w:rsid w:val="005C1199"/>
    <w:rsid w:val="005C1471"/>
    <w:rsid w:val="005C1477"/>
    <w:rsid w:val="005C20B7"/>
    <w:rsid w:val="005C35BE"/>
    <w:rsid w:val="005C3C46"/>
    <w:rsid w:val="005C408A"/>
    <w:rsid w:val="005C47D2"/>
    <w:rsid w:val="005C4A9D"/>
    <w:rsid w:val="005C5E7D"/>
    <w:rsid w:val="005C5F9D"/>
    <w:rsid w:val="005C64D6"/>
    <w:rsid w:val="005C7928"/>
    <w:rsid w:val="005C7E12"/>
    <w:rsid w:val="005D1238"/>
    <w:rsid w:val="005D1720"/>
    <w:rsid w:val="005D1823"/>
    <w:rsid w:val="005D1D71"/>
    <w:rsid w:val="005D256A"/>
    <w:rsid w:val="005D27CD"/>
    <w:rsid w:val="005D46C4"/>
    <w:rsid w:val="005D49DD"/>
    <w:rsid w:val="005D5995"/>
    <w:rsid w:val="005D5D73"/>
    <w:rsid w:val="005D788C"/>
    <w:rsid w:val="005E00B2"/>
    <w:rsid w:val="005E0504"/>
    <w:rsid w:val="005E08F4"/>
    <w:rsid w:val="005E0E62"/>
    <w:rsid w:val="005E0F7C"/>
    <w:rsid w:val="005E106C"/>
    <w:rsid w:val="005E1841"/>
    <w:rsid w:val="005E197A"/>
    <w:rsid w:val="005E235F"/>
    <w:rsid w:val="005E27C3"/>
    <w:rsid w:val="005E323B"/>
    <w:rsid w:val="005E338A"/>
    <w:rsid w:val="005E37F2"/>
    <w:rsid w:val="005E3FED"/>
    <w:rsid w:val="005E418B"/>
    <w:rsid w:val="005E454C"/>
    <w:rsid w:val="005E593F"/>
    <w:rsid w:val="005E7646"/>
    <w:rsid w:val="005E7A1D"/>
    <w:rsid w:val="005E7BE3"/>
    <w:rsid w:val="005E7EE0"/>
    <w:rsid w:val="005E7F4A"/>
    <w:rsid w:val="005F02F7"/>
    <w:rsid w:val="005F09E3"/>
    <w:rsid w:val="005F0B50"/>
    <w:rsid w:val="005F15A4"/>
    <w:rsid w:val="005F3006"/>
    <w:rsid w:val="005F3C2F"/>
    <w:rsid w:val="005F544D"/>
    <w:rsid w:val="005F619C"/>
    <w:rsid w:val="005F67A7"/>
    <w:rsid w:val="005F690B"/>
    <w:rsid w:val="005F69E7"/>
    <w:rsid w:val="005F6FDD"/>
    <w:rsid w:val="005F74C0"/>
    <w:rsid w:val="005F7793"/>
    <w:rsid w:val="005F7906"/>
    <w:rsid w:val="00600283"/>
    <w:rsid w:val="006005DC"/>
    <w:rsid w:val="006015D9"/>
    <w:rsid w:val="006022AB"/>
    <w:rsid w:val="0060236A"/>
    <w:rsid w:val="006026C4"/>
    <w:rsid w:val="00602EF6"/>
    <w:rsid w:val="006036D7"/>
    <w:rsid w:val="00605185"/>
    <w:rsid w:val="006061D7"/>
    <w:rsid w:val="00607368"/>
    <w:rsid w:val="00607E4E"/>
    <w:rsid w:val="006103F6"/>
    <w:rsid w:val="0061054D"/>
    <w:rsid w:val="00610D61"/>
    <w:rsid w:val="00611361"/>
    <w:rsid w:val="006114F1"/>
    <w:rsid w:val="00612520"/>
    <w:rsid w:val="006127CA"/>
    <w:rsid w:val="00612AE9"/>
    <w:rsid w:val="00612E8E"/>
    <w:rsid w:val="00613BB4"/>
    <w:rsid w:val="006147D0"/>
    <w:rsid w:val="00616543"/>
    <w:rsid w:val="0061674E"/>
    <w:rsid w:val="00617167"/>
    <w:rsid w:val="006174A1"/>
    <w:rsid w:val="006178E8"/>
    <w:rsid w:val="00617A27"/>
    <w:rsid w:val="00617F9B"/>
    <w:rsid w:val="006208EC"/>
    <w:rsid w:val="00620F19"/>
    <w:rsid w:val="00620F5B"/>
    <w:rsid w:val="0062170B"/>
    <w:rsid w:val="00621891"/>
    <w:rsid w:val="00622117"/>
    <w:rsid w:val="00622862"/>
    <w:rsid w:val="00622AC1"/>
    <w:rsid w:val="00622B13"/>
    <w:rsid w:val="00624138"/>
    <w:rsid w:val="006241D7"/>
    <w:rsid w:val="006241DE"/>
    <w:rsid w:val="00625A52"/>
    <w:rsid w:val="0062662B"/>
    <w:rsid w:val="006273B3"/>
    <w:rsid w:val="00627DAC"/>
    <w:rsid w:val="00630A6B"/>
    <w:rsid w:val="00631058"/>
    <w:rsid w:val="00631798"/>
    <w:rsid w:val="00634B79"/>
    <w:rsid w:val="00636781"/>
    <w:rsid w:val="00636E10"/>
    <w:rsid w:val="00636EC2"/>
    <w:rsid w:val="006372F6"/>
    <w:rsid w:val="0064049B"/>
    <w:rsid w:val="00640567"/>
    <w:rsid w:val="00641326"/>
    <w:rsid w:val="006418D2"/>
    <w:rsid w:val="00641DA8"/>
    <w:rsid w:val="00642757"/>
    <w:rsid w:val="00643915"/>
    <w:rsid w:val="0064463B"/>
    <w:rsid w:val="00645A2B"/>
    <w:rsid w:val="00645F91"/>
    <w:rsid w:val="00647342"/>
    <w:rsid w:val="00647368"/>
    <w:rsid w:val="006534F3"/>
    <w:rsid w:val="0065371D"/>
    <w:rsid w:val="00654AC0"/>
    <w:rsid w:val="006557B8"/>
    <w:rsid w:val="006602AA"/>
    <w:rsid w:val="00660795"/>
    <w:rsid w:val="00660EE9"/>
    <w:rsid w:val="006616D2"/>
    <w:rsid w:val="00661D7E"/>
    <w:rsid w:val="00662062"/>
    <w:rsid w:val="0066269F"/>
    <w:rsid w:val="006626B1"/>
    <w:rsid w:val="0066382C"/>
    <w:rsid w:val="00663BE1"/>
    <w:rsid w:val="006644D1"/>
    <w:rsid w:val="0066475E"/>
    <w:rsid w:val="00664AD8"/>
    <w:rsid w:val="00664F89"/>
    <w:rsid w:val="00666172"/>
    <w:rsid w:val="00666753"/>
    <w:rsid w:val="00666B4E"/>
    <w:rsid w:val="0066736C"/>
    <w:rsid w:val="00667905"/>
    <w:rsid w:val="00667CC9"/>
    <w:rsid w:val="006700D1"/>
    <w:rsid w:val="00670171"/>
    <w:rsid w:val="006709AC"/>
    <w:rsid w:val="00672D58"/>
    <w:rsid w:val="00673A0C"/>
    <w:rsid w:val="006741C2"/>
    <w:rsid w:val="00674446"/>
    <w:rsid w:val="00674573"/>
    <w:rsid w:val="006779FB"/>
    <w:rsid w:val="00677F1D"/>
    <w:rsid w:val="0068091F"/>
    <w:rsid w:val="006820CF"/>
    <w:rsid w:val="00682186"/>
    <w:rsid w:val="006832E3"/>
    <w:rsid w:val="006838F5"/>
    <w:rsid w:val="006841C7"/>
    <w:rsid w:val="00684B41"/>
    <w:rsid w:val="006850DA"/>
    <w:rsid w:val="00685324"/>
    <w:rsid w:val="00685E65"/>
    <w:rsid w:val="00686099"/>
    <w:rsid w:val="0068696C"/>
    <w:rsid w:val="006869B9"/>
    <w:rsid w:val="00687524"/>
    <w:rsid w:val="00687788"/>
    <w:rsid w:val="00690164"/>
    <w:rsid w:val="00691262"/>
    <w:rsid w:val="00693E72"/>
    <w:rsid w:val="00694559"/>
    <w:rsid w:val="00697659"/>
    <w:rsid w:val="00697852"/>
    <w:rsid w:val="00697984"/>
    <w:rsid w:val="006979DA"/>
    <w:rsid w:val="00697AC4"/>
    <w:rsid w:val="006A081A"/>
    <w:rsid w:val="006A0B3D"/>
    <w:rsid w:val="006A120E"/>
    <w:rsid w:val="006A1A62"/>
    <w:rsid w:val="006A1FCF"/>
    <w:rsid w:val="006A2962"/>
    <w:rsid w:val="006A3476"/>
    <w:rsid w:val="006A3546"/>
    <w:rsid w:val="006A3B54"/>
    <w:rsid w:val="006A3DA4"/>
    <w:rsid w:val="006A510C"/>
    <w:rsid w:val="006A5269"/>
    <w:rsid w:val="006A5289"/>
    <w:rsid w:val="006A59EE"/>
    <w:rsid w:val="006A60D9"/>
    <w:rsid w:val="006A685B"/>
    <w:rsid w:val="006A774B"/>
    <w:rsid w:val="006A7D01"/>
    <w:rsid w:val="006A7DF5"/>
    <w:rsid w:val="006B1C1E"/>
    <w:rsid w:val="006B2488"/>
    <w:rsid w:val="006B3019"/>
    <w:rsid w:val="006B310F"/>
    <w:rsid w:val="006B3B4E"/>
    <w:rsid w:val="006B3E38"/>
    <w:rsid w:val="006B45C3"/>
    <w:rsid w:val="006B47D8"/>
    <w:rsid w:val="006B568D"/>
    <w:rsid w:val="006B5BEC"/>
    <w:rsid w:val="006B602B"/>
    <w:rsid w:val="006B7112"/>
    <w:rsid w:val="006B74AA"/>
    <w:rsid w:val="006B7819"/>
    <w:rsid w:val="006C05F0"/>
    <w:rsid w:val="006C0C1C"/>
    <w:rsid w:val="006C1F46"/>
    <w:rsid w:val="006C2DEE"/>
    <w:rsid w:val="006C362B"/>
    <w:rsid w:val="006C3C88"/>
    <w:rsid w:val="006C40C0"/>
    <w:rsid w:val="006C4ADB"/>
    <w:rsid w:val="006C4F4D"/>
    <w:rsid w:val="006C5E1B"/>
    <w:rsid w:val="006C7C26"/>
    <w:rsid w:val="006D065A"/>
    <w:rsid w:val="006D0F35"/>
    <w:rsid w:val="006D1447"/>
    <w:rsid w:val="006D1ABC"/>
    <w:rsid w:val="006D2A34"/>
    <w:rsid w:val="006D2D89"/>
    <w:rsid w:val="006D2FBF"/>
    <w:rsid w:val="006D45C9"/>
    <w:rsid w:val="006D7047"/>
    <w:rsid w:val="006D7C15"/>
    <w:rsid w:val="006E06F2"/>
    <w:rsid w:val="006E129F"/>
    <w:rsid w:val="006E17E2"/>
    <w:rsid w:val="006E196F"/>
    <w:rsid w:val="006E19EB"/>
    <w:rsid w:val="006E2C55"/>
    <w:rsid w:val="006E3BD4"/>
    <w:rsid w:val="006E5572"/>
    <w:rsid w:val="006E57E1"/>
    <w:rsid w:val="006E5E7B"/>
    <w:rsid w:val="006E5E97"/>
    <w:rsid w:val="006E664C"/>
    <w:rsid w:val="006E7222"/>
    <w:rsid w:val="006E75A1"/>
    <w:rsid w:val="006F0588"/>
    <w:rsid w:val="006F292C"/>
    <w:rsid w:val="006F292D"/>
    <w:rsid w:val="006F2CB8"/>
    <w:rsid w:val="006F2D50"/>
    <w:rsid w:val="006F2F33"/>
    <w:rsid w:val="006F3968"/>
    <w:rsid w:val="006F3D9C"/>
    <w:rsid w:val="006F444B"/>
    <w:rsid w:val="006F46A1"/>
    <w:rsid w:val="006F4C5E"/>
    <w:rsid w:val="006F5254"/>
    <w:rsid w:val="006F5591"/>
    <w:rsid w:val="006F664B"/>
    <w:rsid w:val="006F6788"/>
    <w:rsid w:val="006F6D05"/>
    <w:rsid w:val="006F78EE"/>
    <w:rsid w:val="00700BD1"/>
    <w:rsid w:val="00701237"/>
    <w:rsid w:val="00704BDC"/>
    <w:rsid w:val="00705F5E"/>
    <w:rsid w:val="007072D7"/>
    <w:rsid w:val="00707F76"/>
    <w:rsid w:val="0071031C"/>
    <w:rsid w:val="00710923"/>
    <w:rsid w:val="007120E1"/>
    <w:rsid w:val="00712183"/>
    <w:rsid w:val="007147F2"/>
    <w:rsid w:val="00714E0C"/>
    <w:rsid w:val="00715BBA"/>
    <w:rsid w:val="00715F30"/>
    <w:rsid w:val="00715F93"/>
    <w:rsid w:val="00716199"/>
    <w:rsid w:val="0071724D"/>
    <w:rsid w:val="007176D3"/>
    <w:rsid w:val="00717861"/>
    <w:rsid w:val="007178A6"/>
    <w:rsid w:val="00717FEE"/>
    <w:rsid w:val="00720862"/>
    <w:rsid w:val="00721CE7"/>
    <w:rsid w:val="00721E8C"/>
    <w:rsid w:val="00722A8A"/>
    <w:rsid w:val="00723CCA"/>
    <w:rsid w:val="007246BB"/>
    <w:rsid w:val="0072490E"/>
    <w:rsid w:val="00724FC8"/>
    <w:rsid w:val="00727171"/>
    <w:rsid w:val="007272C3"/>
    <w:rsid w:val="00727C64"/>
    <w:rsid w:val="007302DF"/>
    <w:rsid w:val="00730A2B"/>
    <w:rsid w:val="00730F96"/>
    <w:rsid w:val="00731640"/>
    <w:rsid w:val="00731678"/>
    <w:rsid w:val="00733318"/>
    <w:rsid w:val="00733341"/>
    <w:rsid w:val="00733E26"/>
    <w:rsid w:val="00734A4E"/>
    <w:rsid w:val="00735909"/>
    <w:rsid w:val="0073643B"/>
    <w:rsid w:val="0073661B"/>
    <w:rsid w:val="00736C2A"/>
    <w:rsid w:val="00736C54"/>
    <w:rsid w:val="00740FD8"/>
    <w:rsid w:val="007417C1"/>
    <w:rsid w:val="00741871"/>
    <w:rsid w:val="00742572"/>
    <w:rsid w:val="00743D40"/>
    <w:rsid w:val="0074473D"/>
    <w:rsid w:val="00744B0F"/>
    <w:rsid w:val="0074789D"/>
    <w:rsid w:val="00747AE6"/>
    <w:rsid w:val="00750B65"/>
    <w:rsid w:val="00750F7D"/>
    <w:rsid w:val="007539B7"/>
    <w:rsid w:val="0075414B"/>
    <w:rsid w:val="00754F23"/>
    <w:rsid w:val="00754F56"/>
    <w:rsid w:val="0075503E"/>
    <w:rsid w:val="0075576C"/>
    <w:rsid w:val="0075583A"/>
    <w:rsid w:val="00755B5B"/>
    <w:rsid w:val="00755B81"/>
    <w:rsid w:val="00755C8F"/>
    <w:rsid w:val="007567EE"/>
    <w:rsid w:val="00756E1C"/>
    <w:rsid w:val="0075726D"/>
    <w:rsid w:val="0075726F"/>
    <w:rsid w:val="00761505"/>
    <w:rsid w:val="00762674"/>
    <w:rsid w:val="0076332E"/>
    <w:rsid w:val="0076351E"/>
    <w:rsid w:val="00763CFC"/>
    <w:rsid w:val="00763D4D"/>
    <w:rsid w:val="007652D9"/>
    <w:rsid w:val="0076535E"/>
    <w:rsid w:val="007659C5"/>
    <w:rsid w:val="0076603C"/>
    <w:rsid w:val="007663CB"/>
    <w:rsid w:val="00767044"/>
    <w:rsid w:val="00767139"/>
    <w:rsid w:val="00767250"/>
    <w:rsid w:val="0076737C"/>
    <w:rsid w:val="0077056B"/>
    <w:rsid w:val="00770F75"/>
    <w:rsid w:val="007722E5"/>
    <w:rsid w:val="007723F0"/>
    <w:rsid w:val="0077240A"/>
    <w:rsid w:val="00773324"/>
    <w:rsid w:val="00773DC3"/>
    <w:rsid w:val="007746E8"/>
    <w:rsid w:val="00774CBF"/>
    <w:rsid w:val="00774EDD"/>
    <w:rsid w:val="00775D18"/>
    <w:rsid w:val="007761A4"/>
    <w:rsid w:val="0077675F"/>
    <w:rsid w:val="007768F5"/>
    <w:rsid w:val="00776A7B"/>
    <w:rsid w:val="00777A0C"/>
    <w:rsid w:val="00780559"/>
    <w:rsid w:val="0078077F"/>
    <w:rsid w:val="00780D07"/>
    <w:rsid w:val="00781CF0"/>
    <w:rsid w:val="0078204D"/>
    <w:rsid w:val="00782313"/>
    <w:rsid w:val="0078340B"/>
    <w:rsid w:val="007838DF"/>
    <w:rsid w:val="00783F2C"/>
    <w:rsid w:val="007845FD"/>
    <w:rsid w:val="00784658"/>
    <w:rsid w:val="007850E5"/>
    <w:rsid w:val="0078518C"/>
    <w:rsid w:val="0078593A"/>
    <w:rsid w:val="00785BFD"/>
    <w:rsid w:val="00790028"/>
    <w:rsid w:val="007909BD"/>
    <w:rsid w:val="00791437"/>
    <w:rsid w:val="0079158D"/>
    <w:rsid w:val="00791C3B"/>
    <w:rsid w:val="00791CF5"/>
    <w:rsid w:val="007938C1"/>
    <w:rsid w:val="00794797"/>
    <w:rsid w:val="00796227"/>
    <w:rsid w:val="00796EA7"/>
    <w:rsid w:val="007974EB"/>
    <w:rsid w:val="007A06A6"/>
    <w:rsid w:val="007A1FC5"/>
    <w:rsid w:val="007A210A"/>
    <w:rsid w:val="007A3406"/>
    <w:rsid w:val="007A3426"/>
    <w:rsid w:val="007A3456"/>
    <w:rsid w:val="007A41C6"/>
    <w:rsid w:val="007A4A67"/>
    <w:rsid w:val="007A54EE"/>
    <w:rsid w:val="007A5530"/>
    <w:rsid w:val="007A6F0F"/>
    <w:rsid w:val="007A71F9"/>
    <w:rsid w:val="007A72E9"/>
    <w:rsid w:val="007A73B1"/>
    <w:rsid w:val="007A7F37"/>
    <w:rsid w:val="007B0783"/>
    <w:rsid w:val="007B07D3"/>
    <w:rsid w:val="007B0B07"/>
    <w:rsid w:val="007B4BCD"/>
    <w:rsid w:val="007B5109"/>
    <w:rsid w:val="007B52B7"/>
    <w:rsid w:val="007B5C4F"/>
    <w:rsid w:val="007B6F4A"/>
    <w:rsid w:val="007B6F98"/>
    <w:rsid w:val="007B7236"/>
    <w:rsid w:val="007B7D0A"/>
    <w:rsid w:val="007C0263"/>
    <w:rsid w:val="007C0921"/>
    <w:rsid w:val="007C09B9"/>
    <w:rsid w:val="007C1293"/>
    <w:rsid w:val="007C238F"/>
    <w:rsid w:val="007C2708"/>
    <w:rsid w:val="007C2E8E"/>
    <w:rsid w:val="007C3AB9"/>
    <w:rsid w:val="007C405A"/>
    <w:rsid w:val="007C410F"/>
    <w:rsid w:val="007C4491"/>
    <w:rsid w:val="007C498C"/>
    <w:rsid w:val="007C4997"/>
    <w:rsid w:val="007C54A6"/>
    <w:rsid w:val="007C6AA9"/>
    <w:rsid w:val="007C7B9A"/>
    <w:rsid w:val="007D0AAE"/>
    <w:rsid w:val="007D10D7"/>
    <w:rsid w:val="007D146B"/>
    <w:rsid w:val="007D20EC"/>
    <w:rsid w:val="007D45B0"/>
    <w:rsid w:val="007D4EE2"/>
    <w:rsid w:val="007D53CA"/>
    <w:rsid w:val="007D5BAA"/>
    <w:rsid w:val="007D6BB3"/>
    <w:rsid w:val="007E095F"/>
    <w:rsid w:val="007E25DA"/>
    <w:rsid w:val="007E3BCA"/>
    <w:rsid w:val="007E3C66"/>
    <w:rsid w:val="007E48EA"/>
    <w:rsid w:val="007E4E50"/>
    <w:rsid w:val="007E584B"/>
    <w:rsid w:val="007E5928"/>
    <w:rsid w:val="007E6031"/>
    <w:rsid w:val="007E67CF"/>
    <w:rsid w:val="007E7A7D"/>
    <w:rsid w:val="007F027A"/>
    <w:rsid w:val="007F0A1D"/>
    <w:rsid w:val="007F0EA3"/>
    <w:rsid w:val="007F1E0B"/>
    <w:rsid w:val="007F396B"/>
    <w:rsid w:val="007F45BD"/>
    <w:rsid w:val="007F4C24"/>
    <w:rsid w:val="007F4E19"/>
    <w:rsid w:val="007F508A"/>
    <w:rsid w:val="007F546F"/>
    <w:rsid w:val="007F5484"/>
    <w:rsid w:val="007F77A1"/>
    <w:rsid w:val="00800CA1"/>
    <w:rsid w:val="008011CD"/>
    <w:rsid w:val="00801857"/>
    <w:rsid w:val="00802352"/>
    <w:rsid w:val="008025EA"/>
    <w:rsid w:val="00803020"/>
    <w:rsid w:val="00803C55"/>
    <w:rsid w:val="00803D74"/>
    <w:rsid w:val="00804319"/>
    <w:rsid w:val="00805664"/>
    <w:rsid w:val="0080579F"/>
    <w:rsid w:val="008061A0"/>
    <w:rsid w:val="00806291"/>
    <w:rsid w:val="00807243"/>
    <w:rsid w:val="0081037E"/>
    <w:rsid w:val="00810605"/>
    <w:rsid w:val="00810AD5"/>
    <w:rsid w:val="00810D8A"/>
    <w:rsid w:val="00811135"/>
    <w:rsid w:val="0081118C"/>
    <w:rsid w:val="008121D7"/>
    <w:rsid w:val="008122E3"/>
    <w:rsid w:val="00812A9C"/>
    <w:rsid w:val="00812C2F"/>
    <w:rsid w:val="00812D27"/>
    <w:rsid w:val="00813755"/>
    <w:rsid w:val="008148FD"/>
    <w:rsid w:val="00814A20"/>
    <w:rsid w:val="00814D90"/>
    <w:rsid w:val="00816646"/>
    <w:rsid w:val="0081695A"/>
    <w:rsid w:val="00820786"/>
    <w:rsid w:val="00820F37"/>
    <w:rsid w:val="0082233D"/>
    <w:rsid w:val="00822B5E"/>
    <w:rsid w:val="0082332B"/>
    <w:rsid w:val="008248C8"/>
    <w:rsid w:val="00825483"/>
    <w:rsid w:val="00826943"/>
    <w:rsid w:val="0083050D"/>
    <w:rsid w:val="00831044"/>
    <w:rsid w:val="008310BA"/>
    <w:rsid w:val="00831D06"/>
    <w:rsid w:val="00831F4B"/>
    <w:rsid w:val="0083265C"/>
    <w:rsid w:val="00833B6A"/>
    <w:rsid w:val="00835603"/>
    <w:rsid w:val="008358A2"/>
    <w:rsid w:val="00836229"/>
    <w:rsid w:val="0083633A"/>
    <w:rsid w:val="00837053"/>
    <w:rsid w:val="00837BAA"/>
    <w:rsid w:val="00837BE3"/>
    <w:rsid w:val="008424F1"/>
    <w:rsid w:val="008425D0"/>
    <w:rsid w:val="0084270E"/>
    <w:rsid w:val="0084429D"/>
    <w:rsid w:val="00844B37"/>
    <w:rsid w:val="00845AD7"/>
    <w:rsid w:val="00845FF3"/>
    <w:rsid w:val="00847BD1"/>
    <w:rsid w:val="00850C22"/>
    <w:rsid w:val="008512E1"/>
    <w:rsid w:val="00851A34"/>
    <w:rsid w:val="00852ACE"/>
    <w:rsid w:val="00852FB4"/>
    <w:rsid w:val="0085324E"/>
    <w:rsid w:val="008541F9"/>
    <w:rsid w:val="00855027"/>
    <w:rsid w:val="0085575D"/>
    <w:rsid w:val="00856300"/>
    <w:rsid w:val="00856512"/>
    <w:rsid w:val="00856767"/>
    <w:rsid w:val="008567AB"/>
    <w:rsid w:val="008569DC"/>
    <w:rsid w:val="00857886"/>
    <w:rsid w:val="0085792B"/>
    <w:rsid w:val="0086183E"/>
    <w:rsid w:val="00861C6A"/>
    <w:rsid w:val="008628A1"/>
    <w:rsid w:val="00862936"/>
    <w:rsid w:val="00863EEF"/>
    <w:rsid w:val="00863FE1"/>
    <w:rsid w:val="008651D6"/>
    <w:rsid w:val="00865E08"/>
    <w:rsid w:val="0086624D"/>
    <w:rsid w:val="0086680A"/>
    <w:rsid w:val="00867236"/>
    <w:rsid w:val="00867FC1"/>
    <w:rsid w:val="00871779"/>
    <w:rsid w:val="00871B52"/>
    <w:rsid w:val="00872A00"/>
    <w:rsid w:val="00873924"/>
    <w:rsid w:val="008740CE"/>
    <w:rsid w:val="0087571F"/>
    <w:rsid w:val="00875E6D"/>
    <w:rsid w:val="008779DA"/>
    <w:rsid w:val="0088008D"/>
    <w:rsid w:val="00880CA0"/>
    <w:rsid w:val="00881CD0"/>
    <w:rsid w:val="00882B18"/>
    <w:rsid w:val="00883221"/>
    <w:rsid w:val="00884BBC"/>
    <w:rsid w:val="00884E11"/>
    <w:rsid w:val="008903CD"/>
    <w:rsid w:val="00891012"/>
    <w:rsid w:val="008918DE"/>
    <w:rsid w:val="00891B52"/>
    <w:rsid w:val="00891E93"/>
    <w:rsid w:val="00892209"/>
    <w:rsid w:val="008924D5"/>
    <w:rsid w:val="008925CF"/>
    <w:rsid w:val="008930B2"/>
    <w:rsid w:val="00893649"/>
    <w:rsid w:val="00894912"/>
    <w:rsid w:val="00897E2F"/>
    <w:rsid w:val="00897F7E"/>
    <w:rsid w:val="008A04F3"/>
    <w:rsid w:val="008A0E64"/>
    <w:rsid w:val="008A135A"/>
    <w:rsid w:val="008A1971"/>
    <w:rsid w:val="008A19C9"/>
    <w:rsid w:val="008A2337"/>
    <w:rsid w:val="008A2566"/>
    <w:rsid w:val="008A271E"/>
    <w:rsid w:val="008A2FBA"/>
    <w:rsid w:val="008A3D0E"/>
    <w:rsid w:val="008A5AF7"/>
    <w:rsid w:val="008A7277"/>
    <w:rsid w:val="008B021D"/>
    <w:rsid w:val="008B0A5B"/>
    <w:rsid w:val="008B0BFA"/>
    <w:rsid w:val="008B19CF"/>
    <w:rsid w:val="008B19E4"/>
    <w:rsid w:val="008B27FD"/>
    <w:rsid w:val="008B2FE0"/>
    <w:rsid w:val="008B4068"/>
    <w:rsid w:val="008B4100"/>
    <w:rsid w:val="008B41DF"/>
    <w:rsid w:val="008B72DC"/>
    <w:rsid w:val="008B77B6"/>
    <w:rsid w:val="008B7A80"/>
    <w:rsid w:val="008B7AEC"/>
    <w:rsid w:val="008C04BE"/>
    <w:rsid w:val="008C0768"/>
    <w:rsid w:val="008C08B1"/>
    <w:rsid w:val="008C0C95"/>
    <w:rsid w:val="008C0DF8"/>
    <w:rsid w:val="008C0F8F"/>
    <w:rsid w:val="008C1FE0"/>
    <w:rsid w:val="008C2152"/>
    <w:rsid w:val="008C3E9C"/>
    <w:rsid w:val="008C430E"/>
    <w:rsid w:val="008C5850"/>
    <w:rsid w:val="008C6A5E"/>
    <w:rsid w:val="008C6F05"/>
    <w:rsid w:val="008C7F1C"/>
    <w:rsid w:val="008D2DBA"/>
    <w:rsid w:val="008D2FB0"/>
    <w:rsid w:val="008D4AF4"/>
    <w:rsid w:val="008D4AFE"/>
    <w:rsid w:val="008D4E3B"/>
    <w:rsid w:val="008D4F3C"/>
    <w:rsid w:val="008D5E43"/>
    <w:rsid w:val="008D6531"/>
    <w:rsid w:val="008D6653"/>
    <w:rsid w:val="008D6789"/>
    <w:rsid w:val="008D7F85"/>
    <w:rsid w:val="008E019C"/>
    <w:rsid w:val="008E0BD7"/>
    <w:rsid w:val="008E1490"/>
    <w:rsid w:val="008E1AEC"/>
    <w:rsid w:val="008E2C9E"/>
    <w:rsid w:val="008E3673"/>
    <w:rsid w:val="008E3E2D"/>
    <w:rsid w:val="008E4AAC"/>
    <w:rsid w:val="008E4B30"/>
    <w:rsid w:val="008E5B48"/>
    <w:rsid w:val="008E620D"/>
    <w:rsid w:val="008E6549"/>
    <w:rsid w:val="008E70CE"/>
    <w:rsid w:val="008E72DA"/>
    <w:rsid w:val="008E7F28"/>
    <w:rsid w:val="008F0EBA"/>
    <w:rsid w:val="008F2C46"/>
    <w:rsid w:val="008F2E63"/>
    <w:rsid w:val="008F34BA"/>
    <w:rsid w:val="008F4487"/>
    <w:rsid w:val="008F4A44"/>
    <w:rsid w:val="008F6621"/>
    <w:rsid w:val="008F6DF1"/>
    <w:rsid w:val="008F70A8"/>
    <w:rsid w:val="008F7B70"/>
    <w:rsid w:val="008F7FF9"/>
    <w:rsid w:val="009002E1"/>
    <w:rsid w:val="00901AF8"/>
    <w:rsid w:val="00902843"/>
    <w:rsid w:val="00902B63"/>
    <w:rsid w:val="00903335"/>
    <w:rsid w:val="00903AC5"/>
    <w:rsid w:val="0090540F"/>
    <w:rsid w:val="00906586"/>
    <w:rsid w:val="009068E2"/>
    <w:rsid w:val="00906948"/>
    <w:rsid w:val="009076EE"/>
    <w:rsid w:val="0090773B"/>
    <w:rsid w:val="00907743"/>
    <w:rsid w:val="0091053E"/>
    <w:rsid w:val="00911638"/>
    <w:rsid w:val="0091253E"/>
    <w:rsid w:val="00914CC9"/>
    <w:rsid w:val="009150B2"/>
    <w:rsid w:val="009150BA"/>
    <w:rsid w:val="0091639F"/>
    <w:rsid w:val="009167C9"/>
    <w:rsid w:val="00917410"/>
    <w:rsid w:val="00917DF3"/>
    <w:rsid w:val="00923AE1"/>
    <w:rsid w:val="0092485B"/>
    <w:rsid w:val="00924BA0"/>
    <w:rsid w:val="0092509B"/>
    <w:rsid w:val="00926148"/>
    <w:rsid w:val="00926DFD"/>
    <w:rsid w:val="00927057"/>
    <w:rsid w:val="00927E26"/>
    <w:rsid w:val="00930024"/>
    <w:rsid w:val="0093273F"/>
    <w:rsid w:val="009340E3"/>
    <w:rsid w:val="00934108"/>
    <w:rsid w:val="009343A6"/>
    <w:rsid w:val="00934D97"/>
    <w:rsid w:val="009363EA"/>
    <w:rsid w:val="00940831"/>
    <w:rsid w:val="00941170"/>
    <w:rsid w:val="009419B3"/>
    <w:rsid w:val="00942E26"/>
    <w:rsid w:val="00944509"/>
    <w:rsid w:val="009445AA"/>
    <w:rsid w:val="009448EF"/>
    <w:rsid w:val="009449CA"/>
    <w:rsid w:val="00945F4E"/>
    <w:rsid w:val="00946CA0"/>
    <w:rsid w:val="009472BF"/>
    <w:rsid w:val="00947B54"/>
    <w:rsid w:val="009501F0"/>
    <w:rsid w:val="009510FE"/>
    <w:rsid w:val="0095158F"/>
    <w:rsid w:val="00951C62"/>
    <w:rsid w:val="00952365"/>
    <w:rsid w:val="009528EA"/>
    <w:rsid w:val="00953551"/>
    <w:rsid w:val="00955051"/>
    <w:rsid w:val="009556B5"/>
    <w:rsid w:val="009556DD"/>
    <w:rsid w:val="00956804"/>
    <w:rsid w:val="009569CC"/>
    <w:rsid w:val="009604C4"/>
    <w:rsid w:val="00960E47"/>
    <w:rsid w:val="00961EB8"/>
    <w:rsid w:val="009627E3"/>
    <w:rsid w:val="00962E5B"/>
    <w:rsid w:val="009637C1"/>
    <w:rsid w:val="00963E9E"/>
    <w:rsid w:val="009640AC"/>
    <w:rsid w:val="00964D57"/>
    <w:rsid w:val="0096522B"/>
    <w:rsid w:val="009670CA"/>
    <w:rsid w:val="00967AA4"/>
    <w:rsid w:val="00970B6D"/>
    <w:rsid w:val="00973BA8"/>
    <w:rsid w:val="00974057"/>
    <w:rsid w:val="00974122"/>
    <w:rsid w:val="00974852"/>
    <w:rsid w:val="0097491D"/>
    <w:rsid w:val="0097503B"/>
    <w:rsid w:val="0097516B"/>
    <w:rsid w:val="00976280"/>
    <w:rsid w:val="009769CA"/>
    <w:rsid w:val="00977E74"/>
    <w:rsid w:val="00980094"/>
    <w:rsid w:val="009808F1"/>
    <w:rsid w:val="009809AC"/>
    <w:rsid w:val="0098168D"/>
    <w:rsid w:val="00981DB2"/>
    <w:rsid w:val="0098388D"/>
    <w:rsid w:val="00985335"/>
    <w:rsid w:val="0098535E"/>
    <w:rsid w:val="00985502"/>
    <w:rsid w:val="00985AF7"/>
    <w:rsid w:val="00985D96"/>
    <w:rsid w:val="009864D3"/>
    <w:rsid w:val="00991A3C"/>
    <w:rsid w:val="009933D4"/>
    <w:rsid w:val="00993D92"/>
    <w:rsid w:val="0099421C"/>
    <w:rsid w:val="009947AD"/>
    <w:rsid w:val="0099533E"/>
    <w:rsid w:val="0099640F"/>
    <w:rsid w:val="00996C8C"/>
    <w:rsid w:val="0099716E"/>
    <w:rsid w:val="00997346"/>
    <w:rsid w:val="009A0294"/>
    <w:rsid w:val="009A0E21"/>
    <w:rsid w:val="009A17F9"/>
    <w:rsid w:val="009A1C3B"/>
    <w:rsid w:val="009A2780"/>
    <w:rsid w:val="009A353E"/>
    <w:rsid w:val="009A3DAA"/>
    <w:rsid w:val="009A50DC"/>
    <w:rsid w:val="009A67A9"/>
    <w:rsid w:val="009A69B8"/>
    <w:rsid w:val="009B187C"/>
    <w:rsid w:val="009B1AB0"/>
    <w:rsid w:val="009B2AE5"/>
    <w:rsid w:val="009B2FE2"/>
    <w:rsid w:val="009B4484"/>
    <w:rsid w:val="009B4FEA"/>
    <w:rsid w:val="009B538B"/>
    <w:rsid w:val="009B5ADC"/>
    <w:rsid w:val="009B5EBD"/>
    <w:rsid w:val="009B6259"/>
    <w:rsid w:val="009B68E1"/>
    <w:rsid w:val="009B6E64"/>
    <w:rsid w:val="009B70AC"/>
    <w:rsid w:val="009B71A1"/>
    <w:rsid w:val="009B735A"/>
    <w:rsid w:val="009C06EC"/>
    <w:rsid w:val="009C1188"/>
    <w:rsid w:val="009C290E"/>
    <w:rsid w:val="009C2DB4"/>
    <w:rsid w:val="009C30DE"/>
    <w:rsid w:val="009C3954"/>
    <w:rsid w:val="009C3B84"/>
    <w:rsid w:val="009C534E"/>
    <w:rsid w:val="009C5B93"/>
    <w:rsid w:val="009C6838"/>
    <w:rsid w:val="009C763D"/>
    <w:rsid w:val="009C772B"/>
    <w:rsid w:val="009D13BF"/>
    <w:rsid w:val="009D14C2"/>
    <w:rsid w:val="009D1AAC"/>
    <w:rsid w:val="009D1CC2"/>
    <w:rsid w:val="009D2555"/>
    <w:rsid w:val="009D3A00"/>
    <w:rsid w:val="009D3B82"/>
    <w:rsid w:val="009D4A87"/>
    <w:rsid w:val="009D5065"/>
    <w:rsid w:val="009D628F"/>
    <w:rsid w:val="009D64D4"/>
    <w:rsid w:val="009D6ECC"/>
    <w:rsid w:val="009D7556"/>
    <w:rsid w:val="009D772F"/>
    <w:rsid w:val="009D7879"/>
    <w:rsid w:val="009D7E3F"/>
    <w:rsid w:val="009E0985"/>
    <w:rsid w:val="009E0C0E"/>
    <w:rsid w:val="009E1887"/>
    <w:rsid w:val="009E188E"/>
    <w:rsid w:val="009E1C12"/>
    <w:rsid w:val="009E2048"/>
    <w:rsid w:val="009E2219"/>
    <w:rsid w:val="009E236F"/>
    <w:rsid w:val="009E267B"/>
    <w:rsid w:val="009E2E9A"/>
    <w:rsid w:val="009E2EEA"/>
    <w:rsid w:val="009E2F0E"/>
    <w:rsid w:val="009E4EAE"/>
    <w:rsid w:val="009E5435"/>
    <w:rsid w:val="009E5B8C"/>
    <w:rsid w:val="009E63EA"/>
    <w:rsid w:val="009E6588"/>
    <w:rsid w:val="009E6A09"/>
    <w:rsid w:val="009E6A7B"/>
    <w:rsid w:val="009E6EA3"/>
    <w:rsid w:val="009E795A"/>
    <w:rsid w:val="009F0190"/>
    <w:rsid w:val="009F0338"/>
    <w:rsid w:val="009F139F"/>
    <w:rsid w:val="009F18AE"/>
    <w:rsid w:val="009F1D37"/>
    <w:rsid w:val="009F238F"/>
    <w:rsid w:val="009F2D0E"/>
    <w:rsid w:val="009F34A8"/>
    <w:rsid w:val="009F3EEB"/>
    <w:rsid w:val="009F4FA0"/>
    <w:rsid w:val="009F63C1"/>
    <w:rsid w:val="009F7376"/>
    <w:rsid w:val="009F7AEC"/>
    <w:rsid w:val="009F7C67"/>
    <w:rsid w:val="00A0239C"/>
    <w:rsid w:val="00A02A7A"/>
    <w:rsid w:val="00A02D77"/>
    <w:rsid w:val="00A03B09"/>
    <w:rsid w:val="00A03D97"/>
    <w:rsid w:val="00A04EEE"/>
    <w:rsid w:val="00A05199"/>
    <w:rsid w:val="00A05725"/>
    <w:rsid w:val="00A05F7E"/>
    <w:rsid w:val="00A073E4"/>
    <w:rsid w:val="00A07B2D"/>
    <w:rsid w:val="00A102B6"/>
    <w:rsid w:val="00A1035B"/>
    <w:rsid w:val="00A1035C"/>
    <w:rsid w:val="00A1133E"/>
    <w:rsid w:val="00A12741"/>
    <w:rsid w:val="00A158DE"/>
    <w:rsid w:val="00A1689D"/>
    <w:rsid w:val="00A16C11"/>
    <w:rsid w:val="00A17346"/>
    <w:rsid w:val="00A17D1D"/>
    <w:rsid w:val="00A20839"/>
    <w:rsid w:val="00A20A59"/>
    <w:rsid w:val="00A20C3D"/>
    <w:rsid w:val="00A20D8A"/>
    <w:rsid w:val="00A20F5B"/>
    <w:rsid w:val="00A21E62"/>
    <w:rsid w:val="00A22202"/>
    <w:rsid w:val="00A230A1"/>
    <w:rsid w:val="00A2325E"/>
    <w:rsid w:val="00A23766"/>
    <w:rsid w:val="00A249DB"/>
    <w:rsid w:val="00A24CDF"/>
    <w:rsid w:val="00A24ED3"/>
    <w:rsid w:val="00A25177"/>
    <w:rsid w:val="00A25B9F"/>
    <w:rsid w:val="00A26074"/>
    <w:rsid w:val="00A27BAA"/>
    <w:rsid w:val="00A30017"/>
    <w:rsid w:val="00A30E71"/>
    <w:rsid w:val="00A3268F"/>
    <w:rsid w:val="00A328CD"/>
    <w:rsid w:val="00A32C2F"/>
    <w:rsid w:val="00A33362"/>
    <w:rsid w:val="00A339E0"/>
    <w:rsid w:val="00A33F25"/>
    <w:rsid w:val="00A34097"/>
    <w:rsid w:val="00A3419E"/>
    <w:rsid w:val="00A3470B"/>
    <w:rsid w:val="00A34ABF"/>
    <w:rsid w:val="00A34E6E"/>
    <w:rsid w:val="00A35006"/>
    <w:rsid w:val="00A35AFC"/>
    <w:rsid w:val="00A35C16"/>
    <w:rsid w:val="00A361A4"/>
    <w:rsid w:val="00A362F4"/>
    <w:rsid w:val="00A36AD1"/>
    <w:rsid w:val="00A37425"/>
    <w:rsid w:val="00A37C66"/>
    <w:rsid w:val="00A37D9C"/>
    <w:rsid w:val="00A40021"/>
    <w:rsid w:val="00A40241"/>
    <w:rsid w:val="00A4039D"/>
    <w:rsid w:val="00A415AC"/>
    <w:rsid w:val="00A428A7"/>
    <w:rsid w:val="00A42B5C"/>
    <w:rsid w:val="00A43F4F"/>
    <w:rsid w:val="00A44597"/>
    <w:rsid w:val="00A445F8"/>
    <w:rsid w:val="00A4525C"/>
    <w:rsid w:val="00A453C1"/>
    <w:rsid w:val="00A4672B"/>
    <w:rsid w:val="00A47244"/>
    <w:rsid w:val="00A50465"/>
    <w:rsid w:val="00A50D97"/>
    <w:rsid w:val="00A51651"/>
    <w:rsid w:val="00A52142"/>
    <w:rsid w:val="00A522D1"/>
    <w:rsid w:val="00A531BE"/>
    <w:rsid w:val="00A53EA5"/>
    <w:rsid w:val="00A541C3"/>
    <w:rsid w:val="00A5481F"/>
    <w:rsid w:val="00A5491F"/>
    <w:rsid w:val="00A54B44"/>
    <w:rsid w:val="00A54BE1"/>
    <w:rsid w:val="00A55901"/>
    <w:rsid w:val="00A55A76"/>
    <w:rsid w:val="00A56001"/>
    <w:rsid w:val="00A56DE4"/>
    <w:rsid w:val="00A57D7D"/>
    <w:rsid w:val="00A57E09"/>
    <w:rsid w:val="00A60247"/>
    <w:rsid w:val="00A605A8"/>
    <w:rsid w:val="00A60936"/>
    <w:rsid w:val="00A60EC6"/>
    <w:rsid w:val="00A61312"/>
    <w:rsid w:val="00A61C7F"/>
    <w:rsid w:val="00A62535"/>
    <w:rsid w:val="00A62B3A"/>
    <w:rsid w:val="00A62C12"/>
    <w:rsid w:val="00A62E7D"/>
    <w:rsid w:val="00A6343D"/>
    <w:rsid w:val="00A6463A"/>
    <w:rsid w:val="00A6477F"/>
    <w:rsid w:val="00A649F4"/>
    <w:rsid w:val="00A65981"/>
    <w:rsid w:val="00A65CB3"/>
    <w:rsid w:val="00A66DFD"/>
    <w:rsid w:val="00A66E0D"/>
    <w:rsid w:val="00A67239"/>
    <w:rsid w:val="00A677B6"/>
    <w:rsid w:val="00A67982"/>
    <w:rsid w:val="00A700F5"/>
    <w:rsid w:val="00A7067F"/>
    <w:rsid w:val="00A71019"/>
    <w:rsid w:val="00A71380"/>
    <w:rsid w:val="00A71C1D"/>
    <w:rsid w:val="00A72033"/>
    <w:rsid w:val="00A7243D"/>
    <w:rsid w:val="00A734E5"/>
    <w:rsid w:val="00A746B2"/>
    <w:rsid w:val="00A74AC4"/>
    <w:rsid w:val="00A75175"/>
    <w:rsid w:val="00A77380"/>
    <w:rsid w:val="00A77DAE"/>
    <w:rsid w:val="00A803EC"/>
    <w:rsid w:val="00A80437"/>
    <w:rsid w:val="00A80E20"/>
    <w:rsid w:val="00A8448E"/>
    <w:rsid w:val="00A84B89"/>
    <w:rsid w:val="00A85F50"/>
    <w:rsid w:val="00A86A9E"/>
    <w:rsid w:val="00A87709"/>
    <w:rsid w:val="00A87EE7"/>
    <w:rsid w:val="00A9137F"/>
    <w:rsid w:val="00A91C31"/>
    <w:rsid w:val="00A91D23"/>
    <w:rsid w:val="00A930F0"/>
    <w:rsid w:val="00A93398"/>
    <w:rsid w:val="00A937BF"/>
    <w:rsid w:val="00A93A76"/>
    <w:rsid w:val="00A94562"/>
    <w:rsid w:val="00A948C1"/>
    <w:rsid w:val="00A970E6"/>
    <w:rsid w:val="00A971A2"/>
    <w:rsid w:val="00A9791A"/>
    <w:rsid w:val="00AA0259"/>
    <w:rsid w:val="00AA08F6"/>
    <w:rsid w:val="00AA11E0"/>
    <w:rsid w:val="00AA1472"/>
    <w:rsid w:val="00AA180D"/>
    <w:rsid w:val="00AA19C5"/>
    <w:rsid w:val="00AA2429"/>
    <w:rsid w:val="00AA2980"/>
    <w:rsid w:val="00AA2D77"/>
    <w:rsid w:val="00AA3110"/>
    <w:rsid w:val="00AA3859"/>
    <w:rsid w:val="00AA3FE0"/>
    <w:rsid w:val="00AA4D5B"/>
    <w:rsid w:val="00AA5DF6"/>
    <w:rsid w:val="00AA7B76"/>
    <w:rsid w:val="00AB0C7D"/>
    <w:rsid w:val="00AB2795"/>
    <w:rsid w:val="00AB2CB0"/>
    <w:rsid w:val="00AB370A"/>
    <w:rsid w:val="00AB45FE"/>
    <w:rsid w:val="00AB5057"/>
    <w:rsid w:val="00AB50F8"/>
    <w:rsid w:val="00AB7509"/>
    <w:rsid w:val="00AC0AC4"/>
    <w:rsid w:val="00AC0C4A"/>
    <w:rsid w:val="00AC0CB4"/>
    <w:rsid w:val="00AC1016"/>
    <w:rsid w:val="00AC1230"/>
    <w:rsid w:val="00AC315C"/>
    <w:rsid w:val="00AC345E"/>
    <w:rsid w:val="00AC3C17"/>
    <w:rsid w:val="00AC4019"/>
    <w:rsid w:val="00AC4268"/>
    <w:rsid w:val="00AC46B5"/>
    <w:rsid w:val="00AC4AFC"/>
    <w:rsid w:val="00AC4D84"/>
    <w:rsid w:val="00AC5249"/>
    <w:rsid w:val="00AC5F06"/>
    <w:rsid w:val="00AC6631"/>
    <w:rsid w:val="00AC6DDE"/>
    <w:rsid w:val="00AC7380"/>
    <w:rsid w:val="00AC779A"/>
    <w:rsid w:val="00AC788D"/>
    <w:rsid w:val="00AD0BD7"/>
    <w:rsid w:val="00AD172A"/>
    <w:rsid w:val="00AD1E21"/>
    <w:rsid w:val="00AD2E78"/>
    <w:rsid w:val="00AD37CA"/>
    <w:rsid w:val="00AD44E1"/>
    <w:rsid w:val="00AD51A7"/>
    <w:rsid w:val="00AD5AC8"/>
    <w:rsid w:val="00AD5BAA"/>
    <w:rsid w:val="00AD6476"/>
    <w:rsid w:val="00AD653F"/>
    <w:rsid w:val="00AD7417"/>
    <w:rsid w:val="00AD7528"/>
    <w:rsid w:val="00AD7779"/>
    <w:rsid w:val="00AD78B6"/>
    <w:rsid w:val="00AE09B0"/>
    <w:rsid w:val="00AE0A80"/>
    <w:rsid w:val="00AE2492"/>
    <w:rsid w:val="00AE25DA"/>
    <w:rsid w:val="00AE2E89"/>
    <w:rsid w:val="00AE3298"/>
    <w:rsid w:val="00AE412F"/>
    <w:rsid w:val="00AE4277"/>
    <w:rsid w:val="00AE43E3"/>
    <w:rsid w:val="00AE473F"/>
    <w:rsid w:val="00AE5326"/>
    <w:rsid w:val="00AE5633"/>
    <w:rsid w:val="00AE601D"/>
    <w:rsid w:val="00AE7D8D"/>
    <w:rsid w:val="00AF01A1"/>
    <w:rsid w:val="00AF02E6"/>
    <w:rsid w:val="00AF1302"/>
    <w:rsid w:val="00AF1D66"/>
    <w:rsid w:val="00AF1FEE"/>
    <w:rsid w:val="00AF2025"/>
    <w:rsid w:val="00AF2694"/>
    <w:rsid w:val="00AF28CB"/>
    <w:rsid w:val="00AF2D7C"/>
    <w:rsid w:val="00AF37E9"/>
    <w:rsid w:val="00AF4EAB"/>
    <w:rsid w:val="00AF58C0"/>
    <w:rsid w:val="00AF5EF2"/>
    <w:rsid w:val="00AF6EB1"/>
    <w:rsid w:val="00AF6F46"/>
    <w:rsid w:val="00AF7002"/>
    <w:rsid w:val="00AF72FC"/>
    <w:rsid w:val="00AF76E4"/>
    <w:rsid w:val="00AF7AB5"/>
    <w:rsid w:val="00AF7B18"/>
    <w:rsid w:val="00B00112"/>
    <w:rsid w:val="00B01050"/>
    <w:rsid w:val="00B01317"/>
    <w:rsid w:val="00B013D8"/>
    <w:rsid w:val="00B01EB4"/>
    <w:rsid w:val="00B034A8"/>
    <w:rsid w:val="00B0380F"/>
    <w:rsid w:val="00B042D4"/>
    <w:rsid w:val="00B0507A"/>
    <w:rsid w:val="00B05E95"/>
    <w:rsid w:val="00B06EDE"/>
    <w:rsid w:val="00B1281E"/>
    <w:rsid w:val="00B12951"/>
    <w:rsid w:val="00B12FE1"/>
    <w:rsid w:val="00B13241"/>
    <w:rsid w:val="00B13C12"/>
    <w:rsid w:val="00B13F01"/>
    <w:rsid w:val="00B1441F"/>
    <w:rsid w:val="00B157F9"/>
    <w:rsid w:val="00B15D5A"/>
    <w:rsid w:val="00B15FE7"/>
    <w:rsid w:val="00B1683F"/>
    <w:rsid w:val="00B17350"/>
    <w:rsid w:val="00B17DDC"/>
    <w:rsid w:val="00B20F83"/>
    <w:rsid w:val="00B20FF5"/>
    <w:rsid w:val="00B21768"/>
    <w:rsid w:val="00B219A2"/>
    <w:rsid w:val="00B22179"/>
    <w:rsid w:val="00B239FB"/>
    <w:rsid w:val="00B2444F"/>
    <w:rsid w:val="00B25766"/>
    <w:rsid w:val="00B25832"/>
    <w:rsid w:val="00B25CAD"/>
    <w:rsid w:val="00B25D53"/>
    <w:rsid w:val="00B25DBA"/>
    <w:rsid w:val="00B25ECE"/>
    <w:rsid w:val="00B2668C"/>
    <w:rsid w:val="00B272F4"/>
    <w:rsid w:val="00B2765C"/>
    <w:rsid w:val="00B27AFF"/>
    <w:rsid w:val="00B30504"/>
    <w:rsid w:val="00B3066D"/>
    <w:rsid w:val="00B30DE7"/>
    <w:rsid w:val="00B3168C"/>
    <w:rsid w:val="00B32B1A"/>
    <w:rsid w:val="00B34322"/>
    <w:rsid w:val="00B35217"/>
    <w:rsid w:val="00B357B6"/>
    <w:rsid w:val="00B35FAC"/>
    <w:rsid w:val="00B36DB3"/>
    <w:rsid w:val="00B40E59"/>
    <w:rsid w:val="00B40FEC"/>
    <w:rsid w:val="00B41B18"/>
    <w:rsid w:val="00B42A3C"/>
    <w:rsid w:val="00B42F25"/>
    <w:rsid w:val="00B435C6"/>
    <w:rsid w:val="00B44902"/>
    <w:rsid w:val="00B45100"/>
    <w:rsid w:val="00B456DD"/>
    <w:rsid w:val="00B460BF"/>
    <w:rsid w:val="00B46161"/>
    <w:rsid w:val="00B4764B"/>
    <w:rsid w:val="00B477E0"/>
    <w:rsid w:val="00B47D1B"/>
    <w:rsid w:val="00B50BFC"/>
    <w:rsid w:val="00B50CC5"/>
    <w:rsid w:val="00B50EAC"/>
    <w:rsid w:val="00B51FDC"/>
    <w:rsid w:val="00B5271F"/>
    <w:rsid w:val="00B5295F"/>
    <w:rsid w:val="00B53128"/>
    <w:rsid w:val="00B534EB"/>
    <w:rsid w:val="00B53C8F"/>
    <w:rsid w:val="00B540E0"/>
    <w:rsid w:val="00B55CDF"/>
    <w:rsid w:val="00B56045"/>
    <w:rsid w:val="00B56612"/>
    <w:rsid w:val="00B60BA8"/>
    <w:rsid w:val="00B61FDB"/>
    <w:rsid w:val="00B63D72"/>
    <w:rsid w:val="00B63DB9"/>
    <w:rsid w:val="00B63F95"/>
    <w:rsid w:val="00B65CFD"/>
    <w:rsid w:val="00B65EC0"/>
    <w:rsid w:val="00B66053"/>
    <w:rsid w:val="00B667E4"/>
    <w:rsid w:val="00B66997"/>
    <w:rsid w:val="00B6761A"/>
    <w:rsid w:val="00B67A69"/>
    <w:rsid w:val="00B709E6"/>
    <w:rsid w:val="00B717CE"/>
    <w:rsid w:val="00B71F4E"/>
    <w:rsid w:val="00B7218B"/>
    <w:rsid w:val="00B72556"/>
    <w:rsid w:val="00B7314A"/>
    <w:rsid w:val="00B733CF"/>
    <w:rsid w:val="00B74D7E"/>
    <w:rsid w:val="00B75914"/>
    <w:rsid w:val="00B75B10"/>
    <w:rsid w:val="00B76685"/>
    <w:rsid w:val="00B76739"/>
    <w:rsid w:val="00B76CE6"/>
    <w:rsid w:val="00B77253"/>
    <w:rsid w:val="00B77DBE"/>
    <w:rsid w:val="00B809D0"/>
    <w:rsid w:val="00B8100D"/>
    <w:rsid w:val="00B81A6D"/>
    <w:rsid w:val="00B821CD"/>
    <w:rsid w:val="00B8225B"/>
    <w:rsid w:val="00B848FC"/>
    <w:rsid w:val="00B85650"/>
    <w:rsid w:val="00B85CF9"/>
    <w:rsid w:val="00B85D06"/>
    <w:rsid w:val="00B8604F"/>
    <w:rsid w:val="00B869E8"/>
    <w:rsid w:val="00B86AEE"/>
    <w:rsid w:val="00B86EFF"/>
    <w:rsid w:val="00B87930"/>
    <w:rsid w:val="00B90329"/>
    <w:rsid w:val="00B905EC"/>
    <w:rsid w:val="00B90944"/>
    <w:rsid w:val="00B91C11"/>
    <w:rsid w:val="00B91EB7"/>
    <w:rsid w:val="00B925DE"/>
    <w:rsid w:val="00B92D7F"/>
    <w:rsid w:val="00B92F4E"/>
    <w:rsid w:val="00B947BB"/>
    <w:rsid w:val="00B95CBB"/>
    <w:rsid w:val="00B96980"/>
    <w:rsid w:val="00B97010"/>
    <w:rsid w:val="00BA08F2"/>
    <w:rsid w:val="00BA1FAF"/>
    <w:rsid w:val="00BA26CE"/>
    <w:rsid w:val="00BA2FD9"/>
    <w:rsid w:val="00BA3206"/>
    <w:rsid w:val="00BA3BBE"/>
    <w:rsid w:val="00BA44E9"/>
    <w:rsid w:val="00BA57FD"/>
    <w:rsid w:val="00BA5BB9"/>
    <w:rsid w:val="00BA5F34"/>
    <w:rsid w:val="00BB07C2"/>
    <w:rsid w:val="00BB0F84"/>
    <w:rsid w:val="00BB19A7"/>
    <w:rsid w:val="00BB1E55"/>
    <w:rsid w:val="00BB1F2A"/>
    <w:rsid w:val="00BB2E16"/>
    <w:rsid w:val="00BB3BE7"/>
    <w:rsid w:val="00BB43E0"/>
    <w:rsid w:val="00BB471C"/>
    <w:rsid w:val="00BB47BE"/>
    <w:rsid w:val="00BB4A83"/>
    <w:rsid w:val="00BB4C8D"/>
    <w:rsid w:val="00BB4F3E"/>
    <w:rsid w:val="00BB5040"/>
    <w:rsid w:val="00BB60B4"/>
    <w:rsid w:val="00BB6A24"/>
    <w:rsid w:val="00BC0581"/>
    <w:rsid w:val="00BC1317"/>
    <w:rsid w:val="00BC1A0F"/>
    <w:rsid w:val="00BC27B4"/>
    <w:rsid w:val="00BC2A5D"/>
    <w:rsid w:val="00BC3846"/>
    <w:rsid w:val="00BC45CB"/>
    <w:rsid w:val="00BC4DD0"/>
    <w:rsid w:val="00BC4F01"/>
    <w:rsid w:val="00BC60BF"/>
    <w:rsid w:val="00BC649D"/>
    <w:rsid w:val="00BC6A86"/>
    <w:rsid w:val="00BC7523"/>
    <w:rsid w:val="00BC764E"/>
    <w:rsid w:val="00BC7AB0"/>
    <w:rsid w:val="00BC7E35"/>
    <w:rsid w:val="00BD01D5"/>
    <w:rsid w:val="00BD0D35"/>
    <w:rsid w:val="00BD11D3"/>
    <w:rsid w:val="00BD17DE"/>
    <w:rsid w:val="00BD1F48"/>
    <w:rsid w:val="00BD2417"/>
    <w:rsid w:val="00BD26B0"/>
    <w:rsid w:val="00BD280A"/>
    <w:rsid w:val="00BD2CD8"/>
    <w:rsid w:val="00BD331A"/>
    <w:rsid w:val="00BD50F3"/>
    <w:rsid w:val="00BD52D2"/>
    <w:rsid w:val="00BD54C6"/>
    <w:rsid w:val="00BD5A91"/>
    <w:rsid w:val="00BD6344"/>
    <w:rsid w:val="00BD67EF"/>
    <w:rsid w:val="00BD6E8A"/>
    <w:rsid w:val="00BD7DB5"/>
    <w:rsid w:val="00BE0F3A"/>
    <w:rsid w:val="00BE1A14"/>
    <w:rsid w:val="00BE1F82"/>
    <w:rsid w:val="00BE32E3"/>
    <w:rsid w:val="00BE38B5"/>
    <w:rsid w:val="00BE3AD3"/>
    <w:rsid w:val="00BE3B4C"/>
    <w:rsid w:val="00BE3CF3"/>
    <w:rsid w:val="00BE688C"/>
    <w:rsid w:val="00BE7683"/>
    <w:rsid w:val="00BE79E8"/>
    <w:rsid w:val="00BE7A8A"/>
    <w:rsid w:val="00BF05CD"/>
    <w:rsid w:val="00BF0838"/>
    <w:rsid w:val="00BF1C7D"/>
    <w:rsid w:val="00BF1F22"/>
    <w:rsid w:val="00BF236E"/>
    <w:rsid w:val="00BF30BF"/>
    <w:rsid w:val="00BF348A"/>
    <w:rsid w:val="00BF3B4E"/>
    <w:rsid w:val="00BF5658"/>
    <w:rsid w:val="00BF5D69"/>
    <w:rsid w:val="00BF650E"/>
    <w:rsid w:val="00BF77D9"/>
    <w:rsid w:val="00C006CF"/>
    <w:rsid w:val="00C009A2"/>
    <w:rsid w:val="00C00A64"/>
    <w:rsid w:val="00C0125D"/>
    <w:rsid w:val="00C01DAB"/>
    <w:rsid w:val="00C026D8"/>
    <w:rsid w:val="00C047D2"/>
    <w:rsid w:val="00C053F7"/>
    <w:rsid w:val="00C0614E"/>
    <w:rsid w:val="00C07010"/>
    <w:rsid w:val="00C07CD6"/>
    <w:rsid w:val="00C1092B"/>
    <w:rsid w:val="00C11035"/>
    <w:rsid w:val="00C11EEA"/>
    <w:rsid w:val="00C127C5"/>
    <w:rsid w:val="00C1305F"/>
    <w:rsid w:val="00C1363A"/>
    <w:rsid w:val="00C137CE"/>
    <w:rsid w:val="00C13F34"/>
    <w:rsid w:val="00C1433C"/>
    <w:rsid w:val="00C144B6"/>
    <w:rsid w:val="00C15743"/>
    <w:rsid w:val="00C15E1C"/>
    <w:rsid w:val="00C16A0F"/>
    <w:rsid w:val="00C173AE"/>
    <w:rsid w:val="00C17EF3"/>
    <w:rsid w:val="00C20272"/>
    <w:rsid w:val="00C20B7B"/>
    <w:rsid w:val="00C2104C"/>
    <w:rsid w:val="00C21488"/>
    <w:rsid w:val="00C22779"/>
    <w:rsid w:val="00C22B04"/>
    <w:rsid w:val="00C23709"/>
    <w:rsid w:val="00C241F3"/>
    <w:rsid w:val="00C24ACE"/>
    <w:rsid w:val="00C269B1"/>
    <w:rsid w:val="00C26DCA"/>
    <w:rsid w:val="00C26DE8"/>
    <w:rsid w:val="00C27B62"/>
    <w:rsid w:val="00C31876"/>
    <w:rsid w:val="00C318FE"/>
    <w:rsid w:val="00C323D1"/>
    <w:rsid w:val="00C326AE"/>
    <w:rsid w:val="00C32FCC"/>
    <w:rsid w:val="00C335AF"/>
    <w:rsid w:val="00C34160"/>
    <w:rsid w:val="00C345F8"/>
    <w:rsid w:val="00C34A53"/>
    <w:rsid w:val="00C35129"/>
    <w:rsid w:val="00C353D1"/>
    <w:rsid w:val="00C37FC3"/>
    <w:rsid w:val="00C4225A"/>
    <w:rsid w:val="00C42439"/>
    <w:rsid w:val="00C432C4"/>
    <w:rsid w:val="00C43D5A"/>
    <w:rsid w:val="00C443E2"/>
    <w:rsid w:val="00C44682"/>
    <w:rsid w:val="00C447A8"/>
    <w:rsid w:val="00C44967"/>
    <w:rsid w:val="00C449BD"/>
    <w:rsid w:val="00C44EBB"/>
    <w:rsid w:val="00C454A0"/>
    <w:rsid w:val="00C454C0"/>
    <w:rsid w:val="00C45D3F"/>
    <w:rsid w:val="00C460E0"/>
    <w:rsid w:val="00C46E19"/>
    <w:rsid w:val="00C4795F"/>
    <w:rsid w:val="00C50248"/>
    <w:rsid w:val="00C515C4"/>
    <w:rsid w:val="00C52EB2"/>
    <w:rsid w:val="00C53117"/>
    <w:rsid w:val="00C53579"/>
    <w:rsid w:val="00C535BC"/>
    <w:rsid w:val="00C53E3A"/>
    <w:rsid w:val="00C54E31"/>
    <w:rsid w:val="00C552C3"/>
    <w:rsid w:val="00C5558D"/>
    <w:rsid w:val="00C565B9"/>
    <w:rsid w:val="00C56B33"/>
    <w:rsid w:val="00C56CC6"/>
    <w:rsid w:val="00C56CEC"/>
    <w:rsid w:val="00C577E5"/>
    <w:rsid w:val="00C57DD9"/>
    <w:rsid w:val="00C6093E"/>
    <w:rsid w:val="00C6273F"/>
    <w:rsid w:val="00C6334E"/>
    <w:rsid w:val="00C67459"/>
    <w:rsid w:val="00C70C68"/>
    <w:rsid w:val="00C71292"/>
    <w:rsid w:val="00C71BDE"/>
    <w:rsid w:val="00C75682"/>
    <w:rsid w:val="00C75FA2"/>
    <w:rsid w:val="00C76A6D"/>
    <w:rsid w:val="00C80234"/>
    <w:rsid w:val="00C81D08"/>
    <w:rsid w:val="00C82F96"/>
    <w:rsid w:val="00C836FB"/>
    <w:rsid w:val="00C84729"/>
    <w:rsid w:val="00C8530C"/>
    <w:rsid w:val="00C85993"/>
    <w:rsid w:val="00C85CA7"/>
    <w:rsid w:val="00C86E18"/>
    <w:rsid w:val="00C86FAF"/>
    <w:rsid w:val="00C86FE4"/>
    <w:rsid w:val="00C871E4"/>
    <w:rsid w:val="00C874C6"/>
    <w:rsid w:val="00C9029E"/>
    <w:rsid w:val="00C90E66"/>
    <w:rsid w:val="00C92916"/>
    <w:rsid w:val="00C931AB"/>
    <w:rsid w:val="00C9323E"/>
    <w:rsid w:val="00C93EDE"/>
    <w:rsid w:val="00C93EF3"/>
    <w:rsid w:val="00C948E5"/>
    <w:rsid w:val="00C94D3A"/>
    <w:rsid w:val="00C95623"/>
    <w:rsid w:val="00C95EEB"/>
    <w:rsid w:val="00C9612D"/>
    <w:rsid w:val="00C962A2"/>
    <w:rsid w:val="00C96B3C"/>
    <w:rsid w:val="00C9746D"/>
    <w:rsid w:val="00C97CBE"/>
    <w:rsid w:val="00CA10D3"/>
    <w:rsid w:val="00CA1298"/>
    <w:rsid w:val="00CA26C6"/>
    <w:rsid w:val="00CA2BD5"/>
    <w:rsid w:val="00CA38BB"/>
    <w:rsid w:val="00CA40DB"/>
    <w:rsid w:val="00CA4A74"/>
    <w:rsid w:val="00CA50F7"/>
    <w:rsid w:val="00CA559D"/>
    <w:rsid w:val="00CA5AAA"/>
    <w:rsid w:val="00CA664B"/>
    <w:rsid w:val="00CA766B"/>
    <w:rsid w:val="00CB1E5D"/>
    <w:rsid w:val="00CB2AE2"/>
    <w:rsid w:val="00CB317C"/>
    <w:rsid w:val="00CB3482"/>
    <w:rsid w:val="00CB3640"/>
    <w:rsid w:val="00CB3C62"/>
    <w:rsid w:val="00CB4C1E"/>
    <w:rsid w:val="00CB4E87"/>
    <w:rsid w:val="00CB4FC6"/>
    <w:rsid w:val="00CB58DA"/>
    <w:rsid w:val="00CB5EC3"/>
    <w:rsid w:val="00CB7598"/>
    <w:rsid w:val="00CC075D"/>
    <w:rsid w:val="00CC1006"/>
    <w:rsid w:val="00CC12DE"/>
    <w:rsid w:val="00CC2733"/>
    <w:rsid w:val="00CC3262"/>
    <w:rsid w:val="00CC3D81"/>
    <w:rsid w:val="00CC4123"/>
    <w:rsid w:val="00CC48C2"/>
    <w:rsid w:val="00CC4BCA"/>
    <w:rsid w:val="00CC4F4D"/>
    <w:rsid w:val="00CC573C"/>
    <w:rsid w:val="00CC5DF6"/>
    <w:rsid w:val="00CC68F6"/>
    <w:rsid w:val="00CC6A42"/>
    <w:rsid w:val="00CC7E85"/>
    <w:rsid w:val="00CD001C"/>
    <w:rsid w:val="00CD0217"/>
    <w:rsid w:val="00CD124B"/>
    <w:rsid w:val="00CD1676"/>
    <w:rsid w:val="00CD1870"/>
    <w:rsid w:val="00CD23E5"/>
    <w:rsid w:val="00CD28B0"/>
    <w:rsid w:val="00CD2B74"/>
    <w:rsid w:val="00CD36D5"/>
    <w:rsid w:val="00CD394D"/>
    <w:rsid w:val="00CD3BB5"/>
    <w:rsid w:val="00CD457B"/>
    <w:rsid w:val="00CD4B81"/>
    <w:rsid w:val="00CD605D"/>
    <w:rsid w:val="00CD706C"/>
    <w:rsid w:val="00CD70C7"/>
    <w:rsid w:val="00CE0E30"/>
    <w:rsid w:val="00CE106E"/>
    <w:rsid w:val="00CE137F"/>
    <w:rsid w:val="00CE1F38"/>
    <w:rsid w:val="00CE24FA"/>
    <w:rsid w:val="00CE2A28"/>
    <w:rsid w:val="00CE2C2E"/>
    <w:rsid w:val="00CE31B9"/>
    <w:rsid w:val="00CE33EC"/>
    <w:rsid w:val="00CE36A7"/>
    <w:rsid w:val="00CE4A46"/>
    <w:rsid w:val="00CE6A66"/>
    <w:rsid w:val="00CE70FE"/>
    <w:rsid w:val="00CE7E7C"/>
    <w:rsid w:val="00CF0038"/>
    <w:rsid w:val="00CF06A9"/>
    <w:rsid w:val="00CF07E7"/>
    <w:rsid w:val="00CF0AF1"/>
    <w:rsid w:val="00CF1523"/>
    <w:rsid w:val="00CF1BFD"/>
    <w:rsid w:val="00CF1ED1"/>
    <w:rsid w:val="00CF291E"/>
    <w:rsid w:val="00CF305D"/>
    <w:rsid w:val="00CF48F8"/>
    <w:rsid w:val="00CF4F91"/>
    <w:rsid w:val="00CF51FD"/>
    <w:rsid w:val="00CF58C3"/>
    <w:rsid w:val="00CF5DD1"/>
    <w:rsid w:val="00CF5E1B"/>
    <w:rsid w:val="00CF7662"/>
    <w:rsid w:val="00CF7AB9"/>
    <w:rsid w:val="00D00622"/>
    <w:rsid w:val="00D01066"/>
    <w:rsid w:val="00D01657"/>
    <w:rsid w:val="00D01750"/>
    <w:rsid w:val="00D0176D"/>
    <w:rsid w:val="00D018DB"/>
    <w:rsid w:val="00D02330"/>
    <w:rsid w:val="00D02B42"/>
    <w:rsid w:val="00D03886"/>
    <w:rsid w:val="00D03BC4"/>
    <w:rsid w:val="00D0480C"/>
    <w:rsid w:val="00D04D27"/>
    <w:rsid w:val="00D04F7D"/>
    <w:rsid w:val="00D05C9B"/>
    <w:rsid w:val="00D05D63"/>
    <w:rsid w:val="00D074CA"/>
    <w:rsid w:val="00D07BCD"/>
    <w:rsid w:val="00D07F73"/>
    <w:rsid w:val="00D07F88"/>
    <w:rsid w:val="00D1032F"/>
    <w:rsid w:val="00D1227B"/>
    <w:rsid w:val="00D12416"/>
    <w:rsid w:val="00D124B7"/>
    <w:rsid w:val="00D12697"/>
    <w:rsid w:val="00D13C72"/>
    <w:rsid w:val="00D15C98"/>
    <w:rsid w:val="00D15D88"/>
    <w:rsid w:val="00D163AA"/>
    <w:rsid w:val="00D16607"/>
    <w:rsid w:val="00D16DB0"/>
    <w:rsid w:val="00D17593"/>
    <w:rsid w:val="00D17951"/>
    <w:rsid w:val="00D17E72"/>
    <w:rsid w:val="00D20C73"/>
    <w:rsid w:val="00D20D9C"/>
    <w:rsid w:val="00D21943"/>
    <w:rsid w:val="00D22624"/>
    <w:rsid w:val="00D23290"/>
    <w:rsid w:val="00D27188"/>
    <w:rsid w:val="00D27D16"/>
    <w:rsid w:val="00D321CC"/>
    <w:rsid w:val="00D32985"/>
    <w:rsid w:val="00D34BF1"/>
    <w:rsid w:val="00D359D3"/>
    <w:rsid w:val="00D36382"/>
    <w:rsid w:val="00D36833"/>
    <w:rsid w:val="00D36EEF"/>
    <w:rsid w:val="00D404CC"/>
    <w:rsid w:val="00D41994"/>
    <w:rsid w:val="00D41E4A"/>
    <w:rsid w:val="00D427A5"/>
    <w:rsid w:val="00D435BD"/>
    <w:rsid w:val="00D43740"/>
    <w:rsid w:val="00D438CA"/>
    <w:rsid w:val="00D44454"/>
    <w:rsid w:val="00D44CA2"/>
    <w:rsid w:val="00D450B3"/>
    <w:rsid w:val="00D45F60"/>
    <w:rsid w:val="00D465E9"/>
    <w:rsid w:val="00D46890"/>
    <w:rsid w:val="00D4771D"/>
    <w:rsid w:val="00D47C1E"/>
    <w:rsid w:val="00D47F6A"/>
    <w:rsid w:val="00D50332"/>
    <w:rsid w:val="00D5123B"/>
    <w:rsid w:val="00D51322"/>
    <w:rsid w:val="00D520CA"/>
    <w:rsid w:val="00D5317B"/>
    <w:rsid w:val="00D53B06"/>
    <w:rsid w:val="00D54C30"/>
    <w:rsid w:val="00D55258"/>
    <w:rsid w:val="00D55316"/>
    <w:rsid w:val="00D5569C"/>
    <w:rsid w:val="00D55A54"/>
    <w:rsid w:val="00D563AB"/>
    <w:rsid w:val="00D57BED"/>
    <w:rsid w:val="00D60E33"/>
    <w:rsid w:val="00D61F05"/>
    <w:rsid w:val="00D6218A"/>
    <w:rsid w:val="00D622B2"/>
    <w:rsid w:val="00D627E7"/>
    <w:rsid w:val="00D628D6"/>
    <w:rsid w:val="00D62C50"/>
    <w:rsid w:val="00D633AA"/>
    <w:rsid w:val="00D64AE1"/>
    <w:rsid w:val="00D653C2"/>
    <w:rsid w:val="00D65983"/>
    <w:rsid w:val="00D65F65"/>
    <w:rsid w:val="00D700E8"/>
    <w:rsid w:val="00D730DD"/>
    <w:rsid w:val="00D743A7"/>
    <w:rsid w:val="00D747A0"/>
    <w:rsid w:val="00D7513B"/>
    <w:rsid w:val="00D767A6"/>
    <w:rsid w:val="00D76C23"/>
    <w:rsid w:val="00D77783"/>
    <w:rsid w:val="00D77C12"/>
    <w:rsid w:val="00D80427"/>
    <w:rsid w:val="00D8074A"/>
    <w:rsid w:val="00D8125D"/>
    <w:rsid w:val="00D81761"/>
    <w:rsid w:val="00D81E7B"/>
    <w:rsid w:val="00D82AC3"/>
    <w:rsid w:val="00D8328D"/>
    <w:rsid w:val="00D834A7"/>
    <w:rsid w:val="00D83A13"/>
    <w:rsid w:val="00D83E45"/>
    <w:rsid w:val="00D8416A"/>
    <w:rsid w:val="00D8430D"/>
    <w:rsid w:val="00D8490F"/>
    <w:rsid w:val="00D85179"/>
    <w:rsid w:val="00D852EF"/>
    <w:rsid w:val="00D86F31"/>
    <w:rsid w:val="00D86F50"/>
    <w:rsid w:val="00D90ACD"/>
    <w:rsid w:val="00D90E56"/>
    <w:rsid w:val="00D91654"/>
    <w:rsid w:val="00D91F8D"/>
    <w:rsid w:val="00D92803"/>
    <w:rsid w:val="00D9301A"/>
    <w:rsid w:val="00D93073"/>
    <w:rsid w:val="00D93155"/>
    <w:rsid w:val="00D93679"/>
    <w:rsid w:val="00D93ED6"/>
    <w:rsid w:val="00D94CBC"/>
    <w:rsid w:val="00D94F80"/>
    <w:rsid w:val="00D95105"/>
    <w:rsid w:val="00D95123"/>
    <w:rsid w:val="00D95BD4"/>
    <w:rsid w:val="00D96189"/>
    <w:rsid w:val="00D97291"/>
    <w:rsid w:val="00DA098C"/>
    <w:rsid w:val="00DA2AF0"/>
    <w:rsid w:val="00DA379C"/>
    <w:rsid w:val="00DA3871"/>
    <w:rsid w:val="00DA3B70"/>
    <w:rsid w:val="00DA40D3"/>
    <w:rsid w:val="00DA4655"/>
    <w:rsid w:val="00DA4950"/>
    <w:rsid w:val="00DA4BE2"/>
    <w:rsid w:val="00DA4DAB"/>
    <w:rsid w:val="00DA58B7"/>
    <w:rsid w:val="00DA6D80"/>
    <w:rsid w:val="00DA6DAC"/>
    <w:rsid w:val="00DB0A5E"/>
    <w:rsid w:val="00DB0E26"/>
    <w:rsid w:val="00DB1462"/>
    <w:rsid w:val="00DB26CE"/>
    <w:rsid w:val="00DB2BE0"/>
    <w:rsid w:val="00DB2FC8"/>
    <w:rsid w:val="00DB3B2D"/>
    <w:rsid w:val="00DB4064"/>
    <w:rsid w:val="00DB63F3"/>
    <w:rsid w:val="00DB67AF"/>
    <w:rsid w:val="00DB6B3D"/>
    <w:rsid w:val="00DC123B"/>
    <w:rsid w:val="00DC1BE1"/>
    <w:rsid w:val="00DC2C5E"/>
    <w:rsid w:val="00DC2F6D"/>
    <w:rsid w:val="00DC446F"/>
    <w:rsid w:val="00DC6320"/>
    <w:rsid w:val="00DC6660"/>
    <w:rsid w:val="00DC6BBF"/>
    <w:rsid w:val="00DC7A98"/>
    <w:rsid w:val="00DC7E29"/>
    <w:rsid w:val="00DD0221"/>
    <w:rsid w:val="00DD0DAA"/>
    <w:rsid w:val="00DD0F2B"/>
    <w:rsid w:val="00DD1D12"/>
    <w:rsid w:val="00DD27E1"/>
    <w:rsid w:val="00DD2A4C"/>
    <w:rsid w:val="00DD367E"/>
    <w:rsid w:val="00DD3CED"/>
    <w:rsid w:val="00DD3F6A"/>
    <w:rsid w:val="00DD403F"/>
    <w:rsid w:val="00DD4A4A"/>
    <w:rsid w:val="00DD567B"/>
    <w:rsid w:val="00DD5C1C"/>
    <w:rsid w:val="00DD607D"/>
    <w:rsid w:val="00DD6F7A"/>
    <w:rsid w:val="00DE081C"/>
    <w:rsid w:val="00DE30CA"/>
    <w:rsid w:val="00DE3987"/>
    <w:rsid w:val="00DE3995"/>
    <w:rsid w:val="00DE48B7"/>
    <w:rsid w:val="00DE5C36"/>
    <w:rsid w:val="00DE76BF"/>
    <w:rsid w:val="00DE7B9E"/>
    <w:rsid w:val="00DE7F85"/>
    <w:rsid w:val="00DF2332"/>
    <w:rsid w:val="00DF2341"/>
    <w:rsid w:val="00DF2968"/>
    <w:rsid w:val="00DF3105"/>
    <w:rsid w:val="00DF38CF"/>
    <w:rsid w:val="00DF4BC2"/>
    <w:rsid w:val="00DF4E15"/>
    <w:rsid w:val="00DF5B8F"/>
    <w:rsid w:val="00DF675C"/>
    <w:rsid w:val="00DF6B27"/>
    <w:rsid w:val="00DF6BD8"/>
    <w:rsid w:val="00DF757D"/>
    <w:rsid w:val="00DF7D3E"/>
    <w:rsid w:val="00E008DD"/>
    <w:rsid w:val="00E00F72"/>
    <w:rsid w:val="00E01317"/>
    <w:rsid w:val="00E01389"/>
    <w:rsid w:val="00E01A8A"/>
    <w:rsid w:val="00E0241B"/>
    <w:rsid w:val="00E0494E"/>
    <w:rsid w:val="00E05ACA"/>
    <w:rsid w:val="00E06484"/>
    <w:rsid w:val="00E065E8"/>
    <w:rsid w:val="00E06A4D"/>
    <w:rsid w:val="00E06F90"/>
    <w:rsid w:val="00E071EF"/>
    <w:rsid w:val="00E0730F"/>
    <w:rsid w:val="00E07422"/>
    <w:rsid w:val="00E10344"/>
    <w:rsid w:val="00E1125E"/>
    <w:rsid w:val="00E1149F"/>
    <w:rsid w:val="00E11951"/>
    <w:rsid w:val="00E11B21"/>
    <w:rsid w:val="00E11E93"/>
    <w:rsid w:val="00E12E87"/>
    <w:rsid w:val="00E150AC"/>
    <w:rsid w:val="00E16476"/>
    <w:rsid w:val="00E16ECF"/>
    <w:rsid w:val="00E16F43"/>
    <w:rsid w:val="00E17072"/>
    <w:rsid w:val="00E17634"/>
    <w:rsid w:val="00E1768D"/>
    <w:rsid w:val="00E17BD3"/>
    <w:rsid w:val="00E21ADE"/>
    <w:rsid w:val="00E232D9"/>
    <w:rsid w:val="00E2384F"/>
    <w:rsid w:val="00E246B2"/>
    <w:rsid w:val="00E24CDD"/>
    <w:rsid w:val="00E25585"/>
    <w:rsid w:val="00E261C9"/>
    <w:rsid w:val="00E26314"/>
    <w:rsid w:val="00E268CB"/>
    <w:rsid w:val="00E30B5B"/>
    <w:rsid w:val="00E315D5"/>
    <w:rsid w:val="00E326A0"/>
    <w:rsid w:val="00E3288A"/>
    <w:rsid w:val="00E32CDD"/>
    <w:rsid w:val="00E33DB3"/>
    <w:rsid w:val="00E3578B"/>
    <w:rsid w:val="00E357D3"/>
    <w:rsid w:val="00E35B38"/>
    <w:rsid w:val="00E35D52"/>
    <w:rsid w:val="00E36B91"/>
    <w:rsid w:val="00E36BE4"/>
    <w:rsid w:val="00E36E76"/>
    <w:rsid w:val="00E37D01"/>
    <w:rsid w:val="00E37E18"/>
    <w:rsid w:val="00E37FBD"/>
    <w:rsid w:val="00E40055"/>
    <w:rsid w:val="00E428E7"/>
    <w:rsid w:val="00E42AEF"/>
    <w:rsid w:val="00E43348"/>
    <w:rsid w:val="00E441CC"/>
    <w:rsid w:val="00E452B0"/>
    <w:rsid w:val="00E455FB"/>
    <w:rsid w:val="00E4565B"/>
    <w:rsid w:val="00E45B55"/>
    <w:rsid w:val="00E468B2"/>
    <w:rsid w:val="00E46E14"/>
    <w:rsid w:val="00E50701"/>
    <w:rsid w:val="00E50C0D"/>
    <w:rsid w:val="00E5345F"/>
    <w:rsid w:val="00E5351B"/>
    <w:rsid w:val="00E53895"/>
    <w:rsid w:val="00E53DCE"/>
    <w:rsid w:val="00E53E0F"/>
    <w:rsid w:val="00E540D0"/>
    <w:rsid w:val="00E54B27"/>
    <w:rsid w:val="00E550C7"/>
    <w:rsid w:val="00E555D1"/>
    <w:rsid w:val="00E557E7"/>
    <w:rsid w:val="00E55AA8"/>
    <w:rsid w:val="00E56B2A"/>
    <w:rsid w:val="00E56E01"/>
    <w:rsid w:val="00E57881"/>
    <w:rsid w:val="00E57BB6"/>
    <w:rsid w:val="00E6047A"/>
    <w:rsid w:val="00E60690"/>
    <w:rsid w:val="00E60B2D"/>
    <w:rsid w:val="00E620F9"/>
    <w:rsid w:val="00E62528"/>
    <w:rsid w:val="00E632E6"/>
    <w:rsid w:val="00E63B06"/>
    <w:rsid w:val="00E648EB"/>
    <w:rsid w:val="00E64CB5"/>
    <w:rsid w:val="00E64F20"/>
    <w:rsid w:val="00E65640"/>
    <w:rsid w:val="00E65A27"/>
    <w:rsid w:val="00E65C2B"/>
    <w:rsid w:val="00E664C8"/>
    <w:rsid w:val="00E6698B"/>
    <w:rsid w:val="00E675A1"/>
    <w:rsid w:val="00E67E86"/>
    <w:rsid w:val="00E706C9"/>
    <w:rsid w:val="00E7081A"/>
    <w:rsid w:val="00E70B0D"/>
    <w:rsid w:val="00E70ED8"/>
    <w:rsid w:val="00E715AC"/>
    <w:rsid w:val="00E720F9"/>
    <w:rsid w:val="00E72403"/>
    <w:rsid w:val="00E7330C"/>
    <w:rsid w:val="00E759B3"/>
    <w:rsid w:val="00E762B8"/>
    <w:rsid w:val="00E767DF"/>
    <w:rsid w:val="00E76ED2"/>
    <w:rsid w:val="00E76EDE"/>
    <w:rsid w:val="00E77447"/>
    <w:rsid w:val="00E8024B"/>
    <w:rsid w:val="00E80966"/>
    <w:rsid w:val="00E80B44"/>
    <w:rsid w:val="00E81139"/>
    <w:rsid w:val="00E8114D"/>
    <w:rsid w:val="00E815E5"/>
    <w:rsid w:val="00E81908"/>
    <w:rsid w:val="00E81941"/>
    <w:rsid w:val="00E81D79"/>
    <w:rsid w:val="00E82190"/>
    <w:rsid w:val="00E8345B"/>
    <w:rsid w:val="00E835ED"/>
    <w:rsid w:val="00E83ACD"/>
    <w:rsid w:val="00E83D37"/>
    <w:rsid w:val="00E83F56"/>
    <w:rsid w:val="00E84EA8"/>
    <w:rsid w:val="00E85EFC"/>
    <w:rsid w:val="00E876A2"/>
    <w:rsid w:val="00E90821"/>
    <w:rsid w:val="00E91D8C"/>
    <w:rsid w:val="00E9253E"/>
    <w:rsid w:val="00E9261D"/>
    <w:rsid w:val="00E926C7"/>
    <w:rsid w:val="00E92C4F"/>
    <w:rsid w:val="00E9439E"/>
    <w:rsid w:val="00E94777"/>
    <w:rsid w:val="00E94846"/>
    <w:rsid w:val="00E94D35"/>
    <w:rsid w:val="00E96646"/>
    <w:rsid w:val="00E9768C"/>
    <w:rsid w:val="00EA01B6"/>
    <w:rsid w:val="00EA08D8"/>
    <w:rsid w:val="00EA0A97"/>
    <w:rsid w:val="00EA0B15"/>
    <w:rsid w:val="00EA0B89"/>
    <w:rsid w:val="00EA0EBC"/>
    <w:rsid w:val="00EA1203"/>
    <w:rsid w:val="00EA15AE"/>
    <w:rsid w:val="00EA1B08"/>
    <w:rsid w:val="00EA1DF4"/>
    <w:rsid w:val="00EA1DF8"/>
    <w:rsid w:val="00EA20C8"/>
    <w:rsid w:val="00EA2D8D"/>
    <w:rsid w:val="00EA399F"/>
    <w:rsid w:val="00EA4886"/>
    <w:rsid w:val="00EA4DCC"/>
    <w:rsid w:val="00EA5339"/>
    <w:rsid w:val="00EA574C"/>
    <w:rsid w:val="00EA793E"/>
    <w:rsid w:val="00EA7D38"/>
    <w:rsid w:val="00EB10E2"/>
    <w:rsid w:val="00EB14BB"/>
    <w:rsid w:val="00EB16CB"/>
    <w:rsid w:val="00EB1F46"/>
    <w:rsid w:val="00EB2A4F"/>
    <w:rsid w:val="00EB2F8A"/>
    <w:rsid w:val="00EB3871"/>
    <w:rsid w:val="00EB44ED"/>
    <w:rsid w:val="00EB4D01"/>
    <w:rsid w:val="00EB552A"/>
    <w:rsid w:val="00EB5B32"/>
    <w:rsid w:val="00EB5E62"/>
    <w:rsid w:val="00EB72A9"/>
    <w:rsid w:val="00EB730A"/>
    <w:rsid w:val="00EB7E4D"/>
    <w:rsid w:val="00EC031E"/>
    <w:rsid w:val="00EC152C"/>
    <w:rsid w:val="00EC182B"/>
    <w:rsid w:val="00EC1C2A"/>
    <w:rsid w:val="00EC2315"/>
    <w:rsid w:val="00EC2F00"/>
    <w:rsid w:val="00EC4317"/>
    <w:rsid w:val="00EC47B7"/>
    <w:rsid w:val="00EC6E04"/>
    <w:rsid w:val="00EC6EDE"/>
    <w:rsid w:val="00EC7C90"/>
    <w:rsid w:val="00ED02B5"/>
    <w:rsid w:val="00ED0857"/>
    <w:rsid w:val="00ED0CE0"/>
    <w:rsid w:val="00ED1E93"/>
    <w:rsid w:val="00ED2E1E"/>
    <w:rsid w:val="00ED4F61"/>
    <w:rsid w:val="00ED5DFE"/>
    <w:rsid w:val="00ED613C"/>
    <w:rsid w:val="00ED6E7D"/>
    <w:rsid w:val="00ED6F94"/>
    <w:rsid w:val="00EE0710"/>
    <w:rsid w:val="00EE166D"/>
    <w:rsid w:val="00EE1705"/>
    <w:rsid w:val="00EE1813"/>
    <w:rsid w:val="00EE342A"/>
    <w:rsid w:val="00EE3464"/>
    <w:rsid w:val="00EE4A00"/>
    <w:rsid w:val="00EE6358"/>
    <w:rsid w:val="00EE68BA"/>
    <w:rsid w:val="00EE6B0C"/>
    <w:rsid w:val="00EE757A"/>
    <w:rsid w:val="00EF0B5E"/>
    <w:rsid w:val="00EF0D0D"/>
    <w:rsid w:val="00EF18CF"/>
    <w:rsid w:val="00EF2810"/>
    <w:rsid w:val="00EF282D"/>
    <w:rsid w:val="00EF424A"/>
    <w:rsid w:val="00EF45A2"/>
    <w:rsid w:val="00EF4772"/>
    <w:rsid w:val="00EF4C26"/>
    <w:rsid w:val="00EF5066"/>
    <w:rsid w:val="00EF6455"/>
    <w:rsid w:val="00EF6920"/>
    <w:rsid w:val="00EF7C52"/>
    <w:rsid w:val="00EF7FDE"/>
    <w:rsid w:val="00F005B8"/>
    <w:rsid w:val="00F01D36"/>
    <w:rsid w:val="00F01F2B"/>
    <w:rsid w:val="00F0298E"/>
    <w:rsid w:val="00F029C9"/>
    <w:rsid w:val="00F04DDD"/>
    <w:rsid w:val="00F05928"/>
    <w:rsid w:val="00F05F4B"/>
    <w:rsid w:val="00F06019"/>
    <w:rsid w:val="00F06848"/>
    <w:rsid w:val="00F06BD0"/>
    <w:rsid w:val="00F07D93"/>
    <w:rsid w:val="00F10B4F"/>
    <w:rsid w:val="00F11349"/>
    <w:rsid w:val="00F1152A"/>
    <w:rsid w:val="00F119B9"/>
    <w:rsid w:val="00F12140"/>
    <w:rsid w:val="00F13862"/>
    <w:rsid w:val="00F148E5"/>
    <w:rsid w:val="00F14CFD"/>
    <w:rsid w:val="00F14D55"/>
    <w:rsid w:val="00F156BF"/>
    <w:rsid w:val="00F160C1"/>
    <w:rsid w:val="00F16D3D"/>
    <w:rsid w:val="00F16F68"/>
    <w:rsid w:val="00F17A95"/>
    <w:rsid w:val="00F17AEE"/>
    <w:rsid w:val="00F2049E"/>
    <w:rsid w:val="00F21311"/>
    <w:rsid w:val="00F213EF"/>
    <w:rsid w:val="00F216F9"/>
    <w:rsid w:val="00F21F19"/>
    <w:rsid w:val="00F22ABA"/>
    <w:rsid w:val="00F22B58"/>
    <w:rsid w:val="00F24FEF"/>
    <w:rsid w:val="00F26309"/>
    <w:rsid w:val="00F2638D"/>
    <w:rsid w:val="00F2655B"/>
    <w:rsid w:val="00F26B04"/>
    <w:rsid w:val="00F26BDC"/>
    <w:rsid w:val="00F278AB"/>
    <w:rsid w:val="00F3063A"/>
    <w:rsid w:val="00F308C3"/>
    <w:rsid w:val="00F30B5F"/>
    <w:rsid w:val="00F30CF9"/>
    <w:rsid w:val="00F31043"/>
    <w:rsid w:val="00F313C9"/>
    <w:rsid w:val="00F329A4"/>
    <w:rsid w:val="00F331CA"/>
    <w:rsid w:val="00F33618"/>
    <w:rsid w:val="00F34CF7"/>
    <w:rsid w:val="00F34F27"/>
    <w:rsid w:val="00F34F47"/>
    <w:rsid w:val="00F35C3E"/>
    <w:rsid w:val="00F36675"/>
    <w:rsid w:val="00F40130"/>
    <w:rsid w:val="00F4136F"/>
    <w:rsid w:val="00F413E1"/>
    <w:rsid w:val="00F41A9B"/>
    <w:rsid w:val="00F42415"/>
    <w:rsid w:val="00F431B9"/>
    <w:rsid w:val="00F4394A"/>
    <w:rsid w:val="00F44AA9"/>
    <w:rsid w:val="00F44B95"/>
    <w:rsid w:val="00F44F67"/>
    <w:rsid w:val="00F4517B"/>
    <w:rsid w:val="00F46276"/>
    <w:rsid w:val="00F47282"/>
    <w:rsid w:val="00F476A8"/>
    <w:rsid w:val="00F47AED"/>
    <w:rsid w:val="00F5055A"/>
    <w:rsid w:val="00F5090C"/>
    <w:rsid w:val="00F526F6"/>
    <w:rsid w:val="00F5282D"/>
    <w:rsid w:val="00F5311F"/>
    <w:rsid w:val="00F531DC"/>
    <w:rsid w:val="00F5452D"/>
    <w:rsid w:val="00F54873"/>
    <w:rsid w:val="00F557C5"/>
    <w:rsid w:val="00F557EE"/>
    <w:rsid w:val="00F55A5F"/>
    <w:rsid w:val="00F5657D"/>
    <w:rsid w:val="00F56B46"/>
    <w:rsid w:val="00F56BC0"/>
    <w:rsid w:val="00F56DC5"/>
    <w:rsid w:val="00F56F13"/>
    <w:rsid w:val="00F5733C"/>
    <w:rsid w:val="00F57E42"/>
    <w:rsid w:val="00F60B70"/>
    <w:rsid w:val="00F60ED8"/>
    <w:rsid w:val="00F634E4"/>
    <w:rsid w:val="00F63782"/>
    <w:rsid w:val="00F645F8"/>
    <w:rsid w:val="00F64F46"/>
    <w:rsid w:val="00F65661"/>
    <w:rsid w:val="00F65DBF"/>
    <w:rsid w:val="00F66BC6"/>
    <w:rsid w:val="00F66CA8"/>
    <w:rsid w:val="00F66E6C"/>
    <w:rsid w:val="00F6749A"/>
    <w:rsid w:val="00F679C2"/>
    <w:rsid w:val="00F70574"/>
    <w:rsid w:val="00F70BA4"/>
    <w:rsid w:val="00F70DD8"/>
    <w:rsid w:val="00F71392"/>
    <w:rsid w:val="00F713AE"/>
    <w:rsid w:val="00F71894"/>
    <w:rsid w:val="00F71C5F"/>
    <w:rsid w:val="00F726C7"/>
    <w:rsid w:val="00F74B2A"/>
    <w:rsid w:val="00F75757"/>
    <w:rsid w:val="00F75DDA"/>
    <w:rsid w:val="00F763F0"/>
    <w:rsid w:val="00F76C1E"/>
    <w:rsid w:val="00F76E00"/>
    <w:rsid w:val="00F77C39"/>
    <w:rsid w:val="00F80A5F"/>
    <w:rsid w:val="00F81574"/>
    <w:rsid w:val="00F81D4C"/>
    <w:rsid w:val="00F81EE8"/>
    <w:rsid w:val="00F8223A"/>
    <w:rsid w:val="00F83012"/>
    <w:rsid w:val="00F833C3"/>
    <w:rsid w:val="00F83706"/>
    <w:rsid w:val="00F8579E"/>
    <w:rsid w:val="00F8713B"/>
    <w:rsid w:val="00F87259"/>
    <w:rsid w:val="00F902EE"/>
    <w:rsid w:val="00F91B0B"/>
    <w:rsid w:val="00F91BFD"/>
    <w:rsid w:val="00F91CC9"/>
    <w:rsid w:val="00F91D90"/>
    <w:rsid w:val="00F9212C"/>
    <w:rsid w:val="00F92418"/>
    <w:rsid w:val="00F92F91"/>
    <w:rsid w:val="00F954D4"/>
    <w:rsid w:val="00F96261"/>
    <w:rsid w:val="00F96559"/>
    <w:rsid w:val="00F96FAF"/>
    <w:rsid w:val="00F9728B"/>
    <w:rsid w:val="00F97D69"/>
    <w:rsid w:val="00FA035E"/>
    <w:rsid w:val="00FA076F"/>
    <w:rsid w:val="00FA1168"/>
    <w:rsid w:val="00FA1412"/>
    <w:rsid w:val="00FA1DCD"/>
    <w:rsid w:val="00FA387D"/>
    <w:rsid w:val="00FA3EEB"/>
    <w:rsid w:val="00FA452D"/>
    <w:rsid w:val="00FA459C"/>
    <w:rsid w:val="00FA49CD"/>
    <w:rsid w:val="00FA529C"/>
    <w:rsid w:val="00FA5B3B"/>
    <w:rsid w:val="00FA61FE"/>
    <w:rsid w:val="00FA67AA"/>
    <w:rsid w:val="00FA6A2C"/>
    <w:rsid w:val="00FA6D16"/>
    <w:rsid w:val="00FA6FEC"/>
    <w:rsid w:val="00FA7045"/>
    <w:rsid w:val="00FA75F4"/>
    <w:rsid w:val="00FB014C"/>
    <w:rsid w:val="00FB1E80"/>
    <w:rsid w:val="00FB201F"/>
    <w:rsid w:val="00FB277B"/>
    <w:rsid w:val="00FB2A5D"/>
    <w:rsid w:val="00FB3B66"/>
    <w:rsid w:val="00FB438C"/>
    <w:rsid w:val="00FB482B"/>
    <w:rsid w:val="00FB4A6E"/>
    <w:rsid w:val="00FB4AE7"/>
    <w:rsid w:val="00FB4ECD"/>
    <w:rsid w:val="00FB4FC0"/>
    <w:rsid w:val="00FB5341"/>
    <w:rsid w:val="00FB62F5"/>
    <w:rsid w:val="00FB74F5"/>
    <w:rsid w:val="00FB767B"/>
    <w:rsid w:val="00FC24FE"/>
    <w:rsid w:val="00FC259C"/>
    <w:rsid w:val="00FC2633"/>
    <w:rsid w:val="00FC2EA4"/>
    <w:rsid w:val="00FC308B"/>
    <w:rsid w:val="00FC3338"/>
    <w:rsid w:val="00FC34DE"/>
    <w:rsid w:val="00FC4CB9"/>
    <w:rsid w:val="00FC4D30"/>
    <w:rsid w:val="00FC4FC7"/>
    <w:rsid w:val="00FC575B"/>
    <w:rsid w:val="00FC6AAB"/>
    <w:rsid w:val="00FC6FFF"/>
    <w:rsid w:val="00FC77EC"/>
    <w:rsid w:val="00FD01E4"/>
    <w:rsid w:val="00FD0882"/>
    <w:rsid w:val="00FD0FD1"/>
    <w:rsid w:val="00FD3444"/>
    <w:rsid w:val="00FD6EC4"/>
    <w:rsid w:val="00FD7166"/>
    <w:rsid w:val="00FE2345"/>
    <w:rsid w:val="00FE40E7"/>
    <w:rsid w:val="00FE4357"/>
    <w:rsid w:val="00FE4372"/>
    <w:rsid w:val="00FE4822"/>
    <w:rsid w:val="00FE49C2"/>
    <w:rsid w:val="00FF0BBB"/>
    <w:rsid w:val="00FF3CDB"/>
    <w:rsid w:val="00FF476F"/>
    <w:rsid w:val="00FF5C6E"/>
    <w:rsid w:val="00FF5D12"/>
    <w:rsid w:val="00FF60E1"/>
    <w:rsid w:val="00FF65A5"/>
    <w:rsid w:val="00FF75A8"/>
    <w:rsid w:val="00FF7710"/>
    <w:rsid w:val="00FF78B3"/>
    <w:rsid w:val="00FF7B7B"/>
    <w:rsid w:val="00FF7D02"/>
    <w:rsid w:val="01011432"/>
    <w:rsid w:val="01192C1F"/>
    <w:rsid w:val="011C626C"/>
    <w:rsid w:val="01282E62"/>
    <w:rsid w:val="0159017F"/>
    <w:rsid w:val="015B4FE6"/>
    <w:rsid w:val="015C7E4D"/>
    <w:rsid w:val="015E14AD"/>
    <w:rsid w:val="01626374"/>
    <w:rsid w:val="01632467"/>
    <w:rsid w:val="016A347B"/>
    <w:rsid w:val="016C2D4F"/>
    <w:rsid w:val="016E2F6B"/>
    <w:rsid w:val="017D4F5C"/>
    <w:rsid w:val="017E0CD4"/>
    <w:rsid w:val="018856AF"/>
    <w:rsid w:val="018A7679"/>
    <w:rsid w:val="01987FE8"/>
    <w:rsid w:val="019B2C2C"/>
    <w:rsid w:val="01A35C85"/>
    <w:rsid w:val="01B3097E"/>
    <w:rsid w:val="01B355FF"/>
    <w:rsid w:val="01B6046E"/>
    <w:rsid w:val="01B70E77"/>
    <w:rsid w:val="01BD17FD"/>
    <w:rsid w:val="01CC7C92"/>
    <w:rsid w:val="01D37272"/>
    <w:rsid w:val="01D63C01"/>
    <w:rsid w:val="01DF79C5"/>
    <w:rsid w:val="01E90844"/>
    <w:rsid w:val="01F215FD"/>
    <w:rsid w:val="01F3069B"/>
    <w:rsid w:val="01FA65AD"/>
    <w:rsid w:val="02022436"/>
    <w:rsid w:val="020C789B"/>
    <w:rsid w:val="02151639"/>
    <w:rsid w:val="021653B1"/>
    <w:rsid w:val="02186A33"/>
    <w:rsid w:val="021D673F"/>
    <w:rsid w:val="0224362A"/>
    <w:rsid w:val="02251150"/>
    <w:rsid w:val="0238038D"/>
    <w:rsid w:val="023C37B3"/>
    <w:rsid w:val="023F0464"/>
    <w:rsid w:val="02407599"/>
    <w:rsid w:val="0250441F"/>
    <w:rsid w:val="02535CBD"/>
    <w:rsid w:val="025A529E"/>
    <w:rsid w:val="025C2F55"/>
    <w:rsid w:val="02641C78"/>
    <w:rsid w:val="02705394"/>
    <w:rsid w:val="02750BC9"/>
    <w:rsid w:val="02792535"/>
    <w:rsid w:val="028117CA"/>
    <w:rsid w:val="02832A46"/>
    <w:rsid w:val="028574C3"/>
    <w:rsid w:val="02896295"/>
    <w:rsid w:val="02897931"/>
    <w:rsid w:val="02936A01"/>
    <w:rsid w:val="029D7F1D"/>
    <w:rsid w:val="029E5B41"/>
    <w:rsid w:val="029F4803"/>
    <w:rsid w:val="02A23A3C"/>
    <w:rsid w:val="02A36C44"/>
    <w:rsid w:val="02A62291"/>
    <w:rsid w:val="02AB5498"/>
    <w:rsid w:val="02B20C36"/>
    <w:rsid w:val="02B524D4"/>
    <w:rsid w:val="02CE17E8"/>
    <w:rsid w:val="02CF7A3A"/>
    <w:rsid w:val="02D73025"/>
    <w:rsid w:val="02D958E4"/>
    <w:rsid w:val="02E01C47"/>
    <w:rsid w:val="02E96795"/>
    <w:rsid w:val="02F23728"/>
    <w:rsid w:val="02FA438B"/>
    <w:rsid w:val="030376E3"/>
    <w:rsid w:val="030A0F17"/>
    <w:rsid w:val="030B2A3C"/>
    <w:rsid w:val="030E7E36"/>
    <w:rsid w:val="030F118E"/>
    <w:rsid w:val="03100052"/>
    <w:rsid w:val="031C2553"/>
    <w:rsid w:val="031C69F7"/>
    <w:rsid w:val="03323A48"/>
    <w:rsid w:val="033E4BBF"/>
    <w:rsid w:val="03425718"/>
    <w:rsid w:val="034E1DBA"/>
    <w:rsid w:val="034F11A8"/>
    <w:rsid w:val="03595ED5"/>
    <w:rsid w:val="03597303"/>
    <w:rsid w:val="035A20E7"/>
    <w:rsid w:val="035D3B55"/>
    <w:rsid w:val="035E4625"/>
    <w:rsid w:val="035F1C90"/>
    <w:rsid w:val="03661A20"/>
    <w:rsid w:val="036A6BCD"/>
    <w:rsid w:val="036D1000"/>
    <w:rsid w:val="036E0E5F"/>
    <w:rsid w:val="03716D43"/>
    <w:rsid w:val="0388408C"/>
    <w:rsid w:val="038A5E19"/>
    <w:rsid w:val="038F541B"/>
    <w:rsid w:val="039136C4"/>
    <w:rsid w:val="03936CB9"/>
    <w:rsid w:val="03A763E2"/>
    <w:rsid w:val="03AA2D05"/>
    <w:rsid w:val="03AA7B5F"/>
    <w:rsid w:val="03AB203D"/>
    <w:rsid w:val="03B31109"/>
    <w:rsid w:val="03B409DD"/>
    <w:rsid w:val="03CA1FAF"/>
    <w:rsid w:val="03CC0CCB"/>
    <w:rsid w:val="03D119E3"/>
    <w:rsid w:val="03D41080"/>
    <w:rsid w:val="03DD6ACC"/>
    <w:rsid w:val="03E273F4"/>
    <w:rsid w:val="03E312C3"/>
    <w:rsid w:val="03EC7ADB"/>
    <w:rsid w:val="03EE372A"/>
    <w:rsid w:val="03F37758"/>
    <w:rsid w:val="03F86B1C"/>
    <w:rsid w:val="03FE4DF0"/>
    <w:rsid w:val="03FE4FA5"/>
    <w:rsid w:val="04073203"/>
    <w:rsid w:val="04117BDE"/>
    <w:rsid w:val="041B0C92"/>
    <w:rsid w:val="04221DEB"/>
    <w:rsid w:val="042518C8"/>
    <w:rsid w:val="042518DB"/>
    <w:rsid w:val="042943D1"/>
    <w:rsid w:val="043527CA"/>
    <w:rsid w:val="04364711"/>
    <w:rsid w:val="04426999"/>
    <w:rsid w:val="04496692"/>
    <w:rsid w:val="044E498E"/>
    <w:rsid w:val="0451447E"/>
    <w:rsid w:val="04535598"/>
    <w:rsid w:val="046061C4"/>
    <w:rsid w:val="046248DD"/>
    <w:rsid w:val="046264FB"/>
    <w:rsid w:val="04642403"/>
    <w:rsid w:val="04657F2A"/>
    <w:rsid w:val="04673CA2"/>
    <w:rsid w:val="04686BB9"/>
    <w:rsid w:val="04727A0B"/>
    <w:rsid w:val="04800166"/>
    <w:rsid w:val="0482690C"/>
    <w:rsid w:val="04831CB9"/>
    <w:rsid w:val="04856DBA"/>
    <w:rsid w:val="04887BEA"/>
    <w:rsid w:val="048E7480"/>
    <w:rsid w:val="04974587"/>
    <w:rsid w:val="049975B9"/>
    <w:rsid w:val="04A73D9B"/>
    <w:rsid w:val="04AB3B8E"/>
    <w:rsid w:val="04AC4FFA"/>
    <w:rsid w:val="04C2139E"/>
    <w:rsid w:val="04C64E6C"/>
    <w:rsid w:val="04D43089"/>
    <w:rsid w:val="04DA0918"/>
    <w:rsid w:val="04F05A45"/>
    <w:rsid w:val="05065269"/>
    <w:rsid w:val="050B0AD1"/>
    <w:rsid w:val="050D1F24"/>
    <w:rsid w:val="051211C6"/>
    <w:rsid w:val="0512745A"/>
    <w:rsid w:val="0523406D"/>
    <w:rsid w:val="05235E1B"/>
    <w:rsid w:val="052878D5"/>
    <w:rsid w:val="052C36C7"/>
    <w:rsid w:val="05322502"/>
    <w:rsid w:val="053973EC"/>
    <w:rsid w:val="053A3164"/>
    <w:rsid w:val="053F172A"/>
    <w:rsid w:val="053F672D"/>
    <w:rsid w:val="0543026B"/>
    <w:rsid w:val="055A53F6"/>
    <w:rsid w:val="056D178C"/>
    <w:rsid w:val="056D7096"/>
    <w:rsid w:val="0576374F"/>
    <w:rsid w:val="057C42CE"/>
    <w:rsid w:val="057E12A3"/>
    <w:rsid w:val="058663AA"/>
    <w:rsid w:val="05872B13"/>
    <w:rsid w:val="05872E7F"/>
    <w:rsid w:val="0594404A"/>
    <w:rsid w:val="059565ED"/>
    <w:rsid w:val="059F12FB"/>
    <w:rsid w:val="05B44CC5"/>
    <w:rsid w:val="05BC1753"/>
    <w:rsid w:val="05C018BB"/>
    <w:rsid w:val="05D13AC9"/>
    <w:rsid w:val="05D15877"/>
    <w:rsid w:val="05DC49B6"/>
    <w:rsid w:val="05DF7171"/>
    <w:rsid w:val="05EC0902"/>
    <w:rsid w:val="05EC480B"/>
    <w:rsid w:val="05F81EE1"/>
    <w:rsid w:val="05FE23E4"/>
    <w:rsid w:val="05FF7C5E"/>
    <w:rsid w:val="06007F0A"/>
    <w:rsid w:val="0603173B"/>
    <w:rsid w:val="060E006A"/>
    <w:rsid w:val="060E0879"/>
    <w:rsid w:val="06127C3D"/>
    <w:rsid w:val="06197A1D"/>
    <w:rsid w:val="061E18D9"/>
    <w:rsid w:val="061F6062"/>
    <w:rsid w:val="06356FCC"/>
    <w:rsid w:val="064249C6"/>
    <w:rsid w:val="06427C05"/>
    <w:rsid w:val="064704BB"/>
    <w:rsid w:val="065344DE"/>
    <w:rsid w:val="06563FCE"/>
    <w:rsid w:val="065A3ABE"/>
    <w:rsid w:val="06624721"/>
    <w:rsid w:val="067508F8"/>
    <w:rsid w:val="06782196"/>
    <w:rsid w:val="06783F44"/>
    <w:rsid w:val="06826B71"/>
    <w:rsid w:val="068C566F"/>
    <w:rsid w:val="069015D4"/>
    <w:rsid w:val="069114AA"/>
    <w:rsid w:val="0699736F"/>
    <w:rsid w:val="069B7AE1"/>
    <w:rsid w:val="06A27213"/>
    <w:rsid w:val="06B035A1"/>
    <w:rsid w:val="06B225CD"/>
    <w:rsid w:val="06B238FA"/>
    <w:rsid w:val="06B83EA4"/>
    <w:rsid w:val="06B84C89"/>
    <w:rsid w:val="06C23411"/>
    <w:rsid w:val="06CC689B"/>
    <w:rsid w:val="06CF446D"/>
    <w:rsid w:val="06D21CCA"/>
    <w:rsid w:val="06D57890"/>
    <w:rsid w:val="06D92B6F"/>
    <w:rsid w:val="06DA075B"/>
    <w:rsid w:val="06DC2725"/>
    <w:rsid w:val="06E15F8D"/>
    <w:rsid w:val="06E25862"/>
    <w:rsid w:val="06E3407D"/>
    <w:rsid w:val="06E65352"/>
    <w:rsid w:val="06F7755F"/>
    <w:rsid w:val="0701218C"/>
    <w:rsid w:val="070F6225"/>
    <w:rsid w:val="0710142E"/>
    <w:rsid w:val="07155C37"/>
    <w:rsid w:val="07195727"/>
    <w:rsid w:val="07342561"/>
    <w:rsid w:val="07372051"/>
    <w:rsid w:val="073C31C4"/>
    <w:rsid w:val="073C7BA7"/>
    <w:rsid w:val="07461001"/>
    <w:rsid w:val="0754675F"/>
    <w:rsid w:val="07585B24"/>
    <w:rsid w:val="075C1AB8"/>
    <w:rsid w:val="0768220B"/>
    <w:rsid w:val="07787F0D"/>
    <w:rsid w:val="07844720"/>
    <w:rsid w:val="078D1179"/>
    <w:rsid w:val="07936306"/>
    <w:rsid w:val="079876F6"/>
    <w:rsid w:val="079E3E7E"/>
    <w:rsid w:val="07A11279"/>
    <w:rsid w:val="07A24F71"/>
    <w:rsid w:val="07AD250D"/>
    <w:rsid w:val="07BE62CF"/>
    <w:rsid w:val="07C136C9"/>
    <w:rsid w:val="07D57174"/>
    <w:rsid w:val="07E55609"/>
    <w:rsid w:val="07E60726"/>
    <w:rsid w:val="07EC2E3C"/>
    <w:rsid w:val="07EC493C"/>
    <w:rsid w:val="07F10861"/>
    <w:rsid w:val="07FB4E2D"/>
    <w:rsid w:val="07FC76FD"/>
    <w:rsid w:val="07FE2B6F"/>
    <w:rsid w:val="07FE66CB"/>
    <w:rsid w:val="07FE759D"/>
    <w:rsid w:val="08144B81"/>
    <w:rsid w:val="08145258"/>
    <w:rsid w:val="08193505"/>
    <w:rsid w:val="081B54CF"/>
    <w:rsid w:val="08204577"/>
    <w:rsid w:val="0828199A"/>
    <w:rsid w:val="08316AA1"/>
    <w:rsid w:val="083B16CD"/>
    <w:rsid w:val="083D48CB"/>
    <w:rsid w:val="084A5470"/>
    <w:rsid w:val="084A62D9"/>
    <w:rsid w:val="08566507"/>
    <w:rsid w:val="085D01BB"/>
    <w:rsid w:val="085D1644"/>
    <w:rsid w:val="08624EAC"/>
    <w:rsid w:val="08626C5A"/>
    <w:rsid w:val="08630C76"/>
    <w:rsid w:val="086E3851"/>
    <w:rsid w:val="086F75C9"/>
    <w:rsid w:val="087B3CF2"/>
    <w:rsid w:val="087D5842"/>
    <w:rsid w:val="0881756F"/>
    <w:rsid w:val="088C017B"/>
    <w:rsid w:val="089E3A0A"/>
    <w:rsid w:val="089F1C5C"/>
    <w:rsid w:val="08A62997"/>
    <w:rsid w:val="08AE6343"/>
    <w:rsid w:val="08B40F0A"/>
    <w:rsid w:val="08B576D2"/>
    <w:rsid w:val="08BC0A60"/>
    <w:rsid w:val="08C6543B"/>
    <w:rsid w:val="08CC0577"/>
    <w:rsid w:val="08CE0793"/>
    <w:rsid w:val="08CF1E16"/>
    <w:rsid w:val="08DD5250"/>
    <w:rsid w:val="08E1449B"/>
    <w:rsid w:val="08E1540A"/>
    <w:rsid w:val="08EC29C7"/>
    <w:rsid w:val="08EE4992"/>
    <w:rsid w:val="08FC0E5C"/>
    <w:rsid w:val="08FF6B9F"/>
    <w:rsid w:val="09012917"/>
    <w:rsid w:val="090146C5"/>
    <w:rsid w:val="090B4EFE"/>
    <w:rsid w:val="091A4A59"/>
    <w:rsid w:val="091A7535"/>
    <w:rsid w:val="091C163A"/>
    <w:rsid w:val="093323A4"/>
    <w:rsid w:val="093C74AB"/>
    <w:rsid w:val="094576C5"/>
    <w:rsid w:val="094620D8"/>
    <w:rsid w:val="09465686"/>
    <w:rsid w:val="094E7F51"/>
    <w:rsid w:val="09510A7C"/>
    <w:rsid w:val="09523172"/>
    <w:rsid w:val="0958163D"/>
    <w:rsid w:val="095D5673"/>
    <w:rsid w:val="095D6ACD"/>
    <w:rsid w:val="09644C54"/>
    <w:rsid w:val="09732F58"/>
    <w:rsid w:val="097A7FD3"/>
    <w:rsid w:val="09806F24"/>
    <w:rsid w:val="09886B94"/>
    <w:rsid w:val="09907D5D"/>
    <w:rsid w:val="099866AB"/>
    <w:rsid w:val="09A339CE"/>
    <w:rsid w:val="09A77398"/>
    <w:rsid w:val="09B06041"/>
    <w:rsid w:val="09B434E5"/>
    <w:rsid w:val="09B5725D"/>
    <w:rsid w:val="09BB0D18"/>
    <w:rsid w:val="09BC6226"/>
    <w:rsid w:val="09BE25B6"/>
    <w:rsid w:val="09C6146A"/>
    <w:rsid w:val="09D12E4F"/>
    <w:rsid w:val="09DB3168"/>
    <w:rsid w:val="09DB53FE"/>
    <w:rsid w:val="09DC0C8E"/>
    <w:rsid w:val="09ED0371"/>
    <w:rsid w:val="09EF6C13"/>
    <w:rsid w:val="09F27BE2"/>
    <w:rsid w:val="09F510F6"/>
    <w:rsid w:val="09F63AFE"/>
    <w:rsid w:val="09F71624"/>
    <w:rsid w:val="0A014251"/>
    <w:rsid w:val="0A0655BF"/>
    <w:rsid w:val="0A0C1573"/>
    <w:rsid w:val="0A0F4BBF"/>
    <w:rsid w:val="0A115F02"/>
    <w:rsid w:val="0A14667A"/>
    <w:rsid w:val="0A1B06CC"/>
    <w:rsid w:val="0A20501F"/>
    <w:rsid w:val="0A244FEB"/>
    <w:rsid w:val="0A310FDA"/>
    <w:rsid w:val="0A334D52"/>
    <w:rsid w:val="0A3925DE"/>
    <w:rsid w:val="0A3D48EC"/>
    <w:rsid w:val="0A3E37D4"/>
    <w:rsid w:val="0A4505E1"/>
    <w:rsid w:val="0A4A3E4A"/>
    <w:rsid w:val="0A4C7BC2"/>
    <w:rsid w:val="0A5D5410"/>
    <w:rsid w:val="0A64315D"/>
    <w:rsid w:val="0A6A629A"/>
    <w:rsid w:val="0A6C7D4F"/>
    <w:rsid w:val="0A79472F"/>
    <w:rsid w:val="0A8F3F52"/>
    <w:rsid w:val="0A932559"/>
    <w:rsid w:val="0AA479FE"/>
    <w:rsid w:val="0AA61425"/>
    <w:rsid w:val="0AA87E45"/>
    <w:rsid w:val="0AB614DF"/>
    <w:rsid w:val="0AB83AA5"/>
    <w:rsid w:val="0AC92FC0"/>
    <w:rsid w:val="0ACA0AE6"/>
    <w:rsid w:val="0ACB31DC"/>
    <w:rsid w:val="0ACC7D68"/>
    <w:rsid w:val="0AD007F3"/>
    <w:rsid w:val="0ADD6A6C"/>
    <w:rsid w:val="0ADF4DDA"/>
    <w:rsid w:val="0AE35A2F"/>
    <w:rsid w:val="0AE61DC4"/>
    <w:rsid w:val="0AEC4F01"/>
    <w:rsid w:val="0AF3628F"/>
    <w:rsid w:val="0AFA7D53"/>
    <w:rsid w:val="0AFF48CA"/>
    <w:rsid w:val="0AFF7F45"/>
    <w:rsid w:val="0B0269E2"/>
    <w:rsid w:val="0B0859F4"/>
    <w:rsid w:val="0B09160F"/>
    <w:rsid w:val="0B0A4571"/>
    <w:rsid w:val="0B0C55A3"/>
    <w:rsid w:val="0B103476"/>
    <w:rsid w:val="0B106E41"/>
    <w:rsid w:val="0B112BB9"/>
    <w:rsid w:val="0B177790"/>
    <w:rsid w:val="0B195CA8"/>
    <w:rsid w:val="0B1A7CC0"/>
    <w:rsid w:val="0B236999"/>
    <w:rsid w:val="0B281722"/>
    <w:rsid w:val="0B344AB5"/>
    <w:rsid w:val="0B380146"/>
    <w:rsid w:val="0B390269"/>
    <w:rsid w:val="0B416850"/>
    <w:rsid w:val="0B424B21"/>
    <w:rsid w:val="0B494101"/>
    <w:rsid w:val="0B522515"/>
    <w:rsid w:val="0B534F80"/>
    <w:rsid w:val="0B680A2B"/>
    <w:rsid w:val="0B7F6074"/>
    <w:rsid w:val="0B81389B"/>
    <w:rsid w:val="0B8B471A"/>
    <w:rsid w:val="0B8C5A16"/>
    <w:rsid w:val="0B980BE5"/>
    <w:rsid w:val="0B9B4146"/>
    <w:rsid w:val="0BA14DDA"/>
    <w:rsid w:val="0BA9624D"/>
    <w:rsid w:val="0BAD643E"/>
    <w:rsid w:val="0BB21CA6"/>
    <w:rsid w:val="0BB92F18"/>
    <w:rsid w:val="0BBE7A94"/>
    <w:rsid w:val="0BC32105"/>
    <w:rsid w:val="0BCB0FBA"/>
    <w:rsid w:val="0BCB720C"/>
    <w:rsid w:val="0BCE4606"/>
    <w:rsid w:val="0BD16913"/>
    <w:rsid w:val="0BD22464"/>
    <w:rsid w:val="0BD240F7"/>
    <w:rsid w:val="0BD47E6F"/>
    <w:rsid w:val="0BD52EA9"/>
    <w:rsid w:val="0BE028BB"/>
    <w:rsid w:val="0BE5207C"/>
    <w:rsid w:val="0BF26C44"/>
    <w:rsid w:val="0BF95B27"/>
    <w:rsid w:val="0BFA7817"/>
    <w:rsid w:val="0BFB189F"/>
    <w:rsid w:val="0BFF2A12"/>
    <w:rsid w:val="0C006EB6"/>
    <w:rsid w:val="0C060244"/>
    <w:rsid w:val="0C1163E6"/>
    <w:rsid w:val="0C11643C"/>
    <w:rsid w:val="0C126BE9"/>
    <w:rsid w:val="0C152235"/>
    <w:rsid w:val="0C1741FF"/>
    <w:rsid w:val="0C1A03FD"/>
    <w:rsid w:val="0C2C429A"/>
    <w:rsid w:val="0C3502F0"/>
    <w:rsid w:val="0C360B29"/>
    <w:rsid w:val="0C3B5596"/>
    <w:rsid w:val="0C3C5A14"/>
    <w:rsid w:val="0C432866"/>
    <w:rsid w:val="0C4C3EA9"/>
    <w:rsid w:val="0C4D5E73"/>
    <w:rsid w:val="0C5114BF"/>
    <w:rsid w:val="0C5C1AD8"/>
    <w:rsid w:val="0C6008CA"/>
    <w:rsid w:val="0C605BA6"/>
    <w:rsid w:val="0C6F7B97"/>
    <w:rsid w:val="0C774C9E"/>
    <w:rsid w:val="0C7B653C"/>
    <w:rsid w:val="0C8D5F17"/>
    <w:rsid w:val="0C927091"/>
    <w:rsid w:val="0C970E9C"/>
    <w:rsid w:val="0C992E66"/>
    <w:rsid w:val="0C9C5EA0"/>
    <w:rsid w:val="0C9D2956"/>
    <w:rsid w:val="0CA23AC9"/>
    <w:rsid w:val="0CA43A03"/>
    <w:rsid w:val="0CA652B4"/>
    <w:rsid w:val="0CA710DF"/>
    <w:rsid w:val="0CB3061D"/>
    <w:rsid w:val="0CB437FC"/>
    <w:rsid w:val="0CB81B99"/>
    <w:rsid w:val="0CBB4B8B"/>
    <w:rsid w:val="0CBE467B"/>
    <w:rsid w:val="0CC26411"/>
    <w:rsid w:val="0CC865FD"/>
    <w:rsid w:val="0CCE0D62"/>
    <w:rsid w:val="0CCF6888"/>
    <w:rsid w:val="0CD22A8A"/>
    <w:rsid w:val="0CDB64C6"/>
    <w:rsid w:val="0CDB7EA0"/>
    <w:rsid w:val="0CDD71F7"/>
    <w:rsid w:val="0CE00843"/>
    <w:rsid w:val="0CF602B9"/>
    <w:rsid w:val="0CF63E15"/>
    <w:rsid w:val="0CFB25DD"/>
    <w:rsid w:val="0D016648"/>
    <w:rsid w:val="0D0504FC"/>
    <w:rsid w:val="0D051E9D"/>
    <w:rsid w:val="0D0E3617"/>
    <w:rsid w:val="0D1644B7"/>
    <w:rsid w:val="0D166FB7"/>
    <w:rsid w:val="0D1A101C"/>
    <w:rsid w:val="0D1E05DD"/>
    <w:rsid w:val="0D232F82"/>
    <w:rsid w:val="0D2A439B"/>
    <w:rsid w:val="0D307327"/>
    <w:rsid w:val="0D411534"/>
    <w:rsid w:val="0D442DD2"/>
    <w:rsid w:val="0D4508F8"/>
    <w:rsid w:val="0D5004E9"/>
    <w:rsid w:val="0D5374B9"/>
    <w:rsid w:val="0D600FED"/>
    <w:rsid w:val="0D674D12"/>
    <w:rsid w:val="0D6C2329"/>
    <w:rsid w:val="0D6E7E4F"/>
    <w:rsid w:val="0D731909"/>
    <w:rsid w:val="0D74379A"/>
    <w:rsid w:val="0D7C6A10"/>
    <w:rsid w:val="0D8633EB"/>
    <w:rsid w:val="0D8E2690"/>
    <w:rsid w:val="0D8E348A"/>
    <w:rsid w:val="0D91534F"/>
    <w:rsid w:val="0D95362E"/>
    <w:rsid w:val="0D953752"/>
    <w:rsid w:val="0D961154"/>
    <w:rsid w:val="0DBC1003"/>
    <w:rsid w:val="0DC43EB1"/>
    <w:rsid w:val="0DD5144B"/>
    <w:rsid w:val="0DD759F4"/>
    <w:rsid w:val="0DD8176C"/>
    <w:rsid w:val="0DD9599C"/>
    <w:rsid w:val="0DDD6D83"/>
    <w:rsid w:val="0DE6032D"/>
    <w:rsid w:val="0DFC18FF"/>
    <w:rsid w:val="0E0802A4"/>
    <w:rsid w:val="0E1518A1"/>
    <w:rsid w:val="0E1924B1"/>
    <w:rsid w:val="0E194F31"/>
    <w:rsid w:val="0E197DBB"/>
    <w:rsid w:val="0E1A7C34"/>
    <w:rsid w:val="0E223278"/>
    <w:rsid w:val="0E255D69"/>
    <w:rsid w:val="0E362232"/>
    <w:rsid w:val="0E39045D"/>
    <w:rsid w:val="0E3B2427"/>
    <w:rsid w:val="0E3C1CFB"/>
    <w:rsid w:val="0E3E3CC5"/>
    <w:rsid w:val="0E417312"/>
    <w:rsid w:val="0E476CA0"/>
    <w:rsid w:val="0E4B1F3E"/>
    <w:rsid w:val="0E4D5CB6"/>
    <w:rsid w:val="0E6059EA"/>
    <w:rsid w:val="0E693073"/>
    <w:rsid w:val="0E6E1987"/>
    <w:rsid w:val="0E715E49"/>
    <w:rsid w:val="0E72571D"/>
    <w:rsid w:val="0E727ADE"/>
    <w:rsid w:val="0E745939"/>
    <w:rsid w:val="0E811E04"/>
    <w:rsid w:val="0E83792A"/>
    <w:rsid w:val="0E8A515C"/>
    <w:rsid w:val="0E8D2557"/>
    <w:rsid w:val="0E9E6834"/>
    <w:rsid w:val="0EAA3109"/>
    <w:rsid w:val="0EAE274B"/>
    <w:rsid w:val="0EBD2E3C"/>
    <w:rsid w:val="0EC50100"/>
    <w:rsid w:val="0ED168E7"/>
    <w:rsid w:val="0ED20405"/>
    <w:rsid w:val="0ED71A24"/>
    <w:rsid w:val="0EDF70C1"/>
    <w:rsid w:val="0EE46CDD"/>
    <w:rsid w:val="0EEA79A9"/>
    <w:rsid w:val="0EEF6D6E"/>
    <w:rsid w:val="0EF24286"/>
    <w:rsid w:val="0F017BB0"/>
    <w:rsid w:val="0F0D215C"/>
    <w:rsid w:val="0F0F7410"/>
    <w:rsid w:val="0F16079E"/>
    <w:rsid w:val="0F1F58A5"/>
    <w:rsid w:val="0F24110D"/>
    <w:rsid w:val="0F242EBB"/>
    <w:rsid w:val="0F346E76"/>
    <w:rsid w:val="0F3A448D"/>
    <w:rsid w:val="0F3E7C84"/>
    <w:rsid w:val="0F3F5F47"/>
    <w:rsid w:val="0F451083"/>
    <w:rsid w:val="0F494A11"/>
    <w:rsid w:val="0F4C27CC"/>
    <w:rsid w:val="0F552D24"/>
    <w:rsid w:val="0F580DB7"/>
    <w:rsid w:val="0F59068B"/>
    <w:rsid w:val="0F601A19"/>
    <w:rsid w:val="0F672DA8"/>
    <w:rsid w:val="0F706100"/>
    <w:rsid w:val="0F751969"/>
    <w:rsid w:val="0F783207"/>
    <w:rsid w:val="0F87661A"/>
    <w:rsid w:val="0F900A8A"/>
    <w:rsid w:val="0F9242C9"/>
    <w:rsid w:val="0F9A317D"/>
    <w:rsid w:val="0F9E2E3C"/>
    <w:rsid w:val="0F9F39DA"/>
    <w:rsid w:val="0FA52FC2"/>
    <w:rsid w:val="0FA7589A"/>
    <w:rsid w:val="0FAE4E7B"/>
    <w:rsid w:val="0FBC7598"/>
    <w:rsid w:val="0FD50659"/>
    <w:rsid w:val="0FD77F2D"/>
    <w:rsid w:val="0FDD6ADF"/>
    <w:rsid w:val="0FE20680"/>
    <w:rsid w:val="0FE42090"/>
    <w:rsid w:val="0FE523C5"/>
    <w:rsid w:val="0FE96791"/>
    <w:rsid w:val="0FEC5D33"/>
    <w:rsid w:val="0FEF1196"/>
    <w:rsid w:val="0FF7237E"/>
    <w:rsid w:val="0FF860F6"/>
    <w:rsid w:val="0FFA7BE8"/>
    <w:rsid w:val="0FFC7994"/>
    <w:rsid w:val="10091618"/>
    <w:rsid w:val="10127F12"/>
    <w:rsid w:val="102173FB"/>
    <w:rsid w:val="102547A8"/>
    <w:rsid w:val="1025693D"/>
    <w:rsid w:val="1032010A"/>
    <w:rsid w:val="10350003"/>
    <w:rsid w:val="10392996"/>
    <w:rsid w:val="104135F9"/>
    <w:rsid w:val="10426FF1"/>
    <w:rsid w:val="104F21BA"/>
    <w:rsid w:val="10527522"/>
    <w:rsid w:val="10545A22"/>
    <w:rsid w:val="105A290D"/>
    <w:rsid w:val="105A46BB"/>
    <w:rsid w:val="10611EED"/>
    <w:rsid w:val="10635C65"/>
    <w:rsid w:val="106653E0"/>
    <w:rsid w:val="10686DD7"/>
    <w:rsid w:val="10741C20"/>
    <w:rsid w:val="10792223"/>
    <w:rsid w:val="107E32D1"/>
    <w:rsid w:val="10906621"/>
    <w:rsid w:val="109202F8"/>
    <w:rsid w:val="10981D0D"/>
    <w:rsid w:val="10A31DF3"/>
    <w:rsid w:val="10B04931"/>
    <w:rsid w:val="10B1077E"/>
    <w:rsid w:val="10B22749"/>
    <w:rsid w:val="10BE4C49"/>
    <w:rsid w:val="10C83D1A"/>
    <w:rsid w:val="10CC55B8"/>
    <w:rsid w:val="10D40911"/>
    <w:rsid w:val="10D64689"/>
    <w:rsid w:val="10DD77C5"/>
    <w:rsid w:val="10E277C0"/>
    <w:rsid w:val="10E43038"/>
    <w:rsid w:val="10F352CA"/>
    <w:rsid w:val="11001706"/>
    <w:rsid w:val="11001F3C"/>
    <w:rsid w:val="11074842"/>
    <w:rsid w:val="110C00AB"/>
    <w:rsid w:val="110D797F"/>
    <w:rsid w:val="110F2EC7"/>
    <w:rsid w:val="11164A85"/>
    <w:rsid w:val="11213C1D"/>
    <w:rsid w:val="112278CE"/>
    <w:rsid w:val="113118BF"/>
    <w:rsid w:val="113940CE"/>
    <w:rsid w:val="113969C6"/>
    <w:rsid w:val="113A27F3"/>
    <w:rsid w:val="1145536B"/>
    <w:rsid w:val="114C66F9"/>
    <w:rsid w:val="114E15D7"/>
    <w:rsid w:val="114F7F97"/>
    <w:rsid w:val="11586174"/>
    <w:rsid w:val="11607FEC"/>
    <w:rsid w:val="11613A8F"/>
    <w:rsid w:val="116518B4"/>
    <w:rsid w:val="1170063A"/>
    <w:rsid w:val="11731ED8"/>
    <w:rsid w:val="117361B3"/>
    <w:rsid w:val="1179579B"/>
    <w:rsid w:val="11823EC9"/>
    <w:rsid w:val="118539B9"/>
    <w:rsid w:val="118B5473"/>
    <w:rsid w:val="118D631F"/>
    <w:rsid w:val="118E286E"/>
    <w:rsid w:val="118F3620"/>
    <w:rsid w:val="118F65E6"/>
    <w:rsid w:val="11904838"/>
    <w:rsid w:val="11916802"/>
    <w:rsid w:val="11934328"/>
    <w:rsid w:val="11934D0B"/>
    <w:rsid w:val="119D51A7"/>
    <w:rsid w:val="11A264BB"/>
    <w:rsid w:val="11A82783"/>
    <w:rsid w:val="11AC0F46"/>
    <w:rsid w:val="11B561B5"/>
    <w:rsid w:val="11BF336F"/>
    <w:rsid w:val="11CD7C78"/>
    <w:rsid w:val="11DF131B"/>
    <w:rsid w:val="11E46932"/>
    <w:rsid w:val="11E76E8C"/>
    <w:rsid w:val="11ED393D"/>
    <w:rsid w:val="11F823DD"/>
    <w:rsid w:val="120668A8"/>
    <w:rsid w:val="120B0362"/>
    <w:rsid w:val="120B3EBE"/>
    <w:rsid w:val="1212349F"/>
    <w:rsid w:val="12137217"/>
    <w:rsid w:val="12183536"/>
    <w:rsid w:val="121E0096"/>
    <w:rsid w:val="121F4D1B"/>
    <w:rsid w:val="121F5BBC"/>
    <w:rsid w:val="12211934"/>
    <w:rsid w:val="1223727C"/>
    <w:rsid w:val="1226519C"/>
    <w:rsid w:val="1228104F"/>
    <w:rsid w:val="123305D6"/>
    <w:rsid w:val="12331667"/>
    <w:rsid w:val="12371157"/>
    <w:rsid w:val="123F625E"/>
    <w:rsid w:val="12412EFA"/>
    <w:rsid w:val="12483364"/>
    <w:rsid w:val="124949E7"/>
    <w:rsid w:val="124F73A0"/>
    <w:rsid w:val="12505070"/>
    <w:rsid w:val="125A4E46"/>
    <w:rsid w:val="12687563"/>
    <w:rsid w:val="12727EA3"/>
    <w:rsid w:val="127E0301"/>
    <w:rsid w:val="128F4AEF"/>
    <w:rsid w:val="12961F72"/>
    <w:rsid w:val="1299596E"/>
    <w:rsid w:val="129B61A1"/>
    <w:rsid w:val="129C720C"/>
    <w:rsid w:val="12A6008B"/>
    <w:rsid w:val="12A63DE9"/>
    <w:rsid w:val="12AA36D7"/>
    <w:rsid w:val="12AC38F3"/>
    <w:rsid w:val="12AF5192"/>
    <w:rsid w:val="12B10F0A"/>
    <w:rsid w:val="12B44007"/>
    <w:rsid w:val="12BB3B36"/>
    <w:rsid w:val="12BB7DCF"/>
    <w:rsid w:val="12C7072D"/>
    <w:rsid w:val="12D83294"/>
    <w:rsid w:val="12E04202"/>
    <w:rsid w:val="12E054D1"/>
    <w:rsid w:val="12F62DC0"/>
    <w:rsid w:val="12F6691D"/>
    <w:rsid w:val="12FE6C66"/>
    <w:rsid w:val="130B0801"/>
    <w:rsid w:val="13176D59"/>
    <w:rsid w:val="1318066F"/>
    <w:rsid w:val="13196AAF"/>
    <w:rsid w:val="131B58EC"/>
    <w:rsid w:val="132058E6"/>
    <w:rsid w:val="132F7A21"/>
    <w:rsid w:val="13337B71"/>
    <w:rsid w:val="133821E5"/>
    <w:rsid w:val="133833D9"/>
    <w:rsid w:val="133B4C77"/>
    <w:rsid w:val="133D279D"/>
    <w:rsid w:val="133E4EAB"/>
    <w:rsid w:val="13474DA3"/>
    <w:rsid w:val="134E1CE9"/>
    <w:rsid w:val="135915A9"/>
    <w:rsid w:val="136328C9"/>
    <w:rsid w:val="13675A6C"/>
    <w:rsid w:val="136B4331"/>
    <w:rsid w:val="136D6FA4"/>
    <w:rsid w:val="137B32C6"/>
    <w:rsid w:val="138A175B"/>
    <w:rsid w:val="139323BD"/>
    <w:rsid w:val="13A24CF6"/>
    <w:rsid w:val="13AC60B8"/>
    <w:rsid w:val="13AE369B"/>
    <w:rsid w:val="13B251F2"/>
    <w:rsid w:val="13B642FE"/>
    <w:rsid w:val="13B660AC"/>
    <w:rsid w:val="13BB36C2"/>
    <w:rsid w:val="13C2026C"/>
    <w:rsid w:val="13C44C6D"/>
    <w:rsid w:val="13CB0BF4"/>
    <w:rsid w:val="13CE33F5"/>
    <w:rsid w:val="13D053C0"/>
    <w:rsid w:val="13D12EE6"/>
    <w:rsid w:val="13D529D6"/>
    <w:rsid w:val="13DB5B12"/>
    <w:rsid w:val="13E31B7B"/>
    <w:rsid w:val="13E42C19"/>
    <w:rsid w:val="13E6306C"/>
    <w:rsid w:val="13E7683E"/>
    <w:rsid w:val="13E827B3"/>
    <w:rsid w:val="13EB21F9"/>
    <w:rsid w:val="13F226E2"/>
    <w:rsid w:val="13F82B68"/>
    <w:rsid w:val="13FE37EC"/>
    <w:rsid w:val="14015CF6"/>
    <w:rsid w:val="14027543"/>
    <w:rsid w:val="14074B59"/>
    <w:rsid w:val="140B63F8"/>
    <w:rsid w:val="14180B15"/>
    <w:rsid w:val="14184FB8"/>
    <w:rsid w:val="14223741"/>
    <w:rsid w:val="14246D62"/>
    <w:rsid w:val="14261483"/>
    <w:rsid w:val="142E65C5"/>
    <w:rsid w:val="14302302"/>
    <w:rsid w:val="1436779D"/>
    <w:rsid w:val="143D67CD"/>
    <w:rsid w:val="143E1C3C"/>
    <w:rsid w:val="1441006B"/>
    <w:rsid w:val="1444190A"/>
    <w:rsid w:val="1457788F"/>
    <w:rsid w:val="145C4EA5"/>
    <w:rsid w:val="1461070D"/>
    <w:rsid w:val="14667AD2"/>
    <w:rsid w:val="146B158C"/>
    <w:rsid w:val="146B6E96"/>
    <w:rsid w:val="14771CDF"/>
    <w:rsid w:val="147E306D"/>
    <w:rsid w:val="14834D35"/>
    <w:rsid w:val="14843C4E"/>
    <w:rsid w:val="14860174"/>
    <w:rsid w:val="14956609"/>
    <w:rsid w:val="14960328"/>
    <w:rsid w:val="149A3C1F"/>
    <w:rsid w:val="149F2FE4"/>
    <w:rsid w:val="14A625C4"/>
    <w:rsid w:val="14AF0833"/>
    <w:rsid w:val="14AF6A24"/>
    <w:rsid w:val="14BC4D6E"/>
    <w:rsid w:val="14C22FAC"/>
    <w:rsid w:val="14C33BB7"/>
    <w:rsid w:val="14C83FFD"/>
    <w:rsid w:val="14CA62B3"/>
    <w:rsid w:val="14CF5677"/>
    <w:rsid w:val="14D47131"/>
    <w:rsid w:val="14D72A6E"/>
    <w:rsid w:val="14DB5560"/>
    <w:rsid w:val="14E804E7"/>
    <w:rsid w:val="14EA425F"/>
    <w:rsid w:val="14EB6229"/>
    <w:rsid w:val="14EB7FD7"/>
    <w:rsid w:val="14ED01F3"/>
    <w:rsid w:val="14F80E90"/>
    <w:rsid w:val="14FC0436"/>
    <w:rsid w:val="151237B6"/>
    <w:rsid w:val="15170DCC"/>
    <w:rsid w:val="151A083D"/>
    <w:rsid w:val="151C63E2"/>
    <w:rsid w:val="152139F9"/>
    <w:rsid w:val="15221AA9"/>
    <w:rsid w:val="152625F6"/>
    <w:rsid w:val="15354668"/>
    <w:rsid w:val="153876C0"/>
    <w:rsid w:val="153B6D56"/>
    <w:rsid w:val="154047C7"/>
    <w:rsid w:val="154C316C"/>
    <w:rsid w:val="15543DCE"/>
    <w:rsid w:val="15632263"/>
    <w:rsid w:val="15667941"/>
    <w:rsid w:val="1568787A"/>
    <w:rsid w:val="156A1844"/>
    <w:rsid w:val="15730D7C"/>
    <w:rsid w:val="158F4E06"/>
    <w:rsid w:val="159E329B"/>
    <w:rsid w:val="15AD4C0E"/>
    <w:rsid w:val="15B6280D"/>
    <w:rsid w:val="15CB734B"/>
    <w:rsid w:val="15D551F7"/>
    <w:rsid w:val="15E50ECA"/>
    <w:rsid w:val="15EA028F"/>
    <w:rsid w:val="15F15AC1"/>
    <w:rsid w:val="15F335E7"/>
    <w:rsid w:val="15FA2BC8"/>
    <w:rsid w:val="1602382A"/>
    <w:rsid w:val="16041350"/>
    <w:rsid w:val="161517B0"/>
    <w:rsid w:val="161F262E"/>
    <w:rsid w:val="161F43DC"/>
    <w:rsid w:val="1626576B"/>
    <w:rsid w:val="16297009"/>
    <w:rsid w:val="162F2F2E"/>
    <w:rsid w:val="16341F91"/>
    <w:rsid w:val="163836F0"/>
    <w:rsid w:val="16442095"/>
    <w:rsid w:val="16445BF1"/>
    <w:rsid w:val="164756E1"/>
    <w:rsid w:val="164F1580"/>
    <w:rsid w:val="16500BBF"/>
    <w:rsid w:val="165247B2"/>
    <w:rsid w:val="165569EC"/>
    <w:rsid w:val="16573B76"/>
    <w:rsid w:val="166075DA"/>
    <w:rsid w:val="166511C4"/>
    <w:rsid w:val="16654F6F"/>
    <w:rsid w:val="16664E01"/>
    <w:rsid w:val="16730284"/>
    <w:rsid w:val="16770B17"/>
    <w:rsid w:val="167F131F"/>
    <w:rsid w:val="168626AD"/>
    <w:rsid w:val="168C1017"/>
    <w:rsid w:val="168E3310"/>
    <w:rsid w:val="169106C2"/>
    <w:rsid w:val="1695644C"/>
    <w:rsid w:val="16970417"/>
    <w:rsid w:val="16A668AC"/>
    <w:rsid w:val="16A70E89"/>
    <w:rsid w:val="16AE750E"/>
    <w:rsid w:val="16B17A67"/>
    <w:rsid w:val="16B5089D"/>
    <w:rsid w:val="16BC5986"/>
    <w:rsid w:val="16C46D32"/>
    <w:rsid w:val="16CD4648"/>
    <w:rsid w:val="16D44AE5"/>
    <w:rsid w:val="16D652D2"/>
    <w:rsid w:val="16DE4297"/>
    <w:rsid w:val="16E8315C"/>
    <w:rsid w:val="16EA2C3C"/>
    <w:rsid w:val="17033CFE"/>
    <w:rsid w:val="17066928"/>
    <w:rsid w:val="171165D8"/>
    <w:rsid w:val="17141A67"/>
    <w:rsid w:val="1715758D"/>
    <w:rsid w:val="172B6DB1"/>
    <w:rsid w:val="17365E81"/>
    <w:rsid w:val="173F012B"/>
    <w:rsid w:val="1740460A"/>
    <w:rsid w:val="17410382"/>
    <w:rsid w:val="17424826"/>
    <w:rsid w:val="17481711"/>
    <w:rsid w:val="174B3CEA"/>
    <w:rsid w:val="174D31CB"/>
    <w:rsid w:val="174D4F79"/>
    <w:rsid w:val="174F27ED"/>
    <w:rsid w:val="17555B67"/>
    <w:rsid w:val="175E7186"/>
    <w:rsid w:val="17602EFE"/>
    <w:rsid w:val="1763574D"/>
    <w:rsid w:val="176C3651"/>
    <w:rsid w:val="176D2FAF"/>
    <w:rsid w:val="176E561B"/>
    <w:rsid w:val="177353B4"/>
    <w:rsid w:val="17795D6E"/>
    <w:rsid w:val="177E5132"/>
    <w:rsid w:val="17824C23"/>
    <w:rsid w:val="17884ACD"/>
    <w:rsid w:val="17887D5F"/>
    <w:rsid w:val="178D4264"/>
    <w:rsid w:val="178E7A6B"/>
    <w:rsid w:val="178F1F3D"/>
    <w:rsid w:val="178F5592"/>
    <w:rsid w:val="17990A0E"/>
    <w:rsid w:val="179E3B46"/>
    <w:rsid w:val="17AB1339"/>
    <w:rsid w:val="17AF1790"/>
    <w:rsid w:val="17B246DF"/>
    <w:rsid w:val="17B374D2"/>
    <w:rsid w:val="17B46DA6"/>
    <w:rsid w:val="17B52555"/>
    <w:rsid w:val="17BD3EAD"/>
    <w:rsid w:val="17C4348D"/>
    <w:rsid w:val="17C43C1A"/>
    <w:rsid w:val="17C76AD9"/>
    <w:rsid w:val="17D82A95"/>
    <w:rsid w:val="17DF606D"/>
    <w:rsid w:val="17E4768B"/>
    <w:rsid w:val="17E62C77"/>
    <w:rsid w:val="17F13B56"/>
    <w:rsid w:val="17FC632D"/>
    <w:rsid w:val="17FD699F"/>
    <w:rsid w:val="17FF564B"/>
    <w:rsid w:val="1807337A"/>
    <w:rsid w:val="181066D2"/>
    <w:rsid w:val="18131D1F"/>
    <w:rsid w:val="181447C8"/>
    <w:rsid w:val="18155A97"/>
    <w:rsid w:val="1816180F"/>
    <w:rsid w:val="18185587"/>
    <w:rsid w:val="181D0DEF"/>
    <w:rsid w:val="182201B4"/>
    <w:rsid w:val="18245CDA"/>
    <w:rsid w:val="182C2DE0"/>
    <w:rsid w:val="182F78D9"/>
    <w:rsid w:val="1837794D"/>
    <w:rsid w:val="18381785"/>
    <w:rsid w:val="1839615F"/>
    <w:rsid w:val="185760AF"/>
    <w:rsid w:val="18583BD5"/>
    <w:rsid w:val="185A5BA0"/>
    <w:rsid w:val="1861091A"/>
    <w:rsid w:val="186500A0"/>
    <w:rsid w:val="186802BC"/>
    <w:rsid w:val="18695DE3"/>
    <w:rsid w:val="186B56B7"/>
    <w:rsid w:val="18721BFE"/>
    <w:rsid w:val="1885001A"/>
    <w:rsid w:val="18860743"/>
    <w:rsid w:val="18877083"/>
    <w:rsid w:val="189015C1"/>
    <w:rsid w:val="18980476"/>
    <w:rsid w:val="189E2829"/>
    <w:rsid w:val="18A8690B"/>
    <w:rsid w:val="18AF1361"/>
    <w:rsid w:val="18B27DF5"/>
    <w:rsid w:val="18BD7EDC"/>
    <w:rsid w:val="18BE1F8F"/>
    <w:rsid w:val="18CA609F"/>
    <w:rsid w:val="18D21BDA"/>
    <w:rsid w:val="18D314AE"/>
    <w:rsid w:val="18D71108"/>
    <w:rsid w:val="18D84046"/>
    <w:rsid w:val="18DA6CE0"/>
    <w:rsid w:val="18DC2CB1"/>
    <w:rsid w:val="18DC7E6B"/>
    <w:rsid w:val="18DF0205"/>
    <w:rsid w:val="18E22EFF"/>
    <w:rsid w:val="18F31102"/>
    <w:rsid w:val="18FB5474"/>
    <w:rsid w:val="19006141"/>
    <w:rsid w:val="1902112B"/>
    <w:rsid w:val="1904793D"/>
    <w:rsid w:val="19063631"/>
    <w:rsid w:val="1907085F"/>
    <w:rsid w:val="190C217F"/>
    <w:rsid w:val="19120228"/>
    <w:rsid w:val="191259F9"/>
    <w:rsid w:val="191410B9"/>
    <w:rsid w:val="191C59B6"/>
    <w:rsid w:val="191F4B26"/>
    <w:rsid w:val="19204742"/>
    <w:rsid w:val="19235F91"/>
    <w:rsid w:val="19260253"/>
    <w:rsid w:val="19316633"/>
    <w:rsid w:val="19377C8F"/>
    <w:rsid w:val="193B777F"/>
    <w:rsid w:val="193D1A67"/>
    <w:rsid w:val="194128BC"/>
    <w:rsid w:val="1941466A"/>
    <w:rsid w:val="194425F0"/>
    <w:rsid w:val="194B408E"/>
    <w:rsid w:val="195A572B"/>
    <w:rsid w:val="195B397D"/>
    <w:rsid w:val="19687E48"/>
    <w:rsid w:val="19781E82"/>
    <w:rsid w:val="19855E4D"/>
    <w:rsid w:val="19874772"/>
    <w:rsid w:val="19920B0F"/>
    <w:rsid w:val="19924EC5"/>
    <w:rsid w:val="199B1FCC"/>
    <w:rsid w:val="199D3F96"/>
    <w:rsid w:val="19A277FE"/>
    <w:rsid w:val="19B117EF"/>
    <w:rsid w:val="19B60D8E"/>
    <w:rsid w:val="19BD5EE0"/>
    <w:rsid w:val="19C808E7"/>
    <w:rsid w:val="19C92FDD"/>
    <w:rsid w:val="19CB5384"/>
    <w:rsid w:val="19CC15A7"/>
    <w:rsid w:val="19E33968"/>
    <w:rsid w:val="19E33973"/>
    <w:rsid w:val="19EA6AAF"/>
    <w:rsid w:val="19EF2318"/>
    <w:rsid w:val="19F31E08"/>
    <w:rsid w:val="19F53DD2"/>
    <w:rsid w:val="19FE07AD"/>
    <w:rsid w:val="1A027DA2"/>
    <w:rsid w:val="1A0C7826"/>
    <w:rsid w:val="1A0D42C5"/>
    <w:rsid w:val="1A116732"/>
    <w:rsid w:val="1A143B2C"/>
    <w:rsid w:val="1A1678A4"/>
    <w:rsid w:val="1A180786"/>
    <w:rsid w:val="1A18361C"/>
    <w:rsid w:val="1A192BFB"/>
    <w:rsid w:val="1A1F0E4F"/>
    <w:rsid w:val="1A216DC7"/>
    <w:rsid w:val="1A262A10"/>
    <w:rsid w:val="1A310B82"/>
    <w:rsid w:val="1A312930"/>
    <w:rsid w:val="1A357D6B"/>
    <w:rsid w:val="1A3A4F8F"/>
    <w:rsid w:val="1A3D7B88"/>
    <w:rsid w:val="1A3F329F"/>
    <w:rsid w:val="1A4268EB"/>
    <w:rsid w:val="1A433816"/>
    <w:rsid w:val="1A450189"/>
    <w:rsid w:val="1A4943A9"/>
    <w:rsid w:val="1A497C7A"/>
    <w:rsid w:val="1A4C32C6"/>
    <w:rsid w:val="1A510DAD"/>
    <w:rsid w:val="1A584361"/>
    <w:rsid w:val="1A590098"/>
    <w:rsid w:val="1A5D3725"/>
    <w:rsid w:val="1A616E2C"/>
    <w:rsid w:val="1A622AE9"/>
    <w:rsid w:val="1A676352"/>
    <w:rsid w:val="1A6F17BF"/>
    <w:rsid w:val="1A75281D"/>
    <w:rsid w:val="1A807414"/>
    <w:rsid w:val="1A8567D8"/>
    <w:rsid w:val="1A89451A"/>
    <w:rsid w:val="1A8C400A"/>
    <w:rsid w:val="1A8D5BAB"/>
    <w:rsid w:val="1A905165"/>
    <w:rsid w:val="1A954C6D"/>
    <w:rsid w:val="1A98475D"/>
    <w:rsid w:val="1A98650B"/>
    <w:rsid w:val="1A9869CA"/>
    <w:rsid w:val="1A9E3788"/>
    <w:rsid w:val="1AA301F7"/>
    <w:rsid w:val="1AA44EB0"/>
    <w:rsid w:val="1AAB26E2"/>
    <w:rsid w:val="1AAB623F"/>
    <w:rsid w:val="1AB31597"/>
    <w:rsid w:val="1AB84DFF"/>
    <w:rsid w:val="1ABD2416"/>
    <w:rsid w:val="1AC217DA"/>
    <w:rsid w:val="1AC75042"/>
    <w:rsid w:val="1ACB68E1"/>
    <w:rsid w:val="1ACD08AB"/>
    <w:rsid w:val="1AD02149"/>
    <w:rsid w:val="1AD41657"/>
    <w:rsid w:val="1AD51DB2"/>
    <w:rsid w:val="1ADA2FC8"/>
    <w:rsid w:val="1ADE237D"/>
    <w:rsid w:val="1AE44224"/>
    <w:rsid w:val="1AE856E5"/>
    <w:rsid w:val="1B100618"/>
    <w:rsid w:val="1B1A0CB6"/>
    <w:rsid w:val="1B1C7C04"/>
    <w:rsid w:val="1B266658"/>
    <w:rsid w:val="1B2B1202"/>
    <w:rsid w:val="1B2F50C2"/>
    <w:rsid w:val="1B317E6E"/>
    <w:rsid w:val="1B373F76"/>
    <w:rsid w:val="1B486183"/>
    <w:rsid w:val="1B4D0828"/>
    <w:rsid w:val="1B5A1A13"/>
    <w:rsid w:val="1B627D52"/>
    <w:rsid w:val="1B682381"/>
    <w:rsid w:val="1B774FDB"/>
    <w:rsid w:val="1B827383"/>
    <w:rsid w:val="1B8276EF"/>
    <w:rsid w:val="1B88712C"/>
    <w:rsid w:val="1B8B42C2"/>
    <w:rsid w:val="1B8F3DB2"/>
    <w:rsid w:val="1B9227DD"/>
    <w:rsid w:val="1B961960"/>
    <w:rsid w:val="1BA809D0"/>
    <w:rsid w:val="1BA91400"/>
    <w:rsid w:val="1BAA4748"/>
    <w:rsid w:val="1BAD5FE6"/>
    <w:rsid w:val="1BB03B3E"/>
    <w:rsid w:val="1BB20E5E"/>
    <w:rsid w:val="1BB455C7"/>
    <w:rsid w:val="1BB7231C"/>
    <w:rsid w:val="1BBB4BA7"/>
    <w:rsid w:val="1BBD7433"/>
    <w:rsid w:val="1BC05D1A"/>
    <w:rsid w:val="1BC268AC"/>
    <w:rsid w:val="1BC33A5C"/>
    <w:rsid w:val="1BCB02FE"/>
    <w:rsid w:val="1BCD0437"/>
    <w:rsid w:val="1BCD082A"/>
    <w:rsid w:val="1BCF2401"/>
    <w:rsid w:val="1BDD3539"/>
    <w:rsid w:val="1BE20386"/>
    <w:rsid w:val="1BE51111"/>
    <w:rsid w:val="1BE64D26"/>
    <w:rsid w:val="1BE86F35"/>
    <w:rsid w:val="1BE95FD3"/>
    <w:rsid w:val="1BEA5071"/>
    <w:rsid w:val="1BEA548C"/>
    <w:rsid w:val="1BF6798D"/>
    <w:rsid w:val="1BF754B3"/>
    <w:rsid w:val="1C026332"/>
    <w:rsid w:val="1C03166F"/>
    <w:rsid w:val="1C0E117B"/>
    <w:rsid w:val="1C1222E4"/>
    <w:rsid w:val="1C1E0C92"/>
    <w:rsid w:val="1C1E6EE4"/>
    <w:rsid w:val="1C2E06C6"/>
    <w:rsid w:val="1C360A80"/>
    <w:rsid w:val="1C445903"/>
    <w:rsid w:val="1C4C3A51"/>
    <w:rsid w:val="1C5511C1"/>
    <w:rsid w:val="1C5F19D6"/>
    <w:rsid w:val="1C5F2A21"/>
    <w:rsid w:val="1C654B13"/>
    <w:rsid w:val="1C673203"/>
    <w:rsid w:val="1C6B5FFE"/>
    <w:rsid w:val="1C6C298A"/>
    <w:rsid w:val="1C6D7577"/>
    <w:rsid w:val="1C6F1749"/>
    <w:rsid w:val="1C73682C"/>
    <w:rsid w:val="1C827473"/>
    <w:rsid w:val="1C915908"/>
    <w:rsid w:val="1C931680"/>
    <w:rsid w:val="1C9378D2"/>
    <w:rsid w:val="1C9553F8"/>
    <w:rsid w:val="1C982121"/>
    <w:rsid w:val="1CA05134"/>
    <w:rsid w:val="1CA15CD3"/>
    <w:rsid w:val="1CA301E4"/>
    <w:rsid w:val="1CA92C52"/>
    <w:rsid w:val="1CB00C23"/>
    <w:rsid w:val="1CB2125D"/>
    <w:rsid w:val="1CC47D5F"/>
    <w:rsid w:val="1CC7132A"/>
    <w:rsid w:val="1CC7757C"/>
    <w:rsid w:val="1CC80FF1"/>
    <w:rsid w:val="1CC8452F"/>
    <w:rsid w:val="1CCE25E4"/>
    <w:rsid w:val="1CD16C0F"/>
    <w:rsid w:val="1CD203FA"/>
    <w:rsid w:val="1CDB55B7"/>
    <w:rsid w:val="1CE84065"/>
    <w:rsid w:val="1CE974F2"/>
    <w:rsid w:val="1CED6FE2"/>
    <w:rsid w:val="1CF3211F"/>
    <w:rsid w:val="1CF55E97"/>
    <w:rsid w:val="1CFC0FD3"/>
    <w:rsid w:val="1CFC221F"/>
    <w:rsid w:val="1CFD2F9D"/>
    <w:rsid w:val="1D01483C"/>
    <w:rsid w:val="1D0165EA"/>
    <w:rsid w:val="1D077978"/>
    <w:rsid w:val="1D0A72B4"/>
    <w:rsid w:val="1D1F1166"/>
    <w:rsid w:val="1D246750"/>
    <w:rsid w:val="1D2828ED"/>
    <w:rsid w:val="1D2D2579"/>
    <w:rsid w:val="1D2D72A2"/>
    <w:rsid w:val="1D2F5DAA"/>
    <w:rsid w:val="1D320F20"/>
    <w:rsid w:val="1D331864"/>
    <w:rsid w:val="1D344C11"/>
    <w:rsid w:val="1D395A93"/>
    <w:rsid w:val="1D3C1D18"/>
    <w:rsid w:val="1D540DB7"/>
    <w:rsid w:val="1D540E0F"/>
    <w:rsid w:val="1D552DD9"/>
    <w:rsid w:val="1D6132E1"/>
    <w:rsid w:val="1D632E00"/>
    <w:rsid w:val="1D69418F"/>
    <w:rsid w:val="1D792624"/>
    <w:rsid w:val="1D7B2840"/>
    <w:rsid w:val="1D7E5E8C"/>
    <w:rsid w:val="1D8664DC"/>
    <w:rsid w:val="1D933ED8"/>
    <w:rsid w:val="1D9456B0"/>
    <w:rsid w:val="1D990CF4"/>
    <w:rsid w:val="1D9B6A3E"/>
    <w:rsid w:val="1DA376A1"/>
    <w:rsid w:val="1DA578BD"/>
    <w:rsid w:val="1DB01DBE"/>
    <w:rsid w:val="1DB37887"/>
    <w:rsid w:val="1DB6261B"/>
    <w:rsid w:val="1DB74360"/>
    <w:rsid w:val="1DBB7D72"/>
    <w:rsid w:val="1DBB7F27"/>
    <w:rsid w:val="1DC15D79"/>
    <w:rsid w:val="1DC75A85"/>
    <w:rsid w:val="1DCB7805"/>
    <w:rsid w:val="1DD07D29"/>
    <w:rsid w:val="1DD12460"/>
    <w:rsid w:val="1DDB32DF"/>
    <w:rsid w:val="1DEA3957"/>
    <w:rsid w:val="1DEF6D8A"/>
    <w:rsid w:val="1DF223D6"/>
    <w:rsid w:val="1DF22F24"/>
    <w:rsid w:val="1DF919B7"/>
    <w:rsid w:val="1DF93765"/>
    <w:rsid w:val="1E05035C"/>
    <w:rsid w:val="1E0740D4"/>
    <w:rsid w:val="1E087E4C"/>
    <w:rsid w:val="1E09747B"/>
    <w:rsid w:val="1E0F0481"/>
    <w:rsid w:val="1E124827"/>
    <w:rsid w:val="1E126780"/>
    <w:rsid w:val="1E234D8F"/>
    <w:rsid w:val="1E2E6B38"/>
    <w:rsid w:val="1E4E1D03"/>
    <w:rsid w:val="1E543091"/>
    <w:rsid w:val="1E6037E4"/>
    <w:rsid w:val="1E6A6411"/>
    <w:rsid w:val="1E725AD9"/>
    <w:rsid w:val="1E757EF8"/>
    <w:rsid w:val="1E780D78"/>
    <w:rsid w:val="1E7F5B46"/>
    <w:rsid w:val="1E8A19F4"/>
    <w:rsid w:val="1E9B0CC0"/>
    <w:rsid w:val="1E9D43D4"/>
    <w:rsid w:val="1EA77665"/>
    <w:rsid w:val="1EAC07D7"/>
    <w:rsid w:val="1EAD4120"/>
    <w:rsid w:val="1EB03C88"/>
    <w:rsid w:val="1EB55657"/>
    <w:rsid w:val="1EB8717C"/>
    <w:rsid w:val="1EC975DB"/>
    <w:rsid w:val="1ECC2C27"/>
    <w:rsid w:val="1ECF42FE"/>
    <w:rsid w:val="1ED143FD"/>
    <w:rsid w:val="1ED849DC"/>
    <w:rsid w:val="1EDE6925"/>
    <w:rsid w:val="1EE12B77"/>
    <w:rsid w:val="1EE77A61"/>
    <w:rsid w:val="1EEC32CA"/>
    <w:rsid w:val="1EEE769D"/>
    <w:rsid w:val="1EF81C6E"/>
    <w:rsid w:val="1EFB52BB"/>
    <w:rsid w:val="1EFD7285"/>
    <w:rsid w:val="1F040613"/>
    <w:rsid w:val="1F0625DD"/>
    <w:rsid w:val="1F06438B"/>
    <w:rsid w:val="1F0F57C0"/>
    <w:rsid w:val="1F132604"/>
    <w:rsid w:val="1F170346"/>
    <w:rsid w:val="1F17052E"/>
    <w:rsid w:val="1F225BA0"/>
    <w:rsid w:val="1F264A2D"/>
    <w:rsid w:val="1F2D05D4"/>
    <w:rsid w:val="1F2D7B6A"/>
    <w:rsid w:val="1F374545"/>
    <w:rsid w:val="1F3A2002"/>
    <w:rsid w:val="1F3A7811"/>
    <w:rsid w:val="1F43738D"/>
    <w:rsid w:val="1F445FB7"/>
    <w:rsid w:val="1F451B5F"/>
    <w:rsid w:val="1F486752"/>
    <w:rsid w:val="1F550E6F"/>
    <w:rsid w:val="1F5F3A9B"/>
    <w:rsid w:val="1F5F6E0F"/>
    <w:rsid w:val="1F6317DE"/>
    <w:rsid w:val="1F672950"/>
    <w:rsid w:val="1F6E3C07"/>
    <w:rsid w:val="1F705CA9"/>
    <w:rsid w:val="1F7337CE"/>
    <w:rsid w:val="1F777037"/>
    <w:rsid w:val="1F882FF2"/>
    <w:rsid w:val="1F8A0D81"/>
    <w:rsid w:val="1F8C2F94"/>
    <w:rsid w:val="1F8C3FD1"/>
    <w:rsid w:val="1F9000F9"/>
    <w:rsid w:val="1F9620A8"/>
    <w:rsid w:val="1F996FAD"/>
    <w:rsid w:val="1F9A5250"/>
    <w:rsid w:val="1FA92F69"/>
    <w:rsid w:val="1FAD0E6D"/>
    <w:rsid w:val="1FBE0616"/>
    <w:rsid w:val="1FE43FA1"/>
    <w:rsid w:val="1FEA7C53"/>
    <w:rsid w:val="1FF95C9E"/>
    <w:rsid w:val="1FFB7C68"/>
    <w:rsid w:val="1FFD1BC7"/>
    <w:rsid w:val="200066EE"/>
    <w:rsid w:val="200D2936"/>
    <w:rsid w:val="20140D2A"/>
    <w:rsid w:val="20210D51"/>
    <w:rsid w:val="20283098"/>
    <w:rsid w:val="202A40A9"/>
    <w:rsid w:val="202D0F82"/>
    <w:rsid w:val="203339AD"/>
    <w:rsid w:val="20410ECE"/>
    <w:rsid w:val="20481DE0"/>
    <w:rsid w:val="204B7DB3"/>
    <w:rsid w:val="204D1B46"/>
    <w:rsid w:val="20506E01"/>
    <w:rsid w:val="205360FA"/>
    <w:rsid w:val="20586E69"/>
    <w:rsid w:val="205D3CCA"/>
    <w:rsid w:val="205E732C"/>
    <w:rsid w:val="20607ACB"/>
    <w:rsid w:val="206A094A"/>
    <w:rsid w:val="206F6B73"/>
    <w:rsid w:val="20735A50"/>
    <w:rsid w:val="207B66B3"/>
    <w:rsid w:val="207D242B"/>
    <w:rsid w:val="20824146"/>
    <w:rsid w:val="20944180"/>
    <w:rsid w:val="209459C7"/>
    <w:rsid w:val="209F6845"/>
    <w:rsid w:val="20A205DE"/>
    <w:rsid w:val="20A85239"/>
    <w:rsid w:val="20AF2801"/>
    <w:rsid w:val="20B16579"/>
    <w:rsid w:val="20B6593D"/>
    <w:rsid w:val="20B80137"/>
    <w:rsid w:val="20BD4324"/>
    <w:rsid w:val="20E71F9A"/>
    <w:rsid w:val="20FA7F20"/>
    <w:rsid w:val="211663DC"/>
    <w:rsid w:val="21174FCF"/>
    <w:rsid w:val="211A5ECC"/>
    <w:rsid w:val="211B1C44"/>
    <w:rsid w:val="211D5DF7"/>
    <w:rsid w:val="212045E1"/>
    <w:rsid w:val="212C521A"/>
    <w:rsid w:val="21336F8E"/>
    <w:rsid w:val="213E554D"/>
    <w:rsid w:val="214473ED"/>
    <w:rsid w:val="21472A39"/>
    <w:rsid w:val="214B077B"/>
    <w:rsid w:val="214D44F3"/>
    <w:rsid w:val="214F2DE2"/>
    <w:rsid w:val="2160775A"/>
    <w:rsid w:val="21661111"/>
    <w:rsid w:val="216D15B4"/>
    <w:rsid w:val="21717AB6"/>
    <w:rsid w:val="21780E44"/>
    <w:rsid w:val="21821CC3"/>
    <w:rsid w:val="21880312"/>
    <w:rsid w:val="2188463C"/>
    <w:rsid w:val="218B0B78"/>
    <w:rsid w:val="218B501C"/>
    <w:rsid w:val="218E67E4"/>
    <w:rsid w:val="2197737E"/>
    <w:rsid w:val="21AB121A"/>
    <w:rsid w:val="21B438F6"/>
    <w:rsid w:val="21C1459A"/>
    <w:rsid w:val="21C61BB0"/>
    <w:rsid w:val="21C67E02"/>
    <w:rsid w:val="21C81DCC"/>
    <w:rsid w:val="21EB5ABA"/>
    <w:rsid w:val="21F229A5"/>
    <w:rsid w:val="21F901D7"/>
    <w:rsid w:val="221D6DEE"/>
    <w:rsid w:val="222114DC"/>
    <w:rsid w:val="22271E51"/>
    <w:rsid w:val="2228286B"/>
    <w:rsid w:val="22284908"/>
    <w:rsid w:val="22286F53"/>
    <w:rsid w:val="222E3E55"/>
    <w:rsid w:val="223250D0"/>
    <w:rsid w:val="22325497"/>
    <w:rsid w:val="22335A25"/>
    <w:rsid w:val="22347EC0"/>
    <w:rsid w:val="22362738"/>
    <w:rsid w:val="22432FD4"/>
    <w:rsid w:val="22484CBB"/>
    <w:rsid w:val="22486A69"/>
    <w:rsid w:val="22492232"/>
    <w:rsid w:val="2254540E"/>
    <w:rsid w:val="22554670"/>
    <w:rsid w:val="225B49EE"/>
    <w:rsid w:val="225D017C"/>
    <w:rsid w:val="22600256"/>
    <w:rsid w:val="226513C9"/>
    <w:rsid w:val="22737F8A"/>
    <w:rsid w:val="227930C6"/>
    <w:rsid w:val="227F49FE"/>
    <w:rsid w:val="22925F36"/>
    <w:rsid w:val="229C164D"/>
    <w:rsid w:val="229D12D8"/>
    <w:rsid w:val="22A04AF7"/>
    <w:rsid w:val="22A7378F"/>
    <w:rsid w:val="22AC349C"/>
    <w:rsid w:val="22B54686"/>
    <w:rsid w:val="22B81E40"/>
    <w:rsid w:val="22BE6D2B"/>
    <w:rsid w:val="22C47ED3"/>
    <w:rsid w:val="22C925A9"/>
    <w:rsid w:val="22CF2CE6"/>
    <w:rsid w:val="22DD5403"/>
    <w:rsid w:val="22E20C6B"/>
    <w:rsid w:val="22E72C0C"/>
    <w:rsid w:val="22EB48A3"/>
    <w:rsid w:val="22EC3898"/>
    <w:rsid w:val="22EE7610"/>
    <w:rsid w:val="22F27C5C"/>
    <w:rsid w:val="22F43BF4"/>
    <w:rsid w:val="22F62969"/>
    <w:rsid w:val="22F95FB5"/>
    <w:rsid w:val="230E1A60"/>
    <w:rsid w:val="23110166"/>
    <w:rsid w:val="23113B92"/>
    <w:rsid w:val="231A6657"/>
    <w:rsid w:val="231F6524"/>
    <w:rsid w:val="23295BF0"/>
    <w:rsid w:val="232E0476"/>
    <w:rsid w:val="23307815"/>
    <w:rsid w:val="23311932"/>
    <w:rsid w:val="233A0AA7"/>
    <w:rsid w:val="23437A88"/>
    <w:rsid w:val="2346061F"/>
    <w:rsid w:val="23544934"/>
    <w:rsid w:val="2355143D"/>
    <w:rsid w:val="236314F6"/>
    <w:rsid w:val="23631939"/>
    <w:rsid w:val="236E24FF"/>
    <w:rsid w:val="23931F66"/>
    <w:rsid w:val="23B048C6"/>
    <w:rsid w:val="23B14E2C"/>
    <w:rsid w:val="23B23B5F"/>
    <w:rsid w:val="23B70BCA"/>
    <w:rsid w:val="23B75C54"/>
    <w:rsid w:val="23B87C1E"/>
    <w:rsid w:val="23B93F62"/>
    <w:rsid w:val="23BD6FE3"/>
    <w:rsid w:val="23BF141C"/>
    <w:rsid w:val="23BF71FF"/>
    <w:rsid w:val="23C066A7"/>
    <w:rsid w:val="23CD5478"/>
    <w:rsid w:val="23CE2152"/>
    <w:rsid w:val="23D06D16"/>
    <w:rsid w:val="23D9499A"/>
    <w:rsid w:val="23DC440E"/>
    <w:rsid w:val="23E007AE"/>
    <w:rsid w:val="23ED1676"/>
    <w:rsid w:val="23ED78C8"/>
    <w:rsid w:val="23FA1FE5"/>
    <w:rsid w:val="23FB3988"/>
    <w:rsid w:val="2402008C"/>
    <w:rsid w:val="240574A2"/>
    <w:rsid w:val="24092228"/>
    <w:rsid w:val="240C3CC8"/>
    <w:rsid w:val="241035B6"/>
    <w:rsid w:val="24117358"/>
    <w:rsid w:val="241237D2"/>
    <w:rsid w:val="241430A6"/>
    <w:rsid w:val="241A4E9D"/>
    <w:rsid w:val="24253506"/>
    <w:rsid w:val="24286BC7"/>
    <w:rsid w:val="242E465A"/>
    <w:rsid w:val="242F7EE0"/>
    <w:rsid w:val="2435126F"/>
    <w:rsid w:val="243936F7"/>
    <w:rsid w:val="243E0148"/>
    <w:rsid w:val="244119C2"/>
    <w:rsid w:val="24442987"/>
    <w:rsid w:val="24442EA8"/>
    <w:rsid w:val="24480FA2"/>
    <w:rsid w:val="244D3130"/>
    <w:rsid w:val="24521E21"/>
    <w:rsid w:val="245E7025"/>
    <w:rsid w:val="24600A59"/>
    <w:rsid w:val="2463402E"/>
    <w:rsid w:val="2466164B"/>
    <w:rsid w:val="246833F2"/>
    <w:rsid w:val="247725C7"/>
    <w:rsid w:val="2483647E"/>
    <w:rsid w:val="248A0515"/>
    <w:rsid w:val="249911DB"/>
    <w:rsid w:val="249B7324"/>
    <w:rsid w:val="24AC7783"/>
    <w:rsid w:val="24AF2DCF"/>
    <w:rsid w:val="24B11B0D"/>
    <w:rsid w:val="24C70119"/>
    <w:rsid w:val="24C94002"/>
    <w:rsid w:val="24DB1E16"/>
    <w:rsid w:val="24E14D23"/>
    <w:rsid w:val="24E43B7A"/>
    <w:rsid w:val="24E5456B"/>
    <w:rsid w:val="25001EA9"/>
    <w:rsid w:val="250639AE"/>
    <w:rsid w:val="2508103C"/>
    <w:rsid w:val="250859B6"/>
    <w:rsid w:val="25145328"/>
    <w:rsid w:val="251B66B7"/>
    <w:rsid w:val="25240E2A"/>
    <w:rsid w:val="2526682A"/>
    <w:rsid w:val="25292B82"/>
    <w:rsid w:val="252C2672"/>
    <w:rsid w:val="252C4420"/>
    <w:rsid w:val="25331C52"/>
    <w:rsid w:val="2533479E"/>
    <w:rsid w:val="2533755C"/>
    <w:rsid w:val="25372B92"/>
    <w:rsid w:val="253A4D8F"/>
    <w:rsid w:val="253F769A"/>
    <w:rsid w:val="25496E25"/>
    <w:rsid w:val="25531B06"/>
    <w:rsid w:val="25590B49"/>
    <w:rsid w:val="25592D3B"/>
    <w:rsid w:val="255B2F57"/>
    <w:rsid w:val="255F65A3"/>
    <w:rsid w:val="25640408"/>
    <w:rsid w:val="25781413"/>
    <w:rsid w:val="257B193D"/>
    <w:rsid w:val="25817046"/>
    <w:rsid w:val="2583735B"/>
    <w:rsid w:val="2584425C"/>
    <w:rsid w:val="258B667A"/>
    <w:rsid w:val="259001D2"/>
    <w:rsid w:val="2593624D"/>
    <w:rsid w:val="259A3A7F"/>
    <w:rsid w:val="259A582D"/>
    <w:rsid w:val="259E35AA"/>
    <w:rsid w:val="25AC730F"/>
    <w:rsid w:val="25AE752B"/>
    <w:rsid w:val="25B763DF"/>
    <w:rsid w:val="25BF5294"/>
    <w:rsid w:val="25C12DBA"/>
    <w:rsid w:val="25CD79B1"/>
    <w:rsid w:val="25CF1A19"/>
    <w:rsid w:val="25D54AB7"/>
    <w:rsid w:val="25D62FDE"/>
    <w:rsid w:val="25D6438C"/>
    <w:rsid w:val="25D86356"/>
    <w:rsid w:val="25DB38CA"/>
    <w:rsid w:val="25DC5E46"/>
    <w:rsid w:val="25DF5936"/>
    <w:rsid w:val="25EB6089"/>
    <w:rsid w:val="25EE7927"/>
    <w:rsid w:val="25F25669"/>
    <w:rsid w:val="25FF7D86"/>
    <w:rsid w:val="26053AE5"/>
    <w:rsid w:val="260B1A8B"/>
    <w:rsid w:val="260B2287"/>
    <w:rsid w:val="26127ABA"/>
    <w:rsid w:val="261455E0"/>
    <w:rsid w:val="2615531D"/>
    <w:rsid w:val="261A071C"/>
    <w:rsid w:val="26233D57"/>
    <w:rsid w:val="262A4E03"/>
    <w:rsid w:val="262B0B7B"/>
    <w:rsid w:val="2638511C"/>
    <w:rsid w:val="263E08AF"/>
    <w:rsid w:val="263F0183"/>
    <w:rsid w:val="26437C73"/>
    <w:rsid w:val="265112A8"/>
    <w:rsid w:val="265C0D35"/>
    <w:rsid w:val="26606A77"/>
    <w:rsid w:val="26647BE9"/>
    <w:rsid w:val="26681488"/>
    <w:rsid w:val="266A4450"/>
    <w:rsid w:val="267047E0"/>
    <w:rsid w:val="2672726E"/>
    <w:rsid w:val="26733FA5"/>
    <w:rsid w:val="26736B49"/>
    <w:rsid w:val="2681079B"/>
    <w:rsid w:val="268362C1"/>
    <w:rsid w:val="26844305"/>
    <w:rsid w:val="2685028B"/>
    <w:rsid w:val="268564DD"/>
    <w:rsid w:val="26864004"/>
    <w:rsid w:val="268D5392"/>
    <w:rsid w:val="269229A8"/>
    <w:rsid w:val="269305C5"/>
    <w:rsid w:val="269C5F46"/>
    <w:rsid w:val="26AD1B3E"/>
    <w:rsid w:val="26B02E2F"/>
    <w:rsid w:val="26B20955"/>
    <w:rsid w:val="26B64122"/>
    <w:rsid w:val="26B91CE3"/>
    <w:rsid w:val="26BC2C31"/>
    <w:rsid w:val="26BE554B"/>
    <w:rsid w:val="26C62652"/>
    <w:rsid w:val="26C708A4"/>
    <w:rsid w:val="26CD1C32"/>
    <w:rsid w:val="26E66850"/>
    <w:rsid w:val="26EC030B"/>
    <w:rsid w:val="26EF7DFB"/>
    <w:rsid w:val="26F64CE5"/>
    <w:rsid w:val="271909D4"/>
    <w:rsid w:val="27194E78"/>
    <w:rsid w:val="271B0BF0"/>
    <w:rsid w:val="271C2272"/>
    <w:rsid w:val="27270A10"/>
    <w:rsid w:val="272A6446"/>
    <w:rsid w:val="2737756A"/>
    <w:rsid w:val="273F4D8E"/>
    <w:rsid w:val="27400656"/>
    <w:rsid w:val="27473793"/>
    <w:rsid w:val="27523D59"/>
    <w:rsid w:val="27625DFC"/>
    <w:rsid w:val="27637EA1"/>
    <w:rsid w:val="2764572C"/>
    <w:rsid w:val="276870E4"/>
    <w:rsid w:val="276C31F9"/>
    <w:rsid w:val="276E51C4"/>
    <w:rsid w:val="278C389C"/>
    <w:rsid w:val="278E2FB5"/>
    <w:rsid w:val="27901611"/>
    <w:rsid w:val="27A44741"/>
    <w:rsid w:val="27A75FE0"/>
    <w:rsid w:val="27AB7C04"/>
    <w:rsid w:val="27AC6936"/>
    <w:rsid w:val="27B30E28"/>
    <w:rsid w:val="27B32668"/>
    <w:rsid w:val="27B84691"/>
    <w:rsid w:val="27BB0F1F"/>
    <w:rsid w:val="27BC5F2F"/>
    <w:rsid w:val="27BF5A1F"/>
    <w:rsid w:val="27C76682"/>
    <w:rsid w:val="27D019DA"/>
    <w:rsid w:val="27D11037"/>
    <w:rsid w:val="27D35027"/>
    <w:rsid w:val="27D72D69"/>
    <w:rsid w:val="27D75D5F"/>
    <w:rsid w:val="27E15995"/>
    <w:rsid w:val="27E221BE"/>
    <w:rsid w:val="27E64D5A"/>
    <w:rsid w:val="27E77793"/>
    <w:rsid w:val="27F00E81"/>
    <w:rsid w:val="27F136FF"/>
    <w:rsid w:val="27F37825"/>
    <w:rsid w:val="27F531EF"/>
    <w:rsid w:val="27F76F67"/>
    <w:rsid w:val="27FF7BCA"/>
    <w:rsid w:val="280238A4"/>
    <w:rsid w:val="28041684"/>
    <w:rsid w:val="28090A48"/>
    <w:rsid w:val="28117CD7"/>
    <w:rsid w:val="2813766C"/>
    <w:rsid w:val="28137B19"/>
    <w:rsid w:val="281F281F"/>
    <w:rsid w:val="28202F10"/>
    <w:rsid w:val="282D0635"/>
    <w:rsid w:val="28302533"/>
    <w:rsid w:val="28356B88"/>
    <w:rsid w:val="283662C0"/>
    <w:rsid w:val="2838132E"/>
    <w:rsid w:val="283F26BC"/>
    <w:rsid w:val="28581C60"/>
    <w:rsid w:val="285F4B0C"/>
    <w:rsid w:val="286914E7"/>
    <w:rsid w:val="28691FEA"/>
    <w:rsid w:val="286D43E2"/>
    <w:rsid w:val="286E5145"/>
    <w:rsid w:val="28724840"/>
    <w:rsid w:val="28823A88"/>
    <w:rsid w:val="28926C90"/>
    <w:rsid w:val="289533C0"/>
    <w:rsid w:val="28A95D87"/>
    <w:rsid w:val="28AB1AFF"/>
    <w:rsid w:val="28AB7D51"/>
    <w:rsid w:val="28AC5FA3"/>
    <w:rsid w:val="28AE7D5A"/>
    <w:rsid w:val="28AF339E"/>
    <w:rsid w:val="28B46C06"/>
    <w:rsid w:val="28B85CFC"/>
    <w:rsid w:val="28C621E1"/>
    <w:rsid w:val="28CE5B1D"/>
    <w:rsid w:val="28D76D98"/>
    <w:rsid w:val="28E33487"/>
    <w:rsid w:val="28E3573D"/>
    <w:rsid w:val="28EF40E2"/>
    <w:rsid w:val="28F434A6"/>
    <w:rsid w:val="28F95878"/>
    <w:rsid w:val="28FA75A5"/>
    <w:rsid w:val="28FD69FA"/>
    <w:rsid w:val="28FF7F73"/>
    <w:rsid w:val="290024FA"/>
    <w:rsid w:val="29080D00"/>
    <w:rsid w:val="29096C93"/>
    <w:rsid w:val="290A4A78"/>
    <w:rsid w:val="290D6316"/>
    <w:rsid w:val="290F208E"/>
    <w:rsid w:val="29110AE3"/>
    <w:rsid w:val="29204F7C"/>
    <w:rsid w:val="292D2FB3"/>
    <w:rsid w:val="29345F99"/>
    <w:rsid w:val="293667B4"/>
    <w:rsid w:val="293E4722"/>
    <w:rsid w:val="294D2BB7"/>
    <w:rsid w:val="295201CD"/>
    <w:rsid w:val="295312A9"/>
    <w:rsid w:val="2953641F"/>
    <w:rsid w:val="29581F9A"/>
    <w:rsid w:val="296625FF"/>
    <w:rsid w:val="29683511"/>
    <w:rsid w:val="296E76E6"/>
    <w:rsid w:val="296F6FD1"/>
    <w:rsid w:val="297B7724"/>
    <w:rsid w:val="297D1B58"/>
    <w:rsid w:val="2984482A"/>
    <w:rsid w:val="298567F4"/>
    <w:rsid w:val="298962E5"/>
    <w:rsid w:val="298A4D77"/>
    <w:rsid w:val="298E38FB"/>
    <w:rsid w:val="29954C89"/>
    <w:rsid w:val="2996455E"/>
    <w:rsid w:val="29996CC8"/>
    <w:rsid w:val="299B7DC6"/>
    <w:rsid w:val="29A0572F"/>
    <w:rsid w:val="29A22F02"/>
    <w:rsid w:val="29B43D6F"/>
    <w:rsid w:val="29B9024C"/>
    <w:rsid w:val="29C64906"/>
    <w:rsid w:val="29C94933"/>
    <w:rsid w:val="29CC61D1"/>
    <w:rsid w:val="29E11498"/>
    <w:rsid w:val="29E37561"/>
    <w:rsid w:val="29E4351B"/>
    <w:rsid w:val="29E76B67"/>
    <w:rsid w:val="29F0497A"/>
    <w:rsid w:val="29F8243F"/>
    <w:rsid w:val="29FA689B"/>
    <w:rsid w:val="2A016393"/>
    <w:rsid w:val="2A0F00F5"/>
    <w:rsid w:val="2A1A6F3D"/>
    <w:rsid w:val="2A1F27A5"/>
    <w:rsid w:val="2A2100B3"/>
    <w:rsid w:val="2A263B34"/>
    <w:rsid w:val="2A297180"/>
    <w:rsid w:val="2A2B2EF8"/>
    <w:rsid w:val="2A3818D2"/>
    <w:rsid w:val="2A385BFB"/>
    <w:rsid w:val="2A48258A"/>
    <w:rsid w:val="2A495A74"/>
    <w:rsid w:val="2A5147BB"/>
    <w:rsid w:val="2A520E5E"/>
    <w:rsid w:val="2A6114F7"/>
    <w:rsid w:val="2A691C72"/>
    <w:rsid w:val="2A694D05"/>
    <w:rsid w:val="2A6B63D3"/>
    <w:rsid w:val="2A73489F"/>
    <w:rsid w:val="2A7A5C2D"/>
    <w:rsid w:val="2A832EC5"/>
    <w:rsid w:val="2A8645D2"/>
    <w:rsid w:val="2A871420"/>
    <w:rsid w:val="2A895E70"/>
    <w:rsid w:val="2A8A682D"/>
    <w:rsid w:val="2A8B3997"/>
    <w:rsid w:val="2A9352C8"/>
    <w:rsid w:val="2AA812D6"/>
    <w:rsid w:val="2AB253C7"/>
    <w:rsid w:val="2AB303AA"/>
    <w:rsid w:val="2AB32EED"/>
    <w:rsid w:val="2AC75D95"/>
    <w:rsid w:val="2ACB4154"/>
    <w:rsid w:val="2ACB6D8B"/>
    <w:rsid w:val="2AD062D5"/>
    <w:rsid w:val="2AD23A30"/>
    <w:rsid w:val="2AD32900"/>
    <w:rsid w:val="2AD6555A"/>
    <w:rsid w:val="2ADA66CC"/>
    <w:rsid w:val="2AE15CAC"/>
    <w:rsid w:val="2AE2201F"/>
    <w:rsid w:val="2AE6588D"/>
    <w:rsid w:val="2AEF3F25"/>
    <w:rsid w:val="2AF21C68"/>
    <w:rsid w:val="2AF51D7F"/>
    <w:rsid w:val="2AF754D0"/>
    <w:rsid w:val="2AF7727E"/>
    <w:rsid w:val="2B004687"/>
    <w:rsid w:val="2B054C77"/>
    <w:rsid w:val="2B067511"/>
    <w:rsid w:val="2B1424F2"/>
    <w:rsid w:val="2B147E30"/>
    <w:rsid w:val="2B155BBF"/>
    <w:rsid w:val="2B1760A1"/>
    <w:rsid w:val="2B1D67DB"/>
    <w:rsid w:val="2B23121A"/>
    <w:rsid w:val="2B317534"/>
    <w:rsid w:val="2B3202B6"/>
    <w:rsid w:val="2B361B54"/>
    <w:rsid w:val="2B490D18"/>
    <w:rsid w:val="2B512E32"/>
    <w:rsid w:val="2B603075"/>
    <w:rsid w:val="2B69724D"/>
    <w:rsid w:val="2B6A3EF4"/>
    <w:rsid w:val="2B6C37C8"/>
    <w:rsid w:val="2B89459E"/>
    <w:rsid w:val="2B8C5C18"/>
    <w:rsid w:val="2B911481"/>
    <w:rsid w:val="2B927E1F"/>
    <w:rsid w:val="2B9603B4"/>
    <w:rsid w:val="2B966039"/>
    <w:rsid w:val="2BA52ABB"/>
    <w:rsid w:val="2BAA6270"/>
    <w:rsid w:val="2BBF5FEE"/>
    <w:rsid w:val="2BC12D1D"/>
    <w:rsid w:val="2BCA6741"/>
    <w:rsid w:val="2BCA6DA3"/>
    <w:rsid w:val="2BCE4483"/>
    <w:rsid w:val="2BD31A99"/>
    <w:rsid w:val="2BD85D87"/>
    <w:rsid w:val="2BEC66B7"/>
    <w:rsid w:val="2BED76B6"/>
    <w:rsid w:val="2BF043F9"/>
    <w:rsid w:val="2C02237E"/>
    <w:rsid w:val="2C0C5A8A"/>
    <w:rsid w:val="2C0E0D23"/>
    <w:rsid w:val="2C0F23A5"/>
    <w:rsid w:val="2C1C07D8"/>
    <w:rsid w:val="2C23668E"/>
    <w:rsid w:val="2C2440A3"/>
    <w:rsid w:val="2C2451AD"/>
    <w:rsid w:val="2C363DD6"/>
    <w:rsid w:val="2C4568D1"/>
    <w:rsid w:val="2C4627F2"/>
    <w:rsid w:val="2C515743"/>
    <w:rsid w:val="2C5A3F68"/>
    <w:rsid w:val="2C5F332D"/>
    <w:rsid w:val="2C622E1D"/>
    <w:rsid w:val="2C655F7C"/>
    <w:rsid w:val="2C670F7F"/>
    <w:rsid w:val="2C6B3A80"/>
    <w:rsid w:val="2C6E7DFF"/>
    <w:rsid w:val="2C7D37B3"/>
    <w:rsid w:val="2C8750E1"/>
    <w:rsid w:val="2C882A69"/>
    <w:rsid w:val="2C965551"/>
    <w:rsid w:val="2C9D5C03"/>
    <w:rsid w:val="2CAB3828"/>
    <w:rsid w:val="2CAD5E46"/>
    <w:rsid w:val="2CB27900"/>
    <w:rsid w:val="2CB35427"/>
    <w:rsid w:val="2CB45FEB"/>
    <w:rsid w:val="2CB516FA"/>
    <w:rsid w:val="2CB52F4D"/>
    <w:rsid w:val="2CBD0053"/>
    <w:rsid w:val="2CBF201D"/>
    <w:rsid w:val="2CC8106E"/>
    <w:rsid w:val="2CCC14BE"/>
    <w:rsid w:val="2CCE34A4"/>
    <w:rsid w:val="2CD77367"/>
    <w:rsid w:val="2CDF7FCA"/>
    <w:rsid w:val="2CE13D42"/>
    <w:rsid w:val="2CE35D0C"/>
    <w:rsid w:val="2CE476CE"/>
    <w:rsid w:val="2CED0939"/>
    <w:rsid w:val="2CF021D7"/>
    <w:rsid w:val="2CF55D49"/>
    <w:rsid w:val="2CF9108B"/>
    <w:rsid w:val="2CFC0B7C"/>
    <w:rsid w:val="2D067B09"/>
    <w:rsid w:val="2D151C3D"/>
    <w:rsid w:val="2D257531"/>
    <w:rsid w:val="2D2A0B7C"/>
    <w:rsid w:val="2D2B320F"/>
    <w:rsid w:val="2D354416"/>
    <w:rsid w:val="2D382F2D"/>
    <w:rsid w:val="2D3A605F"/>
    <w:rsid w:val="2D3F1699"/>
    <w:rsid w:val="2D404F0C"/>
    <w:rsid w:val="2D412A32"/>
    <w:rsid w:val="2D4740F2"/>
    <w:rsid w:val="2D480265"/>
    <w:rsid w:val="2D4F15F3"/>
    <w:rsid w:val="2D522E91"/>
    <w:rsid w:val="2D5319E1"/>
    <w:rsid w:val="2D595FCE"/>
    <w:rsid w:val="2D5E5392"/>
    <w:rsid w:val="2D681DE7"/>
    <w:rsid w:val="2D6B43A6"/>
    <w:rsid w:val="2D714D1A"/>
    <w:rsid w:val="2D742E08"/>
    <w:rsid w:val="2D771923"/>
    <w:rsid w:val="2D773818"/>
    <w:rsid w:val="2D7A3A3A"/>
    <w:rsid w:val="2D7E5E22"/>
    <w:rsid w:val="2D7F7A1E"/>
    <w:rsid w:val="2D8A43D9"/>
    <w:rsid w:val="2D902139"/>
    <w:rsid w:val="2D914CD1"/>
    <w:rsid w:val="2D962D7E"/>
    <w:rsid w:val="2DA336ED"/>
    <w:rsid w:val="2DAF4B5E"/>
    <w:rsid w:val="2DAF66C5"/>
    <w:rsid w:val="2DB24D4A"/>
    <w:rsid w:val="2DB46201"/>
    <w:rsid w:val="2DBE4083"/>
    <w:rsid w:val="2DC55411"/>
    <w:rsid w:val="2DC7118A"/>
    <w:rsid w:val="2DCC2C44"/>
    <w:rsid w:val="2DDD3C56"/>
    <w:rsid w:val="2DF61A6F"/>
    <w:rsid w:val="2E015A5D"/>
    <w:rsid w:val="2E051E23"/>
    <w:rsid w:val="2E0F48DF"/>
    <w:rsid w:val="2E13617D"/>
    <w:rsid w:val="2E187C37"/>
    <w:rsid w:val="2E1F0FC6"/>
    <w:rsid w:val="2E1F70CB"/>
    <w:rsid w:val="2E20089A"/>
    <w:rsid w:val="2E2B5E45"/>
    <w:rsid w:val="2E3615BD"/>
    <w:rsid w:val="2E3C42F5"/>
    <w:rsid w:val="2E3F6F72"/>
    <w:rsid w:val="2E4349F0"/>
    <w:rsid w:val="2E443131"/>
    <w:rsid w:val="2E456552"/>
    <w:rsid w:val="2E494294"/>
    <w:rsid w:val="2E496043"/>
    <w:rsid w:val="2E5073D1"/>
    <w:rsid w:val="2E535F50"/>
    <w:rsid w:val="2E5C5D76"/>
    <w:rsid w:val="2E5D1F78"/>
    <w:rsid w:val="2E5F4766"/>
    <w:rsid w:val="2E611735"/>
    <w:rsid w:val="2E6A6D7F"/>
    <w:rsid w:val="2E7921DE"/>
    <w:rsid w:val="2E7E50A6"/>
    <w:rsid w:val="2E8250B1"/>
    <w:rsid w:val="2E833657"/>
    <w:rsid w:val="2E8D7DEE"/>
    <w:rsid w:val="2E910BE6"/>
    <w:rsid w:val="2E943534"/>
    <w:rsid w:val="2E954DE4"/>
    <w:rsid w:val="2E9A4AF0"/>
    <w:rsid w:val="2E9D1A1F"/>
    <w:rsid w:val="2E9D1EEA"/>
    <w:rsid w:val="2EA74B17"/>
    <w:rsid w:val="2EA8720D"/>
    <w:rsid w:val="2EAD4823"/>
    <w:rsid w:val="2EB37960"/>
    <w:rsid w:val="2EC90F31"/>
    <w:rsid w:val="2ED10AFD"/>
    <w:rsid w:val="2ED605D6"/>
    <w:rsid w:val="2ED81174"/>
    <w:rsid w:val="2EDD1288"/>
    <w:rsid w:val="2EF02962"/>
    <w:rsid w:val="2EFC79F2"/>
    <w:rsid w:val="2F067A90"/>
    <w:rsid w:val="2F0D0E1E"/>
    <w:rsid w:val="2F106B60"/>
    <w:rsid w:val="2F146867"/>
    <w:rsid w:val="2F191EB9"/>
    <w:rsid w:val="2F195A15"/>
    <w:rsid w:val="2F1E64F6"/>
    <w:rsid w:val="2F1E74CF"/>
    <w:rsid w:val="2F1F40B1"/>
    <w:rsid w:val="2F225EBB"/>
    <w:rsid w:val="2F2D14C0"/>
    <w:rsid w:val="2F370591"/>
    <w:rsid w:val="2F383732"/>
    <w:rsid w:val="2F394CAA"/>
    <w:rsid w:val="2F48454C"/>
    <w:rsid w:val="2F486F5A"/>
    <w:rsid w:val="2F503401"/>
    <w:rsid w:val="2F566C69"/>
    <w:rsid w:val="2F6641E8"/>
    <w:rsid w:val="2F744F03"/>
    <w:rsid w:val="2F79208A"/>
    <w:rsid w:val="2F8512DC"/>
    <w:rsid w:val="2F854310"/>
    <w:rsid w:val="2F8E33BE"/>
    <w:rsid w:val="2F9257C7"/>
    <w:rsid w:val="2F9628DF"/>
    <w:rsid w:val="2F972377"/>
    <w:rsid w:val="2F982DBB"/>
    <w:rsid w:val="2F9B0B20"/>
    <w:rsid w:val="2FA605FF"/>
    <w:rsid w:val="2FA86D99"/>
    <w:rsid w:val="2FAD2601"/>
    <w:rsid w:val="2FB63264"/>
    <w:rsid w:val="2FB971F8"/>
    <w:rsid w:val="2FBA0ACE"/>
    <w:rsid w:val="2FBB4D1E"/>
    <w:rsid w:val="2FC736C3"/>
    <w:rsid w:val="2FC9711A"/>
    <w:rsid w:val="2FDA422A"/>
    <w:rsid w:val="2FDA518C"/>
    <w:rsid w:val="2FDB53C0"/>
    <w:rsid w:val="2FE75B13"/>
    <w:rsid w:val="2FEE1920"/>
    <w:rsid w:val="2FEE6EA1"/>
    <w:rsid w:val="2FF64406"/>
    <w:rsid w:val="2FF97B6E"/>
    <w:rsid w:val="2FFB511A"/>
    <w:rsid w:val="300216D6"/>
    <w:rsid w:val="3002294D"/>
    <w:rsid w:val="300246FB"/>
    <w:rsid w:val="30040927"/>
    <w:rsid w:val="30071D11"/>
    <w:rsid w:val="30204B81"/>
    <w:rsid w:val="30233430"/>
    <w:rsid w:val="30240B15"/>
    <w:rsid w:val="30285162"/>
    <w:rsid w:val="302C5C1C"/>
    <w:rsid w:val="3030039B"/>
    <w:rsid w:val="303074BA"/>
    <w:rsid w:val="3038636F"/>
    <w:rsid w:val="303C64C9"/>
    <w:rsid w:val="303F0126"/>
    <w:rsid w:val="30455411"/>
    <w:rsid w:val="304C3BC8"/>
    <w:rsid w:val="304E7F5C"/>
    <w:rsid w:val="30564A47"/>
    <w:rsid w:val="305B02AF"/>
    <w:rsid w:val="305F6748"/>
    <w:rsid w:val="30601421"/>
    <w:rsid w:val="30617025"/>
    <w:rsid w:val="30640F12"/>
    <w:rsid w:val="306C426A"/>
    <w:rsid w:val="307153DD"/>
    <w:rsid w:val="30744ECD"/>
    <w:rsid w:val="30751371"/>
    <w:rsid w:val="30814AC4"/>
    <w:rsid w:val="308415B4"/>
    <w:rsid w:val="30876E61"/>
    <w:rsid w:val="308E08C5"/>
    <w:rsid w:val="308E2433"/>
    <w:rsid w:val="30913CD1"/>
    <w:rsid w:val="30937A49"/>
    <w:rsid w:val="309F019C"/>
    <w:rsid w:val="30A71CA7"/>
    <w:rsid w:val="30AA08EF"/>
    <w:rsid w:val="30B55C11"/>
    <w:rsid w:val="30B86170"/>
    <w:rsid w:val="30C145B6"/>
    <w:rsid w:val="30C15055"/>
    <w:rsid w:val="30C80BA4"/>
    <w:rsid w:val="30CC6AB7"/>
    <w:rsid w:val="30CE06A3"/>
    <w:rsid w:val="30D77936"/>
    <w:rsid w:val="30E20088"/>
    <w:rsid w:val="30EE00E5"/>
    <w:rsid w:val="30F1651D"/>
    <w:rsid w:val="30F878AC"/>
    <w:rsid w:val="30FD7ABA"/>
    <w:rsid w:val="30FF6E8D"/>
    <w:rsid w:val="31091957"/>
    <w:rsid w:val="310A747F"/>
    <w:rsid w:val="310D77FB"/>
    <w:rsid w:val="31113796"/>
    <w:rsid w:val="31172428"/>
    <w:rsid w:val="31201561"/>
    <w:rsid w:val="31232B7B"/>
    <w:rsid w:val="312608BD"/>
    <w:rsid w:val="312A215B"/>
    <w:rsid w:val="312E1520"/>
    <w:rsid w:val="31350B00"/>
    <w:rsid w:val="313668AB"/>
    <w:rsid w:val="31376626"/>
    <w:rsid w:val="313A6116"/>
    <w:rsid w:val="31434FCB"/>
    <w:rsid w:val="31460CCA"/>
    <w:rsid w:val="314D409C"/>
    <w:rsid w:val="31554CFE"/>
    <w:rsid w:val="315631BE"/>
    <w:rsid w:val="31572824"/>
    <w:rsid w:val="31575648"/>
    <w:rsid w:val="315F16D9"/>
    <w:rsid w:val="316311C9"/>
    <w:rsid w:val="31724287"/>
    <w:rsid w:val="3175714F"/>
    <w:rsid w:val="31774A1F"/>
    <w:rsid w:val="31796C3F"/>
    <w:rsid w:val="317E24A7"/>
    <w:rsid w:val="3183186B"/>
    <w:rsid w:val="31851761"/>
    <w:rsid w:val="31857392"/>
    <w:rsid w:val="318D26EA"/>
    <w:rsid w:val="31905300"/>
    <w:rsid w:val="31945827"/>
    <w:rsid w:val="31B22151"/>
    <w:rsid w:val="31B929D5"/>
    <w:rsid w:val="31BE4652"/>
    <w:rsid w:val="31C53C32"/>
    <w:rsid w:val="31CB34FB"/>
    <w:rsid w:val="31CB6D6E"/>
    <w:rsid w:val="31D1416D"/>
    <w:rsid w:val="31D56941"/>
    <w:rsid w:val="31E06F3C"/>
    <w:rsid w:val="31E1560C"/>
    <w:rsid w:val="31E42322"/>
    <w:rsid w:val="31E53BD8"/>
    <w:rsid w:val="31EC5663"/>
    <w:rsid w:val="31F31735"/>
    <w:rsid w:val="32004C6A"/>
    <w:rsid w:val="32021D39"/>
    <w:rsid w:val="320B7DBF"/>
    <w:rsid w:val="320C1861"/>
    <w:rsid w:val="32100D0D"/>
    <w:rsid w:val="3210174E"/>
    <w:rsid w:val="3218116B"/>
    <w:rsid w:val="32186458"/>
    <w:rsid w:val="321B7C74"/>
    <w:rsid w:val="3236068C"/>
    <w:rsid w:val="323B0398"/>
    <w:rsid w:val="323E5792"/>
    <w:rsid w:val="324A4137"/>
    <w:rsid w:val="324B718F"/>
    <w:rsid w:val="324C7EAF"/>
    <w:rsid w:val="32513718"/>
    <w:rsid w:val="325B00F2"/>
    <w:rsid w:val="32607DFF"/>
    <w:rsid w:val="32660004"/>
    <w:rsid w:val="32785148"/>
    <w:rsid w:val="327A0EC0"/>
    <w:rsid w:val="32803BD6"/>
    <w:rsid w:val="328238D1"/>
    <w:rsid w:val="32843928"/>
    <w:rsid w:val="328C0BF4"/>
    <w:rsid w:val="32901121"/>
    <w:rsid w:val="32987598"/>
    <w:rsid w:val="329B4993"/>
    <w:rsid w:val="32A40559"/>
    <w:rsid w:val="32A95302"/>
    <w:rsid w:val="32AE0F84"/>
    <w:rsid w:val="32B141B6"/>
    <w:rsid w:val="32B35F5F"/>
    <w:rsid w:val="32B51EF8"/>
    <w:rsid w:val="32BD4E69"/>
    <w:rsid w:val="32BE2CA3"/>
    <w:rsid w:val="32BE32D0"/>
    <w:rsid w:val="32C0264B"/>
    <w:rsid w:val="32C24615"/>
    <w:rsid w:val="32CD79A3"/>
    <w:rsid w:val="32CE6B16"/>
    <w:rsid w:val="32CF5E53"/>
    <w:rsid w:val="32D81743"/>
    <w:rsid w:val="32D8384A"/>
    <w:rsid w:val="32DC6321"/>
    <w:rsid w:val="32E60EA2"/>
    <w:rsid w:val="32EA03F3"/>
    <w:rsid w:val="32EA4287"/>
    <w:rsid w:val="32EC3440"/>
    <w:rsid w:val="32EE0F67"/>
    <w:rsid w:val="32F161F7"/>
    <w:rsid w:val="32F32A21"/>
    <w:rsid w:val="32F50547"/>
    <w:rsid w:val="32FB1847"/>
    <w:rsid w:val="33154745"/>
    <w:rsid w:val="3317670F"/>
    <w:rsid w:val="33184450"/>
    <w:rsid w:val="33224DA6"/>
    <w:rsid w:val="333D3C9C"/>
    <w:rsid w:val="333E70FA"/>
    <w:rsid w:val="3342113B"/>
    <w:rsid w:val="33482D6D"/>
    <w:rsid w:val="334B0167"/>
    <w:rsid w:val="334F4FC6"/>
    <w:rsid w:val="33517CAD"/>
    <w:rsid w:val="335222DF"/>
    <w:rsid w:val="33545E5E"/>
    <w:rsid w:val="33641229"/>
    <w:rsid w:val="336D0C3D"/>
    <w:rsid w:val="336F7604"/>
    <w:rsid w:val="33721B98"/>
    <w:rsid w:val="33727DEA"/>
    <w:rsid w:val="33745910"/>
    <w:rsid w:val="33795626"/>
    <w:rsid w:val="337C2C1D"/>
    <w:rsid w:val="337E678E"/>
    <w:rsid w:val="338C4253"/>
    <w:rsid w:val="339715FE"/>
    <w:rsid w:val="339B7340"/>
    <w:rsid w:val="33A1422B"/>
    <w:rsid w:val="33A37679"/>
    <w:rsid w:val="33B049A5"/>
    <w:rsid w:val="33B757FC"/>
    <w:rsid w:val="33C64B8F"/>
    <w:rsid w:val="33C83593"/>
    <w:rsid w:val="33D62126"/>
    <w:rsid w:val="33D91C17"/>
    <w:rsid w:val="33DE547F"/>
    <w:rsid w:val="33E77D06"/>
    <w:rsid w:val="33EA3E24"/>
    <w:rsid w:val="33EA7980"/>
    <w:rsid w:val="33F16F60"/>
    <w:rsid w:val="33F67CDF"/>
    <w:rsid w:val="33FE6572"/>
    <w:rsid w:val="34000EC8"/>
    <w:rsid w:val="340065E3"/>
    <w:rsid w:val="340071A3"/>
    <w:rsid w:val="34036C94"/>
    <w:rsid w:val="340824FC"/>
    <w:rsid w:val="341964B7"/>
    <w:rsid w:val="341B222F"/>
    <w:rsid w:val="342804A8"/>
    <w:rsid w:val="343B193A"/>
    <w:rsid w:val="344352E2"/>
    <w:rsid w:val="34452416"/>
    <w:rsid w:val="344A2B14"/>
    <w:rsid w:val="344C23E9"/>
    <w:rsid w:val="344C39B7"/>
    <w:rsid w:val="344F012B"/>
    <w:rsid w:val="345751A6"/>
    <w:rsid w:val="345D5808"/>
    <w:rsid w:val="34666A21"/>
    <w:rsid w:val="3467447F"/>
    <w:rsid w:val="34695BBC"/>
    <w:rsid w:val="34780B0C"/>
    <w:rsid w:val="347D40E4"/>
    <w:rsid w:val="347E456C"/>
    <w:rsid w:val="34871673"/>
    <w:rsid w:val="348953EB"/>
    <w:rsid w:val="34951291"/>
    <w:rsid w:val="349873DC"/>
    <w:rsid w:val="349C4A10"/>
    <w:rsid w:val="34A0062A"/>
    <w:rsid w:val="34A031B3"/>
    <w:rsid w:val="34A25169"/>
    <w:rsid w:val="34A43EBB"/>
    <w:rsid w:val="34AE01D0"/>
    <w:rsid w:val="34B1393E"/>
    <w:rsid w:val="34B41D3C"/>
    <w:rsid w:val="34B66963"/>
    <w:rsid w:val="34C71D40"/>
    <w:rsid w:val="34CE1050"/>
    <w:rsid w:val="34D32B0A"/>
    <w:rsid w:val="34DB5D00"/>
    <w:rsid w:val="34DD307C"/>
    <w:rsid w:val="34E40873"/>
    <w:rsid w:val="34E645EB"/>
    <w:rsid w:val="34EC75B1"/>
    <w:rsid w:val="34F52A80"/>
    <w:rsid w:val="34F5482E"/>
    <w:rsid w:val="34F67C2F"/>
    <w:rsid w:val="3504230C"/>
    <w:rsid w:val="35070AAD"/>
    <w:rsid w:val="350B1FFF"/>
    <w:rsid w:val="3522139B"/>
    <w:rsid w:val="35221F45"/>
    <w:rsid w:val="352769B2"/>
    <w:rsid w:val="35353003"/>
    <w:rsid w:val="353C0347"/>
    <w:rsid w:val="353C245D"/>
    <w:rsid w:val="353E4427"/>
    <w:rsid w:val="35431A3E"/>
    <w:rsid w:val="355E6877"/>
    <w:rsid w:val="35620545"/>
    <w:rsid w:val="356D0868"/>
    <w:rsid w:val="356E2833"/>
    <w:rsid w:val="3570790C"/>
    <w:rsid w:val="35775243"/>
    <w:rsid w:val="35793D59"/>
    <w:rsid w:val="35805B7D"/>
    <w:rsid w:val="35845BB2"/>
    <w:rsid w:val="35876A57"/>
    <w:rsid w:val="35894D48"/>
    <w:rsid w:val="358A766C"/>
    <w:rsid w:val="35935DF5"/>
    <w:rsid w:val="35943130"/>
    <w:rsid w:val="35A16764"/>
    <w:rsid w:val="35A26038"/>
    <w:rsid w:val="35A26FC6"/>
    <w:rsid w:val="35A3428A"/>
    <w:rsid w:val="35AC267C"/>
    <w:rsid w:val="35B64130"/>
    <w:rsid w:val="35C429D9"/>
    <w:rsid w:val="35C459EF"/>
    <w:rsid w:val="35C90E59"/>
    <w:rsid w:val="35E14DB3"/>
    <w:rsid w:val="35E55780"/>
    <w:rsid w:val="35E86141"/>
    <w:rsid w:val="35F7377B"/>
    <w:rsid w:val="35FC1068"/>
    <w:rsid w:val="35FF0CF3"/>
    <w:rsid w:val="360C2E3B"/>
    <w:rsid w:val="361138EA"/>
    <w:rsid w:val="36146F36"/>
    <w:rsid w:val="3619279E"/>
    <w:rsid w:val="361A4E3E"/>
    <w:rsid w:val="361C403D"/>
    <w:rsid w:val="36237179"/>
    <w:rsid w:val="36245603"/>
    <w:rsid w:val="36252EF1"/>
    <w:rsid w:val="36380E96"/>
    <w:rsid w:val="364610BA"/>
    <w:rsid w:val="364639DE"/>
    <w:rsid w:val="364D41F6"/>
    <w:rsid w:val="36546526"/>
    <w:rsid w:val="36592A97"/>
    <w:rsid w:val="365B19B7"/>
    <w:rsid w:val="36674810"/>
    <w:rsid w:val="366854D4"/>
    <w:rsid w:val="367E60DF"/>
    <w:rsid w:val="36815893"/>
    <w:rsid w:val="368B560A"/>
    <w:rsid w:val="368E77D3"/>
    <w:rsid w:val="368F59AD"/>
    <w:rsid w:val="36902F42"/>
    <w:rsid w:val="3699743B"/>
    <w:rsid w:val="36A54032"/>
    <w:rsid w:val="36A54FD3"/>
    <w:rsid w:val="36C02C1A"/>
    <w:rsid w:val="36C26992"/>
    <w:rsid w:val="36D213C3"/>
    <w:rsid w:val="36D22989"/>
    <w:rsid w:val="36D36DF1"/>
    <w:rsid w:val="36D52B69"/>
    <w:rsid w:val="36D827BA"/>
    <w:rsid w:val="36D84407"/>
    <w:rsid w:val="36E20DE2"/>
    <w:rsid w:val="36E36539"/>
    <w:rsid w:val="36E6534F"/>
    <w:rsid w:val="36E94D26"/>
    <w:rsid w:val="36FD5C1C"/>
    <w:rsid w:val="370130B6"/>
    <w:rsid w:val="37016D1F"/>
    <w:rsid w:val="37024FE0"/>
    <w:rsid w:val="37040D59"/>
    <w:rsid w:val="370C40B1"/>
    <w:rsid w:val="371C1A25"/>
    <w:rsid w:val="371F072C"/>
    <w:rsid w:val="371F2036"/>
    <w:rsid w:val="371F762E"/>
    <w:rsid w:val="37250C2A"/>
    <w:rsid w:val="37353608"/>
    <w:rsid w:val="37357164"/>
    <w:rsid w:val="373954D9"/>
    <w:rsid w:val="373F5FFA"/>
    <w:rsid w:val="37422E24"/>
    <w:rsid w:val="37461371"/>
    <w:rsid w:val="37465815"/>
    <w:rsid w:val="374675C3"/>
    <w:rsid w:val="37500442"/>
    <w:rsid w:val="37521BDE"/>
    <w:rsid w:val="375810A4"/>
    <w:rsid w:val="376F381A"/>
    <w:rsid w:val="376F44BB"/>
    <w:rsid w:val="37831746"/>
    <w:rsid w:val="3783506E"/>
    <w:rsid w:val="3784398A"/>
    <w:rsid w:val="37A24506"/>
    <w:rsid w:val="37AE6F16"/>
    <w:rsid w:val="37B87D95"/>
    <w:rsid w:val="37C0018E"/>
    <w:rsid w:val="37C16F25"/>
    <w:rsid w:val="37C93D50"/>
    <w:rsid w:val="37CE1367"/>
    <w:rsid w:val="37D03557"/>
    <w:rsid w:val="37D54C01"/>
    <w:rsid w:val="37E34E12"/>
    <w:rsid w:val="37E421C7"/>
    <w:rsid w:val="37EC5DE5"/>
    <w:rsid w:val="37ED3EE3"/>
    <w:rsid w:val="37F30DCD"/>
    <w:rsid w:val="37F52D97"/>
    <w:rsid w:val="37F84656"/>
    <w:rsid w:val="380341AD"/>
    <w:rsid w:val="38037262"/>
    <w:rsid w:val="380A3A2B"/>
    <w:rsid w:val="38123949"/>
    <w:rsid w:val="38170F5F"/>
    <w:rsid w:val="381A18D6"/>
    <w:rsid w:val="381B27FE"/>
    <w:rsid w:val="382316B2"/>
    <w:rsid w:val="38277363"/>
    <w:rsid w:val="38290394"/>
    <w:rsid w:val="382C4A0B"/>
    <w:rsid w:val="382F43FF"/>
    <w:rsid w:val="383A69FC"/>
    <w:rsid w:val="38402264"/>
    <w:rsid w:val="38471845"/>
    <w:rsid w:val="3851621F"/>
    <w:rsid w:val="385171D1"/>
    <w:rsid w:val="38561184"/>
    <w:rsid w:val="385B0E4C"/>
    <w:rsid w:val="385E26EA"/>
    <w:rsid w:val="38657F1D"/>
    <w:rsid w:val="38765C86"/>
    <w:rsid w:val="387E532F"/>
    <w:rsid w:val="3894610C"/>
    <w:rsid w:val="38952B4A"/>
    <w:rsid w:val="389A320A"/>
    <w:rsid w:val="38A00F55"/>
    <w:rsid w:val="38A071A7"/>
    <w:rsid w:val="38A109B2"/>
    <w:rsid w:val="38A74091"/>
    <w:rsid w:val="38A81BB8"/>
    <w:rsid w:val="38AE3672"/>
    <w:rsid w:val="38B27213"/>
    <w:rsid w:val="38B90269"/>
    <w:rsid w:val="38C52157"/>
    <w:rsid w:val="38C6103F"/>
    <w:rsid w:val="38C613AA"/>
    <w:rsid w:val="38CF183A"/>
    <w:rsid w:val="38D86941"/>
    <w:rsid w:val="38E65DE7"/>
    <w:rsid w:val="38F8669B"/>
    <w:rsid w:val="390239BE"/>
    <w:rsid w:val="390667A8"/>
    <w:rsid w:val="390C0398"/>
    <w:rsid w:val="391B0B22"/>
    <w:rsid w:val="391C5DFD"/>
    <w:rsid w:val="391E71C1"/>
    <w:rsid w:val="392E6561"/>
    <w:rsid w:val="3942200C"/>
    <w:rsid w:val="39455658"/>
    <w:rsid w:val="394713D0"/>
    <w:rsid w:val="394871E4"/>
    <w:rsid w:val="3948754F"/>
    <w:rsid w:val="394D6D52"/>
    <w:rsid w:val="395064D7"/>
    <w:rsid w:val="395123E3"/>
    <w:rsid w:val="395D0BF4"/>
    <w:rsid w:val="395D2841"/>
    <w:rsid w:val="39616936"/>
    <w:rsid w:val="39627FB8"/>
    <w:rsid w:val="396401D4"/>
    <w:rsid w:val="39693140"/>
    <w:rsid w:val="397D1896"/>
    <w:rsid w:val="39827691"/>
    <w:rsid w:val="39837E8B"/>
    <w:rsid w:val="398A77BE"/>
    <w:rsid w:val="39902D77"/>
    <w:rsid w:val="39921A71"/>
    <w:rsid w:val="3999711F"/>
    <w:rsid w:val="39A95BE7"/>
    <w:rsid w:val="39AF6354"/>
    <w:rsid w:val="39C81811"/>
    <w:rsid w:val="39C944DB"/>
    <w:rsid w:val="39CF7DD0"/>
    <w:rsid w:val="39D67805"/>
    <w:rsid w:val="39F92C3E"/>
    <w:rsid w:val="39FF1CAB"/>
    <w:rsid w:val="3A00614F"/>
    <w:rsid w:val="3A046030"/>
    <w:rsid w:val="3A086DB2"/>
    <w:rsid w:val="3A125B7D"/>
    <w:rsid w:val="3A2636DC"/>
    <w:rsid w:val="3A287454"/>
    <w:rsid w:val="3A2B484E"/>
    <w:rsid w:val="3A35391F"/>
    <w:rsid w:val="3A3E7C39"/>
    <w:rsid w:val="3A3F7042"/>
    <w:rsid w:val="3A41716B"/>
    <w:rsid w:val="3A462743"/>
    <w:rsid w:val="3A466D00"/>
    <w:rsid w:val="3A476A38"/>
    <w:rsid w:val="3A4E6852"/>
    <w:rsid w:val="3A541FF7"/>
    <w:rsid w:val="3A6D130B"/>
    <w:rsid w:val="3A6D30B9"/>
    <w:rsid w:val="3A6D4E67"/>
    <w:rsid w:val="3A756B76"/>
    <w:rsid w:val="3A7B57D6"/>
    <w:rsid w:val="3A7E52C6"/>
    <w:rsid w:val="3A8256D3"/>
    <w:rsid w:val="3A836438"/>
    <w:rsid w:val="3A875922"/>
    <w:rsid w:val="3A8F1281"/>
    <w:rsid w:val="3A9643BE"/>
    <w:rsid w:val="3AA50AA5"/>
    <w:rsid w:val="3AA62CEB"/>
    <w:rsid w:val="3AAA3B91"/>
    <w:rsid w:val="3AAC1E33"/>
    <w:rsid w:val="3AAF3DE4"/>
    <w:rsid w:val="3AB900AC"/>
    <w:rsid w:val="3ABD5DEE"/>
    <w:rsid w:val="3AC058DE"/>
    <w:rsid w:val="3AC21656"/>
    <w:rsid w:val="3AC50C65"/>
    <w:rsid w:val="3ACC7578"/>
    <w:rsid w:val="3ADC3D9A"/>
    <w:rsid w:val="3ADD527F"/>
    <w:rsid w:val="3ADE3FB6"/>
    <w:rsid w:val="3ADE5D64"/>
    <w:rsid w:val="3AE01ADD"/>
    <w:rsid w:val="3AE0388B"/>
    <w:rsid w:val="3AE50EA1"/>
    <w:rsid w:val="3AE72E6B"/>
    <w:rsid w:val="3AEC0481"/>
    <w:rsid w:val="3AED3A1B"/>
    <w:rsid w:val="3AED3BD1"/>
    <w:rsid w:val="3AEE41FA"/>
    <w:rsid w:val="3AF410E4"/>
    <w:rsid w:val="3AF47336"/>
    <w:rsid w:val="3B007A89"/>
    <w:rsid w:val="3B050759"/>
    <w:rsid w:val="3B0C59F9"/>
    <w:rsid w:val="3B133C60"/>
    <w:rsid w:val="3B135A0E"/>
    <w:rsid w:val="3B293484"/>
    <w:rsid w:val="3B331C0C"/>
    <w:rsid w:val="3B380EFD"/>
    <w:rsid w:val="3B3E6803"/>
    <w:rsid w:val="3B425B1D"/>
    <w:rsid w:val="3B443E1A"/>
    <w:rsid w:val="3B467B23"/>
    <w:rsid w:val="3B4756B8"/>
    <w:rsid w:val="3B4C0F20"/>
    <w:rsid w:val="3B4E4C98"/>
    <w:rsid w:val="3B4F136D"/>
    <w:rsid w:val="3B5B73B5"/>
    <w:rsid w:val="3B5F60C6"/>
    <w:rsid w:val="3B6251B3"/>
    <w:rsid w:val="3B7010B2"/>
    <w:rsid w:val="3B710987"/>
    <w:rsid w:val="3B7F30A4"/>
    <w:rsid w:val="3B862EC7"/>
    <w:rsid w:val="3B871F58"/>
    <w:rsid w:val="3B8A37F6"/>
    <w:rsid w:val="3B8E1539"/>
    <w:rsid w:val="3B907AA4"/>
    <w:rsid w:val="3B932479"/>
    <w:rsid w:val="3B9D4728"/>
    <w:rsid w:val="3B9D6381"/>
    <w:rsid w:val="3BA02AA2"/>
    <w:rsid w:val="3BA42B0A"/>
    <w:rsid w:val="3BA725FA"/>
    <w:rsid w:val="3BAA1C70"/>
    <w:rsid w:val="3BB32D4D"/>
    <w:rsid w:val="3BBF16F2"/>
    <w:rsid w:val="3BC66F24"/>
    <w:rsid w:val="3BC92571"/>
    <w:rsid w:val="3BC94BB0"/>
    <w:rsid w:val="3BCD02B3"/>
    <w:rsid w:val="3BD57167"/>
    <w:rsid w:val="3BD76E6C"/>
    <w:rsid w:val="3BE30326"/>
    <w:rsid w:val="3BEB24E7"/>
    <w:rsid w:val="3BF07939"/>
    <w:rsid w:val="3BF3242B"/>
    <w:rsid w:val="3BF44191"/>
    <w:rsid w:val="3BF5359A"/>
    <w:rsid w:val="3BF84C04"/>
    <w:rsid w:val="3C025A83"/>
    <w:rsid w:val="3C147C90"/>
    <w:rsid w:val="3C1A2DCC"/>
    <w:rsid w:val="3C215F09"/>
    <w:rsid w:val="3C2679C3"/>
    <w:rsid w:val="3C2B4FD9"/>
    <w:rsid w:val="3C2C4FD9"/>
    <w:rsid w:val="3C343841"/>
    <w:rsid w:val="3C3C0F95"/>
    <w:rsid w:val="3C4B267E"/>
    <w:rsid w:val="3C5001C6"/>
    <w:rsid w:val="3C555EA7"/>
    <w:rsid w:val="3C564325"/>
    <w:rsid w:val="3C585C08"/>
    <w:rsid w:val="3C655E40"/>
    <w:rsid w:val="3C687FDC"/>
    <w:rsid w:val="3C6B7ACC"/>
    <w:rsid w:val="3C6F4AD6"/>
    <w:rsid w:val="3C7423B9"/>
    <w:rsid w:val="3C7A571F"/>
    <w:rsid w:val="3C7C4DFA"/>
    <w:rsid w:val="3C7C70D7"/>
    <w:rsid w:val="3C8628E4"/>
    <w:rsid w:val="3C9012E0"/>
    <w:rsid w:val="3C936DD0"/>
    <w:rsid w:val="3C95255B"/>
    <w:rsid w:val="3CA510DD"/>
    <w:rsid w:val="3CA54D8C"/>
    <w:rsid w:val="3CA8487C"/>
    <w:rsid w:val="3CAB1C76"/>
    <w:rsid w:val="3CAF42BA"/>
    <w:rsid w:val="3CAF4EEF"/>
    <w:rsid w:val="3CB12751"/>
    <w:rsid w:val="3CB428CA"/>
    <w:rsid w:val="3CBF4A0D"/>
    <w:rsid w:val="3CC01BC6"/>
    <w:rsid w:val="3CC35212"/>
    <w:rsid w:val="3CC50F8A"/>
    <w:rsid w:val="3CD94A35"/>
    <w:rsid w:val="3CE138EA"/>
    <w:rsid w:val="3CEE2CB0"/>
    <w:rsid w:val="3CF9307F"/>
    <w:rsid w:val="3D0106F2"/>
    <w:rsid w:val="3D130B9D"/>
    <w:rsid w:val="3D167A38"/>
    <w:rsid w:val="3D1837B0"/>
    <w:rsid w:val="3D1B32A0"/>
    <w:rsid w:val="3D1E45E2"/>
    <w:rsid w:val="3D22462E"/>
    <w:rsid w:val="3D281519"/>
    <w:rsid w:val="3D2C1009"/>
    <w:rsid w:val="3D2C725B"/>
    <w:rsid w:val="3D2D3B55"/>
    <w:rsid w:val="3D347EBE"/>
    <w:rsid w:val="3D393726"/>
    <w:rsid w:val="3D3F7458"/>
    <w:rsid w:val="3D4142A4"/>
    <w:rsid w:val="3D430B38"/>
    <w:rsid w:val="3D436353"/>
    <w:rsid w:val="3D4402AC"/>
    <w:rsid w:val="3D491BBB"/>
    <w:rsid w:val="3D4D64CF"/>
    <w:rsid w:val="3D736C38"/>
    <w:rsid w:val="3D8E0053"/>
    <w:rsid w:val="3D9238A8"/>
    <w:rsid w:val="3D9F53AC"/>
    <w:rsid w:val="3DA212CB"/>
    <w:rsid w:val="3DA35161"/>
    <w:rsid w:val="3DA90A55"/>
    <w:rsid w:val="3DB84E4A"/>
    <w:rsid w:val="3DC14D3E"/>
    <w:rsid w:val="3DCB6A74"/>
    <w:rsid w:val="3DD33817"/>
    <w:rsid w:val="3DD826E5"/>
    <w:rsid w:val="3DDD42FC"/>
    <w:rsid w:val="3DE713D4"/>
    <w:rsid w:val="3E047890"/>
    <w:rsid w:val="3E1315BE"/>
    <w:rsid w:val="3E1A5306"/>
    <w:rsid w:val="3E1E2F9A"/>
    <w:rsid w:val="3E213DAB"/>
    <w:rsid w:val="3E23065E"/>
    <w:rsid w:val="3E2748F8"/>
    <w:rsid w:val="3E2D5039"/>
    <w:rsid w:val="3E3208A1"/>
    <w:rsid w:val="3E391C30"/>
    <w:rsid w:val="3E4573F0"/>
    <w:rsid w:val="3E4660FB"/>
    <w:rsid w:val="3E4D56DB"/>
    <w:rsid w:val="3E4E4EF9"/>
    <w:rsid w:val="3E4F5F4D"/>
    <w:rsid w:val="3E5623D7"/>
    <w:rsid w:val="3E5668B2"/>
    <w:rsid w:val="3E595E2E"/>
    <w:rsid w:val="3E5A3954"/>
    <w:rsid w:val="3E5F1327"/>
    <w:rsid w:val="3E6E1BFA"/>
    <w:rsid w:val="3E6E3033"/>
    <w:rsid w:val="3E753A99"/>
    <w:rsid w:val="3E755C9F"/>
    <w:rsid w:val="3E7C1B1C"/>
    <w:rsid w:val="3E86299B"/>
    <w:rsid w:val="3E886BB1"/>
    <w:rsid w:val="3E8F56A6"/>
    <w:rsid w:val="3E902723"/>
    <w:rsid w:val="3E916C1F"/>
    <w:rsid w:val="3E917038"/>
    <w:rsid w:val="3E954780"/>
    <w:rsid w:val="3E9C21BE"/>
    <w:rsid w:val="3EA13331"/>
    <w:rsid w:val="3EA370A9"/>
    <w:rsid w:val="3EA64DEB"/>
    <w:rsid w:val="3EA66B99"/>
    <w:rsid w:val="3EA751D3"/>
    <w:rsid w:val="3EA920EF"/>
    <w:rsid w:val="3EAE3E3D"/>
    <w:rsid w:val="3EAF2B6F"/>
    <w:rsid w:val="3EB42DC3"/>
    <w:rsid w:val="3EB56DDC"/>
    <w:rsid w:val="3EC6746C"/>
    <w:rsid w:val="3EC7747B"/>
    <w:rsid w:val="3EC8300C"/>
    <w:rsid w:val="3ECB4852"/>
    <w:rsid w:val="3ED47F65"/>
    <w:rsid w:val="3EDA24BC"/>
    <w:rsid w:val="3EDB13A4"/>
    <w:rsid w:val="3EDE6333"/>
    <w:rsid w:val="3EDF3E59"/>
    <w:rsid w:val="3EE15E23"/>
    <w:rsid w:val="3EEA2F2A"/>
    <w:rsid w:val="3EEF0540"/>
    <w:rsid w:val="3EFA04A2"/>
    <w:rsid w:val="3EFC5A2A"/>
    <w:rsid w:val="3EFD0EAF"/>
    <w:rsid w:val="3F010273"/>
    <w:rsid w:val="3F051B12"/>
    <w:rsid w:val="3F171845"/>
    <w:rsid w:val="3F1E7077"/>
    <w:rsid w:val="3F1F754D"/>
    <w:rsid w:val="3F23643C"/>
    <w:rsid w:val="3F3601F1"/>
    <w:rsid w:val="3F596A25"/>
    <w:rsid w:val="3F656A54"/>
    <w:rsid w:val="3F6F74D4"/>
    <w:rsid w:val="3F7153F9"/>
    <w:rsid w:val="3F7A3757"/>
    <w:rsid w:val="3F7B1DD4"/>
    <w:rsid w:val="3F8769CB"/>
    <w:rsid w:val="3F9609BC"/>
    <w:rsid w:val="3F9B06C8"/>
    <w:rsid w:val="3FA23805"/>
    <w:rsid w:val="3FA4132B"/>
    <w:rsid w:val="3FA550A3"/>
    <w:rsid w:val="3FA62B83"/>
    <w:rsid w:val="3FBA0B4E"/>
    <w:rsid w:val="3FBA617D"/>
    <w:rsid w:val="3FBB48C6"/>
    <w:rsid w:val="3FBD419A"/>
    <w:rsid w:val="3FC13A60"/>
    <w:rsid w:val="3FC512A1"/>
    <w:rsid w:val="3FC56298"/>
    <w:rsid w:val="3FCA68B7"/>
    <w:rsid w:val="3FCE45FA"/>
    <w:rsid w:val="3FCF3ECE"/>
    <w:rsid w:val="3FD11DF9"/>
    <w:rsid w:val="3FD9024B"/>
    <w:rsid w:val="3FDD4145"/>
    <w:rsid w:val="3FDE5383"/>
    <w:rsid w:val="3FE21E53"/>
    <w:rsid w:val="3FE34F9A"/>
    <w:rsid w:val="3FE51083"/>
    <w:rsid w:val="3FE91433"/>
    <w:rsid w:val="3FF15A78"/>
    <w:rsid w:val="3FF1653A"/>
    <w:rsid w:val="4002670D"/>
    <w:rsid w:val="400B75FC"/>
    <w:rsid w:val="40131625"/>
    <w:rsid w:val="40155D85"/>
    <w:rsid w:val="401D07DC"/>
    <w:rsid w:val="40260E08"/>
    <w:rsid w:val="402B55A8"/>
    <w:rsid w:val="40356427"/>
    <w:rsid w:val="403E177F"/>
    <w:rsid w:val="403F1053"/>
    <w:rsid w:val="40431D49"/>
    <w:rsid w:val="40436D96"/>
    <w:rsid w:val="4044560B"/>
    <w:rsid w:val="40463FD3"/>
    <w:rsid w:val="40526FD9"/>
    <w:rsid w:val="405613EC"/>
    <w:rsid w:val="40566CA7"/>
    <w:rsid w:val="40581744"/>
    <w:rsid w:val="40582115"/>
    <w:rsid w:val="405A40DF"/>
    <w:rsid w:val="40610FCA"/>
    <w:rsid w:val="40730CFD"/>
    <w:rsid w:val="407C4056"/>
    <w:rsid w:val="407D392A"/>
    <w:rsid w:val="40805350"/>
    <w:rsid w:val="4084115C"/>
    <w:rsid w:val="40846373"/>
    <w:rsid w:val="4099592E"/>
    <w:rsid w:val="40995B13"/>
    <w:rsid w:val="40A23390"/>
    <w:rsid w:val="40A610D2"/>
    <w:rsid w:val="40A8197C"/>
    <w:rsid w:val="40AF442B"/>
    <w:rsid w:val="40B97058"/>
    <w:rsid w:val="40C81049"/>
    <w:rsid w:val="40C854ED"/>
    <w:rsid w:val="40D0614F"/>
    <w:rsid w:val="40D519B8"/>
    <w:rsid w:val="40D931EB"/>
    <w:rsid w:val="40D932C1"/>
    <w:rsid w:val="40DE038F"/>
    <w:rsid w:val="40DE5B53"/>
    <w:rsid w:val="40E63BC5"/>
    <w:rsid w:val="40E90573"/>
    <w:rsid w:val="40F41E3E"/>
    <w:rsid w:val="40F462E2"/>
    <w:rsid w:val="41032081"/>
    <w:rsid w:val="410A340F"/>
    <w:rsid w:val="410D345B"/>
    <w:rsid w:val="41123E0D"/>
    <w:rsid w:val="412232E3"/>
    <w:rsid w:val="412A5860"/>
    <w:rsid w:val="412D010A"/>
    <w:rsid w:val="413A424B"/>
    <w:rsid w:val="413B57D4"/>
    <w:rsid w:val="41401527"/>
    <w:rsid w:val="4154516B"/>
    <w:rsid w:val="41632E30"/>
    <w:rsid w:val="41662610"/>
    <w:rsid w:val="41705C12"/>
    <w:rsid w:val="41764F49"/>
    <w:rsid w:val="41765A39"/>
    <w:rsid w:val="417C576E"/>
    <w:rsid w:val="41850CE8"/>
    <w:rsid w:val="418E2292"/>
    <w:rsid w:val="41914247"/>
    <w:rsid w:val="41932688"/>
    <w:rsid w:val="4193283E"/>
    <w:rsid w:val="4195772C"/>
    <w:rsid w:val="41A42FA1"/>
    <w:rsid w:val="41A970CC"/>
    <w:rsid w:val="41B82E6B"/>
    <w:rsid w:val="41B85267"/>
    <w:rsid w:val="41B96BE3"/>
    <w:rsid w:val="41CC4968"/>
    <w:rsid w:val="41CF2582"/>
    <w:rsid w:val="41CF6407"/>
    <w:rsid w:val="41D34149"/>
    <w:rsid w:val="41D97E6B"/>
    <w:rsid w:val="41DA2121"/>
    <w:rsid w:val="41DD4D60"/>
    <w:rsid w:val="41E277F4"/>
    <w:rsid w:val="41EB7DC9"/>
    <w:rsid w:val="41EC0D67"/>
    <w:rsid w:val="41F1637D"/>
    <w:rsid w:val="42010CB6"/>
    <w:rsid w:val="42055B33"/>
    <w:rsid w:val="420A275E"/>
    <w:rsid w:val="4216293E"/>
    <w:rsid w:val="42291671"/>
    <w:rsid w:val="422C3859"/>
    <w:rsid w:val="423F533B"/>
    <w:rsid w:val="42416E85"/>
    <w:rsid w:val="424E557E"/>
    <w:rsid w:val="42552DB0"/>
    <w:rsid w:val="4257387A"/>
    <w:rsid w:val="425F56A5"/>
    <w:rsid w:val="42660C48"/>
    <w:rsid w:val="42674891"/>
    <w:rsid w:val="4268268D"/>
    <w:rsid w:val="426C6036"/>
    <w:rsid w:val="426D634C"/>
    <w:rsid w:val="42750D5C"/>
    <w:rsid w:val="427D40B5"/>
    <w:rsid w:val="42807B5E"/>
    <w:rsid w:val="42894808"/>
    <w:rsid w:val="428C60A6"/>
    <w:rsid w:val="428E6874"/>
    <w:rsid w:val="42925DB2"/>
    <w:rsid w:val="42981845"/>
    <w:rsid w:val="42A24E54"/>
    <w:rsid w:val="42A96C58"/>
    <w:rsid w:val="42AC4713"/>
    <w:rsid w:val="42B403C1"/>
    <w:rsid w:val="42B45D29"/>
    <w:rsid w:val="42B749AD"/>
    <w:rsid w:val="42BB18AF"/>
    <w:rsid w:val="42BB357B"/>
    <w:rsid w:val="42C35F6C"/>
    <w:rsid w:val="42D27F5D"/>
    <w:rsid w:val="42DF08CC"/>
    <w:rsid w:val="42E12896"/>
    <w:rsid w:val="42E20147"/>
    <w:rsid w:val="42E3702F"/>
    <w:rsid w:val="42EB32CE"/>
    <w:rsid w:val="42F205FF"/>
    <w:rsid w:val="42F56341"/>
    <w:rsid w:val="42F73E67"/>
    <w:rsid w:val="42F97BDF"/>
    <w:rsid w:val="42FC76D0"/>
    <w:rsid w:val="42FF2D1C"/>
    <w:rsid w:val="43016A94"/>
    <w:rsid w:val="43056584"/>
    <w:rsid w:val="43071E5B"/>
    <w:rsid w:val="43137E8F"/>
    <w:rsid w:val="43192030"/>
    <w:rsid w:val="431E02ED"/>
    <w:rsid w:val="431F1AC0"/>
    <w:rsid w:val="43205DE5"/>
    <w:rsid w:val="43210D61"/>
    <w:rsid w:val="43266633"/>
    <w:rsid w:val="43395A13"/>
    <w:rsid w:val="433C187A"/>
    <w:rsid w:val="43482915"/>
    <w:rsid w:val="435971C6"/>
    <w:rsid w:val="435B2648"/>
    <w:rsid w:val="435E3EE6"/>
    <w:rsid w:val="43697B1B"/>
    <w:rsid w:val="436A63E7"/>
    <w:rsid w:val="43707776"/>
    <w:rsid w:val="43796330"/>
    <w:rsid w:val="437B05F4"/>
    <w:rsid w:val="437C436D"/>
    <w:rsid w:val="437E6337"/>
    <w:rsid w:val="437F7674"/>
    <w:rsid w:val="43866E9E"/>
    <w:rsid w:val="43886342"/>
    <w:rsid w:val="438A4CDB"/>
    <w:rsid w:val="438F5E4E"/>
    <w:rsid w:val="4391606A"/>
    <w:rsid w:val="4396090B"/>
    <w:rsid w:val="43996CCD"/>
    <w:rsid w:val="439D56D9"/>
    <w:rsid w:val="439E0787"/>
    <w:rsid w:val="439F7DA1"/>
    <w:rsid w:val="43AE02ED"/>
    <w:rsid w:val="43B5750E"/>
    <w:rsid w:val="43B62E26"/>
    <w:rsid w:val="43BB531B"/>
    <w:rsid w:val="43C04259"/>
    <w:rsid w:val="43C24475"/>
    <w:rsid w:val="43C31F9B"/>
    <w:rsid w:val="43D45F57"/>
    <w:rsid w:val="43D877F5"/>
    <w:rsid w:val="43DD305D"/>
    <w:rsid w:val="43E20674"/>
    <w:rsid w:val="43E3619A"/>
    <w:rsid w:val="43FB73B9"/>
    <w:rsid w:val="43FF1225"/>
    <w:rsid w:val="4407632C"/>
    <w:rsid w:val="440D018F"/>
    <w:rsid w:val="440D12B4"/>
    <w:rsid w:val="44117BF8"/>
    <w:rsid w:val="44147E9F"/>
    <w:rsid w:val="441572A8"/>
    <w:rsid w:val="4416656F"/>
    <w:rsid w:val="442838FD"/>
    <w:rsid w:val="442944F4"/>
    <w:rsid w:val="4429503A"/>
    <w:rsid w:val="442E1B0B"/>
    <w:rsid w:val="44305883"/>
    <w:rsid w:val="44326AB7"/>
    <w:rsid w:val="443901B3"/>
    <w:rsid w:val="4440539A"/>
    <w:rsid w:val="44480B00"/>
    <w:rsid w:val="444D2A0A"/>
    <w:rsid w:val="445301DE"/>
    <w:rsid w:val="44531571"/>
    <w:rsid w:val="445D375F"/>
    <w:rsid w:val="445F7F16"/>
    <w:rsid w:val="4461412B"/>
    <w:rsid w:val="44624C5B"/>
    <w:rsid w:val="44631B99"/>
    <w:rsid w:val="446A6C18"/>
    <w:rsid w:val="446C618F"/>
    <w:rsid w:val="446E1F07"/>
    <w:rsid w:val="44784B34"/>
    <w:rsid w:val="447D214A"/>
    <w:rsid w:val="447F4114"/>
    <w:rsid w:val="44810213"/>
    <w:rsid w:val="448E07FB"/>
    <w:rsid w:val="449000D0"/>
    <w:rsid w:val="449776B0"/>
    <w:rsid w:val="449974D6"/>
    <w:rsid w:val="44A21BB1"/>
    <w:rsid w:val="44A40300"/>
    <w:rsid w:val="44A616A1"/>
    <w:rsid w:val="44AE67A8"/>
    <w:rsid w:val="44B1373E"/>
    <w:rsid w:val="44B20B3E"/>
    <w:rsid w:val="44B466EC"/>
    <w:rsid w:val="44B54C59"/>
    <w:rsid w:val="44B57B36"/>
    <w:rsid w:val="44B85878"/>
    <w:rsid w:val="44B87626"/>
    <w:rsid w:val="44BA15F0"/>
    <w:rsid w:val="44BC04F9"/>
    <w:rsid w:val="44BD69EB"/>
    <w:rsid w:val="44C14DFA"/>
    <w:rsid w:val="44C45FCB"/>
    <w:rsid w:val="44CC6C2E"/>
    <w:rsid w:val="44CD1324"/>
    <w:rsid w:val="44CD30D2"/>
    <w:rsid w:val="44D047A4"/>
    <w:rsid w:val="44D0671E"/>
    <w:rsid w:val="44D15A1D"/>
    <w:rsid w:val="44D426B2"/>
    <w:rsid w:val="44D87BAD"/>
    <w:rsid w:val="44E16B7D"/>
    <w:rsid w:val="44E4041B"/>
    <w:rsid w:val="44E9625B"/>
    <w:rsid w:val="44F3240C"/>
    <w:rsid w:val="44F63392"/>
    <w:rsid w:val="44F7014F"/>
    <w:rsid w:val="44F87A23"/>
    <w:rsid w:val="450A021D"/>
    <w:rsid w:val="450B77DC"/>
    <w:rsid w:val="45107462"/>
    <w:rsid w:val="45120111"/>
    <w:rsid w:val="45152860"/>
    <w:rsid w:val="4517434D"/>
    <w:rsid w:val="45175D90"/>
    <w:rsid w:val="451B6B9E"/>
    <w:rsid w:val="451E56DB"/>
    <w:rsid w:val="45232CF2"/>
    <w:rsid w:val="45246A6A"/>
    <w:rsid w:val="452B604A"/>
    <w:rsid w:val="45301E7E"/>
    <w:rsid w:val="45322F35"/>
    <w:rsid w:val="45392515"/>
    <w:rsid w:val="45464C32"/>
    <w:rsid w:val="45482758"/>
    <w:rsid w:val="454B3FF6"/>
    <w:rsid w:val="455235D7"/>
    <w:rsid w:val="4566776F"/>
    <w:rsid w:val="45740AA7"/>
    <w:rsid w:val="457667B6"/>
    <w:rsid w:val="45774DEB"/>
    <w:rsid w:val="457B2BF7"/>
    <w:rsid w:val="457E6AA0"/>
    <w:rsid w:val="458319E2"/>
    <w:rsid w:val="4588349D"/>
    <w:rsid w:val="458A34FF"/>
    <w:rsid w:val="458C5CEC"/>
    <w:rsid w:val="458E4BD4"/>
    <w:rsid w:val="458F65D9"/>
    <w:rsid w:val="459C4852"/>
    <w:rsid w:val="459E05CA"/>
    <w:rsid w:val="45A656D1"/>
    <w:rsid w:val="45A73923"/>
    <w:rsid w:val="45AC08C1"/>
    <w:rsid w:val="45AD256B"/>
    <w:rsid w:val="45BE0C6C"/>
    <w:rsid w:val="45C758B2"/>
    <w:rsid w:val="45CC3389"/>
    <w:rsid w:val="45D264C6"/>
    <w:rsid w:val="45DD5596"/>
    <w:rsid w:val="45EA1A61"/>
    <w:rsid w:val="45EB5CCF"/>
    <w:rsid w:val="45ED4AB7"/>
    <w:rsid w:val="45ED64FA"/>
    <w:rsid w:val="45EE447B"/>
    <w:rsid w:val="45F31035"/>
    <w:rsid w:val="46003033"/>
    <w:rsid w:val="460743C1"/>
    <w:rsid w:val="4617099C"/>
    <w:rsid w:val="461D3BE5"/>
    <w:rsid w:val="4624059E"/>
    <w:rsid w:val="46284338"/>
    <w:rsid w:val="4635683C"/>
    <w:rsid w:val="46386C71"/>
    <w:rsid w:val="463A1ECC"/>
    <w:rsid w:val="463E3B5B"/>
    <w:rsid w:val="46406C9A"/>
    <w:rsid w:val="46483838"/>
    <w:rsid w:val="46503A72"/>
    <w:rsid w:val="46511AE0"/>
    <w:rsid w:val="4651388E"/>
    <w:rsid w:val="46557F8A"/>
    <w:rsid w:val="465B295F"/>
    <w:rsid w:val="465D2233"/>
    <w:rsid w:val="465D66D7"/>
    <w:rsid w:val="465E7D59"/>
    <w:rsid w:val="466435C2"/>
    <w:rsid w:val="466730B2"/>
    <w:rsid w:val="467878B8"/>
    <w:rsid w:val="46794B93"/>
    <w:rsid w:val="467B6B5D"/>
    <w:rsid w:val="467E4117"/>
    <w:rsid w:val="4681622F"/>
    <w:rsid w:val="46853538"/>
    <w:rsid w:val="46863764"/>
    <w:rsid w:val="46887788"/>
    <w:rsid w:val="468C2B19"/>
    <w:rsid w:val="468F5699"/>
    <w:rsid w:val="469A3487"/>
    <w:rsid w:val="469D6230"/>
    <w:rsid w:val="46A720D3"/>
    <w:rsid w:val="46B130B1"/>
    <w:rsid w:val="46B502C1"/>
    <w:rsid w:val="46B85596"/>
    <w:rsid w:val="46BB7326"/>
    <w:rsid w:val="46BD0F24"/>
    <w:rsid w:val="46C16C66"/>
    <w:rsid w:val="46C6602A"/>
    <w:rsid w:val="46C71DA3"/>
    <w:rsid w:val="46CE1383"/>
    <w:rsid w:val="46D00C57"/>
    <w:rsid w:val="46D149CF"/>
    <w:rsid w:val="46D215CD"/>
    <w:rsid w:val="46D43205"/>
    <w:rsid w:val="46D544C0"/>
    <w:rsid w:val="46D633C6"/>
    <w:rsid w:val="46EE732F"/>
    <w:rsid w:val="46F26E20"/>
    <w:rsid w:val="46F72688"/>
    <w:rsid w:val="46FB4D0A"/>
    <w:rsid w:val="46FC7AF4"/>
    <w:rsid w:val="470152B5"/>
    <w:rsid w:val="470B38B4"/>
    <w:rsid w:val="4710374A"/>
    <w:rsid w:val="47177A9E"/>
    <w:rsid w:val="471B7567"/>
    <w:rsid w:val="471C5C4A"/>
    <w:rsid w:val="471C7F42"/>
    <w:rsid w:val="47282841"/>
    <w:rsid w:val="472B25D3"/>
    <w:rsid w:val="472B7CD1"/>
    <w:rsid w:val="4732546E"/>
    <w:rsid w:val="473304A9"/>
    <w:rsid w:val="47337F88"/>
    <w:rsid w:val="473A739C"/>
    <w:rsid w:val="473E02B7"/>
    <w:rsid w:val="474A2581"/>
    <w:rsid w:val="47694C08"/>
    <w:rsid w:val="477556EA"/>
    <w:rsid w:val="478657BA"/>
    <w:rsid w:val="478A0CA0"/>
    <w:rsid w:val="478F0B12"/>
    <w:rsid w:val="4791488A"/>
    <w:rsid w:val="479512C3"/>
    <w:rsid w:val="479559FD"/>
    <w:rsid w:val="47A76A21"/>
    <w:rsid w:val="47A85730"/>
    <w:rsid w:val="47A93D18"/>
    <w:rsid w:val="47AC07BB"/>
    <w:rsid w:val="47C54534"/>
    <w:rsid w:val="47C702AC"/>
    <w:rsid w:val="47D46525"/>
    <w:rsid w:val="47D47AF4"/>
    <w:rsid w:val="47E250E6"/>
    <w:rsid w:val="47E32C0C"/>
    <w:rsid w:val="47EF15B1"/>
    <w:rsid w:val="47F03402"/>
    <w:rsid w:val="47F24BFD"/>
    <w:rsid w:val="47F646ED"/>
    <w:rsid w:val="47F6649C"/>
    <w:rsid w:val="4800556C"/>
    <w:rsid w:val="480768FB"/>
    <w:rsid w:val="480A4E65"/>
    <w:rsid w:val="480A63EB"/>
    <w:rsid w:val="480C6413"/>
    <w:rsid w:val="480D7C89"/>
    <w:rsid w:val="480F3A01"/>
    <w:rsid w:val="481334F1"/>
    <w:rsid w:val="481608EC"/>
    <w:rsid w:val="48172BDB"/>
    <w:rsid w:val="483416BA"/>
    <w:rsid w:val="48357040"/>
    <w:rsid w:val="48362D3C"/>
    <w:rsid w:val="4837077E"/>
    <w:rsid w:val="48391B82"/>
    <w:rsid w:val="4839282C"/>
    <w:rsid w:val="483A1661"/>
    <w:rsid w:val="483B2A48"/>
    <w:rsid w:val="483E2E99"/>
    <w:rsid w:val="484048FB"/>
    <w:rsid w:val="4843113A"/>
    <w:rsid w:val="484336AB"/>
    <w:rsid w:val="48480CC1"/>
    <w:rsid w:val="48496F13"/>
    <w:rsid w:val="48523EE0"/>
    <w:rsid w:val="485338EE"/>
    <w:rsid w:val="48561630"/>
    <w:rsid w:val="485853A8"/>
    <w:rsid w:val="485A284D"/>
    <w:rsid w:val="48627FD5"/>
    <w:rsid w:val="486E0728"/>
    <w:rsid w:val="48733F90"/>
    <w:rsid w:val="487675DC"/>
    <w:rsid w:val="48822425"/>
    <w:rsid w:val="488520C4"/>
    <w:rsid w:val="48855A71"/>
    <w:rsid w:val="488A3088"/>
    <w:rsid w:val="488C5052"/>
    <w:rsid w:val="4893018E"/>
    <w:rsid w:val="48961A2D"/>
    <w:rsid w:val="489D1B20"/>
    <w:rsid w:val="489F2FD7"/>
    <w:rsid w:val="48B76729"/>
    <w:rsid w:val="48C540C0"/>
    <w:rsid w:val="48D139FB"/>
    <w:rsid w:val="48D52555"/>
    <w:rsid w:val="48D72771"/>
    <w:rsid w:val="48E061AC"/>
    <w:rsid w:val="48E71687"/>
    <w:rsid w:val="48E7672C"/>
    <w:rsid w:val="48ED63DD"/>
    <w:rsid w:val="48EE3617"/>
    <w:rsid w:val="48F3642B"/>
    <w:rsid w:val="48F50EEE"/>
    <w:rsid w:val="48FC132D"/>
    <w:rsid w:val="4901159C"/>
    <w:rsid w:val="490E1F0B"/>
    <w:rsid w:val="490E219F"/>
    <w:rsid w:val="49134D90"/>
    <w:rsid w:val="491659C9"/>
    <w:rsid w:val="491A440C"/>
    <w:rsid w:val="491C2615"/>
    <w:rsid w:val="49220186"/>
    <w:rsid w:val="492B03C7"/>
    <w:rsid w:val="493132E0"/>
    <w:rsid w:val="49465201"/>
    <w:rsid w:val="49470F79"/>
    <w:rsid w:val="49587CE4"/>
    <w:rsid w:val="49605264"/>
    <w:rsid w:val="49634005"/>
    <w:rsid w:val="49697141"/>
    <w:rsid w:val="49831FB1"/>
    <w:rsid w:val="498447B9"/>
    <w:rsid w:val="498521CD"/>
    <w:rsid w:val="49896007"/>
    <w:rsid w:val="498B5FCF"/>
    <w:rsid w:val="498D2E30"/>
    <w:rsid w:val="4995680C"/>
    <w:rsid w:val="49971F00"/>
    <w:rsid w:val="499A554C"/>
    <w:rsid w:val="49A62DB4"/>
    <w:rsid w:val="49BF6CB1"/>
    <w:rsid w:val="49C32CF5"/>
    <w:rsid w:val="49C64593"/>
    <w:rsid w:val="49CA0BFE"/>
    <w:rsid w:val="49D03A26"/>
    <w:rsid w:val="49D63BE5"/>
    <w:rsid w:val="49D8128A"/>
    <w:rsid w:val="49E450D3"/>
    <w:rsid w:val="49EC224C"/>
    <w:rsid w:val="49EE7713"/>
    <w:rsid w:val="49FC7FB5"/>
    <w:rsid w:val="4A0072DC"/>
    <w:rsid w:val="4A0F7CE8"/>
    <w:rsid w:val="4A124F88"/>
    <w:rsid w:val="4A190D05"/>
    <w:rsid w:val="4A1B043B"/>
    <w:rsid w:val="4A2B014A"/>
    <w:rsid w:val="4A2C2648"/>
    <w:rsid w:val="4A2C551D"/>
    <w:rsid w:val="4A2E424F"/>
    <w:rsid w:val="4A36378E"/>
    <w:rsid w:val="4A4554B8"/>
    <w:rsid w:val="4A484FA8"/>
    <w:rsid w:val="4A4E6A63"/>
    <w:rsid w:val="4A520FD4"/>
    <w:rsid w:val="4A53089A"/>
    <w:rsid w:val="4A590F64"/>
    <w:rsid w:val="4A5C2802"/>
    <w:rsid w:val="4A607445"/>
    <w:rsid w:val="4A670DE3"/>
    <w:rsid w:val="4A6A1120"/>
    <w:rsid w:val="4A6C513B"/>
    <w:rsid w:val="4A6C6EE9"/>
    <w:rsid w:val="4A722025"/>
    <w:rsid w:val="4A78588E"/>
    <w:rsid w:val="4A80578F"/>
    <w:rsid w:val="4A841EEE"/>
    <w:rsid w:val="4A875AD1"/>
    <w:rsid w:val="4A8C13C1"/>
    <w:rsid w:val="4A8C30E7"/>
    <w:rsid w:val="4A963F66"/>
    <w:rsid w:val="4AA7704A"/>
    <w:rsid w:val="4AAF6DD6"/>
    <w:rsid w:val="4AB55462"/>
    <w:rsid w:val="4AB902FA"/>
    <w:rsid w:val="4AC565F9"/>
    <w:rsid w:val="4AC62A9D"/>
    <w:rsid w:val="4AD131F0"/>
    <w:rsid w:val="4AE20F59"/>
    <w:rsid w:val="4AE662A3"/>
    <w:rsid w:val="4B0819BD"/>
    <w:rsid w:val="4B124922"/>
    <w:rsid w:val="4B1B26BD"/>
    <w:rsid w:val="4B20798C"/>
    <w:rsid w:val="4B2F78B4"/>
    <w:rsid w:val="4B35552D"/>
    <w:rsid w:val="4B4577FE"/>
    <w:rsid w:val="4B4A1C1E"/>
    <w:rsid w:val="4B4E65EF"/>
    <w:rsid w:val="4B553E21"/>
    <w:rsid w:val="4B5A0EBE"/>
    <w:rsid w:val="4B5C6F5D"/>
    <w:rsid w:val="4B5E0F27"/>
    <w:rsid w:val="4B6669E5"/>
    <w:rsid w:val="4B7818BD"/>
    <w:rsid w:val="4B7E1BD4"/>
    <w:rsid w:val="4B7E5126"/>
    <w:rsid w:val="4B976D07"/>
    <w:rsid w:val="4B986E74"/>
    <w:rsid w:val="4B9A7A86"/>
    <w:rsid w:val="4B9F1A03"/>
    <w:rsid w:val="4BA206E8"/>
    <w:rsid w:val="4BA40F37"/>
    <w:rsid w:val="4BA6467C"/>
    <w:rsid w:val="4BAD1567"/>
    <w:rsid w:val="4BB40B47"/>
    <w:rsid w:val="4BB87F0C"/>
    <w:rsid w:val="4BBA0128"/>
    <w:rsid w:val="4BBC5C4E"/>
    <w:rsid w:val="4BC34E32"/>
    <w:rsid w:val="4BCD1C09"/>
    <w:rsid w:val="4BCD46D1"/>
    <w:rsid w:val="4BCE03AC"/>
    <w:rsid w:val="4BD72A88"/>
    <w:rsid w:val="4BD80EC4"/>
    <w:rsid w:val="4BD9235C"/>
    <w:rsid w:val="4BDC730C"/>
    <w:rsid w:val="4BDC770F"/>
    <w:rsid w:val="4BE3142D"/>
    <w:rsid w:val="4BE60F1D"/>
    <w:rsid w:val="4BEA6084"/>
    <w:rsid w:val="4BFA35A7"/>
    <w:rsid w:val="4BFE0015"/>
    <w:rsid w:val="4C001FDF"/>
    <w:rsid w:val="4C0233B4"/>
    <w:rsid w:val="4C15535E"/>
    <w:rsid w:val="4C166351"/>
    <w:rsid w:val="4C1A71FA"/>
    <w:rsid w:val="4C2029A5"/>
    <w:rsid w:val="4C260707"/>
    <w:rsid w:val="4C325A71"/>
    <w:rsid w:val="4C3C0B3D"/>
    <w:rsid w:val="4C3E2B07"/>
    <w:rsid w:val="4C454A60"/>
    <w:rsid w:val="4C4D68A6"/>
    <w:rsid w:val="4C4F261E"/>
    <w:rsid w:val="4C50431F"/>
    <w:rsid w:val="4C627CDE"/>
    <w:rsid w:val="4C6836E0"/>
    <w:rsid w:val="4C6C31D0"/>
    <w:rsid w:val="4C7363EE"/>
    <w:rsid w:val="4C8229F4"/>
    <w:rsid w:val="4C8A2925"/>
    <w:rsid w:val="4C8A3367"/>
    <w:rsid w:val="4C9B1D07"/>
    <w:rsid w:val="4C9D3ED0"/>
    <w:rsid w:val="4C9D43BB"/>
    <w:rsid w:val="4C9E7102"/>
    <w:rsid w:val="4CB72717"/>
    <w:rsid w:val="4CB77648"/>
    <w:rsid w:val="4CC90623"/>
    <w:rsid w:val="4CCA7EF7"/>
    <w:rsid w:val="4CCF550D"/>
    <w:rsid w:val="4CD6689C"/>
    <w:rsid w:val="4CD7039B"/>
    <w:rsid w:val="4CE27B44"/>
    <w:rsid w:val="4CF5766A"/>
    <w:rsid w:val="4CF84A64"/>
    <w:rsid w:val="4D01600E"/>
    <w:rsid w:val="4D037CA3"/>
    <w:rsid w:val="4D081F21"/>
    <w:rsid w:val="4D137AF0"/>
    <w:rsid w:val="4D293097"/>
    <w:rsid w:val="4D2A4601"/>
    <w:rsid w:val="4D2D76DE"/>
    <w:rsid w:val="4D332641"/>
    <w:rsid w:val="4D3D2DBF"/>
    <w:rsid w:val="4D3F08E5"/>
    <w:rsid w:val="4D461C73"/>
    <w:rsid w:val="4D4B13C2"/>
    <w:rsid w:val="4D502AF2"/>
    <w:rsid w:val="4D587BF8"/>
    <w:rsid w:val="4D5C3245"/>
    <w:rsid w:val="4D61085B"/>
    <w:rsid w:val="4D6C7200"/>
    <w:rsid w:val="4D7467B7"/>
    <w:rsid w:val="4D7D31BB"/>
    <w:rsid w:val="4D7F33D7"/>
    <w:rsid w:val="4D82782A"/>
    <w:rsid w:val="4D8608E4"/>
    <w:rsid w:val="4D897DB2"/>
    <w:rsid w:val="4D8C1650"/>
    <w:rsid w:val="4D8E31C6"/>
    <w:rsid w:val="4D9B7896"/>
    <w:rsid w:val="4D9D385D"/>
    <w:rsid w:val="4DA112D1"/>
    <w:rsid w:val="4DA46DA9"/>
    <w:rsid w:val="4DA908A4"/>
    <w:rsid w:val="4DAE7818"/>
    <w:rsid w:val="4DB400ED"/>
    <w:rsid w:val="4DB7491F"/>
    <w:rsid w:val="4DBF37D4"/>
    <w:rsid w:val="4DC13C49"/>
    <w:rsid w:val="4DC96400"/>
    <w:rsid w:val="4DCB3F26"/>
    <w:rsid w:val="4DDF79D2"/>
    <w:rsid w:val="4DE438B0"/>
    <w:rsid w:val="4DE82D2A"/>
    <w:rsid w:val="4DFA0CB0"/>
    <w:rsid w:val="4DFE7A5F"/>
    <w:rsid w:val="4E023BB8"/>
    <w:rsid w:val="4E0D453F"/>
    <w:rsid w:val="4E0D5EE9"/>
    <w:rsid w:val="4E10612E"/>
    <w:rsid w:val="4E141D71"/>
    <w:rsid w:val="4E165AE9"/>
    <w:rsid w:val="4E17716C"/>
    <w:rsid w:val="4E1B3100"/>
    <w:rsid w:val="4E1F1692"/>
    <w:rsid w:val="4E2D2E33"/>
    <w:rsid w:val="4E355844"/>
    <w:rsid w:val="4E3917D8"/>
    <w:rsid w:val="4E3B5550"/>
    <w:rsid w:val="4E437F61"/>
    <w:rsid w:val="4E4D2C94"/>
    <w:rsid w:val="4E5B174E"/>
    <w:rsid w:val="4E5C7274"/>
    <w:rsid w:val="4E5E123E"/>
    <w:rsid w:val="4E5F0613"/>
    <w:rsid w:val="4E615398"/>
    <w:rsid w:val="4E6751B7"/>
    <w:rsid w:val="4E775E5C"/>
    <w:rsid w:val="4E7E0E43"/>
    <w:rsid w:val="4E7E368F"/>
    <w:rsid w:val="4E830CA5"/>
    <w:rsid w:val="4E86609F"/>
    <w:rsid w:val="4E9C3B15"/>
    <w:rsid w:val="4EA07161"/>
    <w:rsid w:val="4EA672BC"/>
    <w:rsid w:val="4EB175C0"/>
    <w:rsid w:val="4EB65799"/>
    <w:rsid w:val="4EB96475"/>
    <w:rsid w:val="4EB97FA2"/>
    <w:rsid w:val="4EBA7EB6"/>
    <w:rsid w:val="4EC33E2C"/>
    <w:rsid w:val="4ECF7A46"/>
    <w:rsid w:val="4ED17C62"/>
    <w:rsid w:val="4EE423D7"/>
    <w:rsid w:val="4EE71234"/>
    <w:rsid w:val="4EE96D5A"/>
    <w:rsid w:val="4EEF6343"/>
    <w:rsid w:val="4EF13E61"/>
    <w:rsid w:val="4EF474AD"/>
    <w:rsid w:val="4EFB6F97"/>
    <w:rsid w:val="4F005E52"/>
    <w:rsid w:val="4F046081"/>
    <w:rsid w:val="4F0C2A48"/>
    <w:rsid w:val="4F0E4A13"/>
    <w:rsid w:val="4F17780C"/>
    <w:rsid w:val="4F1B2C8C"/>
    <w:rsid w:val="4F1B7A60"/>
    <w:rsid w:val="4F227C49"/>
    <w:rsid w:val="4F241019"/>
    <w:rsid w:val="4F251D5C"/>
    <w:rsid w:val="4F280CA7"/>
    <w:rsid w:val="4F2E29BF"/>
    <w:rsid w:val="4F363F69"/>
    <w:rsid w:val="4F377047"/>
    <w:rsid w:val="4F4641AC"/>
    <w:rsid w:val="4F4C553B"/>
    <w:rsid w:val="4F4D19C2"/>
    <w:rsid w:val="4F4E17A7"/>
    <w:rsid w:val="4F505F95"/>
    <w:rsid w:val="4F55619D"/>
    <w:rsid w:val="4F5B53EB"/>
    <w:rsid w:val="4F5C6508"/>
    <w:rsid w:val="4F625F52"/>
    <w:rsid w:val="4F6512F6"/>
    <w:rsid w:val="4F6603AB"/>
    <w:rsid w:val="4F7C5E20"/>
    <w:rsid w:val="4F7D3946"/>
    <w:rsid w:val="4F7F146C"/>
    <w:rsid w:val="4F846A83"/>
    <w:rsid w:val="4F8C7A7B"/>
    <w:rsid w:val="4F936CC6"/>
    <w:rsid w:val="4F964D9C"/>
    <w:rsid w:val="4FA62E9D"/>
    <w:rsid w:val="4FAD6D95"/>
    <w:rsid w:val="4FBF5D0D"/>
    <w:rsid w:val="4FC652ED"/>
    <w:rsid w:val="4FCC21D8"/>
    <w:rsid w:val="4FCC3F86"/>
    <w:rsid w:val="4FCE780F"/>
    <w:rsid w:val="4FD2167A"/>
    <w:rsid w:val="4FD702E1"/>
    <w:rsid w:val="4FDF1F0B"/>
    <w:rsid w:val="4FEA2911"/>
    <w:rsid w:val="4FEE214E"/>
    <w:rsid w:val="4FFC486B"/>
    <w:rsid w:val="4FFF262E"/>
    <w:rsid w:val="5011165E"/>
    <w:rsid w:val="50296F9C"/>
    <w:rsid w:val="502E69EF"/>
    <w:rsid w:val="5039786D"/>
    <w:rsid w:val="503C1161"/>
    <w:rsid w:val="503D03B4"/>
    <w:rsid w:val="503F19FE"/>
    <w:rsid w:val="50632B3C"/>
    <w:rsid w:val="50642923"/>
    <w:rsid w:val="5069226B"/>
    <w:rsid w:val="506E526C"/>
    <w:rsid w:val="507765E7"/>
    <w:rsid w:val="507C775A"/>
    <w:rsid w:val="507D310C"/>
    <w:rsid w:val="50810E77"/>
    <w:rsid w:val="50836D3A"/>
    <w:rsid w:val="508545E5"/>
    <w:rsid w:val="50854CBB"/>
    <w:rsid w:val="50923421"/>
    <w:rsid w:val="509251CF"/>
    <w:rsid w:val="50926F7D"/>
    <w:rsid w:val="50982C04"/>
    <w:rsid w:val="509C1BAA"/>
    <w:rsid w:val="50A0169A"/>
    <w:rsid w:val="50A62ED6"/>
    <w:rsid w:val="50A70C7B"/>
    <w:rsid w:val="50A76000"/>
    <w:rsid w:val="50CA2BBB"/>
    <w:rsid w:val="50CF2953"/>
    <w:rsid w:val="50D13F4A"/>
    <w:rsid w:val="50D61560"/>
    <w:rsid w:val="50DB51FC"/>
    <w:rsid w:val="50E05F3B"/>
    <w:rsid w:val="50E07940"/>
    <w:rsid w:val="50E21CB3"/>
    <w:rsid w:val="50E53551"/>
    <w:rsid w:val="50E83041"/>
    <w:rsid w:val="50E9215B"/>
    <w:rsid w:val="50F47C38"/>
    <w:rsid w:val="50F6575E"/>
    <w:rsid w:val="50FA694B"/>
    <w:rsid w:val="50FB388D"/>
    <w:rsid w:val="5100482F"/>
    <w:rsid w:val="51025EB1"/>
    <w:rsid w:val="510512CC"/>
    <w:rsid w:val="51216774"/>
    <w:rsid w:val="512322CB"/>
    <w:rsid w:val="51270B2E"/>
    <w:rsid w:val="512A372D"/>
    <w:rsid w:val="512E314A"/>
    <w:rsid w:val="513A1B11"/>
    <w:rsid w:val="5141379C"/>
    <w:rsid w:val="51445B18"/>
    <w:rsid w:val="514658E0"/>
    <w:rsid w:val="514F6805"/>
    <w:rsid w:val="515511A8"/>
    <w:rsid w:val="515B3813"/>
    <w:rsid w:val="51654692"/>
    <w:rsid w:val="51662699"/>
    <w:rsid w:val="5167040A"/>
    <w:rsid w:val="516947B0"/>
    <w:rsid w:val="516C3C72"/>
    <w:rsid w:val="517805BE"/>
    <w:rsid w:val="517D7C2E"/>
    <w:rsid w:val="51954F77"/>
    <w:rsid w:val="51956D25"/>
    <w:rsid w:val="51965F7A"/>
    <w:rsid w:val="519B6306"/>
    <w:rsid w:val="519D3E2C"/>
    <w:rsid w:val="51A72608"/>
    <w:rsid w:val="51A742B0"/>
    <w:rsid w:val="51A90A23"/>
    <w:rsid w:val="51AB6549"/>
    <w:rsid w:val="51AE6039"/>
    <w:rsid w:val="51B00003"/>
    <w:rsid w:val="51B01AE2"/>
    <w:rsid w:val="51B318A1"/>
    <w:rsid w:val="51C25640"/>
    <w:rsid w:val="51C370F3"/>
    <w:rsid w:val="51CD2963"/>
    <w:rsid w:val="51CE0489"/>
    <w:rsid w:val="51CF3B07"/>
    <w:rsid w:val="51D433F8"/>
    <w:rsid w:val="51D84E64"/>
    <w:rsid w:val="51E4069D"/>
    <w:rsid w:val="51E46DF2"/>
    <w:rsid w:val="51E732F9"/>
    <w:rsid w:val="51F36142"/>
    <w:rsid w:val="51F577C4"/>
    <w:rsid w:val="51F872B4"/>
    <w:rsid w:val="520A3291"/>
    <w:rsid w:val="520E2F00"/>
    <w:rsid w:val="520E4D2A"/>
    <w:rsid w:val="52102850"/>
    <w:rsid w:val="521F1B88"/>
    <w:rsid w:val="522105B9"/>
    <w:rsid w:val="52224331"/>
    <w:rsid w:val="522258CA"/>
    <w:rsid w:val="52263E21"/>
    <w:rsid w:val="52285DEB"/>
    <w:rsid w:val="52291B63"/>
    <w:rsid w:val="522956BF"/>
    <w:rsid w:val="522E717A"/>
    <w:rsid w:val="52306A4E"/>
    <w:rsid w:val="52344790"/>
    <w:rsid w:val="5235779E"/>
    <w:rsid w:val="523C25C0"/>
    <w:rsid w:val="52496188"/>
    <w:rsid w:val="5253098E"/>
    <w:rsid w:val="525564B4"/>
    <w:rsid w:val="525766EF"/>
    <w:rsid w:val="525C5A95"/>
    <w:rsid w:val="525C7843"/>
    <w:rsid w:val="525F7333"/>
    <w:rsid w:val="52641FE4"/>
    <w:rsid w:val="5265190D"/>
    <w:rsid w:val="526A6404"/>
    <w:rsid w:val="5277346A"/>
    <w:rsid w:val="527A572D"/>
    <w:rsid w:val="528F19C6"/>
    <w:rsid w:val="52921862"/>
    <w:rsid w:val="52962054"/>
    <w:rsid w:val="529E1C09"/>
    <w:rsid w:val="52AE0D5C"/>
    <w:rsid w:val="52B11725"/>
    <w:rsid w:val="52B15DE1"/>
    <w:rsid w:val="52B2697B"/>
    <w:rsid w:val="52C5188C"/>
    <w:rsid w:val="52CA278D"/>
    <w:rsid w:val="52D10231"/>
    <w:rsid w:val="52D41ACF"/>
    <w:rsid w:val="52D90E94"/>
    <w:rsid w:val="52DA2D3A"/>
    <w:rsid w:val="52E22421"/>
    <w:rsid w:val="52E43EA9"/>
    <w:rsid w:val="52E579D6"/>
    <w:rsid w:val="52EF4B5B"/>
    <w:rsid w:val="52F47C6E"/>
    <w:rsid w:val="52F757BE"/>
    <w:rsid w:val="52FE08FA"/>
    <w:rsid w:val="53024CDB"/>
    <w:rsid w:val="530F48B5"/>
    <w:rsid w:val="531D5224"/>
    <w:rsid w:val="53226CDE"/>
    <w:rsid w:val="532F4F57"/>
    <w:rsid w:val="53402E0D"/>
    <w:rsid w:val="534D642B"/>
    <w:rsid w:val="53515321"/>
    <w:rsid w:val="5353578D"/>
    <w:rsid w:val="53536E98"/>
    <w:rsid w:val="53702921"/>
    <w:rsid w:val="53890B0C"/>
    <w:rsid w:val="538A03E0"/>
    <w:rsid w:val="538E1A2C"/>
    <w:rsid w:val="539346D6"/>
    <w:rsid w:val="53953009"/>
    <w:rsid w:val="53984ED9"/>
    <w:rsid w:val="53A125AC"/>
    <w:rsid w:val="53A304DF"/>
    <w:rsid w:val="53B36B40"/>
    <w:rsid w:val="53B45D93"/>
    <w:rsid w:val="53B462B4"/>
    <w:rsid w:val="53B76100"/>
    <w:rsid w:val="53BD07B5"/>
    <w:rsid w:val="53BF62DB"/>
    <w:rsid w:val="53C125EB"/>
    <w:rsid w:val="53CB5C3E"/>
    <w:rsid w:val="53CE29C2"/>
    <w:rsid w:val="53CE4770"/>
    <w:rsid w:val="53D1326E"/>
    <w:rsid w:val="53DA1367"/>
    <w:rsid w:val="53DA4EC3"/>
    <w:rsid w:val="53DD2C05"/>
    <w:rsid w:val="53EC2E48"/>
    <w:rsid w:val="53FC752F"/>
    <w:rsid w:val="54041F40"/>
    <w:rsid w:val="541A055F"/>
    <w:rsid w:val="541D3002"/>
    <w:rsid w:val="54216F96"/>
    <w:rsid w:val="542D593B"/>
    <w:rsid w:val="54316F16"/>
    <w:rsid w:val="54363F38"/>
    <w:rsid w:val="543728FF"/>
    <w:rsid w:val="543C16DA"/>
    <w:rsid w:val="544113E6"/>
    <w:rsid w:val="5441716B"/>
    <w:rsid w:val="54424EA8"/>
    <w:rsid w:val="544F3B03"/>
    <w:rsid w:val="54503C68"/>
    <w:rsid w:val="545E2B05"/>
    <w:rsid w:val="5461351A"/>
    <w:rsid w:val="546155E5"/>
    <w:rsid w:val="547250CA"/>
    <w:rsid w:val="54815DC8"/>
    <w:rsid w:val="548A4B3B"/>
    <w:rsid w:val="54905ECA"/>
    <w:rsid w:val="54921C42"/>
    <w:rsid w:val="549332C4"/>
    <w:rsid w:val="54977258"/>
    <w:rsid w:val="54A0435F"/>
    <w:rsid w:val="54A379AB"/>
    <w:rsid w:val="54A53299"/>
    <w:rsid w:val="54A86D6F"/>
    <w:rsid w:val="54AB2D04"/>
    <w:rsid w:val="54B03E76"/>
    <w:rsid w:val="54BA6AA3"/>
    <w:rsid w:val="54BC6CBF"/>
    <w:rsid w:val="54C423C0"/>
    <w:rsid w:val="54CF07A0"/>
    <w:rsid w:val="54CF69F2"/>
    <w:rsid w:val="54D062C6"/>
    <w:rsid w:val="54D43313"/>
    <w:rsid w:val="54D47B64"/>
    <w:rsid w:val="54DA7D0C"/>
    <w:rsid w:val="54EB3100"/>
    <w:rsid w:val="54F9581D"/>
    <w:rsid w:val="55006BAB"/>
    <w:rsid w:val="55161901"/>
    <w:rsid w:val="55164621"/>
    <w:rsid w:val="551B1C37"/>
    <w:rsid w:val="552C79A0"/>
    <w:rsid w:val="552D54C7"/>
    <w:rsid w:val="552F1D1C"/>
    <w:rsid w:val="55404CF2"/>
    <w:rsid w:val="55420830"/>
    <w:rsid w:val="554231B4"/>
    <w:rsid w:val="554C0043"/>
    <w:rsid w:val="55582CA1"/>
    <w:rsid w:val="555D3FFE"/>
    <w:rsid w:val="555E7D76"/>
    <w:rsid w:val="557219C2"/>
    <w:rsid w:val="55757355"/>
    <w:rsid w:val="557650C0"/>
    <w:rsid w:val="557A28B9"/>
    <w:rsid w:val="557D17B4"/>
    <w:rsid w:val="5582520A"/>
    <w:rsid w:val="558D41B7"/>
    <w:rsid w:val="55911EF9"/>
    <w:rsid w:val="559A1FC3"/>
    <w:rsid w:val="55A0038E"/>
    <w:rsid w:val="55AF412E"/>
    <w:rsid w:val="55B17EA6"/>
    <w:rsid w:val="55BA1450"/>
    <w:rsid w:val="55BD2D48"/>
    <w:rsid w:val="55C4232C"/>
    <w:rsid w:val="55C74BEA"/>
    <w:rsid w:val="55C91693"/>
    <w:rsid w:val="55CB1293"/>
    <w:rsid w:val="55E42029"/>
    <w:rsid w:val="55E77D6B"/>
    <w:rsid w:val="55F01A8B"/>
    <w:rsid w:val="55F2119C"/>
    <w:rsid w:val="55F304BE"/>
    <w:rsid w:val="55F56838"/>
    <w:rsid w:val="55F81E61"/>
    <w:rsid w:val="5604091D"/>
    <w:rsid w:val="56066C9A"/>
    <w:rsid w:val="56076719"/>
    <w:rsid w:val="56095F34"/>
    <w:rsid w:val="560E4BD0"/>
    <w:rsid w:val="56105181"/>
    <w:rsid w:val="56156687"/>
    <w:rsid w:val="56186177"/>
    <w:rsid w:val="561F12B3"/>
    <w:rsid w:val="56224489"/>
    <w:rsid w:val="563840CE"/>
    <w:rsid w:val="56496330"/>
    <w:rsid w:val="564E3947"/>
    <w:rsid w:val="564F7470"/>
    <w:rsid w:val="565328D9"/>
    <w:rsid w:val="56570A4D"/>
    <w:rsid w:val="565C6063"/>
    <w:rsid w:val="56772E9D"/>
    <w:rsid w:val="567C04B4"/>
    <w:rsid w:val="567D13ED"/>
    <w:rsid w:val="567D422C"/>
    <w:rsid w:val="567F1D52"/>
    <w:rsid w:val="568A72DA"/>
    <w:rsid w:val="569D042A"/>
    <w:rsid w:val="569E48CE"/>
    <w:rsid w:val="569F662F"/>
    <w:rsid w:val="56A33C92"/>
    <w:rsid w:val="56A65531"/>
    <w:rsid w:val="56B23ED5"/>
    <w:rsid w:val="56B9611F"/>
    <w:rsid w:val="56CB143B"/>
    <w:rsid w:val="56E8112F"/>
    <w:rsid w:val="56E90D97"/>
    <w:rsid w:val="56F00EA2"/>
    <w:rsid w:val="56F52014"/>
    <w:rsid w:val="56FE07EC"/>
    <w:rsid w:val="56FF2E93"/>
    <w:rsid w:val="570161F9"/>
    <w:rsid w:val="570A1F63"/>
    <w:rsid w:val="570A5ABF"/>
    <w:rsid w:val="570F757A"/>
    <w:rsid w:val="5714693E"/>
    <w:rsid w:val="57193E63"/>
    <w:rsid w:val="57233787"/>
    <w:rsid w:val="572A7001"/>
    <w:rsid w:val="573174F0"/>
    <w:rsid w:val="57390153"/>
    <w:rsid w:val="57397182"/>
    <w:rsid w:val="573C7C43"/>
    <w:rsid w:val="574216FD"/>
    <w:rsid w:val="57471BB0"/>
    <w:rsid w:val="575267EE"/>
    <w:rsid w:val="57601B83"/>
    <w:rsid w:val="57655C08"/>
    <w:rsid w:val="57727B09"/>
    <w:rsid w:val="578718C0"/>
    <w:rsid w:val="578D049F"/>
    <w:rsid w:val="579D2DD8"/>
    <w:rsid w:val="57A80BB4"/>
    <w:rsid w:val="57AA1E2D"/>
    <w:rsid w:val="57AA6E55"/>
    <w:rsid w:val="57B35D3A"/>
    <w:rsid w:val="57B572B3"/>
    <w:rsid w:val="57B91294"/>
    <w:rsid w:val="57BC2B32"/>
    <w:rsid w:val="57C15675"/>
    <w:rsid w:val="57CC0FC7"/>
    <w:rsid w:val="57DB56AE"/>
    <w:rsid w:val="57EA713F"/>
    <w:rsid w:val="57EF4CB5"/>
    <w:rsid w:val="57F329F7"/>
    <w:rsid w:val="57F55EB3"/>
    <w:rsid w:val="57F56770"/>
    <w:rsid w:val="57F8000E"/>
    <w:rsid w:val="5805272B"/>
    <w:rsid w:val="580C7797"/>
    <w:rsid w:val="58123023"/>
    <w:rsid w:val="58240E03"/>
    <w:rsid w:val="58242BB1"/>
    <w:rsid w:val="582726A1"/>
    <w:rsid w:val="583027D8"/>
    <w:rsid w:val="583059FA"/>
    <w:rsid w:val="58346042"/>
    <w:rsid w:val="583B614D"/>
    <w:rsid w:val="584C2108"/>
    <w:rsid w:val="58562F86"/>
    <w:rsid w:val="5858730C"/>
    <w:rsid w:val="585D4798"/>
    <w:rsid w:val="586B5009"/>
    <w:rsid w:val="586C48F2"/>
    <w:rsid w:val="58711B6E"/>
    <w:rsid w:val="587578B0"/>
    <w:rsid w:val="58765E25"/>
    <w:rsid w:val="5878114F"/>
    <w:rsid w:val="588261A0"/>
    <w:rsid w:val="58937D37"/>
    <w:rsid w:val="58977827"/>
    <w:rsid w:val="58994058"/>
    <w:rsid w:val="589B0038"/>
    <w:rsid w:val="58A67A66"/>
    <w:rsid w:val="58AA300B"/>
    <w:rsid w:val="58AD3372"/>
    <w:rsid w:val="58AE18C3"/>
    <w:rsid w:val="58AE2DC2"/>
    <w:rsid w:val="58B210B1"/>
    <w:rsid w:val="58B910EF"/>
    <w:rsid w:val="58BA3D02"/>
    <w:rsid w:val="58BF0B2C"/>
    <w:rsid w:val="58BF28DA"/>
    <w:rsid w:val="58C43B22"/>
    <w:rsid w:val="58D2260D"/>
    <w:rsid w:val="58DA3BB7"/>
    <w:rsid w:val="58DF40AE"/>
    <w:rsid w:val="58F307D5"/>
    <w:rsid w:val="58F4614C"/>
    <w:rsid w:val="58F509F1"/>
    <w:rsid w:val="58F702C5"/>
    <w:rsid w:val="58F73B11"/>
    <w:rsid w:val="59060509"/>
    <w:rsid w:val="590B509E"/>
    <w:rsid w:val="590D5D3B"/>
    <w:rsid w:val="59102873"/>
    <w:rsid w:val="5911074C"/>
    <w:rsid w:val="591C1ADA"/>
    <w:rsid w:val="591F781C"/>
    <w:rsid w:val="59216F62"/>
    <w:rsid w:val="59262959"/>
    <w:rsid w:val="592E180D"/>
    <w:rsid w:val="59345076"/>
    <w:rsid w:val="59457283"/>
    <w:rsid w:val="59513AE2"/>
    <w:rsid w:val="596D2336"/>
    <w:rsid w:val="59723DF0"/>
    <w:rsid w:val="597436C4"/>
    <w:rsid w:val="597A48D9"/>
    <w:rsid w:val="597F36B6"/>
    <w:rsid w:val="598032A2"/>
    <w:rsid w:val="59875AED"/>
    <w:rsid w:val="598D4786"/>
    <w:rsid w:val="59943D66"/>
    <w:rsid w:val="59945B14"/>
    <w:rsid w:val="59A1611D"/>
    <w:rsid w:val="59AC1815"/>
    <w:rsid w:val="59B1019E"/>
    <w:rsid w:val="59B47F65"/>
    <w:rsid w:val="59B94A33"/>
    <w:rsid w:val="59B9557B"/>
    <w:rsid w:val="59BA41A7"/>
    <w:rsid w:val="59BE6F50"/>
    <w:rsid w:val="59C75EEA"/>
    <w:rsid w:val="59CB7611"/>
    <w:rsid w:val="59CF1242"/>
    <w:rsid w:val="59D14FBA"/>
    <w:rsid w:val="59D466BA"/>
    <w:rsid w:val="59D56ED0"/>
    <w:rsid w:val="59E352E3"/>
    <w:rsid w:val="59F44805"/>
    <w:rsid w:val="59F635E0"/>
    <w:rsid w:val="59FA26DD"/>
    <w:rsid w:val="5A0208F9"/>
    <w:rsid w:val="5A083CD1"/>
    <w:rsid w:val="5A132EDD"/>
    <w:rsid w:val="5A1804F3"/>
    <w:rsid w:val="5A1924BD"/>
    <w:rsid w:val="5A19426B"/>
    <w:rsid w:val="5A1A1AF5"/>
    <w:rsid w:val="5A1F4E71"/>
    <w:rsid w:val="5A28182C"/>
    <w:rsid w:val="5A2A4317"/>
    <w:rsid w:val="5A2C0969"/>
    <w:rsid w:val="5A2D2E95"/>
    <w:rsid w:val="5A2D7B6F"/>
    <w:rsid w:val="5A307F33"/>
    <w:rsid w:val="5A317807"/>
    <w:rsid w:val="5A320FF5"/>
    <w:rsid w:val="5A440992"/>
    <w:rsid w:val="5A5534F6"/>
    <w:rsid w:val="5A6000EC"/>
    <w:rsid w:val="5A6B0F6B"/>
    <w:rsid w:val="5A6F4AB9"/>
    <w:rsid w:val="5A7723FC"/>
    <w:rsid w:val="5A7871E4"/>
    <w:rsid w:val="5A792576"/>
    <w:rsid w:val="5A7D47FA"/>
    <w:rsid w:val="5A866DB9"/>
    <w:rsid w:val="5A8B6F17"/>
    <w:rsid w:val="5A8D7133"/>
    <w:rsid w:val="5A925155"/>
    <w:rsid w:val="5A932E77"/>
    <w:rsid w:val="5A9970A6"/>
    <w:rsid w:val="5A9B52A7"/>
    <w:rsid w:val="5A9C7376"/>
    <w:rsid w:val="5AA955EF"/>
    <w:rsid w:val="5AB02E22"/>
    <w:rsid w:val="5AB521E6"/>
    <w:rsid w:val="5ABA5A4E"/>
    <w:rsid w:val="5ACD132B"/>
    <w:rsid w:val="5ADB48B4"/>
    <w:rsid w:val="5AF0321E"/>
    <w:rsid w:val="5AF727FF"/>
    <w:rsid w:val="5B0867BA"/>
    <w:rsid w:val="5B1038C0"/>
    <w:rsid w:val="5B1851F5"/>
    <w:rsid w:val="5B1A64ED"/>
    <w:rsid w:val="5B2555BE"/>
    <w:rsid w:val="5B2B4BB1"/>
    <w:rsid w:val="5B386973"/>
    <w:rsid w:val="5B3C179D"/>
    <w:rsid w:val="5B5437AD"/>
    <w:rsid w:val="5B5E462C"/>
    <w:rsid w:val="5B5F2152"/>
    <w:rsid w:val="5B5F7A7D"/>
    <w:rsid w:val="5B6A2FD1"/>
    <w:rsid w:val="5B8147BE"/>
    <w:rsid w:val="5B8B1199"/>
    <w:rsid w:val="5B8D4F11"/>
    <w:rsid w:val="5B8F7297"/>
    <w:rsid w:val="5B920779"/>
    <w:rsid w:val="5B987D8F"/>
    <w:rsid w:val="5B9D664B"/>
    <w:rsid w:val="5BAF4E43"/>
    <w:rsid w:val="5BB61DD6"/>
    <w:rsid w:val="5BB719F9"/>
    <w:rsid w:val="5BB90CCC"/>
    <w:rsid w:val="5BB97BB4"/>
    <w:rsid w:val="5BBC3E90"/>
    <w:rsid w:val="5BC245CE"/>
    <w:rsid w:val="5BC777CE"/>
    <w:rsid w:val="5BC8419B"/>
    <w:rsid w:val="5BCF1086"/>
    <w:rsid w:val="5BD012CF"/>
    <w:rsid w:val="5BD112A2"/>
    <w:rsid w:val="5BD14DA8"/>
    <w:rsid w:val="5BD42B40"/>
    <w:rsid w:val="5BDD7C46"/>
    <w:rsid w:val="5BE03293"/>
    <w:rsid w:val="5BE10896"/>
    <w:rsid w:val="5BE162F8"/>
    <w:rsid w:val="5BEC096E"/>
    <w:rsid w:val="5BEF1728"/>
    <w:rsid w:val="5BF14385"/>
    <w:rsid w:val="5BF4165B"/>
    <w:rsid w:val="5BF62AB6"/>
    <w:rsid w:val="5BFF1759"/>
    <w:rsid w:val="5C004376"/>
    <w:rsid w:val="5C07081F"/>
    <w:rsid w:val="5C0E1852"/>
    <w:rsid w:val="5C0F5926"/>
    <w:rsid w:val="5C1D0043"/>
    <w:rsid w:val="5C232512"/>
    <w:rsid w:val="5C245875"/>
    <w:rsid w:val="5C3830CF"/>
    <w:rsid w:val="5C4074A8"/>
    <w:rsid w:val="5C447333"/>
    <w:rsid w:val="5C4C6B7A"/>
    <w:rsid w:val="5C4E46A0"/>
    <w:rsid w:val="5C4E644E"/>
    <w:rsid w:val="5C5E240A"/>
    <w:rsid w:val="5C645C72"/>
    <w:rsid w:val="5C7053BB"/>
    <w:rsid w:val="5C7165E1"/>
    <w:rsid w:val="5C7678CE"/>
    <w:rsid w:val="5C790492"/>
    <w:rsid w:val="5C7F2AAC"/>
    <w:rsid w:val="5C8006D2"/>
    <w:rsid w:val="5C814A76"/>
    <w:rsid w:val="5C8956D8"/>
    <w:rsid w:val="5C8F2459"/>
    <w:rsid w:val="5C900B9C"/>
    <w:rsid w:val="5CA73DB1"/>
    <w:rsid w:val="5CA8187F"/>
    <w:rsid w:val="5CC04E72"/>
    <w:rsid w:val="5CC2508E"/>
    <w:rsid w:val="5CD10E2D"/>
    <w:rsid w:val="5CD252D1"/>
    <w:rsid w:val="5CD31049"/>
    <w:rsid w:val="5CD5091E"/>
    <w:rsid w:val="5CD700CE"/>
    <w:rsid w:val="5CD934B6"/>
    <w:rsid w:val="5CDD17AE"/>
    <w:rsid w:val="5CE46DB3"/>
    <w:rsid w:val="5CF54B1C"/>
    <w:rsid w:val="5CF80AB0"/>
    <w:rsid w:val="5CF833F2"/>
    <w:rsid w:val="5CFA4B4B"/>
    <w:rsid w:val="5CFF599B"/>
    <w:rsid w:val="5D017965"/>
    <w:rsid w:val="5D0243CD"/>
    <w:rsid w:val="5D042FB1"/>
    <w:rsid w:val="5D080CF3"/>
    <w:rsid w:val="5D0D455B"/>
    <w:rsid w:val="5D107BA8"/>
    <w:rsid w:val="5D172CE4"/>
    <w:rsid w:val="5D1A0A26"/>
    <w:rsid w:val="5D1A27D4"/>
    <w:rsid w:val="5D1B7B11"/>
    <w:rsid w:val="5D1F428F"/>
    <w:rsid w:val="5D20237B"/>
    <w:rsid w:val="5D277C39"/>
    <w:rsid w:val="5D292A17"/>
    <w:rsid w:val="5D333896"/>
    <w:rsid w:val="5D3D64C3"/>
    <w:rsid w:val="5D4A478C"/>
    <w:rsid w:val="5D4E6CF7"/>
    <w:rsid w:val="5D4F6922"/>
    <w:rsid w:val="5D502F86"/>
    <w:rsid w:val="5D524382"/>
    <w:rsid w:val="5D562933"/>
    <w:rsid w:val="5D5A0E23"/>
    <w:rsid w:val="5D5A52C7"/>
    <w:rsid w:val="5D6D4FFA"/>
    <w:rsid w:val="5D6F0D72"/>
    <w:rsid w:val="5D71365A"/>
    <w:rsid w:val="5D7719D5"/>
    <w:rsid w:val="5D7E0FB5"/>
    <w:rsid w:val="5D7E7207"/>
    <w:rsid w:val="5D843589"/>
    <w:rsid w:val="5D86128D"/>
    <w:rsid w:val="5D861C18"/>
    <w:rsid w:val="5D870E20"/>
    <w:rsid w:val="5D8D2FA6"/>
    <w:rsid w:val="5D950196"/>
    <w:rsid w:val="5D9B4C57"/>
    <w:rsid w:val="5DA327CA"/>
    <w:rsid w:val="5DA35DEF"/>
    <w:rsid w:val="5DA95B07"/>
    <w:rsid w:val="5DAA363A"/>
    <w:rsid w:val="5DAA3B58"/>
    <w:rsid w:val="5DB42C29"/>
    <w:rsid w:val="5DC21912"/>
    <w:rsid w:val="5DC6470A"/>
    <w:rsid w:val="5DC82230"/>
    <w:rsid w:val="5DCE3495"/>
    <w:rsid w:val="5DD07337"/>
    <w:rsid w:val="5DD40BD5"/>
    <w:rsid w:val="5DD62297"/>
    <w:rsid w:val="5DD82824"/>
    <w:rsid w:val="5DDF2CD4"/>
    <w:rsid w:val="5DF748C4"/>
    <w:rsid w:val="5DF9063C"/>
    <w:rsid w:val="5E006017"/>
    <w:rsid w:val="5E0C6543"/>
    <w:rsid w:val="5E14191A"/>
    <w:rsid w:val="5E1611EE"/>
    <w:rsid w:val="5E1B6804"/>
    <w:rsid w:val="5E2A4C99"/>
    <w:rsid w:val="5E347A08"/>
    <w:rsid w:val="5E431D24"/>
    <w:rsid w:val="5E465887"/>
    <w:rsid w:val="5E604B5F"/>
    <w:rsid w:val="5E725046"/>
    <w:rsid w:val="5E744B89"/>
    <w:rsid w:val="5E751490"/>
    <w:rsid w:val="5E780BB7"/>
    <w:rsid w:val="5E7B23FC"/>
    <w:rsid w:val="5E826883"/>
    <w:rsid w:val="5E8E347A"/>
    <w:rsid w:val="5E91485D"/>
    <w:rsid w:val="5E987E55"/>
    <w:rsid w:val="5E9D3AC8"/>
    <w:rsid w:val="5EA42C9D"/>
    <w:rsid w:val="5EA863A5"/>
    <w:rsid w:val="5EB05CD7"/>
    <w:rsid w:val="5EB12C47"/>
    <w:rsid w:val="5EB17168"/>
    <w:rsid w:val="5EB84053"/>
    <w:rsid w:val="5EBD382E"/>
    <w:rsid w:val="5EBD5B0D"/>
    <w:rsid w:val="5EBE53E1"/>
    <w:rsid w:val="5ECB647C"/>
    <w:rsid w:val="5ECE7F48"/>
    <w:rsid w:val="5ED56A95"/>
    <w:rsid w:val="5ED6097D"/>
    <w:rsid w:val="5EDD61AF"/>
    <w:rsid w:val="5EFB7755"/>
    <w:rsid w:val="5F0C558A"/>
    <w:rsid w:val="5F0D0843"/>
    <w:rsid w:val="5F106EAF"/>
    <w:rsid w:val="5F1A63D6"/>
    <w:rsid w:val="5F39194C"/>
    <w:rsid w:val="5F3C7558"/>
    <w:rsid w:val="5F4D50E3"/>
    <w:rsid w:val="5F4D54F9"/>
    <w:rsid w:val="5F4F0E5B"/>
    <w:rsid w:val="5F585836"/>
    <w:rsid w:val="5F610B8F"/>
    <w:rsid w:val="5F751F44"/>
    <w:rsid w:val="5F8332B9"/>
    <w:rsid w:val="5F856747"/>
    <w:rsid w:val="5F8F1515"/>
    <w:rsid w:val="5F8F6006"/>
    <w:rsid w:val="5F922AF6"/>
    <w:rsid w:val="5F9253C0"/>
    <w:rsid w:val="5F9E0C36"/>
    <w:rsid w:val="5FA079E7"/>
    <w:rsid w:val="5FA56CCD"/>
    <w:rsid w:val="5FA647F3"/>
    <w:rsid w:val="5FAD3E3C"/>
    <w:rsid w:val="5FB567E4"/>
    <w:rsid w:val="5FB92779"/>
    <w:rsid w:val="5FBF7663"/>
    <w:rsid w:val="5FC44C79"/>
    <w:rsid w:val="5FC6606F"/>
    <w:rsid w:val="5FCB4816"/>
    <w:rsid w:val="5FCD3B2E"/>
    <w:rsid w:val="5FCF3D4A"/>
    <w:rsid w:val="5FE01AB3"/>
    <w:rsid w:val="5FE570CA"/>
    <w:rsid w:val="5FEA1F09"/>
    <w:rsid w:val="5FEA20BE"/>
    <w:rsid w:val="5FF67529"/>
    <w:rsid w:val="5FF94923"/>
    <w:rsid w:val="60002155"/>
    <w:rsid w:val="60011A2A"/>
    <w:rsid w:val="60065292"/>
    <w:rsid w:val="6007110B"/>
    <w:rsid w:val="60074C61"/>
    <w:rsid w:val="6008725C"/>
    <w:rsid w:val="600A6B30"/>
    <w:rsid w:val="60160398"/>
    <w:rsid w:val="601856F1"/>
    <w:rsid w:val="601E3300"/>
    <w:rsid w:val="602435F1"/>
    <w:rsid w:val="60364450"/>
    <w:rsid w:val="603716F0"/>
    <w:rsid w:val="60371A47"/>
    <w:rsid w:val="60392C69"/>
    <w:rsid w:val="60402552"/>
    <w:rsid w:val="604A1623"/>
    <w:rsid w:val="604A517F"/>
    <w:rsid w:val="6051122F"/>
    <w:rsid w:val="60566219"/>
    <w:rsid w:val="6057789C"/>
    <w:rsid w:val="605D66B1"/>
    <w:rsid w:val="60603A0C"/>
    <w:rsid w:val="606171FC"/>
    <w:rsid w:val="606C1599"/>
    <w:rsid w:val="6074044E"/>
    <w:rsid w:val="607E5A88"/>
    <w:rsid w:val="607E751E"/>
    <w:rsid w:val="60883EF9"/>
    <w:rsid w:val="60966616"/>
    <w:rsid w:val="60AF1486"/>
    <w:rsid w:val="60B116A2"/>
    <w:rsid w:val="60B22594"/>
    <w:rsid w:val="60B40015"/>
    <w:rsid w:val="60B44297"/>
    <w:rsid w:val="60C72C73"/>
    <w:rsid w:val="60D333C6"/>
    <w:rsid w:val="60D37068"/>
    <w:rsid w:val="60D74B69"/>
    <w:rsid w:val="60DC216B"/>
    <w:rsid w:val="60E750C3"/>
    <w:rsid w:val="60EA6962"/>
    <w:rsid w:val="60EC6236"/>
    <w:rsid w:val="60EC7BC8"/>
    <w:rsid w:val="60ED3CC6"/>
    <w:rsid w:val="60EF1726"/>
    <w:rsid w:val="60F764AB"/>
    <w:rsid w:val="60FA6BA5"/>
    <w:rsid w:val="60FE480B"/>
    <w:rsid w:val="610103AF"/>
    <w:rsid w:val="610417D1"/>
    <w:rsid w:val="61046B2C"/>
    <w:rsid w:val="6106379C"/>
    <w:rsid w:val="610E2201"/>
    <w:rsid w:val="610E6EE1"/>
    <w:rsid w:val="61107DC6"/>
    <w:rsid w:val="61181721"/>
    <w:rsid w:val="611F436F"/>
    <w:rsid w:val="61241EEA"/>
    <w:rsid w:val="61250763"/>
    <w:rsid w:val="612601AD"/>
    <w:rsid w:val="612C6F7A"/>
    <w:rsid w:val="612E5869"/>
    <w:rsid w:val="61353AE8"/>
    <w:rsid w:val="613728DA"/>
    <w:rsid w:val="613B0F6B"/>
    <w:rsid w:val="613C709B"/>
    <w:rsid w:val="613D2F35"/>
    <w:rsid w:val="61450556"/>
    <w:rsid w:val="614726C5"/>
    <w:rsid w:val="61477910"/>
    <w:rsid w:val="614E119E"/>
    <w:rsid w:val="614F0EF4"/>
    <w:rsid w:val="61534507"/>
    <w:rsid w:val="6155027F"/>
    <w:rsid w:val="61572249"/>
    <w:rsid w:val="61637BA0"/>
    <w:rsid w:val="6172193C"/>
    <w:rsid w:val="617938E9"/>
    <w:rsid w:val="617A1A94"/>
    <w:rsid w:val="617C3A5E"/>
    <w:rsid w:val="61812E22"/>
    <w:rsid w:val="618446C0"/>
    <w:rsid w:val="6190756E"/>
    <w:rsid w:val="61934F21"/>
    <w:rsid w:val="61AF6787"/>
    <w:rsid w:val="61B03707"/>
    <w:rsid w:val="61B361C7"/>
    <w:rsid w:val="61B50D1E"/>
    <w:rsid w:val="61BB6DE5"/>
    <w:rsid w:val="61C15FDD"/>
    <w:rsid w:val="61C3168D"/>
    <w:rsid w:val="61D05B58"/>
    <w:rsid w:val="61D90EB0"/>
    <w:rsid w:val="61DC44FC"/>
    <w:rsid w:val="61E15FB7"/>
    <w:rsid w:val="61E66498"/>
    <w:rsid w:val="6203395D"/>
    <w:rsid w:val="62040764"/>
    <w:rsid w:val="620852F1"/>
    <w:rsid w:val="620D33E1"/>
    <w:rsid w:val="621C2B4B"/>
    <w:rsid w:val="62201AD1"/>
    <w:rsid w:val="62205DF5"/>
    <w:rsid w:val="62233ED9"/>
    <w:rsid w:val="62240C90"/>
    <w:rsid w:val="623074BA"/>
    <w:rsid w:val="62370CCE"/>
    <w:rsid w:val="623B7475"/>
    <w:rsid w:val="623E52AC"/>
    <w:rsid w:val="623F0400"/>
    <w:rsid w:val="62463B42"/>
    <w:rsid w:val="62540537"/>
    <w:rsid w:val="625B6A9B"/>
    <w:rsid w:val="625C73EB"/>
    <w:rsid w:val="62650996"/>
    <w:rsid w:val="626A0316"/>
    <w:rsid w:val="626B7C40"/>
    <w:rsid w:val="62792788"/>
    <w:rsid w:val="627C2DC8"/>
    <w:rsid w:val="6286607D"/>
    <w:rsid w:val="628F657E"/>
    <w:rsid w:val="629848C7"/>
    <w:rsid w:val="62A51173"/>
    <w:rsid w:val="62A603C6"/>
    <w:rsid w:val="62AC2121"/>
    <w:rsid w:val="62AD1DE7"/>
    <w:rsid w:val="62B430C4"/>
    <w:rsid w:val="62BC4273"/>
    <w:rsid w:val="62BF7360"/>
    <w:rsid w:val="62C25F77"/>
    <w:rsid w:val="62C35015"/>
    <w:rsid w:val="62CE55F1"/>
    <w:rsid w:val="62CF09F4"/>
    <w:rsid w:val="62DB0C58"/>
    <w:rsid w:val="62DB2A06"/>
    <w:rsid w:val="62DD41FF"/>
    <w:rsid w:val="62DE4C05"/>
    <w:rsid w:val="62E24034"/>
    <w:rsid w:val="62E713AB"/>
    <w:rsid w:val="62E80C7F"/>
    <w:rsid w:val="62F34865"/>
    <w:rsid w:val="62F6339C"/>
    <w:rsid w:val="62F64A26"/>
    <w:rsid w:val="62FA10DE"/>
    <w:rsid w:val="62FD0BCE"/>
    <w:rsid w:val="62FD472A"/>
    <w:rsid w:val="62FD66FD"/>
    <w:rsid w:val="630B7497"/>
    <w:rsid w:val="63275C4B"/>
    <w:rsid w:val="633839B4"/>
    <w:rsid w:val="633E5208"/>
    <w:rsid w:val="634F07DE"/>
    <w:rsid w:val="6361086B"/>
    <w:rsid w:val="6365450F"/>
    <w:rsid w:val="637C5F97"/>
    <w:rsid w:val="63862972"/>
    <w:rsid w:val="63974B7F"/>
    <w:rsid w:val="639D09B9"/>
    <w:rsid w:val="639E415F"/>
    <w:rsid w:val="63A21CC7"/>
    <w:rsid w:val="63A272CD"/>
    <w:rsid w:val="63B054BF"/>
    <w:rsid w:val="63B75221"/>
    <w:rsid w:val="63BA086D"/>
    <w:rsid w:val="63CD5F3C"/>
    <w:rsid w:val="63D00091"/>
    <w:rsid w:val="63D01E3F"/>
    <w:rsid w:val="63D71235"/>
    <w:rsid w:val="63DF6526"/>
    <w:rsid w:val="63E53D7E"/>
    <w:rsid w:val="63EA73A4"/>
    <w:rsid w:val="63F36A7C"/>
    <w:rsid w:val="63F4637D"/>
    <w:rsid w:val="63F55D49"/>
    <w:rsid w:val="63F633B2"/>
    <w:rsid w:val="63F644C1"/>
    <w:rsid w:val="63F7297D"/>
    <w:rsid w:val="63FC0E86"/>
    <w:rsid w:val="63FE0C96"/>
    <w:rsid w:val="63FF44D2"/>
    <w:rsid w:val="64073EE8"/>
    <w:rsid w:val="64103A36"/>
    <w:rsid w:val="641972ED"/>
    <w:rsid w:val="64267CB1"/>
    <w:rsid w:val="642D0685"/>
    <w:rsid w:val="642E7648"/>
    <w:rsid w:val="64326656"/>
    <w:rsid w:val="643430D8"/>
    <w:rsid w:val="6440664C"/>
    <w:rsid w:val="64406FC4"/>
    <w:rsid w:val="64485E79"/>
    <w:rsid w:val="644A1BF1"/>
    <w:rsid w:val="644F55EB"/>
    <w:rsid w:val="645A795A"/>
    <w:rsid w:val="645B26E1"/>
    <w:rsid w:val="645E569D"/>
    <w:rsid w:val="64610CE9"/>
    <w:rsid w:val="64664551"/>
    <w:rsid w:val="646C1101"/>
    <w:rsid w:val="646C2758"/>
    <w:rsid w:val="646D1D84"/>
    <w:rsid w:val="6470717E"/>
    <w:rsid w:val="647548B5"/>
    <w:rsid w:val="64762171"/>
    <w:rsid w:val="6477675E"/>
    <w:rsid w:val="64801AB7"/>
    <w:rsid w:val="648373FE"/>
    <w:rsid w:val="648669A1"/>
    <w:rsid w:val="648D3899"/>
    <w:rsid w:val="648F63F3"/>
    <w:rsid w:val="64A0404D"/>
    <w:rsid w:val="64A15589"/>
    <w:rsid w:val="64AA08E2"/>
    <w:rsid w:val="64AF0FFA"/>
    <w:rsid w:val="64C25C2B"/>
    <w:rsid w:val="64CE0807"/>
    <w:rsid w:val="64CF659A"/>
    <w:rsid w:val="64D67650"/>
    <w:rsid w:val="64DE1208"/>
    <w:rsid w:val="64EA6F30"/>
    <w:rsid w:val="64EC06E2"/>
    <w:rsid w:val="64F25DE5"/>
    <w:rsid w:val="64FB738F"/>
    <w:rsid w:val="64FD6C64"/>
    <w:rsid w:val="65073373"/>
    <w:rsid w:val="6509385A"/>
    <w:rsid w:val="6509631A"/>
    <w:rsid w:val="650A5824"/>
    <w:rsid w:val="65154758"/>
    <w:rsid w:val="65167D25"/>
    <w:rsid w:val="652C579B"/>
    <w:rsid w:val="652C7549"/>
    <w:rsid w:val="65387C9C"/>
    <w:rsid w:val="653D52B2"/>
    <w:rsid w:val="65401246"/>
    <w:rsid w:val="65455D02"/>
    <w:rsid w:val="654C3747"/>
    <w:rsid w:val="65506641"/>
    <w:rsid w:val="65517246"/>
    <w:rsid w:val="65521A62"/>
    <w:rsid w:val="65530F79"/>
    <w:rsid w:val="65534383"/>
    <w:rsid w:val="655E40F7"/>
    <w:rsid w:val="6562740E"/>
    <w:rsid w:val="656525F0"/>
    <w:rsid w:val="65711400"/>
    <w:rsid w:val="657809E0"/>
    <w:rsid w:val="657C4677"/>
    <w:rsid w:val="657F3B1C"/>
    <w:rsid w:val="65876E75"/>
    <w:rsid w:val="659040E8"/>
    <w:rsid w:val="6592422F"/>
    <w:rsid w:val="65931376"/>
    <w:rsid w:val="6598698C"/>
    <w:rsid w:val="65A25A5D"/>
    <w:rsid w:val="65A36644"/>
    <w:rsid w:val="65A74366"/>
    <w:rsid w:val="65AD1404"/>
    <w:rsid w:val="65BA6903"/>
    <w:rsid w:val="65BD4645"/>
    <w:rsid w:val="65C6799D"/>
    <w:rsid w:val="65D04378"/>
    <w:rsid w:val="65DA0D53"/>
    <w:rsid w:val="65DF280D"/>
    <w:rsid w:val="65E031F3"/>
    <w:rsid w:val="65F362B8"/>
    <w:rsid w:val="65FC33BF"/>
    <w:rsid w:val="65FF07B9"/>
    <w:rsid w:val="66001361"/>
    <w:rsid w:val="660404C6"/>
    <w:rsid w:val="660758C0"/>
    <w:rsid w:val="660B53B0"/>
    <w:rsid w:val="661C136B"/>
    <w:rsid w:val="66217D28"/>
    <w:rsid w:val="662326FA"/>
    <w:rsid w:val="662655F5"/>
    <w:rsid w:val="6646463A"/>
    <w:rsid w:val="664663E8"/>
    <w:rsid w:val="66545717"/>
    <w:rsid w:val="665A00E6"/>
    <w:rsid w:val="665C32B6"/>
    <w:rsid w:val="665E3732"/>
    <w:rsid w:val="666130C7"/>
    <w:rsid w:val="667F023B"/>
    <w:rsid w:val="66854D92"/>
    <w:rsid w:val="668B64F1"/>
    <w:rsid w:val="668C1178"/>
    <w:rsid w:val="669957D2"/>
    <w:rsid w:val="66AD6467"/>
    <w:rsid w:val="66AD78A9"/>
    <w:rsid w:val="66B3765B"/>
    <w:rsid w:val="66B55E5A"/>
    <w:rsid w:val="66BB6DD6"/>
    <w:rsid w:val="66C059AC"/>
    <w:rsid w:val="66C20165"/>
    <w:rsid w:val="66C33EDD"/>
    <w:rsid w:val="66CD6B09"/>
    <w:rsid w:val="66DA3E7F"/>
    <w:rsid w:val="66DB4A1E"/>
    <w:rsid w:val="66E217EC"/>
    <w:rsid w:val="66EE04AA"/>
    <w:rsid w:val="66F145A6"/>
    <w:rsid w:val="66F9345B"/>
    <w:rsid w:val="6700768C"/>
    <w:rsid w:val="67011509"/>
    <w:rsid w:val="67045135"/>
    <w:rsid w:val="67104578"/>
    <w:rsid w:val="67193AFD"/>
    <w:rsid w:val="67254250"/>
    <w:rsid w:val="673231D9"/>
    <w:rsid w:val="673A3175"/>
    <w:rsid w:val="67414B25"/>
    <w:rsid w:val="67452B44"/>
    <w:rsid w:val="674D05B9"/>
    <w:rsid w:val="67515045"/>
    <w:rsid w:val="6753172F"/>
    <w:rsid w:val="6760797E"/>
    <w:rsid w:val="67683ED3"/>
    <w:rsid w:val="676A47C6"/>
    <w:rsid w:val="676E3E49"/>
    <w:rsid w:val="67705E13"/>
    <w:rsid w:val="67720C4D"/>
    <w:rsid w:val="67746F85"/>
    <w:rsid w:val="67802BF8"/>
    <w:rsid w:val="678A67A9"/>
    <w:rsid w:val="67980EC5"/>
    <w:rsid w:val="67A96C2F"/>
    <w:rsid w:val="67AC2BC3"/>
    <w:rsid w:val="67AC671F"/>
    <w:rsid w:val="67BC19AD"/>
    <w:rsid w:val="67BD092C"/>
    <w:rsid w:val="67C15585"/>
    <w:rsid w:val="67C43A69"/>
    <w:rsid w:val="67C473FE"/>
    <w:rsid w:val="67C577E1"/>
    <w:rsid w:val="67D04DBA"/>
    <w:rsid w:val="67D35C3A"/>
    <w:rsid w:val="67D95AFD"/>
    <w:rsid w:val="67DD4B2A"/>
    <w:rsid w:val="67DF6AF4"/>
    <w:rsid w:val="67E1461B"/>
    <w:rsid w:val="67E969DA"/>
    <w:rsid w:val="67EE6D37"/>
    <w:rsid w:val="67F105D6"/>
    <w:rsid w:val="67F97372"/>
    <w:rsid w:val="67FD2870"/>
    <w:rsid w:val="68060525"/>
    <w:rsid w:val="68070B84"/>
    <w:rsid w:val="68094A2D"/>
    <w:rsid w:val="680F276F"/>
    <w:rsid w:val="6813696A"/>
    <w:rsid w:val="68183DB4"/>
    <w:rsid w:val="6821710D"/>
    <w:rsid w:val="68273612"/>
    <w:rsid w:val="682A0DC6"/>
    <w:rsid w:val="682A7FA1"/>
    <w:rsid w:val="68356714"/>
    <w:rsid w:val="68403510"/>
    <w:rsid w:val="68585345"/>
    <w:rsid w:val="685F3791"/>
    <w:rsid w:val="68701E42"/>
    <w:rsid w:val="687D1E6A"/>
    <w:rsid w:val="68815DFE"/>
    <w:rsid w:val="68877872"/>
    <w:rsid w:val="68896A60"/>
    <w:rsid w:val="6894168D"/>
    <w:rsid w:val="689678D7"/>
    <w:rsid w:val="689E1344"/>
    <w:rsid w:val="68AD3A59"/>
    <w:rsid w:val="68AF4FD2"/>
    <w:rsid w:val="68B166E3"/>
    <w:rsid w:val="68B331FF"/>
    <w:rsid w:val="68B57E79"/>
    <w:rsid w:val="68B91897"/>
    <w:rsid w:val="68B941E7"/>
    <w:rsid w:val="68C305E8"/>
    <w:rsid w:val="68C33D20"/>
    <w:rsid w:val="68C53F3C"/>
    <w:rsid w:val="68CC52CB"/>
    <w:rsid w:val="68CD218A"/>
    <w:rsid w:val="68D0643D"/>
    <w:rsid w:val="68D73C6F"/>
    <w:rsid w:val="68DA76AC"/>
    <w:rsid w:val="68EF2D67"/>
    <w:rsid w:val="68F465CF"/>
    <w:rsid w:val="68FF7E90"/>
    <w:rsid w:val="69015DDF"/>
    <w:rsid w:val="690438C9"/>
    <w:rsid w:val="691779E0"/>
    <w:rsid w:val="691C5356"/>
    <w:rsid w:val="691F746E"/>
    <w:rsid w:val="69283F19"/>
    <w:rsid w:val="69286353"/>
    <w:rsid w:val="692C3FBB"/>
    <w:rsid w:val="69317AAB"/>
    <w:rsid w:val="69344C1E"/>
    <w:rsid w:val="69377271"/>
    <w:rsid w:val="69472BA3"/>
    <w:rsid w:val="694F7CAA"/>
    <w:rsid w:val="6954706E"/>
    <w:rsid w:val="695842CC"/>
    <w:rsid w:val="69602CCD"/>
    <w:rsid w:val="69676DA1"/>
    <w:rsid w:val="696864C6"/>
    <w:rsid w:val="69733998"/>
    <w:rsid w:val="6974195C"/>
    <w:rsid w:val="69765236"/>
    <w:rsid w:val="69787200"/>
    <w:rsid w:val="69807930"/>
    <w:rsid w:val="69855479"/>
    <w:rsid w:val="698C77F2"/>
    <w:rsid w:val="699456BD"/>
    <w:rsid w:val="69945B39"/>
    <w:rsid w:val="69967687"/>
    <w:rsid w:val="69981651"/>
    <w:rsid w:val="69A04061"/>
    <w:rsid w:val="69A729B2"/>
    <w:rsid w:val="69AE2C22"/>
    <w:rsid w:val="69AE677E"/>
    <w:rsid w:val="69B8584F"/>
    <w:rsid w:val="69BF3B13"/>
    <w:rsid w:val="69C266CE"/>
    <w:rsid w:val="69C45FA2"/>
    <w:rsid w:val="69CC4E56"/>
    <w:rsid w:val="69D23530"/>
    <w:rsid w:val="69D56401"/>
    <w:rsid w:val="69E91EAC"/>
    <w:rsid w:val="69EE301F"/>
    <w:rsid w:val="69F525FF"/>
    <w:rsid w:val="69F9444E"/>
    <w:rsid w:val="69FB573C"/>
    <w:rsid w:val="69FC4283"/>
    <w:rsid w:val="6A0C5F6B"/>
    <w:rsid w:val="6A152CA1"/>
    <w:rsid w:val="6A1C4030"/>
    <w:rsid w:val="6A1E49D8"/>
    <w:rsid w:val="6A260A0B"/>
    <w:rsid w:val="6A2D5478"/>
    <w:rsid w:val="6A3273AF"/>
    <w:rsid w:val="6A335EA2"/>
    <w:rsid w:val="6A410D55"/>
    <w:rsid w:val="6A4315BC"/>
    <w:rsid w:val="6A462855"/>
    <w:rsid w:val="6A4964A7"/>
    <w:rsid w:val="6A4D367F"/>
    <w:rsid w:val="6A50293B"/>
    <w:rsid w:val="6A54679C"/>
    <w:rsid w:val="6A5C121A"/>
    <w:rsid w:val="6A617C95"/>
    <w:rsid w:val="6A697D1E"/>
    <w:rsid w:val="6A731776"/>
    <w:rsid w:val="6A7A6FA8"/>
    <w:rsid w:val="6A7B2B14"/>
    <w:rsid w:val="6A835E5D"/>
    <w:rsid w:val="6A892B4E"/>
    <w:rsid w:val="6A9C0CCD"/>
    <w:rsid w:val="6A9E54D7"/>
    <w:rsid w:val="6AA302AD"/>
    <w:rsid w:val="6AA61B4B"/>
    <w:rsid w:val="6AA65C32"/>
    <w:rsid w:val="6AB71609"/>
    <w:rsid w:val="6ABB6BDC"/>
    <w:rsid w:val="6AC46A9A"/>
    <w:rsid w:val="6AC66924"/>
    <w:rsid w:val="6ACB7804"/>
    <w:rsid w:val="6AD63040"/>
    <w:rsid w:val="6ADB217A"/>
    <w:rsid w:val="6ADC37BF"/>
    <w:rsid w:val="6ADC678A"/>
    <w:rsid w:val="6ADE12E5"/>
    <w:rsid w:val="6AEE4391"/>
    <w:rsid w:val="6AF641CC"/>
    <w:rsid w:val="6B014FD4"/>
    <w:rsid w:val="6B0A3E88"/>
    <w:rsid w:val="6B110FE1"/>
    <w:rsid w:val="6B122D3D"/>
    <w:rsid w:val="6B286A04"/>
    <w:rsid w:val="6B2A57DF"/>
    <w:rsid w:val="6B2B3DFF"/>
    <w:rsid w:val="6B367D66"/>
    <w:rsid w:val="6B3B04E6"/>
    <w:rsid w:val="6B3B2294"/>
    <w:rsid w:val="6B453112"/>
    <w:rsid w:val="6B594E10"/>
    <w:rsid w:val="6B6569A6"/>
    <w:rsid w:val="6B67752D"/>
    <w:rsid w:val="6B8A4FC9"/>
    <w:rsid w:val="6B9B71D6"/>
    <w:rsid w:val="6BAE094C"/>
    <w:rsid w:val="6BAE1754"/>
    <w:rsid w:val="6BB17F3E"/>
    <w:rsid w:val="6BC02799"/>
    <w:rsid w:val="6BC06C3D"/>
    <w:rsid w:val="6BC51DE3"/>
    <w:rsid w:val="6BC7701C"/>
    <w:rsid w:val="6BD53518"/>
    <w:rsid w:val="6BD81E4D"/>
    <w:rsid w:val="6BE73320"/>
    <w:rsid w:val="6BE831A7"/>
    <w:rsid w:val="6BE8335D"/>
    <w:rsid w:val="6BE96194"/>
    <w:rsid w:val="6BEB5FCA"/>
    <w:rsid w:val="6BF32B6E"/>
    <w:rsid w:val="6BF344D5"/>
    <w:rsid w:val="6BF43F27"/>
    <w:rsid w:val="6BF54B38"/>
    <w:rsid w:val="6BF57F88"/>
    <w:rsid w:val="6BFA214F"/>
    <w:rsid w:val="6BFB1A23"/>
    <w:rsid w:val="6C0B435C"/>
    <w:rsid w:val="6C1A634D"/>
    <w:rsid w:val="6C1D408F"/>
    <w:rsid w:val="6C335661"/>
    <w:rsid w:val="6C3B7931"/>
    <w:rsid w:val="6C3C2767"/>
    <w:rsid w:val="6C3D33A3"/>
    <w:rsid w:val="6C3F1173"/>
    <w:rsid w:val="6C417D7E"/>
    <w:rsid w:val="6C450EF0"/>
    <w:rsid w:val="6C472EBA"/>
    <w:rsid w:val="6C4B6506"/>
    <w:rsid w:val="6C5A2BED"/>
    <w:rsid w:val="6C64581A"/>
    <w:rsid w:val="6C64734B"/>
    <w:rsid w:val="6C686110"/>
    <w:rsid w:val="6C692BA0"/>
    <w:rsid w:val="6C6A0AC0"/>
    <w:rsid w:val="6C6A4059"/>
    <w:rsid w:val="6C6B0957"/>
    <w:rsid w:val="6C6D29F5"/>
    <w:rsid w:val="6C755C79"/>
    <w:rsid w:val="6C77554D"/>
    <w:rsid w:val="6C832144"/>
    <w:rsid w:val="6C8B724B"/>
    <w:rsid w:val="6C8E6D3B"/>
    <w:rsid w:val="6C9304F6"/>
    <w:rsid w:val="6C94497F"/>
    <w:rsid w:val="6C9C3206"/>
    <w:rsid w:val="6CA35367"/>
    <w:rsid w:val="6CA41FF3"/>
    <w:rsid w:val="6CA42DA0"/>
    <w:rsid w:val="6CA81596"/>
    <w:rsid w:val="6CB31830"/>
    <w:rsid w:val="6CB33F44"/>
    <w:rsid w:val="6CC02668"/>
    <w:rsid w:val="6CC462B9"/>
    <w:rsid w:val="6CCA14E3"/>
    <w:rsid w:val="6CD00B93"/>
    <w:rsid w:val="6CD40BF2"/>
    <w:rsid w:val="6CD429A0"/>
    <w:rsid w:val="6CD470F1"/>
    <w:rsid w:val="6CD72490"/>
    <w:rsid w:val="6CE10C19"/>
    <w:rsid w:val="6CE40709"/>
    <w:rsid w:val="6CE64481"/>
    <w:rsid w:val="6CEC658F"/>
    <w:rsid w:val="6D003795"/>
    <w:rsid w:val="6D0668D1"/>
    <w:rsid w:val="6D12171A"/>
    <w:rsid w:val="6D1E3C1B"/>
    <w:rsid w:val="6D2011DA"/>
    <w:rsid w:val="6D2D20B0"/>
    <w:rsid w:val="6D2E412A"/>
    <w:rsid w:val="6D341690"/>
    <w:rsid w:val="6D3D723E"/>
    <w:rsid w:val="6D4437AE"/>
    <w:rsid w:val="6D5238C5"/>
    <w:rsid w:val="6D540758"/>
    <w:rsid w:val="6D5835D1"/>
    <w:rsid w:val="6D5B5AA7"/>
    <w:rsid w:val="6D65184A"/>
    <w:rsid w:val="6D81721A"/>
    <w:rsid w:val="6D8C026B"/>
    <w:rsid w:val="6D8C7D4A"/>
    <w:rsid w:val="6D8E6FF3"/>
    <w:rsid w:val="6D910891"/>
    <w:rsid w:val="6D924AA4"/>
    <w:rsid w:val="6D970FE2"/>
    <w:rsid w:val="6DA76E0D"/>
    <w:rsid w:val="6DAE1443"/>
    <w:rsid w:val="6DAF6F69"/>
    <w:rsid w:val="6DB27BDF"/>
    <w:rsid w:val="6DB63E53"/>
    <w:rsid w:val="6DBB76BC"/>
    <w:rsid w:val="6DC5678C"/>
    <w:rsid w:val="6DC61BFF"/>
    <w:rsid w:val="6DC9057F"/>
    <w:rsid w:val="6DCA6FED"/>
    <w:rsid w:val="6DCB5F25"/>
    <w:rsid w:val="6DCC3677"/>
    <w:rsid w:val="6DD24C54"/>
    <w:rsid w:val="6DD662A4"/>
    <w:rsid w:val="6DDC59A1"/>
    <w:rsid w:val="6DDD5884"/>
    <w:rsid w:val="6DE309C1"/>
    <w:rsid w:val="6DE57D58"/>
    <w:rsid w:val="6DE905B4"/>
    <w:rsid w:val="6DEB2489"/>
    <w:rsid w:val="6DF378FC"/>
    <w:rsid w:val="6DF81F10"/>
    <w:rsid w:val="6DF826BE"/>
    <w:rsid w:val="6DFE57FA"/>
    <w:rsid w:val="6E0214E2"/>
    <w:rsid w:val="6E084ED8"/>
    <w:rsid w:val="6E1118E7"/>
    <w:rsid w:val="6E172CE4"/>
    <w:rsid w:val="6E2711F5"/>
    <w:rsid w:val="6E3265B6"/>
    <w:rsid w:val="6E360B76"/>
    <w:rsid w:val="6E381349"/>
    <w:rsid w:val="6E3851B0"/>
    <w:rsid w:val="6E3B37C2"/>
    <w:rsid w:val="6E407BC1"/>
    <w:rsid w:val="6E445903"/>
    <w:rsid w:val="6E49116B"/>
    <w:rsid w:val="6E66587A"/>
    <w:rsid w:val="6E7066F8"/>
    <w:rsid w:val="6E777A87"/>
    <w:rsid w:val="6E834B45"/>
    <w:rsid w:val="6E851459"/>
    <w:rsid w:val="6E895A0C"/>
    <w:rsid w:val="6E8B52E0"/>
    <w:rsid w:val="6E8E4DD0"/>
    <w:rsid w:val="6E91253A"/>
    <w:rsid w:val="6E9D2927"/>
    <w:rsid w:val="6E9E3708"/>
    <w:rsid w:val="6EBA1FED"/>
    <w:rsid w:val="6EBA5BC5"/>
    <w:rsid w:val="6EBE1C54"/>
    <w:rsid w:val="6ECB1871"/>
    <w:rsid w:val="6ED46C46"/>
    <w:rsid w:val="6EDA54B9"/>
    <w:rsid w:val="6EDF562C"/>
    <w:rsid w:val="6EEE4324"/>
    <w:rsid w:val="6EF2535F"/>
    <w:rsid w:val="6EFB3C6A"/>
    <w:rsid w:val="6EFC61DE"/>
    <w:rsid w:val="6EFD5AB2"/>
    <w:rsid w:val="6F046E40"/>
    <w:rsid w:val="6F086931"/>
    <w:rsid w:val="6F1821F5"/>
    <w:rsid w:val="6F1B2B08"/>
    <w:rsid w:val="6F1D5F3B"/>
    <w:rsid w:val="6F2D6397"/>
    <w:rsid w:val="6F2F5692"/>
    <w:rsid w:val="6F32572D"/>
    <w:rsid w:val="6F372C75"/>
    <w:rsid w:val="6F4708A2"/>
    <w:rsid w:val="6F4F4560"/>
    <w:rsid w:val="6F5E21BF"/>
    <w:rsid w:val="6F5F09D1"/>
    <w:rsid w:val="6F60051B"/>
    <w:rsid w:val="6F6A1399"/>
    <w:rsid w:val="6F770146"/>
    <w:rsid w:val="6F795A80"/>
    <w:rsid w:val="6F833EFF"/>
    <w:rsid w:val="6F8C7562"/>
    <w:rsid w:val="6F9131B5"/>
    <w:rsid w:val="6F944668"/>
    <w:rsid w:val="6F972386"/>
    <w:rsid w:val="6F983387"/>
    <w:rsid w:val="6FA348AB"/>
    <w:rsid w:val="6FA62856"/>
    <w:rsid w:val="6FA83C70"/>
    <w:rsid w:val="6FAA3E8C"/>
    <w:rsid w:val="6FAC19B2"/>
    <w:rsid w:val="6FAD572A"/>
    <w:rsid w:val="6FB50341"/>
    <w:rsid w:val="6FB645DF"/>
    <w:rsid w:val="6FB70357"/>
    <w:rsid w:val="6FB72105"/>
    <w:rsid w:val="6FC21A38"/>
    <w:rsid w:val="6FC82564"/>
    <w:rsid w:val="6FD46C64"/>
    <w:rsid w:val="6FE42753"/>
    <w:rsid w:val="6FEE1FCA"/>
    <w:rsid w:val="6FEE313D"/>
    <w:rsid w:val="6FEF151B"/>
    <w:rsid w:val="6FEF189F"/>
    <w:rsid w:val="6FF17B65"/>
    <w:rsid w:val="6FF356A3"/>
    <w:rsid w:val="6FF56C1B"/>
    <w:rsid w:val="6FFD3FBC"/>
    <w:rsid w:val="70003AAC"/>
    <w:rsid w:val="7003534A"/>
    <w:rsid w:val="700C09CF"/>
    <w:rsid w:val="70115CB9"/>
    <w:rsid w:val="7019691C"/>
    <w:rsid w:val="701B4C4C"/>
    <w:rsid w:val="70227EC6"/>
    <w:rsid w:val="702459EC"/>
    <w:rsid w:val="702847D9"/>
    <w:rsid w:val="703327E7"/>
    <w:rsid w:val="70345B77"/>
    <w:rsid w:val="70383246"/>
    <w:rsid w:val="703E6382"/>
    <w:rsid w:val="70455963"/>
    <w:rsid w:val="704679F6"/>
    <w:rsid w:val="70476DFE"/>
    <w:rsid w:val="70577651"/>
    <w:rsid w:val="705D390F"/>
    <w:rsid w:val="705D4A5A"/>
    <w:rsid w:val="706A53C9"/>
    <w:rsid w:val="706A5A3D"/>
    <w:rsid w:val="70716758"/>
    <w:rsid w:val="7072622A"/>
    <w:rsid w:val="707D334E"/>
    <w:rsid w:val="708228C9"/>
    <w:rsid w:val="708A15C7"/>
    <w:rsid w:val="708B5A6B"/>
    <w:rsid w:val="70952446"/>
    <w:rsid w:val="70997814"/>
    <w:rsid w:val="70A15494"/>
    <w:rsid w:val="70B0102E"/>
    <w:rsid w:val="70B4359C"/>
    <w:rsid w:val="70BA39DA"/>
    <w:rsid w:val="70BF5715"/>
    <w:rsid w:val="70C1323B"/>
    <w:rsid w:val="70C720A3"/>
    <w:rsid w:val="70C90342"/>
    <w:rsid w:val="70CB2D73"/>
    <w:rsid w:val="70CC1BE0"/>
    <w:rsid w:val="70D54F38"/>
    <w:rsid w:val="70D72A5F"/>
    <w:rsid w:val="70DA7783"/>
    <w:rsid w:val="70DC3136"/>
    <w:rsid w:val="70DE203F"/>
    <w:rsid w:val="70E21403"/>
    <w:rsid w:val="70E46F2A"/>
    <w:rsid w:val="70E47206"/>
    <w:rsid w:val="70F76C5D"/>
    <w:rsid w:val="70FF5B11"/>
    <w:rsid w:val="71065D1D"/>
    <w:rsid w:val="71096990"/>
    <w:rsid w:val="71184C00"/>
    <w:rsid w:val="711C2B67"/>
    <w:rsid w:val="711D243B"/>
    <w:rsid w:val="711D41EA"/>
    <w:rsid w:val="71202F6F"/>
    <w:rsid w:val="71254695"/>
    <w:rsid w:val="712A5284"/>
    <w:rsid w:val="713D74E8"/>
    <w:rsid w:val="714C15EF"/>
    <w:rsid w:val="714E48D5"/>
    <w:rsid w:val="714E7211"/>
    <w:rsid w:val="714F4CEB"/>
    <w:rsid w:val="71535E5D"/>
    <w:rsid w:val="715776FB"/>
    <w:rsid w:val="71614A1E"/>
    <w:rsid w:val="71640929"/>
    <w:rsid w:val="71663DE2"/>
    <w:rsid w:val="716A5681"/>
    <w:rsid w:val="71704C61"/>
    <w:rsid w:val="71744751"/>
    <w:rsid w:val="71752277"/>
    <w:rsid w:val="71771B4C"/>
    <w:rsid w:val="717958C4"/>
    <w:rsid w:val="717C6991"/>
    <w:rsid w:val="718445AA"/>
    <w:rsid w:val="71903E83"/>
    <w:rsid w:val="71924A6B"/>
    <w:rsid w:val="719621B0"/>
    <w:rsid w:val="71986B9D"/>
    <w:rsid w:val="719B7311"/>
    <w:rsid w:val="719B7F30"/>
    <w:rsid w:val="71AD37BF"/>
    <w:rsid w:val="71C67771"/>
    <w:rsid w:val="71CA7DB2"/>
    <w:rsid w:val="71D21478"/>
    <w:rsid w:val="71DC5E53"/>
    <w:rsid w:val="71E538D3"/>
    <w:rsid w:val="71E960E9"/>
    <w:rsid w:val="71F2639B"/>
    <w:rsid w:val="71F331AD"/>
    <w:rsid w:val="71F92EA9"/>
    <w:rsid w:val="71FB1AAE"/>
    <w:rsid w:val="72001B41"/>
    <w:rsid w:val="72180C7A"/>
    <w:rsid w:val="72200435"/>
    <w:rsid w:val="72225F5B"/>
    <w:rsid w:val="722649B3"/>
    <w:rsid w:val="72273572"/>
    <w:rsid w:val="723A5B62"/>
    <w:rsid w:val="723B0DCB"/>
    <w:rsid w:val="72440855"/>
    <w:rsid w:val="7245376F"/>
    <w:rsid w:val="72457E9C"/>
    <w:rsid w:val="724A3704"/>
    <w:rsid w:val="724A7260"/>
    <w:rsid w:val="724F0D1A"/>
    <w:rsid w:val="725400DF"/>
    <w:rsid w:val="72541E8D"/>
    <w:rsid w:val="725676CF"/>
    <w:rsid w:val="72587BCF"/>
    <w:rsid w:val="72604CD6"/>
    <w:rsid w:val="7260622C"/>
    <w:rsid w:val="726E73F3"/>
    <w:rsid w:val="726F6CC7"/>
    <w:rsid w:val="727442DD"/>
    <w:rsid w:val="727D13E4"/>
    <w:rsid w:val="727F33AE"/>
    <w:rsid w:val="72842772"/>
    <w:rsid w:val="7285473C"/>
    <w:rsid w:val="72923BB4"/>
    <w:rsid w:val="729C3622"/>
    <w:rsid w:val="72A46970"/>
    <w:rsid w:val="72A642B9"/>
    <w:rsid w:val="72A93F87"/>
    <w:rsid w:val="72AC7F1B"/>
    <w:rsid w:val="72AE77EF"/>
    <w:rsid w:val="72B03567"/>
    <w:rsid w:val="72B1108D"/>
    <w:rsid w:val="72B11466"/>
    <w:rsid w:val="72B57F1D"/>
    <w:rsid w:val="72B868C0"/>
    <w:rsid w:val="72B949A1"/>
    <w:rsid w:val="72C45265"/>
    <w:rsid w:val="72CC4119"/>
    <w:rsid w:val="72CD1FBF"/>
    <w:rsid w:val="72D03C09"/>
    <w:rsid w:val="72D1172F"/>
    <w:rsid w:val="72D43F2A"/>
    <w:rsid w:val="72EC0317"/>
    <w:rsid w:val="72ED6437"/>
    <w:rsid w:val="72EE0533"/>
    <w:rsid w:val="72EE5E3E"/>
    <w:rsid w:val="72F1522F"/>
    <w:rsid w:val="72F316A6"/>
    <w:rsid w:val="72F34CC4"/>
    <w:rsid w:val="72F84F0E"/>
    <w:rsid w:val="72FB055A"/>
    <w:rsid w:val="72FD42D3"/>
    <w:rsid w:val="73137F9A"/>
    <w:rsid w:val="731E6EB3"/>
    <w:rsid w:val="73223D39"/>
    <w:rsid w:val="733A52F9"/>
    <w:rsid w:val="733F48EB"/>
    <w:rsid w:val="73456F57"/>
    <w:rsid w:val="734729F6"/>
    <w:rsid w:val="73491C0D"/>
    <w:rsid w:val="734C1945"/>
    <w:rsid w:val="735071F1"/>
    <w:rsid w:val="7356799C"/>
    <w:rsid w:val="73571C35"/>
    <w:rsid w:val="73572028"/>
    <w:rsid w:val="735760D9"/>
    <w:rsid w:val="73591E51"/>
    <w:rsid w:val="73593E7F"/>
    <w:rsid w:val="735C36EF"/>
    <w:rsid w:val="736B1B84"/>
    <w:rsid w:val="736E51D0"/>
    <w:rsid w:val="739E7864"/>
    <w:rsid w:val="73A41C53"/>
    <w:rsid w:val="73AB1CF8"/>
    <w:rsid w:val="73AD1DB8"/>
    <w:rsid w:val="73AD5CF9"/>
    <w:rsid w:val="73AF1A71"/>
    <w:rsid w:val="73AF381F"/>
    <w:rsid w:val="73B47087"/>
    <w:rsid w:val="73B54BAD"/>
    <w:rsid w:val="73B7296C"/>
    <w:rsid w:val="73B76E4A"/>
    <w:rsid w:val="73BE1CB4"/>
    <w:rsid w:val="73C03C7E"/>
    <w:rsid w:val="73C66DBA"/>
    <w:rsid w:val="73D56FFD"/>
    <w:rsid w:val="73DE4104"/>
    <w:rsid w:val="73E831D5"/>
    <w:rsid w:val="73EB05CF"/>
    <w:rsid w:val="73FB331A"/>
    <w:rsid w:val="73FB7CDF"/>
    <w:rsid w:val="73FF760F"/>
    <w:rsid w:val="74000C22"/>
    <w:rsid w:val="740D2C3B"/>
    <w:rsid w:val="74152CCB"/>
    <w:rsid w:val="74210D9D"/>
    <w:rsid w:val="74235813"/>
    <w:rsid w:val="7429449F"/>
    <w:rsid w:val="742C4E6F"/>
    <w:rsid w:val="742D5F10"/>
    <w:rsid w:val="7438097E"/>
    <w:rsid w:val="7441186B"/>
    <w:rsid w:val="74420FDF"/>
    <w:rsid w:val="74434EDB"/>
    <w:rsid w:val="74493C73"/>
    <w:rsid w:val="744A2D86"/>
    <w:rsid w:val="744A79EB"/>
    <w:rsid w:val="744C72C0"/>
    <w:rsid w:val="744D5433"/>
    <w:rsid w:val="744E4DF4"/>
    <w:rsid w:val="74530E1C"/>
    <w:rsid w:val="74573EBE"/>
    <w:rsid w:val="74591FEB"/>
    <w:rsid w:val="745B3564"/>
    <w:rsid w:val="745C41B7"/>
    <w:rsid w:val="745D327B"/>
    <w:rsid w:val="746C1710"/>
    <w:rsid w:val="747B3FD2"/>
    <w:rsid w:val="747D391D"/>
    <w:rsid w:val="7480288E"/>
    <w:rsid w:val="74806F69"/>
    <w:rsid w:val="74820F33"/>
    <w:rsid w:val="74843900"/>
    <w:rsid w:val="74844CAB"/>
    <w:rsid w:val="7487654A"/>
    <w:rsid w:val="74884070"/>
    <w:rsid w:val="7491561A"/>
    <w:rsid w:val="74992B6D"/>
    <w:rsid w:val="74A06189"/>
    <w:rsid w:val="74A73931"/>
    <w:rsid w:val="74BD640F"/>
    <w:rsid w:val="74BF7642"/>
    <w:rsid w:val="74C4154C"/>
    <w:rsid w:val="74C46AAD"/>
    <w:rsid w:val="74C50E20"/>
    <w:rsid w:val="74C53552"/>
    <w:rsid w:val="74C55474"/>
    <w:rsid w:val="74C94DB4"/>
    <w:rsid w:val="74C96544"/>
    <w:rsid w:val="74D10666"/>
    <w:rsid w:val="74DF6386"/>
    <w:rsid w:val="74E27C24"/>
    <w:rsid w:val="74F00028"/>
    <w:rsid w:val="74F11DAB"/>
    <w:rsid w:val="74F6661B"/>
    <w:rsid w:val="74FD0501"/>
    <w:rsid w:val="750800F7"/>
    <w:rsid w:val="750D1D7B"/>
    <w:rsid w:val="750D1F7E"/>
    <w:rsid w:val="7510653F"/>
    <w:rsid w:val="75175B20"/>
    <w:rsid w:val="75192F16"/>
    <w:rsid w:val="751A5150"/>
    <w:rsid w:val="751C3B17"/>
    <w:rsid w:val="752328F9"/>
    <w:rsid w:val="752D5343"/>
    <w:rsid w:val="753541F8"/>
    <w:rsid w:val="75357D54"/>
    <w:rsid w:val="75385D85"/>
    <w:rsid w:val="754B7577"/>
    <w:rsid w:val="75506BD3"/>
    <w:rsid w:val="755A3C5E"/>
    <w:rsid w:val="755E374E"/>
    <w:rsid w:val="75634550"/>
    <w:rsid w:val="756B3942"/>
    <w:rsid w:val="756E14B8"/>
    <w:rsid w:val="75705161"/>
    <w:rsid w:val="75741257"/>
    <w:rsid w:val="75776FEE"/>
    <w:rsid w:val="757F403F"/>
    <w:rsid w:val="75802315"/>
    <w:rsid w:val="75840CDB"/>
    <w:rsid w:val="75842A89"/>
    <w:rsid w:val="75854936"/>
    <w:rsid w:val="758633F7"/>
    <w:rsid w:val="7586788F"/>
    <w:rsid w:val="75894F01"/>
    <w:rsid w:val="758976B2"/>
    <w:rsid w:val="758B0C89"/>
    <w:rsid w:val="758E3960"/>
    <w:rsid w:val="759E179B"/>
    <w:rsid w:val="759E7EF9"/>
    <w:rsid w:val="75A13C4C"/>
    <w:rsid w:val="75A373B3"/>
    <w:rsid w:val="75A5137D"/>
    <w:rsid w:val="75AA1BCC"/>
    <w:rsid w:val="75B07D22"/>
    <w:rsid w:val="75BB7846"/>
    <w:rsid w:val="75BE243F"/>
    <w:rsid w:val="75BE5F9B"/>
    <w:rsid w:val="75C5557C"/>
    <w:rsid w:val="75C630A2"/>
    <w:rsid w:val="75C674C0"/>
    <w:rsid w:val="75CE1F56"/>
    <w:rsid w:val="75ED5B8D"/>
    <w:rsid w:val="75F220E9"/>
    <w:rsid w:val="75F75951"/>
    <w:rsid w:val="75FA6B54"/>
    <w:rsid w:val="760A11E0"/>
    <w:rsid w:val="761B51E4"/>
    <w:rsid w:val="7625426C"/>
    <w:rsid w:val="76327C0A"/>
    <w:rsid w:val="763B3546"/>
    <w:rsid w:val="763F21AA"/>
    <w:rsid w:val="764010A6"/>
    <w:rsid w:val="76402E54"/>
    <w:rsid w:val="76404C02"/>
    <w:rsid w:val="764508C7"/>
    <w:rsid w:val="76481D09"/>
    <w:rsid w:val="764861AD"/>
    <w:rsid w:val="765C54A6"/>
    <w:rsid w:val="765C63B7"/>
    <w:rsid w:val="765C6C43"/>
    <w:rsid w:val="76636700"/>
    <w:rsid w:val="76672492"/>
    <w:rsid w:val="7671125F"/>
    <w:rsid w:val="76772D5C"/>
    <w:rsid w:val="76866AB1"/>
    <w:rsid w:val="76903562"/>
    <w:rsid w:val="76960CC6"/>
    <w:rsid w:val="76967A9F"/>
    <w:rsid w:val="7697757F"/>
    <w:rsid w:val="769A30B8"/>
    <w:rsid w:val="76A2766B"/>
    <w:rsid w:val="76A333E3"/>
    <w:rsid w:val="76A5715B"/>
    <w:rsid w:val="76A96C4B"/>
    <w:rsid w:val="76AA29C3"/>
    <w:rsid w:val="76AB666D"/>
    <w:rsid w:val="76AE4C8C"/>
    <w:rsid w:val="76B455F0"/>
    <w:rsid w:val="76BB336C"/>
    <w:rsid w:val="76BD44A5"/>
    <w:rsid w:val="76C92E49"/>
    <w:rsid w:val="76CC6BA6"/>
    <w:rsid w:val="76CE66B2"/>
    <w:rsid w:val="76CF5F86"/>
    <w:rsid w:val="76D4359C"/>
    <w:rsid w:val="76D90BB3"/>
    <w:rsid w:val="76DF266D"/>
    <w:rsid w:val="76DF3CD0"/>
    <w:rsid w:val="76E97048"/>
    <w:rsid w:val="76EB6E7B"/>
    <w:rsid w:val="76EE5700"/>
    <w:rsid w:val="76F53C3E"/>
    <w:rsid w:val="76F679B7"/>
    <w:rsid w:val="7709325F"/>
    <w:rsid w:val="770B2505"/>
    <w:rsid w:val="771147F0"/>
    <w:rsid w:val="7711659E"/>
    <w:rsid w:val="77176686"/>
    <w:rsid w:val="771D53C4"/>
    <w:rsid w:val="77244FFB"/>
    <w:rsid w:val="772868C8"/>
    <w:rsid w:val="773F4EBA"/>
    <w:rsid w:val="774353DC"/>
    <w:rsid w:val="774447E4"/>
    <w:rsid w:val="775070C7"/>
    <w:rsid w:val="77514BED"/>
    <w:rsid w:val="7755292F"/>
    <w:rsid w:val="776112D4"/>
    <w:rsid w:val="7762504C"/>
    <w:rsid w:val="776524BF"/>
    <w:rsid w:val="776B35FD"/>
    <w:rsid w:val="776C03BC"/>
    <w:rsid w:val="777C610E"/>
    <w:rsid w:val="777D719A"/>
    <w:rsid w:val="777E5C68"/>
    <w:rsid w:val="77823BB6"/>
    <w:rsid w:val="7783749C"/>
    <w:rsid w:val="7789082B"/>
    <w:rsid w:val="77974CF6"/>
    <w:rsid w:val="779A2A38"/>
    <w:rsid w:val="779A38C8"/>
    <w:rsid w:val="779C667F"/>
    <w:rsid w:val="77A87CA8"/>
    <w:rsid w:val="77AD62C7"/>
    <w:rsid w:val="77B313B7"/>
    <w:rsid w:val="77B77146"/>
    <w:rsid w:val="77BE24D9"/>
    <w:rsid w:val="77C16217"/>
    <w:rsid w:val="77D93560"/>
    <w:rsid w:val="77DA2E34"/>
    <w:rsid w:val="77DC1695"/>
    <w:rsid w:val="77E922B0"/>
    <w:rsid w:val="77E93077"/>
    <w:rsid w:val="77EB3293"/>
    <w:rsid w:val="77EF68E0"/>
    <w:rsid w:val="77F37D3B"/>
    <w:rsid w:val="77F739E6"/>
    <w:rsid w:val="77F83CF8"/>
    <w:rsid w:val="77F953AA"/>
    <w:rsid w:val="78014865"/>
    <w:rsid w:val="78096ABD"/>
    <w:rsid w:val="780A371A"/>
    <w:rsid w:val="780F0D30"/>
    <w:rsid w:val="78126A72"/>
    <w:rsid w:val="781347F5"/>
    <w:rsid w:val="7820118F"/>
    <w:rsid w:val="783267CC"/>
    <w:rsid w:val="78397B5B"/>
    <w:rsid w:val="783E1615"/>
    <w:rsid w:val="783F0EE9"/>
    <w:rsid w:val="783F2EFA"/>
    <w:rsid w:val="7840713B"/>
    <w:rsid w:val="784C6E03"/>
    <w:rsid w:val="784E31B2"/>
    <w:rsid w:val="78520C1D"/>
    <w:rsid w:val="78581447"/>
    <w:rsid w:val="78597FC3"/>
    <w:rsid w:val="785B16CA"/>
    <w:rsid w:val="785C1A9B"/>
    <w:rsid w:val="78656BA2"/>
    <w:rsid w:val="78663234"/>
    <w:rsid w:val="78670B6C"/>
    <w:rsid w:val="786A240A"/>
    <w:rsid w:val="7871476E"/>
    <w:rsid w:val="78715547"/>
    <w:rsid w:val="78852DA0"/>
    <w:rsid w:val="788C2ADB"/>
    <w:rsid w:val="788F3F1E"/>
    <w:rsid w:val="78940E20"/>
    <w:rsid w:val="78950010"/>
    <w:rsid w:val="78983624"/>
    <w:rsid w:val="78A0729B"/>
    <w:rsid w:val="78A53442"/>
    <w:rsid w:val="78B2790D"/>
    <w:rsid w:val="78B47B29"/>
    <w:rsid w:val="78B638A1"/>
    <w:rsid w:val="78C0202A"/>
    <w:rsid w:val="78C94270"/>
    <w:rsid w:val="78CE2999"/>
    <w:rsid w:val="78CF04BF"/>
    <w:rsid w:val="78D36201"/>
    <w:rsid w:val="78D363F5"/>
    <w:rsid w:val="78D4708F"/>
    <w:rsid w:val="78DE0702"/>
    <w:rsid w:val="78E10EF3"/>
    <w:rsid w:val="78E75809"/>
    <w:rsid w:val="78E81581"/>
    <w:rsid w:val="78F8252B"/>
    <w:rsid w:val="78F91413"/>
    <w:rsid w:val="79002D6F"/>
    <w:rsid w:val="79055C7A"/>
    <w:rsid w:val="790A7749"/>
    <w:rsid w:val="79183C14"/>
    <w:rsid w:val="791E4FA3"/>
    <w:rsid w:val="79200D1B"/>
    <w:rsid w:val="79222CE5"/>
    <w:rsid w:val="792C3B64"/>
    <w:rsid w:val="79394A97"/>
    <w:rsid w:val="7940316B"/>
    <w:rsid w:val="794E5888"/>
    <w:rsid w:val="79501E02"/>
    <w:rsid w:val="79584959"/>
    <w:rsid w:val="795B7930"/>
    <w:rsid w:val="79621333"/>
    <w:rsid w:val="796230E1"/>
    <w:rsid w:val="796365C3"/>
    <w:rsid w:val="79654980"/>
    <w:rsid w:val="79660E24"/>
    <w:rsid w:val="79694470"/>
    <w:rsid w:val="796C55BD"/>
    <w:rsid w:val="79752E15"/>
    <w:rsid w:val="797647C4"/>
    <w:rsid w:val="79783280"/>
    <w:rsid w:val="797846B3"/>
    <w:rsid w:val="79796B56"/>
    <w:rsid w:val="797B7924"/>
    <w:rsid w:val="79802C56"/>
    <w:rsid w:val="79856DD0"/>
    <w:rsid w:val="79887037"/>
    <w:rsid w:val="79892D64"/>
    <w:rsid w:val="798C57CF"/>
    <w:rsid w:val="798C63B0"/>
    <w:rsid w:val="799139C7"/>
    <w:rsid w:val="79A25E80"/>
    <w:rsid w:val="79A61220"/>
    <w:rsid w:val="79A731EA"/>
    <w:rsid w:val="79AE6327"/>
    <w:rsid w:val="79CB0C87"/>
    <w:rsid w:val="79CB512B"/>
    <w:rsid w:val="79D20FEE"/>
    <w:rsid w:val="79D258F0"/>
    <w:rsid w:val="79DA711C"/>
    <w:rsid w:val="79E144B9"/>
    <w:rsid w:val="79E16FB5"/>
    <w:rsid w:val="79EB347C"/>
    <w:rsid w:val="79EF706B"/>
    <w:rsid w:val="79F3642F"/>
    <w:rsid w:val="79FD55A8"/>
    <w:rsid w:val="79FE74DE"/>
    <w:rsid w:val="7A013357"/>
    <w:rsid w:val="7A0D0E72"/>
    <w:rsid w:val="7A15284A"/>
    <w:rsid w:val="7A1545F8"/>
    <w:rsid w:val="7A1563A6"/>
    <w:rsid w:val="7A1A29EA"/>
    <w:rsid w:val="7A1B0853"/>
    <w:rsid w:val="7A1C70DF"/>
    <w:rsid w:val="7A24483B"/>
    <w:rsid w:val="7A2A2B0F"/>
    <w:rsid w:val="7A2A625A"/>
    <w:rsid w:val="7A2B7977"/>
    <w:rsid w:val="7A2D7B93"/>
    <w:rsid w:val="7A2F7467"/>
    <w:rsid w:val="7A326A0D"/>
    <w:rsid w:val="7A326F58"/>
    <w:rsid w:val="7A3271F6"/>
    <w:rsid w:val="7A3948AB"/>
    <w:rsid w:val="7A3E3B4E"/>
    <w:rsid w:val="7A4A24F3"/>
    <w:rsid w:val="7A4A42A1"/>
    <w:rsid w:val="7A543053"/>
    <w:rsid w:val="7A560E98"/>
    <w:rsid w:val="7A57045E"/>
    <w:rsid w:val="7A5F078B"/>
    <w:rsid w:val="7A601D17"/>
    <w:rsid w:val="7A7632E8"/>
    <w:rsid w:val="7A7C4677"/>
    <w:rsid w:val="7A7D004D"/>
    <w:rsid w:val="7A8F3B44"/>
    <w:rsid w:val="7AA76304"/>
    <w:rsid w:val="7AAB0B58"/>
    <w:rsid w:val="7AB14D88"/>
    <w:rsid w:val="7AB67B89"/>
    <w:rsid w:val="7AB756AF"/>
    <w:rsid w:val="7AB91427"/>
    <w:rsid w:val="7ABB2379"/>
    <w:rsid w:val="7ABC15CC"/>
    <w:rsid w:val="7AC758F2"/>
    <w:rsid w:val="7AD31110"/>
    <w:rsid w:val="7AD32B02"/>
    <w:rsid w:val="7ADB139D"/>
    <w:rsid w:val="7ADD3367"/>
    <w:rsid w:val="7AE22B01"/>
    <w:rsid w:val="7AE55E02"/>
    <w:rsid w:val="7AF4245F"/>
    <w:rsid w:val="7AF4420D"/>
    <w:rsid w:val="7AFB3BDC"/>
    <w:rsid w:val="7AFD1314"/>
    <w:rsid w:val="7B120190"/>
    <w:rsid w:val="7B136D89"/>
    <w:rsid w:val="7B160627"/>
    <w:rsid w:val="7B166879"/>
    <w:rsid w:val="7B1B1A53"/>
    <w:rsid w:val="7B1B25A7"/>
    <w:rsid w:val="7B1D7C08"/>
    <w:rsid w:val="7B234AF2"/>
    <w:rsid w:val="7B255EE6"/>
    <w:rsid w:val="7B2745E3"/>
    <w:rsid w:val="7B297750"/>
    <w:rsid w:val="7B2A40D3"/>
    <w:rsid w:val="7B2E735A"/>
    <w:rsid w:val="7B325543"/>
    <w:rsid w:val="7B334D35"/>
    <w:rsid w:val="7B396930"/>
    <w:rsid w:val="7B3A2568"/>
    <w:rsid w:val="7B3B008E"/>
    <w:rsid w:val="7B3B1E3C"/>
    <w:rsid w:val="7B4909FD"/>
    <w:rsid w:val="7B4927AB"/>
    <w:rsid w:val="7B4B27DA"/>
    <w:rsid w:val="7B5D1DB2"/>
    <w:rsid w:val="7B5E4865"/>
    <w:rsid w:val="7B5F5B2A"/>
    <w:rsid w:val="7B5F69AF"/>
    <w:rsid w:val="7B615D46"/>
    <w:rsid w:val="7B690757"/>
    <w:rsid w:val="7B6E3FBF"/>
    <w:rsid w:val="7B7517F2"/>
    <w:rsid w:val="7B784E3E"/>
    <w:rsid w:val="7B7D2454"/>
    <w:rsid w:val="7B851309"/>
    <w:rsid w:val="7B8726A6"/>
    <w:rsid w:val="7B87299F"/>
    <w:rsid w:val="7B8A691F"/>
    <w:rsid w:val="7BA94FF8"/>
    <w:rsid w:val="7BB221D7"/>
    <w:rsid w:val="7BB3231A"/>
    <w:rsid w:val="7BBC2F7D"/>
    <w:rsid w:val="7BD007D6"/>
    <w:rsid w:val="7BDB06D8"/>
    <w:rsid w:val="7BE10C35"/>
    <w:rsid w:val="7BEC3554"/>
    <w:rsid w:val="7BF070CA"/>
    <w:rsid w:val="7BFA5EE7"/>
    <w:rsid w:val="7BFC2A96"/>
    <w:rsid w:val="7C0B4293"/>
    <w:rsid w:val="7C0D56F7"/>
    <w:rsid w:val="7C3D07C3"/>
    <w:rsid w:val="7C431DAC"/>
    <w:rsid w:val="7C532D9B"/>
    <w:rsid w:val="7C541407"/>
    <w:rsid w:val="7C6158E3"/>
    <w:rsid w:val="7C6E138E"/>
    <w:rsid w:val="7C6F024E"/>
    <w:rsid w:val="7C703D67"/>
    <w:rsid w:val="7C776EA4"/>
    <w:rsid w:val="7C7E2011"/>
    <w:rsid w:val="7C8E138F"/>
    <w:rsid w:val="7C99506C"/>
    <w:rsid w:val="7C9B5EDF"/>
    <w:rsid w:val="7C9F46E0"/>
    <w:rsid w:val="7CA42ACD"/>
    <w:rsid w:val="7CA56779"/>
    <w:rsid w:val="7CB53151"/>
    <w:rsid w:val="7CB92CB8"/>
    <w:rsid w:val="7CB94A4D"/>
    <w:rsid w:val="7CBE2D25"/>
    <w:rsid w:val="7CBE4AD3"/>
    <w:rsid w:val="7CC31137"/>
    <w:rsid w:val="7CC57A34"/>
    <w:rsid w:val="7CC61BD9"/>
    <w:rsid w:val="7CCF76EA"/>
    <w:rsid w:val="7CD15708"/>
    <w:rsid w:val="7CD6006E"/>
    <w:rsid w:val="7CD95DB0"/>
    <w:rsid w:val="7CDB7433"/>
    <w:rsid w:val="7CE113BB"/>
    <w:rsid w:val="7CE16A13"/>
    <w:rsid w:val="7CE34539"/>
    <w:rsid w:val="7CF3625E"/>
    <w:rsid w:val="7CF57F8D"/>
    <w:rsid w:val="7CFD1A9F"/>
    <w:rsid w:val="7D016D33"/>
    <w:rsid w:val="7D11554A"/>
    <w:rsid w:val="7D170377"/>
    <w:rsid w:val="7D1943FF"/>
    <w:rsid w:val="7D1D3EEF"/>
    <w:rsid w:val="7D292894"/>
    <w:rsid w:val="7D2C7C8E"/>
    <w:rsid w:val="7D32101D"/>
    <w:rsid w:val="7D384885"/>
    <w:rsid w:val="7D40638A"/>
    <w:rsid w:val="7D43322A"/>
    <w:rsid w:val="7D4C0330"/>
    <w:rsid w:val="7D557E7F"/>
    <w:rsid w:val="7D5611AF"/>
    <w:rsid w:val="7D575C62"/>
    <w:rsid w:val="7D584B4A"/>
    <w:rsid w:val="7D5F52AF"/>
    <w:rsid w:val="7D605B8A"/>
    <w:rsid w:val="7D625DA6"/>
    <w:rsid w:val="7D63567A"/>
    <w:rsid w:val="7D641B1E"/>
    <w:rsid w:val="7D733B0F"/>
    <w:rsid w:val="7D751B04"/>
    <w:rsid w:val="7D7D498E"/>
    <w:rsid w:val="7D8A0E59"/>
    <w:rsid w:val="7D8A2C07"/>
    <w:rsid w:val="7D935485"/>
    <w:rsid w:val="7D935D11"/>
    <w:rsid w:val="7D93607C"/>
    <w:rsid w:val="7D9A6E32"/>
    <w:rsid w:val="7D9A72EE"/>
    <w:rsid w:val="7D9F663D"/>
    <w:rsid w:val="7D9F708D"/>
    <w:rsid w:val="7DA10DF3"/>
    <w:rsid w:val="7DAE2D99"/>
    <w:rsid w:val="7DB14637"/>
    <w:rsid w:val="7DB61C4E"/>
    <w:rsid w:val="7DB65AA2"/>
    <w:rsid w:val="7DB859C6"/>
    <w:rsid w:val="7DBD5EEA"/>
    <w:rsid w:val="7DBD6255"/>
    <w:rsid w:val="7DCB394B"/>
    <w:rsid w:val="7DCB56F9"/>
    <w:rsid w:val="7DD24612"/>
    <w:rsid w:val="7DD345AE"/>
    <w:rsid w:val="7DDB16B4"/>
    <w:rsid w:val="7DDF7BF8"/>
    <w:rsid w:val="7DEC38C1"/>
    <w:rsid w:val="7DEE7639"/>
    <w:rsid w:val="7DF84014"/>
    <w:rsid w:val="7DFC0E94"/>
    <w:rsid w:val="7E015B33"/>
    <w:rsid w:val="7E044E1C"/>
    <w:rsid w:val="7E066731"/>
    <w:rsid w:val="7E0E1A8A"/>
    <w:rsid w:val="7E170980"/>
    <w:rsid w:val="7E2021B6"/>
    <w:rsid w:val="7E2272E3"/>
    <w:rsid w:val="7E3442D3"/>
    <w:rsid w:val="7E3808B5"/>
    <w:rsid w:val="7E3A63DB"/>
    <w:rsid w:val="7E490D14"/>
    <w:rsid w:val="7E5576B9"/>
    <w:rsid w:val="7E584AB3"/>
    <w:rsid w:val="7E5C0A47"/>
    <w:rsid w:val="7E5D7F31"/>
    <w:rsid w:val="7E5F22E5"/>
    <w:rsid w:val="7E635932"/>
    <w:rsid w:val="7E68119A"/>
    <w:rsid w:val="7E6B0C8A"/>
    <w:rsid w:val="7E7044F2"/>
    <w:rsid w:val="7E795155"/>
    <w:rsid w:val="7E7C2B06"/>
    <w:rsid w:val="7E7D055C"/>
    <w:rsid w:val="7E97382D"/>
    <w:rsid w:val="7E987C76"/>
    <w:rsid w:val="7E991353"/>
    <w:rsid w:val="7E9C6F9B"/>
    <w:rsid w:val="7E9D7975"/>
    <w:rsid w:val="7E9E2E0E"/>
    <w:rsid w:val="7EA128FE"/>
    <w:rsid w:val="7EAF0B77"/>
    <w:rsid w:val="7EB02B41"/>
    <w:rsid w:val="7EB22415"/>
    <w:rsid w:val="7EB33A0E"/>
    <w:rsid w:val="7EC6150E"/>
    <w:rsid w:val="7ED7262C"/>
    <w:rsid w:val="7ED93E46"/>
    <w:rsid w:val="7EDC0CF8"/>
    <w:rsid w:val="7EE051D4"/>
    <w:rsid w:val="7EE30820"/>
    <w:rsid w:val="7EEC2C7B"/>
    <w:rsid w:val="7EEF71C5"/>
    <w:rsid w:val="7EF50554"/>
    <w:rsid w:val="7EF7251E"/>
    <w:rsid w:val="7EF84914"/>
    <w:rsid w:val="7EF944E8"/>
    <w:rsid w:val="7F052E8D"/>
    <w:rsid w:val="7F0709B3"/>
    <w:rsid w:val="7F0D1C9A"/>
    <w:rsid w:val="7F0D5109"/>
    <w:rsid w:val="7F1430D0"/>
    <w:rsid w:val="7F1C3A35"/>
    <w:rsid w:val="7F203823"/>
    <w:rsid w:val="7F2627EC"/>
    <w:rsid w:val="7F2A644F"/>
    <w:rsid w:val="7F2B4C51"/>
    <w:rsid w:val="7F2B63C8"/>
    <w:rsid w:val="7F2B657D"/>
    <w:rsid w:val="7F2C0419"/>
    <w:rsid w:val="7F2F1CB8"/>
    <w:rsid w:val="7F32366A"/>
    <w:rsid w:val="7F34107C"/>
    <w:rsid w:val="7F351525"/>
    <w:rsid w:val="7F392B36"/>
    <w:rsid w:val="7F3948E4"/>
    <w:rsid w:val="7F3B065C"/>
    <w:rsid w:val="7F403EC5"/>
    <w:rsid w:val="7F405C73"/>
    <w:rsid w:val="7F49156E"/>
    <w:rsid w:val="7F4E4E36"/>
    <w:rsid w:val="7F5C05D3"/>
    <w:rsid w:val="7F5E3AC2"/>
    <w:rsid w:val="7F625B98"/>
    <w:rsid w:val="7F631961"/>
    <w:rsid w:val="7F6C7B3D"/>
    <w:rsid w:val="7F7327AE"/>
    <w:rsid w:val="7F791E0A"/>
    <w:rsid w:val="7F814DD6"/>
    <w:rsid w:val="7F833DB1"/>
    <w:rsid w:val="7F842003"/>
    <w:rsid w:val="7F9E0F54"/>
    <w:rsid w:val="7F9F134E"/>
    <w:rsid w:val="7FA04963"/>
    <w:rsid w:val="7FA73CE8"/>
    <w:rsid w:val="7FAB1F2F"/>
    <w:rsid w:val="7FB87EFF"/>
    <w:rsid w:val="7FBB6308"/>
    <w:rsid w:val="7FC916DD"/>
    <w:rsid w:val="7FCA0259"/>
    <w:rsid w:val="7FCA378E"/>
    <w:rsid w:val="7FD14B1D"/>
    <w:rsid w:val="7FD46DBB"/>
    <w:rsid w:val="7FD60385"/>
    <w:rsid w:val="7FD60620"/>
    <w:rsid w:val="7FD82F57"/>
    <w:rsid w:val="7FD91C23"/>
    <w:rsid w:val="7FDA7E75"/>
    <w:rsid w:val="7FDC1E3F"/>
    <w:rsid w:val="7FE74EA8"/>
    <w:rsid w:val="7FF52F01"/>
    <w:rsid w:val="7FF8479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qFormat="1" w:uiPriority="99" w:semiHidden="0" w:name="index heading"/>
    <w:lsdException w:qFormat="1" w:unhideWhenUsed="0" w:uiPriority="99" w:semiHidden="0" w:name="caption"/>
    <w:lsdException w:uiPriority="99" w:name="table of figures"/>
    <w:lsdException w:uiPriority="99" w:name="envelope address"/>
    <w:lsdException w:uiPriority="99" w:name="envelope return"/>
    <w:lsdException w:qFormat="1" w:uiPriority="0" w:semiHidden="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qFormat="1" w:unhideWhenUsed="0" w:uiPriority="0" w:semiHidden="0" w:name="List 3"/>
    <w:lsdException w:uiPriority="99" w:name="List 4"/>
    <w:lsdException w:qFormat="1"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qFormat="1" w:uiPriority="0" w:semiHidden="0" w:name="List Number 3"/>
    <w:lsdException w:uiPriority="99" w:name="List Number 4"/>
    <w:lsdException w:uiPriority="99" w:name="List Number 5"/>
    <w:lsdException w:qFormat="1" w:unhideWhenUsed="0" w:uiPriority="10" w:semiHidden="0" w:name="Title"/>
    <w:lsdException w:qFormat="1" w:uiPriority="0" w:semiHidden="0" w:name="Closing"/>
    <w:lsdException w:qFormat="1"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0" w:semiHidden="0" w:name="Salutation"/>
    <w:lsdException w:qFormat="1" w:uiPriority="99" w:semiHidden="0" w:name="Date"/>
    <w:lsdException w:qFormat="1" w:unhideWhenUsed="0" w:uiPriority="0" w:semiHidden="0" w:name="Body Text First Indent"/>
    <w:lsdException w:qFormat="1" w:uiPriority="0" w:semiHidden="0" w:name="Body Text First Indent 2"/>
    <w:lsdException w:qFormat="1"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qFormat="1" w:uiPriority="0" w:semiHidden="0"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qFormat="1" w:uiPriority="0" w:semiHidden="0" w:name="Table Simple 1"/>
    <w:lsdException w:uiPriority="99" w:name="Table Simple 2"/>
    <w:lsdException w:uiPriority="99" w:name="Table Simple 3"/>
    <w:lsdException w:qFormat="1" w:unhideWhenUsed="0" w:uiPriority="0" w:semiHidden="0"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iPriority="0" w:semiHidden="0" w:name="Table Grid 1"/>
    <w:lsdException w:qFormat="1" w:unhideWhenUsed="0" w:uiPriority="0" w:semiHidden="0" w:name="Table Grid 2"/>
    <w:lsdException w:uiPriority="99" w:name="Table Grid 3"/>
    <w:lsdException w:qFormat="1" w:unhideWhenUsed="0" w:uiPriority="0" w:semiHidden="0" w:name="Table Grid 4"/>
    <w:lsdException w:qFormat="1" w:unhideWhenUsed="0" w:uiPriority="0" w:semiHidden="0" w:name="Table Grid 5"/>
    <w:lsdException w:qFormat="1" w:uiPriority="0" w:semiHidden="0" w:name="Table Grid 6"/>
    <w:lsdException w:qFormat="1" w:unhideWhenUsed="0" w:uiPriority="0" w:semiHidden="0" w:name="Table Grid 7"/>
    <w:lsdException w:qFormat="1" w:unhideWhenUsed="0" w:uiPriority="0" w:semiHidden="0" w:name="Table Grid 8"/>
    <w:lsdException w:uiPriority="99" w:name="Table List 1"/>
    <w:lsdException w:uiPriority="99" w:name="Table List 2"/>
    <w:lsdException w:qFormat="1" w:unhideWhenUsed="0" w:uiPriority="0" w:semiHidden="0" w:name="Table List 3"/>
    <w:lsdException w:uiPriority="99" w:name="Table List 4"/>
    <w:lsdException w:qFormat="1" w:unhideWhenUsed="0" w:uiPriority="0" w:semiHidden="0"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7">
    <w:name w:val="heading 1"/>
    <w:basedOn w:val="1"/>
    <w:next w:val="1"/>
    <w:link w:val="84"/>
    <w:qFormat/>
    <w:uiPriority w:val="9"/>
    <w:pPr>
      <w:keepNext/>
      <w:keepLines/>
      <w:spacing w:before="50" w:beforeLines="50"/>
      <w:outlineLvl w:val="0"/>
    </w:pPr>
    <w:rPr>
      <w:b/>
      <w:bCs/>
      <w:kern w:val="44"/>
      <w:sz w:val="44"/>
      <w:szCs w:val="44"/>
    </w:rPr>
  </w:style>
  <w:style w:type="paragraph" w:styleId="8">
    <w:name w:val="heading 2"/>
    <w:basedOn w:val="1"/>
    <w:next w:val="1"/>
    <w:link w:val="97"/>
    <w:unhideWhenUsed/>
    <w:qFormat/>
    <w:uiPriority w:val="9"/>
    <w:pPr>
      <w:keepNext/>
      <w:keepLines/>
      <w:spacing w:before="260" w:after="260" w:line="416" w:lineRule="auto"/>
      <w:outlineLvl w:val="1"/>
    </w:pPr>
    <w:rPr>
      <w:rFonts w:ascii="Cambria" w:hAnsi="Cambria"/>
      <w:b/>
      <w:bCs/>
      <w:sz w:val="32"/>
      <w:szCs w:val="32"/>
    </w:rPr>
  </w:style>
  <w:style w:type="paragraph" w:styleId="9">
    <w:name w:val="heading 3"/>
    <w:basedOn w:val="1"/>
    <w:next w:val="1"/>
    <w:link w:val="104"/>
    <w:unhideWhenUsed/>
    <w:qFormat/>
    <w:uiPriority w:val="9"/>
    <w:pPr>
      <w:keepNext/>
      <w:keepLines/>
      <w:spacing w:before="260" w:after="260" w:line="416" w:lineRule="auto"/>
      <w:outlineLvl w:val="2"/>
    </w:pPr>
    <w:rPr>
      <w:b/>
      <w:bCs/>
      <w:sz w:val="32"/>
      <w:szCs w:val="32"/>
    </w:rPr>
  </w:style>
  <w:style w:type="paragraph" w:styleId="10">
    <w:name w:val="heading 4"/>
    <w:basedOn w:val="1"/>
    <w:next w:val="1"/>
    <w:link w:val="114"/>
    <w:unhideWhenUsed/>
    <w:qFormat/>
    <w:uiPriority w:val="9"/>
    <w:pPr>
      <w:keepNext/>
      <w:keepLines/>
      <w:spacing w:before="280" w:after="290" w:line="376" w:lineRule="auto"/>
      <w:outlineLvl w:val="3"/>
    </w:pPr>
    <w:rPr>
      <w:rFonts w:ascii="等线 Light" w:hAnsi="等线 Light" w:eastAsia="等线 Light"/>
      <w:b/>
      <w:bCs/>
      <w:sz w:val="28"/>
      <w:szCs w:val="28"/>
    </w:rPr>
  </w:style>
  <w:style w:type="paragraph" w:styleId="11">
    <w:name w:val="heading 5"/>
    <w:basedOn w:val="1"/>
    <w:next w:val="1"/>
    <w:link w:val="187"/>
    <w:qFormat/>
    <w:uiPriority w:val="0"/>
    <w:pPr>
      <w:keepNext/>
      <w:keepLines/>
      <w:spacing w:before="280" w:after="290" w:line="376" w:lineRule="auto"/>
      <w:outlineLvl w:val="4"/>
    </w:pPr>
    <w:rPr>
      <w:b/>
      <w:bCs/>
      <w:sz w:val="28"/>
      <w:szCs w:val="28"/>
      <w:lang w:val="zh-CN"/>
    </w:rPr>
  </w:style>
  <w:style w:type="paragraph" w:styleId="12">
    <w:name w:val="heading 6"/>
    <w:basedOn w:val="1"/>
    <w:next w:val="1"/>
    <w:link w:val="188"/>
    <w:qFormat/>
    <w:uiPriority w:val="0"/>
    <w:pPr>
      <w:keepNext/>
      <w:keepLines/>
      <w:adjustRightInd w:val="0"/>
      <w:spacing w:before="240" w:after="64" w:line="320" w:lineRule="auto"/>
      <w:ind w:left="1152" w:hanging="1152"/>
      <w:textAlignment w:val="baseline"/>
      <w:outlineLvl w:val="5"/>
    </w:pPr>
    <w:rPr>
      <w:b/>
      <w:sz w:val="24"/>
      <w:szCs w:val="20"/>
      <w:lang w:val="zh-CN"/>
    </w:rPr>
  </w:style>
  <w:style w:type="paragraph" w:styleId="13">
    <w:name w:val="heading 7"/>
    <w:basedOn w:val="1"/>
    <w:next w:val="1"/>
    <w:link w:val="189"/>
    <w:qFormat/>
    <w:uiPriority w:val="0"/>
    <w:pPr>
      <w:keepNext/>
      <w:keepLines/>
      <w:adjustRightInd w:val="0"/>
      <w:spacing w:before="240" w:after="64" w:line="320" w:lineRule="auto"/>
      <w:ind w:left="1296" w:hanging="1296"/>
      <w:textAlignment w:val="baseline"/>
      <w:outlineLvl w:val="6"/>
    </w:pPr>
    <w:rPr>
      <w:b/>
      <w:sz w:val="24"/>
      <w:szCs w:val="20"/>
      <w:lang w:val="zh-CN"/>
    </w:rPr>
  </w:style>
  <w:style w:type="paragraph" w:styleId="14">
    <w:name w:val="heading 8"/>
    <w:basedOn w:val="1"/>
    <w:next w:val="1"/>
    <w:link w:val="190"/>
    <w:qFormat/>
    <w:uiPriority w:val="0"/>
    <w:pPr>
      <w:keepNext/>
      <w:keepLines/>
      <w:adjustRightInd w:val="0"/>
      <w:spacing w:before="240" w:after="64" w:line="320" w:lineRule="auto"/>
      <w:ind w:left="1440" w:hanging="1440"/>
      <w:textAlignment w:val="baseline"/>
      <w:outlineLvl w:val="7"/>
    </w:pPr>
    <w:rPr>
      <w:sz w:val="24"/>
      <w:szCs w:val="20"/>
      <w:lang w:val="zh-CN"/>
    </w:rPr>
  </w:style>
  <w:style w:type="paragraph" w:styleId="15">
    <w:name w:val="heading 9"/>
    <w:basedOn w:val="1"/>
    <w:next w:val="1"/>
    <w:link w:val="191"/>
    <w:qFormat/>
    <w:uiPriority w:val="0"/>
    <w:pPr>
      <w:keepNext/>
      <w:keepLines/>
      <w:spacing w:before="240" w:after="64" w:line="320" w:lineRule="auto"/>
      <w:outlineLvl w:val="8"/>
    </w:pPr>
    <w:rPr>
      <w:rFonts w:ascii="Arial" w:hAnsi="Arial" w:eastAsia="黑体"/>
      <w:szCs w:val="21"/>
      <w:lang w:val="zh-CN"/>
    </w:rPr>
  </w:style>
  <w:style w:type="character" w:default="1" w:styleId="75">
    <w:name w:val="Default Paragraph Font"/>
    <w:semiHidden/>
    <w:unhideWhenUsed/>
    <w:qFormat/>
    <w:uiPriority w:val="1"/>
  </w:style>
  <w:style w:type="table" w:default="1" w:styleId="5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213"/>
    <w:unhideWhenUsed/>
    <w:qFormat/>
    <w:uiPriority w:val="0"/>
    <w:pPr>
      <w:ind w:firstLine="420" w:firstLineChars="200"/>
    </w:pPr>
    <w:rPr>
      <w:rFonts w:ascii="宋体"/>
      <w:color w:val="000000"/>
      <w:kern w:val="0"/>
      <w:sz w:val="24"/>
      <w:szCs w:val="20"/>
    </w:rPr>
  </w:style>
  <w:style w:type="paragraph" w:styleId="3">
    <w:name w:val="Body Text Indent"/>
    <w:basedOn w:val="1"/>
    <w:next w:val="4"/>
    <w:link w:val="135"/>
    <w:qFormat/>
    <w:uiPriority w:val="0"/>
    <w:pPr>
      <w:spacing w:after="120"/>
      <w:ind w:left="420" w:leftChars="200"/>
    </w:pPr>
    <w:rPr>
      <w:szCs w:val="24"/>
      <w:lang w:val="zh-CN"/>
    </w:rPr>
  </w:style>
  <w:style w:type="paragraph" w:styleId="4">
    <w:name w:val="header"/>
    <w:basedOn w:val="1"/>
    <w:next w:val="5"/>
    <w:link w:val="106"/>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5">
    <w:name w:val="样式5"/>
    <w:basedOn w:val="6"/>
    <w:qFormat/>
    <w:uiPriority w:val="0"/>
    <w:pPr>
      <w:pBdr>
        <w:top w:val="single" w:color="auto" w:sz="8" w:space="1"/>
      </w:pBdr>
    </w:pPr>
  </w:style>
  <w:style w:type="paragraph" w:customStyle="1" w:styleId="6">
    <w:name w:val="正文1"/>
    <w:basedOn w:val="1"/>
    <w:next w:val="1"/>
    <w:qFormat/>
    <w:uiPriority w:val="0"/>
    <w:pPr>
      <w:spacing w:line="360" w:lineRule="auto"/>
      <w:ind w:firstLine="200" w:firstLineChars="200"/>
    </w:pPr>
    <w:rPr>
      <w:sz w:val="24"/>
      <w:szCs w:val="24"/>
    </w:rPr>
  </w:style>
  <w:style w:type="paragraph" w:styleId="16">
    <w:name w:val="List 3"/>
    <w:basedOn w:val="1"/>
    <w:qFormat/>
    <w:uiPriority w:val="0"/>
    <w:pPr>
      <w:ind w:left="100" w:leftChars="400" w:hanging="200" w:hangingChars="200"/>
    </w:pPr>
    <w:rPr>
      <w:szCs w:val="20"/>
    </w:rPr>
  </w:style>
  <w:style w:type="paragraph" w:styleId="17">
    <w:name w:val="toc 7"/>
    <w:basedOn w:val="1"/>
    <w:next w:val="1"/>
    <w:qFormat/>
    <w:uiPriority w:val="39"/>
    <w:pPr>
      <w:ind w:left="1260"/>
      <w:jc w:val="left"/>
    </w:pPr>
    <w:rPr>
      <w:rFonts w:ascii="Calibri" w:hAnsi="Calibri" w:cs="Calibri"/>
      <w:sz w:val="18"/>
      <w:szCs w:val="18"/>
    </w:rPr>
  </w:style>
  <w:style w:type="paragraph" w:styleId="18">
    <w:name w:val="Note Heading"/>
    <w:basedOn w:val="1"/>
    <w:next w:val="1"/>
    <w:link w:val="385"/>
    <w:unhideWhenUsed/>
    <w:qFormat/>
    <w:uiPriority w:val="0"/>
    <w:pPr>
      <w:jc w:val="center"/>
    </w:pPr>
    <w:rPr>
      <w:rFonts w:ascii="宋体" w:hAnsi="Calibri"/>
      <w:szCs w:val="20"/>
    </w:rPr>
  </w:style>
  <w:style w:type="paragraph" w:styleId="19">
    <w:name w:val="E-mail Signature"/>
    <w:basedOn w:val="1"/>
    <w:link w:val="389"/>
    <w:unhideWhenUsed/>
    <w:qFormat/>
    <w:uiPriority w:val="0"/>
    <w:pPr>
      <w:jc w:val="right"/>
    </w:pPr>
    <w:rPr>
      <w:rFonts w:ascii="Calibri" w:hAnsi="Calibri"/>
      <w:kern w:val="0"/>
      <w:szCs w:val="21"/>
    </w:rPr>
  </w:style>
  <w:style w:type="paragraph" w:styleId="20">
    <w:name w:val="Normal Indent"/>
    <w:basedOn w:val="1"/>
    <w:link w:val="161"/>
    <w:qFormat/>
    <w:uiPriority w:val="0"/>
    <w:pPr>
      <w:ind w:firstLine="420" w:firstLineChars="200"/>
    </w:pPr>
    <w:rPr>
      <w:szCs w:val="24"/>
    </w:rPr>
  </w:style>
  <w:style w:type="paragraph" w:styleId="21">
    <w:name w:val="caption"/>
    <w:basedOn w:val="1"/>
    <w:next w:val="1"/>
    <w:link w:val="375"/>
    <w:qFormat/>
    <w:uiPriority w:val="99"/>
    <w:pPr>
      <w:jc w:val="right"/>
    </w:pPr>
    <w:rPr>
      <w:rFonts w:ascii="Arial" w:hAnsi="Arial" w:eastAsia="黑体"/>
      <w:sz w:val="20"/>
      <w:szCs w:val="20"/>
    </w:rPr>
  </w:style>
  <w:style w:type="paragraph" w:styleId="22">
    <w:name w:val="Document Map"/>
    <w:basedOn w:val="1"/>
    <w:link w:val="388"/>
    <w:semiHidden/>
    <w:qFormat/>
    <w:uiPriority w:val="0"/>
    <w:pPr>
      <w:shd w:val="clear" w:color="auto" w:fill="000080"/>
    </w:pPr>
    <w:rPr>
      <w:szCs w:val="24"/>
    </w:rPr>
  </w:style>
  <w:style w:type="paragraph" w:styleId="23">
    <w:name w:val="toa heading"/>
    <w:basedOn w:val="1"/>
    <w:next w:val="1"/>
    <w:qFormat/>
    <w:uiPriority w:val="0"/>
    <w:pPr>
      <w:spacing w:before="120"/>
    </w:pPr>
    <w:rPr>
      <w:rFonts w:ascii="Arial" w:hAnsi="Arial" w:cs="Arial"/>
      <w:sz w:val="24"/>
      <w:szCs w:val="24"/>
    </w:rPr>
  </w:style>
  <w:style w:type="paragraph" w:styleId="24">
    <w:name w:val="annotation text"/>
    <w:basedOn w:val="1"/>
    <w:link w:val="120"/>
    <w:unhideWhenUsed/>
    <w:qFormat/>
    <w:uiPriority w:val="99"/>
    <w:pPr>
      <w:jc w:val="left"/>
    </w:pPr>
    <w:rPr>
      <w:rFonts w:ascii="等线" w:hAnsi="等线" w:eastAsia="等线"/>
    </w:rPr>
  </w:style>
  <w:style w:type="paragraph" w:styleId="25">
    <w:name w:val="Salutation"/>
    <w:basedOn w:val="1"/>
    <w:next w:val="1"/>
    <w:link w:val="382"/>
    <w:unhideWhenUsed/>
    <w:qFormat/>
    <w:uiPriority w:val="0"/>
    <w:pPr>
      <w:jc w:val="right"/>
    </w:pPr>
    <w:rPr>
      <w:rFonts w:ascii="宋体" w:hAnsi="华文细黑"/>
      <w:sz w:val="24"/>
      <w:szCs w:val="24"/>
    </w:rPr>
  </w:style>
  <w:style w:type="paragraph" w:styleId="26">
    <w:name w:val="Body Text 3"/>
    <w:basedOn w:val="1"/>
    <w:link w:val="240"/>
    <w:qFormat/>
    <w:uiPriority w:val="0"/>
    <w:pPr>
      <w:adjustRightInd w:val="0"/>
      <w:spacing w:before="10" w:line="360" w:lineRule="auto"/>
      <w:ind w:right="-6"/>
      <w:textAlignment w:val="baseline"/>
    </w:pPr>
    <w:rPr>
      <w:rFonts w:ascii="Calibri" w:hAnsi="Calibri"/>
      <w:sz w:val="18"/>
      <w:szCs w:val="18"/>
    </w:rPr>
  </w:style>
  <w:style w:type="paragraph" w:styleId="27">
    <w:name w:val="Closing"/>
    <w:basedOn w:val="1"/>
    <w:link w:val="377"/>
    <w:unhideWhenUsed/>
    <w:qFormat/>
    <w:uiPriority w:val="0"/>
    <w:pPr>
      <w:ind w:left="100" w:leftChars="2100"/>
      <w:jc w:val="right"/>
    </w:pPr>
    <w:rPr>
      <w:rFonts w:ascii="宋体" w:hAnsi="华文细黑"/>
      <w:sz w:val="24"/>
      <w:szCs w:val="24"/>
    </w:rPr>
  </w:style>
  <w:style w:type="paragraph" w:styleId="28">
    <w:name w:val="Body Text"/>
    <w:basedOn w:val="1"/>
    <w:link w:val="133"/>
    <w:qFormat/>
    <w:uiPriority w:val="99"/>
    <w:pPr>
      <w:spacing w:after="120"/>
    </w:pPr>
    <w:rPr>
      <w:szCs w:val="20"/>
      <w:lang w:val="zh-CN"/>
    </w:rPr>
  </w:style>
  <w:style w:type="paragraph" w:styleId="29">
    <w:name w:val="List Number 3"/>
    <w:basedOn w:val="1"/>
    <w:unhideWhenUsed/>
    <w:qFormat/>
    <w:uiPriority w:val="0"/>
    <w:pPr>
      <w:tabs>
        <w:tab w:val="left" w:pos="1200"/>
      </w:tabs>
      <w:ind w:left="1200" w:leftChars="400" w:hanging="360" w:hangingChars="200"/>
    </w:pPr>
    <w:rPr>
      <w:szCs w:val="20"/>
    </w:rPr>
  </w:style>
  <w:style w:type="paragraph" w:styleId="30">
    <w:name w:val="Block Text"/>
    <w:basedOn w:val="1"/>
    <w:qFormat/>
    <w:uiPriority w:val="0"/>
    <w:pPr>
      <w:adjustRightInd w:val="0"/>
      <w:spacing w:before="120" w:line="440" w:lineRule="exact"/>
      <w:ind w:left="284" w:right="284" w:firstLine="567"/>
      <w:textAlignment w:val="baseline"/>
    </w:pPr>
    <w:rPr>
      <w:rFonts w:ascii="楷体_GB2312" w:eastAsia="楷体_GB2312"/>
      <w:spacing w:val="-2"/>
      <w:kern w:val="0"/>
      <w:sz w:val="28"/>
      <w:szCs w:val="20"/>
    </w:rPr>
  </w:style>
  <w:style w:type="paragraph" w:styleId="31">
    <w:name w:val="List Bullet 2"/>
    <w:basedOn w:val="1"/>
    <w:qFormat/>
    <w:uiPriority w:val="0"/>
    <w:pPr>
      <w:spacing w:line="240" w:lineRule="exact"/>
      <w:jc w:val="center"/>
    </w:pPr>
    <w:rPr>
      <w:color w:val="0000FF"/>
      <w:szCs w:val="21"/>
    </w:rPr>
  </w:style>
  <w:style w:type="paragraph" w:styleId="32">
    <w:name w:val="toc 5"/>
    <w:basedOn w:val="1"/>
    <w:next w:val="1"/>
    <w:qFormat/>
    <w:uiPriority w:val="39"/>
    <w:pPr>
      <w:ind w:left="840"/>
      <w:jc w:val="left"/>
    </w:pPr>
    <w:rPr>
      <w:rFonts w:ascii="Calibri" w:hAnsi="Calibri" w:cs="Calibri"/>
      <w:sz w:val="18"/>
      <w:szCs w:val="18"/>
    </w:rPr>
  </w:style>
  <w:style w:type="paragraph" w:styleId="33">
    <w:name w:val="toc 3"/>
    <w:basedOn w:val="1"/>
    <w:next w:val="1"/>
    <w:link w:val="244"/>
    <w:qFormat/>
    <w:uiPriority w:val="39"/>
    <w:pPr>
      <w:ind w:left="420"/>
      <w:jc w:val="left"/>
    </w:pPr>
    <w:rPr>
      <w:rFonts w:ascii="Calibri" w:hAnsi="Calibri"/>
      <w:i/>
      <w:iCs/>
      <w:sz w:val="20"/>
      <w:szCs w:val="20"/>
      <w:lang w:val="zh-CN"/>
    </w:rPr>
  </w:style>
  <w:style w:type="paragraph" w:styleId="34">
    <w:name w:val="Plain Text"/>
    <w:basedOn w:val="1"/>
    <w:link w:val="164"/>
    <w:qFormat/>
    <w:uiPriority w:val="0"/>
    <w:rPr>
      <w:rFonts w:ascii="宋体" w:hAnsi="Courier New"/>
      <w:szCs w:val="20"/>
    </w:rPr>
  </w:style>
  <w:style w:type="paragraph" w:styleId="35">
    <w:name w:val="toc 8"/>
    <w:basedOn w:val="1"/>
    <w:next w:val="1"/>
    <w:qFormat/>
    <w:uiPriority w:val="39"/>
    <w:pPr>
      <w:ind w:left="1470"/>
      <w:jc w:val="left"/>
    </w:pPr>
    <w:rPr>
      <w:rFonts w:ascii="Calibri" w:hAnsi="Calibri" w:cs="Calibri"/>
      <w:sz w:val="18"/>
      <w:szCs w:val="18"/>
    </w:rPr>
  </w:style>
  <w:style w:type="paragraph" w:styleId="36">
    <w:name w:val="Date"/>
    <w:basedOn w:val="1"/>
    <w:next w:val="1"/>
    <w:link w:val="111"/>
    <w:unhideWhenUsed/>
    <w:qFormat/>
    <w:uiPriority w:val="99"/>
    <w:pPr>
      <w:ind w:left="100" w:leftChars="2500"/>
    </w:pPr>
  </w:style>
  <w:style w:type="paragraph" w:styleId="37">
    <w:name w:val="Body Text Indent 2"/>
    <w:basedOn w:val="1"/>
    <w:link w:val="184"/>
    <w:qFormat/>
    <w:uiPriority w:val="0"/>
    <w:pPr>
      <w:spacing w:after="120" w:line="480" w:lineRule="auto"/>
      <w:ind w:left="420" w:leftChars="200"/>
    </w:pPr>
    <w:rPr>
      <w:rFonts w:ascii="Calibri" w:hAnsi="Calibri"/>
      <w:szCs w:val="20"/>
    </w:rPr>
  </w:style>
  <w:style w:type="paragraph" w:styleId="38">
    <w:name w:val="Balloon Text"/>
    <w:basedOn w:val="1"/>
    <w:link w:val="108"/>
    <w:unhideWhenUsed/>
    <w:qFormat/>
    <w:uiPriority w:val="99"/>
    <w:rPr>
      <w:sz w:val="18"/>
      <w:szCs w:val="18"/>
    </w:rPr>
  </w:style>
  <w:style w:type="paragraph" w:styleId="39">
    <w:name w:val="footer"/>
    <w:basedOn w:val="1"/>
    <w:link w:val="107"/>
    <w:unhideWhenUsed/>
    <w:qFormat/>
    <w:uiPriority w:val="99"/>
    <w:pPr>
      <w:pBdr>
        <w:top w:val="single" w:color="auto" w:sz="4" w:space="1"/>
      </w:pBdr>
      <w:tabs>
        <w:tab w:val="center" w:pos="4153"/>
        <w:tab w:val="right" w:pos="8306"/>
      </w:tabs>
      <w:snapToGrid w:val="0"/>
      <w:jc w:val="left"/>
    </w:pPr>
    <w:rPr>
      <w:sz w:val="18"/>
      <w:szCs w:val="18"/>
    </w:rPr>
  </w:style>
  <w:style w:type="paragraph" w:styleId="40">
    <w:name w:val="Signature"/>
    <w:basedOn w:val="1"/>
    <w:link w:val="378"/>
    <w:unhideWhenUsed/>
    <w:qFormat/>
    <w:uiPriority w:val="0"/>
    <w:pPr>
      <w:ind w:left="100" w:leftChars="2100"/>
      <w:jc w:val="right"/>
    </w:pPr>
    <w:rPr>
      <w:rFonts w:ascii="黑体" w:hAnsi="Calibri" w:eastAsia="黑体"/>
      <w:kern w:val="0"/>
      <w:sz w:val="24"/>
      <w:szCs w:val="24"/>
    </w:rPr>
  </w:style>
  <w:style w:type="paragraph" w:styleId="41">
    <w:name w:val="toc 1"/>
    <w:basedOn w:val="1"/>
    <w:next w:val="1"/>
    <w:qFormat/>
    <w:uiPriority w:val="39"/>
    <w:pPr>
      <w:tabs>
        <w:tab w:val="right" w:leader="dot" w:pos="8777"/>
      </w:tabs>
      <w:spacing w:before="120" w:after="120"/>
      <w:jc w:val="left"/>
    </w:pPr>
    <w:rPr>
      <w:rFonts w:ascii="黑体" w:hAnsi="黑体" w:eastAsia="黑体" w:cs="Calibri"/>
      <w:caps/>
      <w:sz w:val="28"/>
      <w:szCs w:val="28"/>
    </w:rPr>
  </w:style>
  <w:style w:type="paragraph" w:styleId="42">
    <w:name w:val="toc 4"/>
    <w:basedOn w:val="1"/>
    <w:next w:val="1"/>
    <w:qFormat/>
    <w:uiPriority w:val="39"/>
    <w:pPr>
      <w:ind w:left="630"/>
      <w:jc w:val="left"/>
    </w:pPr>
    <w:rPr>
      <w:rFonts w:ascii="Calibri" w:hAnsi="Calibri" w:cs="Calibri"/>
      <w:sz w:val="18"/>
      <w:szCs w:val="18"/>
    </w:rPr>
  </w:style>
  <w:style w:type="paragraph" w:styleId="43">
    <w:name w:val="index heading"/>
    <w:basedOn w:val="1"/>
    <w:next w:val="44"/>
    <w:unhideWhenUsed/>
    <w:qFormat/>
    <w:uiPriority w:val="99"/>
    <w:rPr>
      <w:rFonts w:ascii="Cambria" w:hAnsi="Cambria"/>
      <w:b/>
      <w:bCs/>
    </w:rPr>
  </w:style>
  <w:style w:type="paragraph" w:styleId="44">
    <w:name w:val="index 1"/>
    <w:basedOn w:val="1"/>
    <w:next w:val="1"/>
    <w:unhideWhenUsed/>
    <w:qFormat/>
    <w:uiPriority w:val="0"/>
    <w:pPr>
      <w:jc w:val="right"/>
    </w:pPr>
    <w:rPr>
      <w:rFonts w:ascii="Calibri" w:hAnsi="Calibri"/>
    </w:rPr>
  </w:style>
  <w:style w:type="paragraph" w:styleId="45">
    <w:name w:val="Subtitle"/>
    <w:basedOn w:val="1"/>
    <w:next w:val="1"/>
    <w:link w:val="95"/>
    <w:qFormat/>
    <w:uiPriority w:val="11"/>
    <w:pPr>
      <w:spacing w:before="240" w:after="60" w:line="312" w:lineRule="auto"/>
      <w:jc w:val="center"/>
      <w:outlineLvl w:val="1"/>
    </w:pPr>
    <w:rPr>
      <w:rFonts w:ascii="Cambria" w:hAnsi="Cambria"/>
      <w:b/>
      <w:bCs/>
      <w:kern w:val="28"/>
      <w:sz w:val="32"/>
      <w:szCs w:val="32"/>
    </w:rPr>
  </w:style>
  <w:style w:type="paragraph" w:styleId="46">
    <w:name w:val="List"/>
    <w:basedOn w:val="1"/>
    <w:qFormat/>
    <w:uiPriority w:val="0"/>
    <w:pPr>
      <w:spacing w:line="360" w:lineRule="exact"/>
      <w:jc w:val="center"/>
    </w:pPr>
    <w:rPr>
      <w:rFonts w:ascii="仿宋_GB2312" w:eastAsia="仿宋_GB2312"/>
      <w:sz w:val="28"/>
      <w:szCs w:val="20"/>
    </w:rPr>
  </w:style>
  <w:style w:type="paragraph" w:styleId="47">
    <w:name w:val="footnote text"/>
    <w:basedOn w:val="1"/>
    <w:link w:val="373"/>
    <w:unhideWhenUsed/>
    <w:qFormat/>
    <w:uiPriority w:val="0"/>
    <w:pPr>
      <w:snapToGrid w:val="0"/>
      <w:jc w:val="left"/>
    </w:pPr>
    <w:rPr>
      <w:rFonts w:ascii="Calibri" w:hAnsi="Calibri"/>
      <w:sz w:val="18"/>
      <w:szCs w:val="20"/>
    </w:rPr>
  </w:style>
  <w:style w:type="paragraph" w:styleId="48">
    <w:name w:val="toc 6"/>
    <w:basedOn w:val="1"/>
    <w:next w:val="1"/>
    <w:qFormat/>
    <w:uiPriority w:val="39"/>
    <w:pPr>
      <w:ind w:left="1050"/>
      <w:jc w:val="left"/>
    </w:pPr>
    <w:rPr>
      <w:rFonts w:ascii="Calibri" w:hAnsi="Calibri" w:cs="Calibri"/>
      <w:sz w:val="18"/>
      <w:szCs w:val="18"/>
    </w:rPr>
  </w:style>
  <w:style w:type="paragraph" w:styleId="49">
    <w:name w:val="List 5"/>
    <w:basedOn w:val="1"/>
    <w:semiHidden/>
    <w:unhideWhenUsed/>
    <w:qFormat/>
    <w:uiPriority w:val="99"/>
    <w:pPr>
      <w:ind w:left="100" w:leftChars="800" w:hanging="200" w:hangingChars="200"/>
      <w:contextualSpacing/>
    </w:pPr>
  </w:style>
  <w:style w:type="paragraph" w:styleId="50">
    <w:name w:val="Body Text Indent 3"/>
    <w:basedOn w:val="1"/>
    <w:link w:val="151"/>
    <w:qFormat/>
    <w:uiPriority w:val="0"/>
    <w:pPr>
      <w:spacing w:after="120"/>
      <w:ind w:left="420" w:leftChars="200"/>
    </w:pPr>
    <w:rPr>
      <w:rFonts w:ascii="Calibri" w:hAnsi="Calibri"/>
      <w:sz w:val="16"/>
      <w:szCs w:val="16"/>
    </w:rPr>
  </w:style>
  <w:style w:type="paragraph" w:styleId="51">
    <w:name w:val="toc 2"/>
    <w:basedOn w:val="1"/>
    <w:next w:val="1"/>
    <w:link w:val="1072"/>
    <w:qFormat/>
    <w:uiPriority w:val="39"/>
    <w:pPr>
      <w:tabs>
        <w:tab w:val="right" w:leader="dot" w:pos="8777"/>
      </w:tabs>
      <w:spacing w:line="360" w:lineRule="auto"/>
      <w:ind w:left="210"/>
      <w:jc w:val="left"/>
    </w:pPr>
    <w:rPr>
      <w:smallCaps/>
      <w:sz w:val="24"/>
      <w:szCs w:val="24"/>
      <w:lang w:val="zh-CN"/>
    </w:rPr>
  </w:style>
  <w:style w:type="paragraph" w:styleId="52">
    <w:name w:val="toc 9"/>
    <w:basedOn w:val="1"/>
    <w:next w:val="1"/>
    <w:qFormat/>
    <w:uiPriority w:val="39"/>
    <w:pPr>
      <w:ind w:left="1680"/>
      <w:jc w:val="left"/>
    </w:pPr>
    <w:rPr>
      <w:rFonts w:ascii="Calibri" w:hAnsi="Calibri" w:cs="Calibri"/>
      <w:sz w:val="18"/>
      <w:szCs w:val="18"/>
    </w:rPr>
  </w:style>
  <w:style w:type="paragraph" w:styleId="53">
    <w:name w:val="Body Text 2"/>
    <w:basedOn w:val="1"/>
    <w:link w:val="196"/>
    <w:qFormat/>
    <w:uiPriority w:val="0"/>
    <w:pPr>
      <w:spacing w:after="120" w:line="480" w:lineRule="auto"/>
    </w:pPr>
    <w:rPr>
      <w:szCs w:val="20"/>
      <w:lang w:val="zh-CN"/>
    </w:rPr>
  </w:style>
  <w:style w:type="paragraph" w:styleId="54">
    <w:name w:val="HTML Preformatted"/>
    <w:basedOn w:val="1"/>
    <w:link w:val="31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lang w:val="zh-CN"/>
    </w:rPr>
  </w:style>
  <w:style w:type="paragraph" w:styleId="55">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56">
    <w:name w:val="Title"/>
    <w:basedOn w:val="1"/>
    <w:next w:val="1"/>
    <w:link w:val="96"/>
    <w:qFormat/>
    <w:uiPriority w:val="10"/>
    <w:pPr>
      <w:spacing w:before="240" w:after="60"/>
      <w:jc w:val="center"/>
      <w:outlineLvl w:val="0"/>
    </w:pPr>
    <w:rPr>
      <w:rFonts w:ascii="Cambria" w:hAnsi="Cambria"/>
      <w:b/>
      <w:bCs/>
      <w:sz w:val="32"/>
      <w:szCs w:val="32"/>
    </w:rPr>
  </w:style>
  <w:style w:type="paragraph" w:styleId="57">
    <w:name w:val="annotation subject"/>
    <w:basedOn w:val="24"/>
    <w:next w:val="24"/>
    <w:link w:val="125"/>
    <w:unhideWhenUsed/>
    <w:qFormat/>
    <w:uiPriority w:val="0"/>
    <w:rPr>
      <w:rFonts w:ascii="Times New Roman" w:hAnsi="Times New Roman" w:eastAsia="宋体"/>
      <w:b/>
      <w:bCs/>
    </w:rPr>
  </w:style>
  <w:style w:type="paragraph" w:styleId="58">
    <w:name w:val="Body Text First Indent"/>
    <w:basedOn w:val="28"/>
    <w:link w:val="208"/>
    <w:qFormat/>
    <w:uiPriority w:val="0"/>
    <w:pPr>
      <w:ind w:firstLine="420" w:firstLineChars="100"/>
    </w:pPr>
  </w:style>
  <w:style w:type="table" w:styleId="60">
    <w:name w:val="Table Grid"/>
    <w:basedOn w:val="5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1">
    <w:name w:val="Table Theme"/>
    <w:basedOn w:val="59"/>
    <w:qFormat/>
    <w:uiPriority w:val="0"/>
    <w:pPr>
      <w:widowControl w:val="0"/>
      <w:jc w:val="both"/>
    </w:pPr>
    <w:rPr>
      <w:rFonts w:cs="Wingding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2">
    <w:name w:val="Table Elegant"/>
    <w:basedOn w:val="59"/>
    <w:qFormat/>
    <w:uiPriority w:val="0"/>
    <w:pPr>
      <w:widowControl w:val="0"/>
      <w:jc w:val="both"/>
    </w:pPr>
    <w:rPr>
      <w:rFonts w:ascii="ˎ̥" w:hAnsi="ˎ̥" w:eastAsia="FLGPEK+TimesNewRoman,Italic" w:cs="ˎ̥"/>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3">
    <w:name w:val="Table Classic 1"/>
    <w:basedOn w:val="59"/>
    <w:qFormat/>
    <w:uiPriority w:val="0"/>
    <w:pPr>
      <w:widowControl w:val="0"/>
      <w:jc w:val="both"/>
    </w:pPr>
    <w:tblPr>
      <w:tblBorders>
        <w:top w:val="single" w:color="000000" w:sz="12" w:space="0"/>
        <w:bottom w:val="single" w:color="000000" w:sz="12" w:space="0"/>
        <w:insideH w:val="single" w:color="auto" w:sz="4" w:space="0"/>
        <w:insideV w:val="single" w:color="auto" w:sz="4" w:space="0"/>
      </w:tblBorders>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64">
    <w:name w:val="Table Simple 1"/>
    <w:basedOn w:val="59"/>
    <w:unhideWhenUsed/>
    <w:qFormat/>
    <w:uiPriority w:val="0"/>
    <w:pPr>
      <w:widowControl w:val="0"/>
      <w:jc w:val="both"/>
    </w:pPr>
    <w:rPr>
      <w:kern w:val="2"/>
      <w:sz w:val="21"/>
      <w:szCs w:val="22"/>
    </w:rPr>
    <w:tblPr>
      <w:tblBorders>
        <w:top w:val="single" w:color="008000" w:sz="12" w:space="0"/>
        <w:bottom w:val="single" w:color="008000" w:sz="12" w:space="0"/>
      </w:tblBorders>
    </w:tbl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65">
    <w:name w:val="Table List 3"/>
    <w:basedOn w:val="59"/>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66">
    <w:name w:val="Table List 5"/>
    <w:basedOn w:val="59"/>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67">
    <w:name w:val="Table Grid 1"/>
    <w:basedOn w:val="59"/>
    <w:unhideWhenUsed/>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68">
    <w:name w:val="Table Grid 2"/>
    <w:basedOn w:val="59"/>
    <w:qFormat/>
    <w:uiPriority w:val="0"/>
    <w:pPr>
      <w:widowControl w:val="0"/>
      <w:spacing w:line="460" w:lineRule="exact"/>
      <w:ind w:firstLine="480" w:firstLineChars="200"/>
      <w:jc w:val="both"/>
    </w:p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69">
    <w:name w:val="Table Grid 4"/>
    <w:basedOn w:val="59"/>
    <w:qFormat/>
    <w:uiPriority w:val="0"/>
    <w:pPr>
      <w:widowControl w:val="0"/>
      <w:jc w:val="both"/>
    </w:pPr>
    <w:rPr>
      <w:rFonts w:ascii="ˎ̥" w:hAnsi="ˎ̥" w:eastAsia="FLGPEK+TimesNewRoman,Italic" w:cs="ˎ̥"/>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Grid 5"/>
    <w:basedOn w:val="59"/>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71">
    <w:name w:val="Table Grid 6"/>
    <w:basedOn w:val="59"/>
    <w:unhideWhenUsed/>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72">
    <w:name w:val="Table Grid 7"/>
    <w:basedOn w:val="5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73">
    <w:name w:val="Table Grid 8"/>
    <w:basedOn w:val="59"/>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4">
    <w:name w:val="Table Professional"/>
    <w:basedOn w:val="59"/>
    <w:unhideWhenUsed/>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b/>
        <w:bCs/>
        <w:color w:val="auto"/>
      </w:rPr>
      <w:tblPr/>
      <w:tcPr>
        <w:tcBorders>
          <w:tl2br w:val="nil"/>
          <w:tr2bl w:val="nil"/>
        </w:tcBorders>
        <w:shd w:val="solid" w:color="000000" w:fill="FFFFFF"/>
      </w:tcPr>
    </w:tblStylePr>
  </w:style>
  <w:style w:type="character" w:styleId="76">
    <w:name w:val="Strong"/>
    <w:qFormat/>
    <w:uiPriority w:val="22"/>
    <w:rPr>
      <w:b/>
      <w:bCs/>
    </w:rPr>
  </w:style>
  <w:style w:type="character" w:styleId="77">
    <w:name w:val="page number"/>
    <w:basedOn w:val="75"/>
    <w:qFormat/>
    <w:uiPriority w:val="0"/>
  </w:style>
  <w:style w:type="character" w:styleId="78">
    <w:name w:val="FollowedHyperlink"/>
    <w:unhideWhenUsed/>
    <w:qFormat/>
    <w:uiPriority w:val="0"/>
    <w:rPr>
      <w:color w:val="800080"/>
      <w:u w:val="single"/>
    </w:rPr>
  </w:style>
  <w:style w:type="character" w:styleId="79">
    <w:name w:val="Emphasis"/>
    <w:qFormat/>
    <w:uiPriority w:val="20"/>
    <w:rPr>
      <w:i/>
      <w:iCs/>
    </w:rPr>
  </w:style>
  <w:style w:type="character" w:styleId="80">
    <w:name w:val="Hyperlink"/>
    <w:unhideWhenUsed/>
    <w:qFormat/>
    <w:uiPriority w:val="99"/>
    <w:rPr>
      <w:color w:val="0000FF"/>
      <w:u w:val="single"/>
    </w:rPr>
  </w:style>
  <w:style w:type="character" w:styleId="81">
    <w:name w:val="annotation reference"/>
    <w:unhideWhenUsed/>
    <w:qFormat/>
    <w:uiPriority w:val="99"/>
    <w:rPr>
      <w:sz w:val="21"/>
      <w:szCs w:val="21"/>
    </w:rPr>
  </w:style>
  <w:style w:type="character" w:styleId="82">
    <w:name w:val="footnote reference"/>
    <w:unhideWhenUsed/>
    <w:qFormat/>
    <w:uiPriority w:val="0"/>
    <w:rPr>
      <w:vertAlign w:val="superscript"/>
    </w:rPr>
  </w:style>
  <w:style w:type="paragraph" w:styleId="83">
    <w:name w:val="No Spacing"/>
    <w:qFormat/>
    <w:uiPriority w:val="99"/>
    <w:pPr>
      <w:widowControl w:val="0"/>
      <w:jc w:val="both"/>
    </w:pPr>
    <w:rPr>
      <w:rFonts w:ascii="Calibri" w:hAnsi="Calibri" w:eastAsia="宋体" w:cs="Times New Roman"/>
      <w:kern w:val="2"/>
      <w:sz w:val="21"/>
      <w:szCs w:val="22"/>
      <w:lang w:val="en-US" w:eastAsia="zh-CN" w:bidi="ar-SA"/>
    </w:rPr>
  </w:style>
  <w:style w:type="character" w:customStyle="1" w:styleId="84">
    <w:name w:val="标题 1 字符"/>
    <w:link w:val="7"/>
    <w:qFormat/>
    <w:uiPriority w:val="9"/>
    <w:rPr>
      <w:rFonts w:ascii="Times New Roman" w:hAnsi="Times New Roman"/>
      <w:b/>
      <w:bCs/>
      <w:kern w:val="44"/>
      <w:sz w:val="44"/>
      <w:szCs w:val="44"/>
    </w:rPr>
  </w:style>
  <w:style w:type="paragraph" w:styleId="85">
    <w:name w:val="List Paragraph"/>
    <w:basedOn w:val="1"/>
    <w:qFormat/>
    <w:uiPriority w:val="1"/>
    <w:pPr>
      <w:ind w:firstLine="420" w:firstLineChars="200"/>
    </w:pPr>
  </w:style>
  <w:style w:type="character" w:customStyle="1" w:styleId="86">
    <w:name w:val="书籍标题1"/>
    <w:qFormat/>
    <w:uiPriority w:val="33"/>
    <w:rPr>
      <w:b/>
      <w:bCs/>
      <w:smallCaps/>
      <w:spacing w:val="5"/>
    </w:rPr>
  </w:style>
  <w:style w:type="character" w:customStyle="1" w:styleId="87">
    <w:name w:val="明显参考1"/>
    <w:qFormat/>
    <w:uiPriority w:val="32"/>
    <w:rPr>
      <w:b/>
      <w:bCs/>
      <w:smallCaps/>
      <w:color w:val="C0504D"/>
      <w:spacing w:val="5"/>
      <w:u w:val="single"/>
    </w:rPr>
  </w:style>
  <w:style w:type="character" w:customStyle="1" w:styleId="88">
    <w:name w:val="不明显参考1"/>
    <w:qFormat/>
    <w:uiPriority w:val="31"/>
    <w:rPr>
      <w:smallCaps/>
      <w:color w:val="C0504D"/>
      <w:u w:val="single"/>
    </w:rPr>
  </w:style>
  <w:style w:type="paragraph" w:styleId="89">
    <w:name w:val="Intense Quote"/>
    <w:basedOn w:val="1"/>
    <w:next w:val="1"/>
    <w:link w:val="90"/>
    <w:qFormat/>
    <w:uiPriority w:val="30"/>
    <w:pPr>
      <w:pBdr>
        <w:bottom w:val="single" w:color="4F81BD" w:sz="4" w:space="4"/>
      </w:pBdr>
      <w:spacing w:before="200" w:after="280"/>
      <w:ind w:left="936" w:right="936"/>
    </w:pPr>
    <w:rPr>
      <w:b/>
      <w:bCs/>
      <w:i/>
      <w:iCs/>
      <w:color w:val="4F81BD"/>
    </w:rPr>
  </w:style>
  <w:style w:type="character" w:customStyle="1" w:styleId="90">
    <w:name w:val="明显引用 字符"/>
    <w:link w:val="89"/>
    <w:qFormat/>
    <w:uiPriority w:val="30"/>
    <w:rPr>
      <w:b/>
      <w:bCs/>
      <w:i/>
      <w:iCs/>
      <w:color w:val="4F81BD"/>
      <w:kern w:val="2"/>
      <w:sz w:val="21"/>
      <w:szCs w:val="22"/>
    </w:rPr>
  </w:style>
  <w:style w:type="paragraph" w:styleId="91">
    <w:name w:val="Quote"/>
    <w:basedOn w:val="1"/>
    <w:next w:val="1"/>
    <w:link w:val="92"/>
    <w:qFormat/>
    <w:uiPriority w:val="29"/>
    <w:rPr>
      <w:i/>
      <w:iCs/>
      <w:color w:val="000000"/>
    </w:rPr>
  </w:style>
  <w:style w:type="character" w:customStyle="1" w:styleId="92">
    <w:name w:val="引用 字符"/>
    <w:link w:val="91"/>
    <w:qFormat/>
    <w:uiPriority w:val="29"/>
    <w:rPr>
      <w:i/>
      <w:iCs/>
      <w:color w:val="000000"/>
      <w:kern w:val="2"/>
      <w:sz w:val="21"/>
      <w:szCs w:val="22"/>
    </w:rPr>
  </w:style>
  <w:style w:type="character" w:customStyle="1" w:styleId="93">
    <w:name w:val="明显强调1"/>
    <w:qFormat/>
    <w:uiPriority w:val="21"/>
    <w:rPr>
      <w:b/>
      <w:bCs/>
      <w:i/>
      <w:iCs/>
      <w:color w:val="4F81BD"/>
    </w:rPr>
  </w:style>
  <w:style w:type="character" w:customStyle="1" w:styleId="94">
    <w:name w:val="不明显强调1"/>
    <w:qFormat/>
    <w:uiPriority w:val="19"/>
    <w:rPr>
      <w:i/>
      <w:iCs/>
      <w:color w:val="808080"/>
    </w:rPr>
  </w:style>
  <w:style w:type="character" w:customStyle="1" w:styleId="95">
    <w:name w:val="副标题 字符"/>
    <w:link w:val="45"/>
    <w:qFormat/>
    <w:uiPriority w:val="11"/>
    <w:rPr>
      <w:rFonts w:ascii="Cambria" w:hAnsi="Cambria" w:cs="Times New Roman"/>
      <w:b/>
      <w:bCs/>
      <w:kern w:val="28"/>
      <w:sz w:val="32"/>
      <w:szCs w:val="32"/>
    </w:rPr>
  </w:style>
  <w:style w:type="character" w:customStyle="1" w:styleId="96">
    <w:name w:val="标题 字符"/>
    <w:link w:val="56"/>
    <w:qFormat/>
    <w:uiPriority w:val="10"/>
    <w:rPr>
      <w:rFonts w:ascii="Cambria" w:hAnsi="Cambria" w:cs="Times New Roman"/>
      <w:b/>
      <w:bCs/>
      <w:kern w:val="2"/>
      <w:sz w:val="32"/>
      <w:szCs w:val="32"/>
    </w:rPr>
  </w:style>
  <w:style w:type="character" w:customStyle="1" w:styleId="97">
    <w:name w:val="标题 2 字符"/>
    <w:link w:val="8"/>
    <w:qFormat/>
    <w:uiPriority w:val="9"/>
    <w:rPr>
      <w:rFonts w:ascii="Cambria" w:hAnsi="Cambria" w:eastAsia="宋体" w:cs="Times New Roman"/>
      <w:b/>
      <w:bCs/>
      <w:kern w:val="2"/>
      <w:sz w:val="32"/>
      <w:szCs w:val="32"/>
    </w:rPr>
  </w:style>
  <w:style w:type="paragraph" w:customStyle="1" w:styleId="98">
    <w:name w:val="标题1hks"/>
    <w:basedOn w:val="7"/>
    <w:next w:val="99"/>
    <w:qFormat/>
    <w:uiPriority w:val="0"/>
    <w:rPr>
      <w:rFonts w:ascii="黑体" w:hAnsi="黑体" w:eastAsia="黑体"/>
      <w:b w:val="0"/>
      <w:sz w:val="32"/>
    </w:rPr>
  </w:style>
  <w:style w:type="paragraph" w:customStyle="1" w:styleId="99">
    <w:name w:val="正文x"/>
    <w:basedOn w:val="1"/>
    <w:link w:val="130"/>
    <w:qFormat/>
    <w:uiPriority w:val="99"/>
    <w:pPr>
      <w:spacing w:line="360" w:lineRule="auto"/>
      <w:ind w:firstLine="200" w:firstLineChars="200"/>
    </w:pPr>
    <w:rPr>
      <w:sz w:val="24"/>
    </w:rPr>
  </w:style>
  <w:style w:type="paragraph" w:customStyle="1" w:styleId="100">
    <w:name w:val="标题2hks"/>
    <w:basedOn w:val="8"/>
    <w:next w:val="99"/>
    <w:qFormat/>
    <w:uiPriority w:val="0"/>
    <w:pPr>
      <w:spacing w:before="50" w:beforeLines="50" w:after="0" w:line="360" w:lineRule="auto"/>
    </w:pPr>
    <w:rPr>
      <w:rFonts w:ascii="黑体" w:hAnsi="黑体" w:eastAsia="黑体"/>
      <w:b w:val="0"/>
      <w:sz w:val="28"/>
    </w:rPr>
  </w:style>
  <w:style w:type="paragraph" w:customStyle="1" w:styleId="101">
    <w:name w:val="标题3hks"/>
    <w:basedOn w:val="9"/>
    <w:next w:val="102"/>
    <w:link w:val="131"/>
    <w:qFormat/>
    <w:uiPriority w:val="0"/>
    <w:pPr>
      <w:spacing w:before="25" w:beforeLines="25" w:after="0" w:line="360" w:lineRule="auto"/>
    </w:pPr>
    <w:rPr>
      <w:rFonts w:ascii="黑体" w:hAnsi="黑体" w:eastAsia="黑体"/>
      <w:b w:val="0"/>
      <w:sz w:val="24"/>
    </w:rPr>
  </w:style>
  <w:style w:type="paragraph" w:customStyle="1" w:styleId="102">
    <w:name w:val="正文hks"/>
    <w:basedOn w:val="1"/>
    <w:link w:val="110"/>
    <w:qFormat/>
    <w:uiPriority w:val="0"/>
    <w:pPr>
      <w:spacing w:line="360" w:lineRule="auto"/>
      <w:ind w:firstLine="200" w:firstLineChars="200"/>
    </w:pPr>
    <w:rPr>
      <w:sz w:val="24"/>
    </w:rPr>
  </w:style>
  <w:style w:type="paragraph" w:customStyle="1" w:styleId="103">
    <w:name w:val="表头hks"/>
    <w:next w:val="1"/>
    <w:qFormat/>
    <w:uiPriority w:val="0"/>
    <w:pPr>
      <w:spacing w:line="360" w:lineRule="auto"/>
      <w:jc w:val="center"/>
    </w:pPr>
    <w:rPr>
      <w:rFonts w:ascii="黑体" w:hAnsi="黑体" w:eastAsia="黑体" w:cs="Times New Roman"/>
      <w:kern w:val="2"/>
      <w:sz w:val="24"/>
      <w:szCs w:val="22"/>
      <w:lang w:val="en-US" w:eastAsia="zh-CN" w:bidi="ar-SA"/>
    </w:rPr>
  </w:style>
  <w:style w:type="character" w:customStyle="1" w:styleId="104">
    <w:name w:val="标题 3 字符"/>
    <w:link w:val="9"/>
    <w:qFormat/>
    <w:uiPriority w:val="9"/>
    <w:rPr>
      <w:rFonts w:ascii="Times New Roman" w:hAnsi="Times New Roman"/>
      <w:b/>
      <w:bCs/>
      <w:kern w:val="2"/>
      <w:sz w:val="32"/>
      <w:szCs w:val="32"/>
    </w:rPr>
  </w:style>
  <w:style w:type="paragraph" w:customStyle="1" w:styleId="105">
    <w:name w:val="表格hks"/>
    <w:next w:val="1"/>
    <w:link w:val="430"/>
    <w:qFormat/>
    <w:uiPriority w:val="0"/>
    <w:pPr>
      <w:spacing w:line="240" w:lineRule="exact"/>
      <w:jc w:val="center"/>
    </w:pPr>
    <w:rPr>
      <w:rFonts w:ascii="Times New Roman" w:hAnsi="Times New Roman" w:eastAsia="宋体" w:cs="Times New Roman"/>
      <w:kern w:val="2"/>
      <w:sz w:val="21"/>
      <w:szCs w:val="22"/>
      <w:lang w:val="en-US" w:eastAsia="zh-CN" w:bidi="ar-SA"/>
    </w:rPr>
  </w:style>
  <w:style w:type="character" w:customStyle="1" w:styleId="106">
    <w:name w:val="页眉 字符"/>
    <w:link w:val="4"/>
    <w:qFormat/>
    <w:uiPriority w:val="99"/>
    <w:rPr>
      <w:rFonts w:ascii="Times New Roman" w:hAnsi="Times New Roman"/>
      <w:kern w:val="2"/>
      <w:sz w:val="18"/>
      <w:szCs w:val="18"/>
    </w:rPr>
  </w:style>
  <w:style w:type="character" w:customStyle="1" w:styleId="107">
    <w:name w:val="页脚 字符"/>
    <w:link w:val="39"/>
    <w:qFormat/>
    <w:uiPriority w:val="99"/>
    <w:rPr>
      <w:rFonts w:ascii="Times New Roman" w:hAnsi="Times New Roman"/>
      <w:kern w:val="2"/>
      <w:sz w:val="18"/>
      <w:szCs w:val="18"/>
    </w:rPr>
  </w:style>
  <w:style w:type="character" w:customStyle="1" w:styleId="108">
    <w:name w:val="批注框文本 字符"/>
    <w:link w:val="38"/>
    <w:qFormat/>
    <w:uiPriority w:val="99"/>
    <w:rPr>
      <w:rFonts w:ascii="Times New Roman" w:hAnsi="Times New Roman"/>
      <w:kern w:val="2"/>
      <w:sz w:val="18"/>
      <w:szCs w:val="18"/>
    </w:rPr>
  </w:style>
  <w:style w:type="table" w:customStyle="1" w:styleId="109">
    <w:name w:val="表格样式hks"/>
    <w:basedOn w:val="59"/>
    <w:qFormat/>
    <w:uiPriority w:val="99"/>
    <w:pPr>
      <w:spacing w:line="240" w:lineRule="exact"/>
      <w:jc w:val="center"/>
    </w:pPr>
    <w:rPr>
      <w:sz w:val="21"/>
    </w:rPr>
    <w:tblPr>
      <w:jc w:val="center"/>
      <w:tblBorders>
        <w:top w:val="single" w:color="auto" w:sz="12" w:space="0"/>
        <w:bottom w:val="single" w:color="auto" w:sz="12" w:space="0"/>
        <w:insideH w:val="single" w:color="auto" w:sz="4" w:space="0"/>
        <w:insideV w:val="single" w:color="auto" w:sz="4" w:space="0"/>
      </w:tblBorders>
      <w:tblCellMar>
        <w:top w:w="28" w:type="dxa"/>
        <w:bottom w:w="28" w:type="dxa"/>
      </w:tblCellMar>
    </w:tblPr>
    <w:trPr>
      <w:jc w:val="center"/>
    </w:trPr>
    <w:tcPr>
      <w:vAlign w:val="center"/>
    </w:tcPr>
  </w:style>
  <w:style w:type="character" w:customStyle="1" w:styleId="110">
    <w:name w:val="正文hks 字符"/>
    <w:link w:val="102"/>
    <w:qFormat/>
    <w:uiPriority w:val="0"/>
    <w:rPr>
      <w:rFonts w:ascii="Times New Roman" w:hAnsi="Times New Roman"/>
      <w:kern w:val="2"/>
      <w:sz w:val="24"/>
      <w:szCs w:val="22"/>
    </w:rPr>
  </w:style>
  <w:style w:type="character" w:customStyle="1" w:styleId="111">
    <w:name w:val="日期 字符"/>
    <w:link w:val="36"/>
    <w:qFormat/>
    <w:uiPriority w:val="99"/>
    <w:rPr>
      <w:rFonts w:ascii="Times New Roman" w:hAnsi="Times New Roman"/>
      <w:kern w:val="2"/>
      <w:sz w:val="21"/>
      <w:szCs w:val="22"/>
    </w:rPr>
  </w:style>
  <w:style w:type="paragraph" w:customStyle="1" w:styleId="112">
    <w:name w:val="标题4hks"/>
    <w:basedOn w:val="10"/>
    <w:next w:val="99"/>
    <w:qFormat/>
    <w:uiPriority w:val="0"/>
    <w:pPr>
      <w:spacing w:before="0" w:after="0" w:line="360" w:lineRule="auto"/>
    </w:pPr>
    <w:rPr>
      <w:rFonts w:ascii="Times New Roman" w:hAnsi="Times New Roman" w:eastAsia="宋体"/>
      <w:sz w:val="24"/>
    </w:rPr>
  </w:style>
  <w:style w:type="paragraph" w:customStyle="1" w:styleId="113">
    <w:name w:val="表蕊"/>
    <w:basedOn w:val="1"/>
    <w:link w:val="786"/>
    <w:qFormat/>
    <w:uiPriority w:val="0"/>
    <w:pPr>
      <w:adjustRightInd w:val="0"/>
      <w:spacing w:line="320" w:lineRule="atLeast"/>
      <w:jc w:val="left"/>
      <w:textAlignment w:val="baseline"/>
    </w:pPr>
    <w:rPr>
      <w:rFonts w:eastAsia="楷体_GB2312"/>
      <w:spacing w:val="-10"/>
      <w:kern w:val="0"/>
      <w:szCs w:val="20"/>
    </w:rPr>
  </w:style>
  <w:style w:type="character" w:customStyle="1" w:styleId="114">
    <w:name w:val="标题 4 字符"/>
    <w:link w:val="10"/>
    <w:qFormat/>
    <w:uiPriority w:val="9"/>
    <w:rPr>
      <w:rFonts w:ascii="等线 Light" w:hAnsi="等线 Light" w:eastAsia="等线 Light" w:cs="Times New Roman"/>
      <w:b/>
      <w:bCs/>
      <w:kern w:val="2"/>
      <w:sz w:val="28"/>
      <w:szCs w:val="28"/>
    </w:rPr>
  </w:style>
  <w:style w:type="character" w:customStyle="1" w:styleId="115">
    <w:name w:val="标题 5 字符"/>
    <w:qFormat/>
    <w:uiPriority w:val="0"/>
    <w:rPr>
      <w:rFonts w:ascii="Times New Roman" w:hAnsi="Times New Roman"/>
      <w:b/>
      <w:bCs/>
      <w:kern w:val="2"/>
      <w:sz w:val="28"/>
      <w:szCs w:val="28"/>
    </w:rPr>
  </w:style>
  <w:style w:type="character" w:customStyle="1" w:styleId="116">
    <w:name w:val="标题 6 字符"/>
    <w:qFormat/>
    <w:uiPriority w:val="0"/>
    <w:rPr>
      <w:rFonts w:ascii="等线 Light" w:hAnsi="等线 Light" w:eastAsia="等线 Light" w:cs="Times New Roman"/>
      <w:b/>
      <w:bCs/>
      <w:kern w:val="2"/>
      <w:sz w:val="24"/>
      <w:szCs w:val="24"/>
    </w:rPr>
  </w:style>
  <w:style w:type="character" w:customStyle="1" w:styleId="117">
    <w:name w:val="标题 7 字符"/>
    <w:qFormat/>
    <w:uiPriority w:val="0"/>
    <w:rPr>
      <w:rFonts w:ascii="Times New Roman" w:hAnsi="Times New Roman"/>
      <w:b/>
      <w:bCs/>
      <w:kern w:val="2"/>
      <w:sz w:val="24"/>
      <w:szCs w:val="24"/>
    </w:rPr>
  </w:style>
  <w:style w:type="character" w:customStyle="1" w:styleId="118">
    <w:name w:val="标题 8 字符"/>
    <w:qFormat/>
    <w:uiPriority w:val="0"/>
    <w:rPr>
      <w:rFonts w:ascii="等线 Light" w:hAnsi="等线 Light" w:eastAsia="等线 Light" w:cs="Times New Roman"/>
      <w:kern w:val="2"/>
      <w:sz w:val="24"/>
      <w:szCs w:val="24"/>
    </w:rPr>
  </w:style>
  <w:style w:type="character" w:customStyle="1" w:styleId="119">
    <w:name w:val="标题 9 字符"/>
    <w:qFormat/>
    <w:uiPriority w:val="0"/>
    <w:rPr>
      <w:rFonts w:ascii="等线 Light" w:hAnsi="等线 Light" w:eastAsia="等线 Light" w:cs="Times New Roman"/>
      <w:kern w:val="2"/>
      <w:sz w:val="21"/>
      <w:szCs w:val="21"/>
    </w:rPr>
  </w:style>
  <w:style w:type="character" w:customStyle="1" w:styleId="120">
    <w:name w:val="批注文字 字符"/>
    <w:link w:val="24"/>
    <w:qFormat/>
    <w:uiPriority w:val="99"/>
    <w:rPr>
      <w:rFonts w:ascii="等线" w:hAnsi="等线" w:eastAsia="等线"/>
      <w:kern w:val="2"/>
      <w:sz w:val="21"/>
      <w:szCs w:val="22"/>
    </w:rPr>
  </w:style>
  <w:style w:type="character" w:customStyle="1" w:styleId="121">
    <w:name w:val="正文hks Char"/>
    <w:qFormat/>
    <w:uiPriority w:val="0"/>
    <w:rPr>
      <w:rFonts w:eastAsia="宋体"/>
      <w:sz w:val="24"/>
    </w:rPr>
  </w:style>
  <w:style w:type="character" w:customStyle="1" w:styleId="122">
    <w:name w:val="fontstyle01"/>
    <w:basedOn w:val="75"/>
    <w:qFormat/>
    <w:uiPriority w:val="0"/>
    <w:rPr>
      <w:rFonts w:hint="eastAsia" w:ascii="宋体" w:hAnsi="宋体" w:eastAsia="宋体"/>
      <w:color w:val="000000"/>
      <w:sz w:val="24"/>
      <w:szCs w:val="24"/>
    </w:rPr>
  </w:style>
  <w:style w:type="character" w:customStyle="1" w:styleId="123">
    <w:name w:val="fontstyle11"/>
    <w:qFormat/>
    <w:uiPriority w:val="0"/>
    <w:rPr>
      <w:rFonts w:hint="default" w:ascii="Times New Roman" w:hAnsi="Times New Roman" w:cs="Times New Roman"/>
      <w:color w:val="000000"/>
      <w:sz w:val="24"/>
      <w:szCs w:val="24"/>
    </w:rPr>
  </w:style>
  <w:style w:type="character" w:customStyle="1" w:styleId="124">
    <w:name w:val="g Char"/>
    <w:qFormat/>
    <w:uiPriority w:val="99"/>
    <w:rPr>
      <w:sz w:val="20"/>
    </w:rPr>
  </w:style>
  <w:style w:type="character" w:customStyle="1" w:styleId="125">
    <w:name w:val="批注主题 字符"/>
    <w:link w:val="57"/>
    <w:qFormat/>
    <w:uiPriority w:val="0"/>
    <w:rPr>
      <w:rFonts w:ascii="Times New Roman" w:hAnsi="Times New Roman" w:eastAsia="等线"/>
      <w:b/>
      <w:bCs/>
      <w:kern w:val="2"/>
      <w:sz w:val="21"/>
      <w:szCs w:val="22"/>
    </w:rPr>
  </w:style>
  <w:style w:type="character" w:customStyle="1" w:styleId="126">
    <w:name w:val="表格内容 Char"/>
    <w:link w:val="127"/>
    <w:qFormat/>
    <w:uiPriority w:val="0"/>
    <w:rPr>
      <w:rFonts w:ascii="Times New Roman" w:hAnsi="Times New Roman" w:eastAsia="仿宋_GB2312"/>
      <w:sz w:val="24"/>
    </w:rPr>
  </w:style>
  <w:style w:type="paragraph" w:customStyle="1" w:styleId="127">
    <w:name w:val="表格内容"/>
    <w:basedOn w:val="1"/>
    <w:link w:val="126"/>
    <w:qFormat/>
    <w:uiPriority w:val="0"/>
    <w:pPr>
      <w:adjustRightInd w:val="0"/>
      <w:snapToGrid w:val="0"/>
      <w:jc w:val="center"/>
    </w:pPr>
    <w:rPr>
      <w:rFonts w:eastAsia="仿宋_GB2312"/>
      <w:kern w:val="0"/>
      <w:sz w:val="24"/>
      <w:szCs w:val="20"/>
    </w:rPr>
  </w:style>
  <w:style w:type="character" w:customStyle="1" w:styleId="128">
    <w:name w:val="图标标题11 Char"/>
    <w:link w:val="129"/>
    <w:qFormat/>
    <w:uiPriority w:val="0"/>
    <w:rPr>
      <w:rFonts w:ascii="Times New Roman" w:hAnsi="Times New Roman" w:eastAsia="仿宋_GB2312"/>
      <w:b/>
      <w:sz w:val="28"/>
    </w:rPr>
  </w:style>
  <w:style w:type="paragraph" w:customStyle="1" w:styleId="129">
    <w:name w:val="图标标题11"/>
    <w:basedOn w:val="1"/>
    <w:link w:val="128"/>
    <w:qFormat/>
    <w:uiPriority w:val="0"/>
    <w:pPr>
      <w:spacing w:line="360" w:lineRule="auto"/>
      <w:jc w:val="center"/>
    </w:pPr>
    <w:rPr>
      <w:rFonts w:eastAsia="仿宋_GB2312"/>
      <w:b/>
      <w:kern w:val="0"/>
      <w:sz w:val="28"/>
      <w:szCs w:val="20"/>
    </w:rPr>
  </w:style>
  <w:style w:type="character" w:customStyle="1" w:styleId="130">
    <w:name w:val="正文x Char"/>
    <w:link w:val="99"/>
    <w:qFormat/>
    <w:uiPriority w:val="99"/>
    <w:rPr>
      <w:rFonts w:ascii="Times New Roman" w:hAnsi="Times New Roman"/>
      <w:kern w:val="2"/>
      <w:sz w:val="24"/>
      <w:szCs w:val="22"/>
    </w:rPr>
  </w:style>
  <w:style w:type="character" w:customStyle="1" w:styleId="131">
    <w:name w:val="标题3hks 字符"/>
    <w:link w:val="101"/>
    <w:qFormat/>
    <w:uiPriority w:val="0"/>
    <w:rPr>
      <w:rFonts w:ascii="黑体" w:hAnsi="黑体" w:eastAsia="黑体"/>
      <w:bCs/>
      <w:kern w:val="2"/>
      <w:sz w:val="24"/>
      <w:szCs w:val="32"/>
    </w:rPr>
  </w:style>
  <w:style w:type="character" w:customStyle="1" w:styleId="132">
    <w:name w:val="正文文本 字符"/>
    <w:qFormat/>
    <w:uiPriority w:val="99"/>
    <w:rPr>
      <w:rFonts w:ascii="Times New Roman" w:hAnsi="Times New Roman"/>
      <w:kern w:val="2"/>
      <w:sz w:val="21"/>
      <w:szCs w:val="22"/>
    </w:rPr>
  </w:style>
  <w:style w:type="character" w:customStyle="1" w:styleId="133">
    <w:name w:val="正文文本 字符1"/>
    <w:link w:val="28"/>
    <w:qFormat/>
    <w:uiPriority w:val="0"/>
    <w:rPr>
      <w:rFonts w:ascii="Times New Roman" w:hAnsi="Times New Roman"/>
      <w:kern w:val="2"/>
      <w:sz w:val="21"/>
      <w:lang w:val="zh-CN" w:eastAsia="zh-CN"/>
    </w:rPr>
  </w:style>
  <w:style w:type="character" w:customStyle="1" w:styleId="134">
    <w:name w:val="正文文本缩进 字符"/>
    <w:qFormat/>
    <w:uiPriority w:val="99"/>
    <w:rPr>
      <w:rFonts w:ascii="Times New Roman" w:hAnsi="Times New Roman"/>
      <w:kern w:val="2"/>
      <w:sz w:val="21"/>
      <w:szCs w:val="22"/>
    </w:rPr>
  </w:style>
  <w:style w:type="character" w:customStyle="1" w:styleId="135">
    <w:name w:val="正文文本缩进 字符2"/>
    <w:link w:val="3"/>
    <w:qFormat/>
    <w:uiPriority w:val="0"/>
    <w:rPr>
      <w:rFonts w:ascii="Times New Roman" w:hAnsi="Times New Roman"/>
      <w:kern w:val="2"/>
      <w:sz w:val="21"/>
      <w:szCs w:val="24"/>
      <w:lang w:val="zh-CN" w:eastAsia="zh-CN"/>
    </w:rPr>
  </w:style>
  <w:style w:type="paragraph" w:customStyle="1" w:styleId="136">
    <w:name w:val="text1"/>
    <w:basedOn w:val="1"/>
    <w:qFormat/>
    <w:uiPriority w:val="0"/>
    <w:pPr>
      <w:widowControl/>
      <w:spacing w:before="109" w:after="109" w:line="360" w:lineRule="auto"/>
      <w:ind w:left="68" w:right="68" w:firstLine="326"/>
      <w:jc w:val="left"/>
    </w:pPr>
    <w:rPr>
      <w:rFonts w:ascii="Verdana" w:hAnsi="Verdana" w:cs="Arial"/>
      <w:color w:val="222222"/>
      <w:kern w:val="0"/>
      <w:sz w:val="20"/>
      <w:szCs w:val="20"/>
    </w:rPr>
  </w:style>
  <w:style w:type="paragraph" w:customStyle="1" w:styleId="137">
    <w:name w:val="Table Paragraph"/>
    <w:basedOn w:val="1"/>
    <w:qFormat/>
    <w:uiPriority w:val="1"/>
    <w:pPr>
      <w:jc w:val="left"/>
    </w:pPr>
    <w:rPr>
      <w:rFonts w:ascii="Calibri" w:hAnsi="Calibri" w:eastAsia="Calibri"/>
      <w:kern w:val="0"/>
      <w:sz w:val="22"/>
      <w:lang w:eastAsia="en-US"/>
    </w:rPr>
  </w:style>
  <w:style w:type="paragraph" w:customStyle="1" w:styleId="138">
    <w:name w:val="xl25"/>
    <w:basedOn w:val="1"/>
    <w:qFormat/>
    <w:uiPriority w:val="0"/>
    <w:pPr>
      <w:widowControl/>
      <w:pBdr>
        <w:bottom w:val="single" w:color="auto" w:sz="4" w:space="0"/>
        <w:right w:val="single" w:color="auto" w:sz="4" w:space="0"/>
      </w:pBdr>
      <w:spacing w:before="100" w:beforeAutospacing="1" w:after="100" w:afterAutospacing="1"/>
      <w:jc w:val="center"/>
      <w:textAlignment w:val="top"/>
    </w:pPr>
    <w:rPr>
      <w:kern w:val="0"/>
      <w:szCs w:val="21"/>
    </w:rPr>
  </w:style>
  <w:style w:type="character" w:customStyle="1" w:styleId="139">
    <w:name w:val="fontstyle21"/>
    <w:basedOn w:val="75"/>
    <w:qFormat/>
    <w:uiPriority w:val="0"/>
    <w:rPr>
      <w:rFonts w:hint="default" w:ascii="TimesNewRomanPSMT" w:hAnsi="TimesNewRomanPSMT"/>
      <w:color w:val="000000"/>
      <w:sz w:val="24"/>
      <w:szCs w:val="24"/>
    </w:rPr>
  </w:style>
  <w:style w:type="paragraph" w:customStyle="1" w:styleId="140">
    <w:name w:val="MM Topic 6"/>
    <w:basedOn w:val="102"/>
    <w:link w:val="141"/>
    <w:qFormat/>
    <w:uiPriority w:val="0"/>
    <w:pPr>
      <w:ind w:firstLine="480"/>
    </w:pPr>
  </w:style>
  <w:style w:type="character" w:customStyle="1" w:styleId="141">
    <w:name w:val="MM Topic 6 字符"/>
    <w:link w:val="140"/>
    <w:qFormat/>
    <w:uiPriority w:val="0"/>
    <w:rPr>
      <w:rFonts w:ascii="Times New Roman" w:hAnsi="Times New Roman"/>
      <w:kern w:val="2"/>
      <w:sz w:val="24"/>
      <w:szCs w:val="22"/>
    </w:rPr>
  </w:style>
  <w:style w:type="character" w:customStyle="1" w:styleId="142">
    <w:name w:val="标题 2 字符1"/>
    <w:qFormat/>
    <w:uiPriority w:val="0"/>
    <w:rPr>
      <w:rFonts w:ascii="Arial" w:hAnsi="Arial" w:eastAsia="黑体"/>
      <w:b/>
      <w:bCs/>
      <w:kern w:val="2"/>
      <w:sz w:val="32"/>
      <w:szCs w:val="32"/>
      <w:lang w:val="en-US" w:eastAsia="zh-CN" w:bidi="ar-SA"/>
    </w:rPr>
  </w:style>
  <w:style w:type="character" w:customStyle="1" w:styleId="143">
    <w:name w:val="标题 3 字符2"/>
    <w:qFormat/>
    <w:uiPriority w:val="0"/>
    <w:rPr>
      <w:rFonts w:eastAsia="宋体"/>
      <w:b/>
      <w:bCs/>
      <w:kern w:val="2"/>
      <w:sz w:val="32"/>
      <w:szCs w:val="32"/>
      <w:lang w:val="en-US" w:eastAsia="zh-CN" w:bidi="ar-SA"/>
    </w:rPr>
  </w:style>
  <w:style w:type="paragraph" w:customStyle="1" w:styleId="144">
    <w:name w:val="报告正文"/>
    <w:basedOn w:val="1"/>
    <w:qFormat/>
    <w:uiPriority w:val="0"/>
    <w:pPr>
      <w:spacing w:line="360" w:lineRule="auto"/>
    </w:pPr>
    <w:rPr>
      <w:rFonts w:ascii="宋体" w:hAnsi="宋体" w:cs="宋体"/>
      <w:sz w:val="24"/>
      <w:szCs w:val="20"/>
    </w:rPr>
  </w:style>
  <w:style w:type="character" w:customStyle="1" w:styleId="145">
    <w:name w:val="日期 字符1"/>
    <w:qFormat/>
    <w:uiPriority w:val="0"/>
    <w:rPr>
      <w:rFonts w:eastAsia="宋体"/>
      <w:kern w:val="2"/>
      <w:sz w:val="21"/>
      <w:szCs w:val="24"/>
      <w:lang w:val="en-US" w:eastAsia="zh-CN" w:bidi="ar-SA"/>
    </w:rPr>
  </w:style>
  <w:style w:type="character" w:customStyle="1" w:styleId="146">
    <w:name w:val="文档结构图 字符"/>
    <w:semiHidden/>
    <w:qFormat/>
    <w:uiPriority w:val="0"/>
    <w:rPr>
      <w:rFonts w:ascii="Microsoft YaHei UI" w:hAnsi="Times New Roman" w:eastAsia="Microsoft YaHei UI"/>
      <w:kern w:val="2"/>
      <w:sz w:val="18"/>
      <w:szCs w:val="18"/>
    </w:rPr>
  </w:style>
  <w:style w:type="character" w:customStyle="1" w:styleId="147">
    <w:name w:val="正文hks Char Char"/>
    <w:qFormat/>
    <w:uiPriority w:val="0"/>
    <w:rPr>
      <w:kern w:val="24"/>
      <w:sz w:val="24"/>
      <w:szCs w:val="24"/>
      <w:lang w:bidi="he-IL"/>
    </w:rPr>
  </w:style>
  <w:style w:type="character" w:customStyle="1" w:styleId="148">
    <w:name w:val="小标题 Char"/>
    <w:link w:val="149"/>
    <w:qFormat/>
    <w:uiPriority w:val="0"/>
    <w:rPr>
      <w:rFonts w:ascii="黑体" w:eastAsia="黑体"/>
      <w:bCs/>
      <w:sz w:val="24"/>
      <w:u w:val="single"/>
    </w:rPr>
  </w:style>
  <w:style w:type="paragraph" w:customStyle="1" w:styleId="149">
    <w:name w:val="小标题"/>
    <w:basedOn w:val="1"/>
    <w:link w:val="148"/>
    <w:qFormat/>
    <w:uiPriority w:val="0"/>
    <w:pPr>
      <w:adjustRightInd w:val="0"/>
      <w:spacing w:beforeLines="100" w:afterLines="100" w:line="380" w:lineRule="atLeast"/>
      <w:ind w:left="300" w:leftChars="300" w:firstLine="100" w:firstLineChars="100"/>
      <w:jc w:val="left"/>
      <w:textAlignment w:val="baseline"/>
    </w:pPr>
    <w:rPr>
      <w:rFonts w:ascii="黑体" w:hAnsi="Calibri" w:eastAsia="黑体"/>
      <w:bCs/>
      <w:kern w:val="0"/>
      <w:sz w:val="24"/>
      <w:szCs w:val="20"/>
      <w:u w:val="single"/>
    </w:rPr>
  </w:style>
  <w:style w:type="paragraph" w:customStyle="1" w:styleId="150">
    <w:name w:val="_Style 9"/>
    <w:basedOn w:val="1"/>
    <w:qFormat/>
    <w:uiPriority w:val="0"/>
    <w:rPr>
      <w:szCs w:val="20"/>
    </w:rPr>
  </w:style>
  <w:style w:type="character" w:customStyle="1" w:styleId="151">
    <w:name w:val="正文文本缩进 3 字符2"/>
    <w:link w:val="50"/>
    <w:qFormat/>
    <w:uiPriority w:val="0"/>
    <w:rPr>
      <w:kern w:val="2"/>
      <w:sz w:val="16"/>
      <w:szCs w:val="16"/>
    </w:rPr>
  </w:style>
  <w:style w:type="character" w:customStyle="1" w:styleId="152">
    <w:name w:val="正文文本缩进 3 字符"/>
    <w:qFormat/>
    <w:uiPriority w:val="0"/>
    <w:rPr>
      <w:rFonts w:ascii="Times New Roman" w:hAnsi="Times New Roman"/>
      <w:kern w:val="2"/>
      <w:sz w:val="16"/>
      <w:szCs w:val="16"/>
    </w:rPr>
  </w:style>
  <w:style w:type="character" w:customStyle="1" w:styleId="153">
    <w:name w:val="Char Char26"/>
    <w:qFormat/>
    <w:uiPriority w:val="0"/>
    <w:rPr>
      <w:rFonts w:eastAsia="宋体"/>
      <w:b/>
      <w:bCs/>
      <w:kern w:val="2"/>
      <w:sz w:val="32"/>
      <w:szCs w:val="32"/>
      <w:lang w:val="en-US" w:eastAsia="zh-CN" w:bidi="ar-SA"/>
    </w:rPr>
  </w:style>
  <w:style w:type="character" w:customStyle="1" w:styleId="154">
    <w:name w:val="表格x Char"/>
    <w:link w:val="155"/>
    <w:qFormat/>
    <w:uiPriority w:val="0"/>
    <w:rPr>
      <w:rFonts w:eastAsia="Times New Roman"/>
      <w:color w:val="000000"/>
      <w:sz w:val="21"/>
      <w:szCs w:val="21"/>
    </w:rPr>
  </w:style>
  <w:style w:type="paragraph" w:customStyle="1" w:styleId="155">
    <w:name w:val="表格x"/>
    <w:link w:val="154"/>
    <w:qFormat/>
    <w:uiPriority w:val="0"/>
    <w:pPr>
      <w:jc w:val="center"/>
    </w:pPr>
    <w:rPr>
      <w:rFonts w:ascii="Calibri" w:hAnsi="Calibri" w:eastAsia="Times New Roman" w:cs="Times New Roman"/>
      <w:color w:val="000000"/>
      <w:sz w:val="21"/>
      <w:szCs w:val="21"/>
      <w:lang w:val="en-US" w:eastAsia="zh-CN" w:bidi="ar-SA"/>
    </w:rPr>
  </w:style>
  <w:style w:type="paragraph" w:customStyle="1" w:styleId="156">
    <w:name w:val="Body Text 22"/>
    <w:basedOn w:val="1"/>
    <w:qFormat/>
    <w:uiPriority w:val="0"/>
    <w:pPr>
      <w:adjustRightInd w:val="0"/>
      <w:spacing w:line="440" w:lineRule="atLeast"/>
      <w:ind w:firstLine="480"/>
      <w:textAlignment w:val="baseline"/>
    </w:pPr>
    <w:rPr>
      <w:rFonts w:eastAsia="仿宋_GB2312"/>
      <w:sz w:val="24"/>
      <w:szCs w:val="20"/>
    </w:rPr>
  </w:style>
  <w:style w:type="character" w:customStyle="1" w:styleId="157">
    <w:name w:val="15"/>
    <w:qFormat/>
    <w:uiPriority w:val="0"/>
    <w:rPr>
      <w:rFonts w:hint="default" w:ascii="Times New Roman" w:hAnsi="Times New Roman" w:eastAsia="宋体" w:cs="Times New Roman"/>
      <w:kern w:val="2"/>
      <w:sz w:val="24"/>
      <w:szCs w:val="24"/>
    </w:rPr>
  </w:style>
  <w:style w:type="paragraph" w:customStyle="1" w:styleId="158">
    <w:name w:val="表头x"/>
    <w:basedOn w:val="1"/>
    <w:qFormat/>
    <w:uiPriority w:val="0"/>
    <w:pPr>
      <w:widowControl/>
      <w:spacing w:before="120" w:after="100" w:afterAutospacing="1"/>
      <w:jc w:val="center"/>
    </w:pPr>
    <w:rPr>
      <w:rFonts w:eastAsia="黑体" w:cs="宋体"/>
      <w:kern w:val="24"/>
      <w:sz w:val="24"/>
      <w:szCs w:val="24"/>
    </w:rPr>
  </w:style>
  <w:style w:type="character" w:customStyle="1" w:styleId="159">
    <w:name w:val="H3 Char"/>
    <w:qFormat/>
    <w:uiPriority w:val="0"/>
    <w:rPr>
      <w:rFonts w:eastAsia="宋体"/>
      <w:b/>
      <w:bCs/>
      <w:kern w:val="2"/>
      <w:sz w:val="32"/>
      <w:szCs w:val="32"/>
      <w:lang w:val="en-US" w:eastAsia="zh-CN" w:bidi="ar-SA"/>
    </w:rPr>
  </w:style>
  <w:style w:type="paragraph" w:customStyle="1" w:styleId="160">
    <w:name w:val="样式 正文文本缩进 + (西文) 黑体 (中文) 黑体 居中 行距: 固定值 24 磅"/>
    <w:basedOn w:val="3"/>
    <w:next w:val="20"/>
    <w:qFormat/>
    <w:uiPriority w:val="2"/>
    <w:pPr>
      <w:spacing w:before="50"/>
      <w:ind w:left="0" w:leftChars="0"/>
    </w:pPr>
    <w:rPr>
      <w:rFonts w:cs="宋体"/>
      <w:color w:val="000000"/>
      <w:szCs w:val="21"/>
    </w:rPr>
  </w:style>
  <w:style w:type="character" w:customStyle="1" w:styleId="161">
    <w:name w:val="正文缩进 字符1"/>
    <w:link w:val="20"/>
    <w:qFormat/>
    <w:uiPriority w:val="0"/>
    <w:rPr>
      <w:rFonts w:ascii="Times New Roman" w:hAnsi="Times New Roman"/>
      <w:kern w:val="2"/>
      <w:sz w:val="21"/>
      <w:szCs w:val="24"/>
    </w:rPr>
  </w:style>
  <w:style w:type="paragraph" w:customStyle="1" w:styleId="162">
    <w:name w:val="样式 样式 正文x + 首行缩进:  2 字符2 + 首行缩进:  2 字符"/>
    <w:basedOn w:val="1"/>
    <w:link w:val="163"/>
    <w:qFormat/>
    <w:uiPriority w:val="0"/>
    <w:pPr>
      <w:spacing w:line="360" w:lineRule="auto"/>
      <w:ind w:firstLine="480"/>
    </w:pPr>
    <w:rPr>
      <w:rFonts w:cs="宋体"/>
      <w:color w:val="000000"/>
      <w:sz w:val="24"/>
      <w:szCs w:val="24"/>
    </w:rPr>
  </w:style>
  <w:style w:type="character" w:customStyle="1" w:styleId="163">
    <w:name w:val="样式 样式 正文x + 首行缩进:  2 字符2 + 首行缩进:  2 字符 Char Char"/>
    <w:link w:val="162"/>
    <w:qFormat/>
    <w:uiPriority w:val="0"/>
    <w:rPr>
      <w:rFonts w:ascii="Times New Roman" w:hAnsi="Times New Roman" w:cs="宋体"/>
      <w:color w:val="000000"/>
      <w:kern w:val="2"/>
      <w:sz w:val="24"/>
      <w:szCs w:val="24"/>
    </w:rPr>
  </w:style>
  <w:style w:type="character" w:customStyle="1" w:styleId="164">
    <w:name w:val="纯文本 字符2"/>
    <w:link w:val="34"/>
    <w:qFormat/>
    <w:uiPriority w:val="0"/>
    <w:rPr>
      <w:rFonts w:ascii="宋体" w:hAnsi="Courier New"/>
      <w:kern w:val="2"/>
      <w:sz w:val="21"/>
    </w:rPr>
  </w:style>
  <w:style w:type="character" w:customStyle="1" w:styleId="165">
    <w:name w:val="纯文本 字符"/>
    <w:qFormat/>
    <w:uiPriority w:val="99"/>
    <w:rPr>
      <w:rFonts w:ascii="宋体" w:hAnsi="Courier New" w:cs="Courier New"/>
      <w:kern w:val="2"/>
      <w:sz w:val="21"/>
      <w:szCs w:val="21"/>
    </w:rPr>
  </w:style>
  <w:style w:type="character" w:customStyle="1" w:styleId="166">
    <w:name w:val="表格x Char Char"/>
    <w:qFormat/>
    <w:uiPriority w:val="0"/>
    <w:rPr>
      <w:color w:val="000000"/>
      <w:sz w:val="21"/>
      <w:szCs w:val="21"/>
      <w:lang w:bidi="ar-SA"/>
    </w:rPr>
  </w:style>
  <w:style w:type="character" w:customStyle="1" w:styleId="167">
    <w:name w:val="正文x Char Char"/>
    <w:qFormat/>
    <w:uiPriority w:val="0"/>
    <w:rPr>
      <w:kern w:val="24"/>
      <w:sz w:val="24"/>
      <w:szCs w:val="24"/>
      <w:lang w:bidi="he-IL"/>
    </w:rPr>
  </w:style>
  <w:style w:type="character" w:customStyle="1" w:styleId="168">
    <w:name w:val="postbody1"/>
    <w:qFormat/>
    <w:uiPriority w:val="0"/>
    <w:rPr>
      <w:sz w:val="21"/>
      <w:szCs w:val="21"/>
    </w:rPr>
  </w:style>
  <w:style w:type="character" w:customStyle="1" w:styleId="169">
    <w:name w:val="Char Char8"/>
    <w:qFormat/>
    <w:uiPriority w:val="0"/>
    <w:rPr>
      <w:rFonts w:eastAsia="宋体"/>
      <w:kern w:val="2"/>
      <w:sz w:val="16"/>
      <w:szCs w:val="16"/>
      <w:lang w:val="en-US" w:eastAsia="zh-CN" w:bidi="ar-SA"/>
    </w:rPr>
  </w:style>
  <w:style w:type="character" w:customStyle="1" w:styleId="170">
    <w:name w:val="cs31"/>
    <w:qFormat/>
    <w:uiPriority w:val="0"/>
    <w:rPr>
      <w:b/>
      <w:bCs/>
      <w:spacing w:val="15"/>
      <w:sz w:val="21"/>
      <w:szCs w:val="21"/>
    </w:rPr>
  </w:style>
  <w:style w:type="character" w:customStyle="1" w:styleId="171">
    <w:name w:val="font21"/>
    <w:qFormat/>
    <w:uiPriority w:val="0"/>
    <w:rPr>
      <w:rFonts w:hint="default" w:ascii="Times New Roman" w:hAnsi="Times New Roman" w:cs="Times New Roman"/>
      <w:color w:val="000000"/>
      <w:sz w:val="21"/>
      <w:szCs w:val="21"/>
      <w:u w:val="none"/>
    </w:rPr>
  </w:style>
  <w:style w:type="paragraph" w:customStyle="1" w:styleId="172">
    <w:name w:val="表格填充1"/>
    <w:basedOn w:val="1"/>
    <w:link w:val="173"/>
    <w:qFormat/>
    <w:uiPriority w:val="0"/>
    <w:pPr>
      <w:widowControl/>
      <w:snapToGrid w:val="0"/>
      <w:jc w:val="center"/>
    </w:pPr>
    <w:rPr>
      <w:rFonts w:ascii="宋体" w:cs="宋体"/>
      <w:snapToGrid w:val="0"/>
      <w:kern w:val="0"/>
      <w:sz w:val="30"/>
      <w:szCs w:val="20"/>
    </w:rPr>
  </w:style>
  <w:style w:type="character" w:customStyle="1" w:styleId="173">
    <w:name w:val="表格填充1 Char"/>
    <w:link w:val="172"/>
    <w:qFormat/>
    <w:uiPriority w:val="0"/>
    <w:rPr>
      <w:rFonts w:ascii="宋体" w:hAnsi="Times New Roman" w:cs="宋体"/>
      <w:snapToGrid w:val="0"/>
      <w:sz w:val="30"/>
    </w:rPr>
  </w:style>
  <w:style w:type="paragraph" w:customStyle="1" w:styleId="174">
    <w:name w:val="默认段落字体 Para Char Char Char Char"/>
    <w:basedOn w:val="1"/>
    <w:qFormat/>
    <w:uiPriority w:val="0"/>
    <w:rPr>
      <w:rFonts w:ascii="宋体"/>
      <w:szCs w:val="20"/>
    </w:rPr>
  </w:style>
  <w:style w:type="character" w:customStyle="1" w:styleId="175">
    <w:name w:val="样式 正文 行距: 固定值 25 磅 Char Char"/>
    <w:link w:val="176"/>
    <w:qFormat/>
    <w:uiPriority w:val="0"/>
    <w:rPr>
      <w:kern w:val="2"/>
      <w:sz w:val="24"/>
      <w:szCs w:val="24"/>
    </w:rPr>
  </w:style>
  <w:style w:type="paragraph" w:customStyle="1" w:styleId="176">
    <w:name w:val="样式 正文 行距: 固定值 25 磅"/>
    <w:basedOn w:val="1"/>
    <w:link w:val="175"/>
    <w:qFormat/>
    <w:uiPriority w:val="0"/>
    <w:pPr>
      <w:adjustRightInd w:val="0"/>
      <w:spacing w:line="500" w:lineRule="exact"/>
      <w:ind w:firstLine="200" w:firstLineChars="200"/>
    </w:pPr>
    <w:rPr>
      <w:rFonts w:ascii="Calibri" w:hAnsi="Calibri"/>
      <w:sz w:val="24"/>
      <w:szCs w:val="24"/>
    </w:rPr>
  </w:style>
  <w:style w:type="character" w:customStyle="1" w:styleId="177">
    <w:name w:val="正文一 Char Char"/>
    <w:link w:val="178"/>
    <w:qFormat/>
    <w:uiPriority w:val="0"/>
    <w:rPr>
      <w:rFonts w:ascii="宋体" w:hAnsi="宋体"/>
      <w:bCs/>
      <w:sz w:val="24"/>
      <w:szCs w:val="21"/>
      <w:lang w:val="zh-CN"/>
    </w:rPr>
  </w:style>
  <w:style w:type="paragraph" w:customStyle="1" w:styleId="178">
    <w:name w:val="正文一"/>
    <w:basedOn w:val="1"/>
    <w:link w:val="177"/>
    <w:qFormat/>
    <w:uiPriority w:val="0"/>
    <w:pPr>
      <w:widowControl/>
      <w:spacing w:line="360" w:lineRule="auto"/>
      <w:ind w:firstLine="480" w:firstLineChars="200"/>
      <w:jc w:val="left"/>
    </w:pPr>
    <w:rPr>
      <w:rFonts w:ascii="宋体" w:hAnsi="宋体"/>
      <w:bCs/>
      <w:kern w:val="0"/>
      <w:sz w:val="24"/>
      <w:szCs w:val="21"/>
      <w:lang w:val="zh-CN"/>
    </w:rPr>
  </w:style>
  <w:style w:type="character" w:customStyle="1" w:styleId="179">
    <w:name w:val="正文文本首行缩进 2 字符"/>
    <w:qFormat/>
    <w:uiPriority w:val="99"/>
    <w:rPr>
      <w:rFonts w:ascii="Times New Roman" w:hAnsi="Times New Roman"/>
      <w:kern w:val="2"/>
      <w:sz w:val="21"/>
      <w:szCs w:val="22"/>
    </w:rPr>
  </w:style>
  <w:style w:type="character" w:customStyle="1" w:styleId="180">
    <w:name w:val="纯文本 Char"/>
    <w:qFormat/>
    <w:uiPriority w:val="0"/>
    <w:rPr>
      <w:rFonts w:ascii="宋体" w:hAnsi="Courier New" w:eastAsia="宋体"/>
      <w:kern w:val="2"/>
      <w:sz w:val="21"/>
      <w:lang w:val="en-US" w:eastAsia="zh-CN" w:bidi="ar-SA"/>
    </w:rPr>
  </w:style>
  <w:style w:type="character" w:customStyle="1" w:styleId="181">
    <w:name w:val="Char Char12"/>
    <w:qFormat/>
    <w:uiPriority w:val="0"/>
    <w:rPr>
      <w:rFonts w:eastAsia="宋体"/>
      <w:kern w:val="2"/>
      <w:sz w:val="21"/>
      <w:lang w:val="en-US" w:eastAsia="zh-CN" w:bidi="ar-SA"/>
    </w:rPr>
  </w:style>
  <w:style w:type="character" w:customStyle="1" w:styleId="182">
    <w:name w:val="表格内容 Char Char"/>
    <w:qFormat/>
    <w:uiPriority w:val="0"/>
    <w:rPr>
      <w:spacing w:val="4"/>
      <w:sz w:val="28"/>
    </w:rPr>
  </w:style>
  <w:style w:type="paragraph" w:customStyle="1" w:styleId="183">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184">
    <w:name w:val="正文文本缩进 2 字符2"/>
    <w:link w:val="37"/>
    <w:qFormat/>
    <w:uiPriority w:val="0"/>
    <w:rPr>
      <w:kern w:val="2"/>
      <w:sz w:val="21"/>
    </w:rPr>
  </w:style>
  <w:style w:type="character" w:customStyle="1" w:styleId="185">
    <w:name w:val="正文文本缩进 2 字符"/>
    <w:qFormat/>
    <w:uiPriority w:val="0"/>
    <w:rPr>
      <w:rFonts w:ascii="Times New Roman" w:hAnsi="Times New Roman"/>
      <w:kern w:val="2"/>
      <w:sz w:val="21"/>
      <w:szCs w:val="22"/>
    </w:rPr>
  </w:style>
  <w:style w:type="character" w:customStyle="1" w:styleId="186">
    <w:name w:val="标题 4 字符1"/>
    <w:qFormat/>
    <w:uiPriority w:val="0"/>
    <w:rPr>
      <w:rFonts w:ascii="Arial" w:hAnsi="Arial" w:eastAsia="黑体"/>
      <w:b/>
      <w:bCs/>
      <w:kern w:val="2"/>
      <w:sz w:val="28"/>
      <w:szCs w:val="28"/>
      <w:lang w:val="zh-CN" w:eastAsia="zh-CN" w:bidi="ar-SA"/>
    </w:rPr>
  </w:style>
  <w:style w:type="character" w:customStyle="1" w:styleId="187">
    <w:name w:val="标题 5 字符1"/>
    <w:link w:val="11"/>
    <w:qFormat/>
    <w:uiPriority w:val="0"/>
    <w:rPr>
      <w:rFonts w:ascii="Times New Roman" w:hAnsi="Times New Roman"/>
      <w:b/>
      <w:bCs/>
      <w:kern w:val="2"/>
      <w:sz w:val="28"/>
      <w:szCs w:val="28"/>
      <w:lang w:val="zh-CN" w:eastAsia="zh-CN"/>
    </w:rPr>
  </w:style>
  <w:style w:type="character" w:customStyle="1" w:styleId="188">
    <w:name w:val="标题 6 字符1"/>
    <w:link w:val="12"/>
    <w:qFormat/>
    <w:uiPriority w:val="0"/>
    <w:rPr>
      <w:rFonts w:ascii="Times New Roman" w:hAnsi="Times New Roman"/>
      <w:b/>
      <w:kern w:val="2"/>
      <w:sz w:val="24"/>
      <w:lang w:val="zh-CN" w:eastAsia="zh-CN"/>
    </w:rPr>
  </w:style>
  <w:style w:type="character" w:customStyle="1" w:styleId="189">
    <w:name w:val="标题 7 字符1"/>
    <w:link w:val="13"/>
    <w:qFormat/>
    <w:uiPriority w:val="0"/>
    <w:rPr>
      <w:rFonts w:ascii="Times New Roman" w:hAnsi="Times New Roman"/>
      <w:b/>
      <w:kern w:val="2"/>
      <w:sz w:val="24"/>
      <w:lang w:val="zh-CN" w:eastAsia="zh-CN"/>
    </w:rPr>
  </w:style>
  <w:style w:type="character" w:customStyle="1" w:styleId="190">
    <w:name w:val="标题 8 字符1"/>
    <w:link w:val="14"/>
    <w:qFormat/>
    <w:uiPriority w:val="0"/>
    <w:rPr>
      <w:rFonts w:ascii="Times New Roman" w:hAnsi="Times New Roman"/>
      <w:kern w:val="2"/>
      <w:sz w:val="24"/>
      <w:lang w:val="zh-CN" w:eastAsia="zh-CN"/>
    </w:rPr>
  </w:style>
  <w:style w:type="character" w:customStyle="1" w:styleId="191">
    <w:name w:val="标题 9 字符1"/>
    <w:link w:val="15"/>
    <w:qFormat/>
    <w:uiPriority w:val="0"/>
    <w:rPr>
      <w:rFonts w:ascii="Arial" w:hAnsi="Arial" w:eastAsia="黑体"/>
      <w:kern w:val="2"/>
      <w:sz w:val="21"/>
      <w:szCs w:val="21"/>
      <w:lang w:val="zh-CN" w:eastAsia="zh-CN"/>
    </w:rPr>
  </w:style>
  <w:style w:type="character" w:customStyle="1" w:styleId="192">
    <w:name w:val="标题 1 字符1"/>
    <w:qFormat/>
    <w:uiPriority w:val="0"/>
    <w:rPr>
      <w:rFonts w:eastAsia="宋体"/>
      <w:b/>
      <w:bCs/>
      <w:kern w:val="44"/>
      <w:sz w:val="44"/>
      <w:szCs w:val="44"/>
      <w:lang w:val="zh-CN" w:eastAsia="zh-CN" w:bidi="ar-SA"/>
    </w:rPr>
  </w:style>
  <w:style w:type="character" w:customStyle="1" w:styleId="193">
    <w:name w:val="标题 2 Char1"/>
    <w:qFormat/>
    <w:uiPriority w:val="0"/>
    <w:rPr>
      <w:rFonts w:ascii="Arial" w:hAnsi="Arial" w:eastAsia="黑体"/>
      <w:b/>
      <w:bCs/>
      <w:kern w:val="2"/>
      <w:sz w:val="32"/>
      <w:szCs w:val="32"/>
      <w:lang w:val="en-US" w:eastAsia="zh-CN" w:bidi="ar-SA"/>
    </w:rPr>
  </w:style>
  <w:style w:type="character" w:customStyle="1" w:styleId="194">
    <w:name w:val="页脚 字符1"/>
    <w:qFormat/>
    <w:uiPriority w:val="0"/>
    <w:rPr>
      <w:kern w:val="2"/>
      <w:sz w:val="18"/>
      <w:szCs w:val="18"/>
    </w:rPr>
  </w:style>
  <w:style w:type="character" w:customStyle="1" w:styleId="195">
    <w:name w:val="正文文本 2 字符"/>
    <w:qFormat/>
    <w:uiPriority w:val="0"/>
    <w:rPr>
      <w:rFonts w:ascii="Times New Roman" w:hAnsi="Times New Roman"/>
      <w:kern w:val="2"/>
      <w:sz w:val="21"/>
      <w:szCs w:val="22"/>
    </w:rPr>
  </w:style>
  <w:style w:type="character" w:customStyle="1" w:styleId="196">
    <w:name w:val="正文文本 2 字符1"/>
    <w:link w:val="53"/>
    <w:qFormat/>
    <w:uiPriority w:val="0"/>
    <w:rPr>
      <w:rFonts w:ascii="Times New Roman" w:hAnsi="Times New Roman"/>
      <w:kern w:val="2"/>
      <w:sz w:val="21"/>
      <w:lang w:val="zh-CN" w:eastAsia="zh-CN"/>
    </w:rPr>
  </w:style>
  <w:style w:type="paragraph" w:customStyle="1" w:styleId="197">
    <w:name w:val="表格文字"/>
    <w:basedOn w:val="1"/>
    <w:link w:val="405"/>
    <w:qFormat/>
    <w:uiPriority w:val="0"/>
    <w:pPr>
      <w:jc w:val="center"/>
    </w:pPr>
    <w:rPr>
      <w:rFonts w:ascii="宋体" w:hAnsi="宋体" w:eastAsia="仿宋_GB2312"/>
      <w:kern w:val="44"/>
      <w:sz w:val="24"/>
      <w:szCs w:val="20"/>
    </w:rPr>
  </w:style>
  <w:style w:type="paragraph" w:customStyle="1" w:styleId="198">
    <w:name w:val="EIA正文"/>
    <w:basedOn w:val="1"/>
    <w:link w:val="199"/>
    <w:qFormat/>
    <w:uiPriority w:val="0"/>
    <w:pPr>
      <w:jc w:val="center"/>
    </w:pPr>
    <w:rPr>
      <w:rFonts w:hAnsi="宋体"/>
      <w:b/>
      <w:kern w:val="0"/>
      <w:sz w:val="24"/>
      <w:szCs w:val="24"/>
      <w:lang w:val="zh-CN"/>
    </w:rPr>
  </w:style>
  <w:style w:type="character" w:customStyle="1" w:styleId="199">
    <w:name w:val="EIA正文 Char"/>
    <w:link w:val="198"/>
    <w:qFormat/>
    <w:uiPriority w:val="0"/>
    <w:rPr>
      <w:rFonts w:ascii="Times New Roman" w:hAnsi="宋体"/>
      <w:b/>
      <w:sz w:val="24"/>
      <w:szCs w:val="24"/>
      <w:lang w:val="zh-CN" w:eastAsia="zh-CN"/>
    </w:rPr>
  </w:style>
  <w:style w:type="character" w:customStyle="1" w:styleId="200">
    <w:name w:val="正文缩进 Char1"/>
    <w:qFormat/>
    <w:uiPriority w:val="0"/>
    <w:rPr>
      <w:rFonts w:eastAsia="宋体"/>
      <w:kern w:val="2"/>
      <w:sz w:val="21"/>
      <w:szCs w:val="24"/>
      <w:lang w:val="en-US" w:eastAsia="zh-CN" w:bidi="ar-SA"/>
    </w:rPr>
  </w:style>
  <w:style w:type="character" w:customStyle="1" w:styleId="201">
    <w:name w:val="正文一 Char"/>
    <w:qFormat/>
    <w:uiPriority w:val="0"/>
    <w:rPr>
      <w:rFonts w:ascii="宋体" w:hAnsi="宋体" w:eastAsia="宋体"/>
      <w:bCs/>
      <w:sz w:val="24"/>
      <w:szCs w:val="21"/>
      <w:lang w:val="zh-CN" w:bidi="ar-SA"/>
    </w:rPr>
  </w:style>
  <w:style w:type="paragraph" w:customStyle="1" w:styleId="202">
    <w:name w:val="标准"/>
    <w:basedOn w:val="1"/>
    <w:qFormat/>
    <w:uiPriority w:val="0"/>
    <w:pPr>
      <w:adjustRightInd w:val="0"/>
      <w:spacing w:line="312" w:lineRule="atLeast"/>
      <w:jc w:val="center"/>
      <w:textAlignment w:val="baseline"/>
    </w:pPr>
    <w:rPr>
      <w:kern w:val="0"/>
      <w:szCs w:val="20"/>
    </w:rPr>
  </w:style>
  <w:style w:type="character" w:customStyle="1" w:styleId="203">
    <w:name w:val="标题一 Char"/>
    <w:qFormat/>
    <w:uiPriority w:val="0"/>
    <w:rPr>
      <w:rFonts w:ascii="Times New Roman" w:hAnsi="Times New Roman" w:eastAsia="宋体" w:cs="Times New Roman"/>
      <w:b/>
      <w:kern w:val="44"/>
      <w:sz w:val="44"/>
      <w:szCs w:val="20"/>
    </w:rPr>
  </w:style>
  <w:style w:type="paragraph" w:customStyle="1" w:styleId="204">
    <w:name w:val="样式1"/>
    <w:basedOn w:val="11"/>
    <w:link w:val="353"/>
    <w:qFormat/>
    <w:uiPriority w:val="0"/>
    <w:pPr>
      <w:keepNext w:val="0"/>
      <w:keepLines w:val="0"/>
      <w:spacing w:before="0" w:after="0" w:line="360" w:lineRule="auto"/>
      <w:ind w:firstLine="480" w:firstLineChars="200"/>
      <w:outlineLvl w:val="9"/>
    </w:pPr>
    <w:rPr>
      <w:b w:val="0"/>
      <w:bCs w:val="0"/>
      <w:color w:val="000000"/>
      <w:sz w:val="24"/>
      <w:szCs w:val="24"/>
    </w:rPr>
  </w:style>
  <w:style w:type="paragraph" w:customStyle="1" w:styleId="205">
    <w:name w:val="xl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4"/>
      <w:szCs w:val="24"/>
    </w:rPr>
  </w:style>
  <w:style w:type="character" w:customStyle="1" w:styleId="206">
    <w:name w:val="EIA正文 Char1"/>
    <w:qFormat/>
    <w:uiPriority w:val="0"/>
    <w:rPr>
      <w:rFonts w:ascii="宋体" w:hAnsi="宋体" w:eastAsia="宋体"/>
      <w:bCs/>
      <w:sz w:val="24"/>
      <w:szCs w:val="21"/>
      <w:lang w:val="zh-CN" w:eastAsia="zh-CN" w:bidi="ar-SA"/>
    </w:rPr>
  </w:style>
  <w:style w:type="character" w:customStyle="1" w:styleId="207">
    <w:name w:val="正文文本首行缩进 字符"/>
    <w:qFormat/>
    <w:uiPriority w:val="0"/>
    <w:rPr>
      <w:rFonts w:ascii="Times New Roman" w:hAnsi="Times New Roman"/>
      <w:kern w:val="2"/>
      <w:sz w:val="21"/>
      <w:szCs w:val="22"/>
    </w:rPr>
  </w:style>
  <w:style w:type="character" w:customStyle="1" w:styleId="208">
    <w:name w:val="正文文本首行缩进 字符1"/>
    <w:link w:val="58"/>
    <w:qFormat/>
    <w:uiPriority w:val="0"/>
    <w:rPr>
      <w:rFonts w:ascii="Times New Roman" w:hAnsi="Times New Roman"/>
      <w:kern w:val="2"/>
      <w:sz w:val="21"/>
      <w:lang w:val="zh-CN" w:eastAsia="zh-CN"/>
    </w:rPr>
  </w:style>
  <w:style w:type="paragraph" w:customStyle="1" w:styleId="209">
    <w:name w:val="样式 报告 + 首行缩进:  2 字符 段前: 0.3 行 段后: 0.3 行"/>
    <w:basedOn w:val="1"/>
    <w:qFormat/>
    <w:uiPriority w:val="0"/>
    <w:pPr>
      <w:spacing w:line="360" w:lineRule="auto"/>
      <w:ind w:firstLine="480" w:firstLineChars="200"/>
    </w:pPr>
    <w:rPr>
      <w:rFonts w:cs="宋体"/>
      <w:sz w:val="24"/>
      <w:szCs w:val="20"/>
    </w:rPr>
  </w:style>
  <w:style w:type="paragraph" w:customStyle="1" w:styleId="210">
    <w:name w:val="宋体正文"/>
    <w:basedOn w:val="1"/>
    <w:link w:val="211"/>
    <w:qFormat/>
    <w:uiPriority w:val="0"/>
    <w:pPr>
      <w:spacing w:line="360" w:lineRule="auto"/>
      <w:ind w:firstLine="425"/>
    </w:pPr>
    <w:rPr>
      <w:rFonts w:ascii="宋体" w:hAnsi="宋体"/>
      <w:sz w:val="24"/>
      <w:szCs w:val="20"/>
      <w:lang w:val="zh-CN"/>
    </w:rPr>
  </w:style>
  <w:style w:type="character" w:customStyle="1" w:styleId="211">
    <w:name w:val="宋体正文 Char"/>
    <w:link w:val="210"/>
    <w:qFormat/>
    <w:uiPriority w:val="0"/>
    <w:rPr>
      <w:rFonts w:ascii="宋体" w:hAnsi="宋体"/>
      <w:kern w:val="2"/>
      <w:sz w:val="24"/>
      <w:lang w:val="zh-CN" w:eastAsia="zh-CN"/>
    </w:rPr>
  </w:style>
  <w:style w:type="paragraph" w:customStyle="1" w:styleId="212">
    <w:name w:val="xl24"/>
    <w:basedOn w:val="1"/>
    <w:qFormat/>
    <w:uiPriority w:val="0"/>
    <w:pPr>
      <w:widowControl/>
      <w:spacing w:before="100" w:beforeAutospacing="1" w:after="100" w:afterAutospacing="1"/>
      <w:jc w:val="center"/>
    </w:pPr>
    <w:rPr>
      <w:rFonts w:ascii="宋体" w:hAnsi="宋体"/>
      <w:kern w:val="0"/>
      <w:sz w:val="24"/>
      <w:szCs w:val="24"/>
    </w:rPr>
  </w:style>
  <w:style w:type="character" w:customStyle="1" w:styleId="213">
    <w:name w:val="正文文本首行缩进 2 字符1"/>
    <w:link w:val="2"/>
    <w:qFormat/>
    <w:uiPriority w:val="0"/>
    <w:rPr>
      <w:rFonts w:ascii="宋体" w:hAnsi="Times New Roman"/>
      <w:color w:val="000000"/>
      <w:sz w:val="24"/>
      <w:lang w:val="zh-CN" w:eastAsia="zh-CN"/>
    </w:rPr>
  </w:style>
  <w:style w:type="paragraph" w:customStyle="1" w:styleId="214">
    <w:name w:val="报告正文0"/>
    <w:basedOn w:val="1"/>
    <w:link w:val="215"/>
    <w:qFormat/>
    <w:uiPriority w:val="0"/>
    <w:pPr>
      <w:spacing w:line="360" w:lineRule="auto"/>
      <w:ind w:firstLine="480" w:firstLineChars="200"/>
    </w:pPr>
    <w:rPr>
      <w:sz w:val="24"/>
      <w:szCs w:val="24"/>
      <w:lang w:val="zh-CN"/>
    </w:rPr>
  </w:style>
  <w:style w:type="character" w:customStyle="1" w:styleId="215">
    <w:name w:val="报告正文0 Char Char"/>
    <w:link w:val="214"/>
    <w:qFormat/>
    <w:uiPriority w:val="0"/>
    <w:rPr>
      <w:rFonts w:ascii="Times New Roman" w:hAnsi="Times New Roman"/>
      <w:kern w:val="2"/>
      <w:sz w:val="24"/>
      <w:szCs w:val="24"/>
      <w:lang w:val="zh-CN" w:eastAsia="zh-CN"/>
    </w:rPr>
  </w:style>
  <w:style w:type="paragraph" w:customStyle="1" w:styleId="216">
    <w:name w:val="Char Char Char"/>
    <w:basedOn w:val="1"/>
    <w:qFormat/>
    <w:uiPriority w:val="0"/>
    <w:rPr>
      <w:sz w:val="24"/>
      <w:szCs w:val="24"/>
    </w:rPr>
  </w:style>
  <w:style w:type="paragraph" w:customStyle="1" w:styleId="217">
    <w:name w:val="EIA表内容"/>
    <w:basedOn w:val="1"/>
    <w:qFormat/>
    <w:uiPriority w:val="0"/>
    <w:pPr>
      <w:jc w:val="center"/>
    </w:pPr>
    <w:rPr>
      <w:rFonts w:eastAsia="仿宋_GB2312"/>
      <w:color w:val="000000"/>
      <w:szCs w:val="21"/>
    </w:rPr>
  </w:style>
  <w:style w:type="paragraph" w:customStyle="1" w:styleId="218">
    <w:name w:val="报告"/>
    <w:basedOn w:val="1"/>
    <w:link w:val="219"/>
    <w:qFormat/>
    <w:uiPriority w:val="0"/>
    <w:pPr>
      <w:overflowPunct w:val="0"/>
      <w:autoSpaceDE w:val="0"/>
      <w:autoSpaceDN w:val="0"/>
      <w:adjustRightInd w:val="0"/>
      <w:spacing w:beforeLines="30" w:afterLines="30" w:line="400" w:lineRule="atLeast"/>
      <w:ind w:left="400" w:leftChars="400"/>
      <w:textAlignment w:val="baseline"/>
    </w:pPr>
    <w:rPr>
      <w:kern w:val="0"/>
      <w:sz w:val="24"/>
      <w:szCs w:val="20"/>
      <w:lang w:val="zh-CN"/>
    </w:rPr>
  </w:style>
  <w:style w:type="character" w:customStyle="1" w:styleId="219">
    <w:name w:val="报告 Char1"/>
    <w:link w:val="218"/>
    <w:qFormat/>
    <w:uiPriority w:val="0"/>
    <w:rPr>
      <w:rFonts w:ascii="Times New Roman" w:hAnsi="Times New Roman"/>
      <w:sz w:val="24"/>
      <w:lang w:val="zh-CN" w:eastAsia="zh-CN"/>
    </w:rPr>
  </w:style>
  <w:style w:type="paragraph" w:customStyle="1" w:styleId="220">
    <w:name w:val="p0"/>
    <w:basedOn w:val="1"/>
    <w:qFormat/>
    <w:uiPriority w:val="0"/>
    <w:pPr>
      <w:widowControl/>
      <w:jc w:val="left"/>
    </w:pPr>
    <w:rPr>
      <w:kern w:val="0"/>
      <w:sz w:val="20"/>
      <w:szCs w:val="20"/>
    </w:rPr>
  </w:style>
  <w:style w:type="paragraph" w:customStyle="1" w:styleId="221">
    <w:name w:val="表格内文字格式"/>
    <w:basedOn w:val="1"/>
    <w:next w:val="1"/>
    <w:qFormat/>
    <w:uiPriority w:val="0"/>
    <w:pPr>
      <w:spacing w:line="240" w:lineRule="exact"/>
      <w:jc w:val="center"/>
    </w:pPr>
    <w:rPr>
      <w:color w:val="000000"/>
      <w:spacing w:val="-4"/>
      <w:szCs w:val="21"/>
    </w:rPr>
  </w:style>
  <w:style w:type="paragraph" w:customStyle="1" w:styleId="222">
    <w:name w:val="xl27"/>
    <w:basedOn w:val="1"/>
    <w:qFormat/>
    <w:uiPriority w:val="0"/>
    <w:pPr>
      <w:widowControl/>
      <w:pBdr>
        <w:bottom w:val="single" w:color="auto" w:sz="12" w:space="0"/>
      </w:pBdr>
      <w:spacing w:before="100" w:after="100"/>
      <w:jc w:val="center"/>
    </w:pPr>
    <w:rPr>
      <w:rFonts w:ascii="宋体" w:hAnsi="宋体"/>
      <w:kern w:val="0"/>
      <w:szCs w:val="20"/>
    </w:rPr>
  </w:style>
  <w:style w:type="character" w:customStyle="1" w:styleId="223">
    <w:name w:val="批注文字 字符2"/>
    <w:qFormat/>
    <w:uiPriority w:val="0"/>
    <w:rPr>
      <w:rFonts w:ascii="Times New Roman" w:hAnsi="Times New Roman"/>
      <w:kern w:val="2"/>
      <w:sz w:val="21"/>
      <w:szCs w:val="24"/>
      <w:lang w:val="zh-CN" w:eastAsia="zh-CN"/>
    </w:rPr>
  </w:style>
  <w:style w:type="paragraph" w:customStyle="1" w:styleId="224">
    <w:name w:val="表头说明文字"/>
    <w:basedOn w:val="1"/>
    <w:next w:val="221"/>
    <w:qFormat/>
    <w:uiPriority w:val="0"/>
    <w:pPr>
      <w:widowControl/>
      <w:jc w:val="center"/>
    </w:pPr>
    <w:rPr>
      <w:b/>
      <w:bCs/>
      <w:snapToGrid w:val="0"/>
      <w:kern w:val="0"/>
      <w:sz w:val="24"/>
      <w:szCs w:val="30"/>
    </w:rPr>
  </w:style>
  <w:style w:type="paragraph" w:customStyle="1" w:styleId="225">
    <w:name w:val="正文(1)"/>
    <w:basedOn w:val="1"/>
    <w:qFormat/>
    <w:uiPriority w:val="0"/>
    <w:pPr>
      <w:adjustRightInd w:val="0"/>
      <w:snapToGrid w:val="0"/>
      <w:jc w:val="center"/>
    </w:pPr>
    <w:rPr>
      <w:rFonts w:ascii="宋体"/>
      <w:snapToGrid w:val="0"/>
      <w:kern w:val="0"/>
      <w:szCs w:val="21"/>
    </w:rPr>
  </w:style>
  <w:style w:type="paragraph" w:customStyle="1" w:styleId="226">
    <w:name w:val="Char1"/>
    <w:basedOn w:val="1"/>
    <w:qFormat/>
    <w:uiPriority w:val="0"/>
    <w:rPr>
      <w:szCs w:val="24"/>
    </w:rPr>
  </w:style>
  <w:style w:type="paragraph" w:customStyle="1" w:styleId="227">
    <w:name w:val="Char"/>
    <w:basedOn w:val="1"/>
    <w:link w:val="408"/>
    <w:qFormat/>
    <w:uiPriority w:val="0"/>
    <w:pPr>
      <w:spacing w:line="360" w:lineRule="auto"/>
      <w:ind w:firstLine="200" w:firstLineChars="200"/>
    </w:pPr>
    <w:rPr>
      <w:rFonts w:ascii="宋体" w:hAnsi="宋体"/>
      <w:sz w:val="24"/>
      <w:szCs w:val="24"/>
      <w:lang w:val="zh-CN"/>
    </w:rPr>
  </w:style>
  <w:style w:type="paragraph" w:customStyle="1" w:styleId="228">
    <w:name w:val="正文11"/>
    <w:basedOn w:val="1"/>
    <w:qFormat/>
    <w:uiPriority w:val="0"/>
    <w:pPr>
      <w:adjustRightInd w:val="0"/>
      <w:spacing w:before="120" w:after="120" w:line="360" w:lineRule="auto"/>
      <w:ind w:firstLine="539"/>
    </w:pPr>
    <w:rPr>
      <w:rFonts w:hint="eastAsia" w:ascii="宋体" w:hAnsi="宋体"/>
      <w:kern w:val="0"/>
      <w:sz w:val="28"/>
      <w:szCs w:val="24"/>
    </w:rPr>
  </w:style>
  <w:style w:type="paragraph" w:customStyle="1" w:styleId="229">
    <w:name w:val="表题"/>
    <w:basedOn w:val="1"/>
    <w:qFormat/>
    <w:uiPriority w:val="0"/>
    <w:pPr>
      <w:autoSpaceDE w:val="0"/>
      <w:autoSpaceDN w:val="0"/>
      <w:adjustRightInd w:val="0"/>
      <w:spacing w:line="480" w:lineRule="atLeast"/>
      <w:jc w:val="center"/>
      <w:textAlignment w:val="baseline"/>
    </w:pPr>
    <w:rPr>
      <w:rFonts w:ascii="黑体" w:eastAsia="黑体"/>
      <w:kern w:val="16"/>
      <w:szCs w:val="20"/>
    </w:rPr>
  </w:style>
  <w:style w:type="character" w:customStyle="1" w:styleId="230">
    <w:name w:val="Char Char5"/>
    <w:qFormat/>
    <w:uiPriority w:val="0"/>
    <w:rPr>
      <w:rFonts w:eastAsia="宋体"/>
      <w:kern w:val="2"/>
      <w:sz w:val="18"/>
      <w:szCs w:val="18"/>
      <w:lang w:val="en-US" w:eastAsia="zh-CN" w:bidi="ar-SA"/>
    </w:rPr>
  </w:style>
  <w:style w:type="paragraph" w:customStyle="1" w:styleId="231">
    <w:name w:val="Char Char Char Char Char Char Char"/>
    <w:basedOn w:val="1"/>
    <w:qFormat/>
    <w:uiPriority w:val="0"/>
    <w:rPr>
      <w:szCs w:val="24"/>
    </w:rPr>
  </w:style>
  <w:style w:type="paragraph" w:customStyle="1" w:styleId="232">
    <w:name w:val="Char Char Char Char Char Char Char3"/>
    <w:basedOn w:val="1"/>
    <w:qFormat/>
    <w:uiPriority w:val="0"/>
    <w:rPr>
      <w:szCs w:val="24"/>
    </w:rPr>
  </w:style>
  <w:style w:type="paragraph" w:customStyle="1" w:styleId="233">
    <w:name w:val="4"/>
    <w:basedOn w:val="1"/>
    <w:next w:val="3"/>
    <w:qFormat/>
    <w:uiPriority w:val="0"/>
    <w:pPr>
      <w:spacing w:after="120"/>
      <w:ind w:left="420" w:leftChars="200"/>
    </w:pPr>
    <w:rPr>
      <w:szCs w:val="24"/>
    </w:rPr>
  </w:style>
  <w:style w:type="character" w:customStyle="1" w:styleId="234">
    <w:name w:val="标题 1 Char"/>
    <w:qFormat/>
    <w:uiPriority w:val="0"/>
    <w:rPr>
      <w:rFonts w:eastAsia="宋体"/>
      <w:b/>
      <w:bCs/>
      <w:kern w:val="44"/>
      <w:sz w:val="28"/>
      <w:szCs w:val="44"/>
      <w:lang w:val="en-US" w:eastAsia="zh-CN" w:bidi="ar-SA"/>
    </w:rPr>
  </w:style>
  <w:style w:type="character" w:customStyle="1" w:styleId="235">
    <w:name w:val="news_c_da1"/>
    <w:qFormat/>
    <w:uiPriority w:val="0"/>
    <w:rPr>
      <w:rFonts w:hint="default" w:ascii="ˎ̥" w:hAnsi="ˎ̥"/>
      <w:b/>
      <w:bCs/>
      <w:color w:val="000000"/>
      <w:sz w:val="24"/>
      <w:szCs w:val="24"/>
    </w:rPr>
  </w:style>
  <w:style w:type="character" w:customStyle="1" w:styleId="236">
    <w:name w:val="标题1"/>
    <w:qFormat/>
    <w:uiPriority w:val="0"/>
  </w:style>
  <w:style w:type="character" w:customStyle="1" w:styleId="237">
    <w:name w:val="zhenwen141"/>
    <w:qFormat/>
    <w:uiPriority w:val="0"/>
    <w:rPr>
      <w:rFonts w:hint="default" w:ascii="ˎ̥" w:hAnsi="ˎ̥"/>
      <w:sz w:val="21"/>
      <w:szCs w:val="21"/>
    </w:rPr>
  </w:style>
  <w:style w:type="paragraph" w:customStyle="1" w:styleId="238">
    <w:name w:val="正文（首行缩进两字）"/>
    <w:basedOn w:val="1"/>
    <w:qFormat/>
    <w:uiPriority w:val="0"/>
    <w:pPr>
      <w:widowControl/>
      <w:spacing w:line="351" w:lineRule="atLeast"/>
      <w:ind w:firstLine="419"/>
      <w:textAlignment w:val="baseline"/>
    </w:pPr>
    <w:rPr>
      <w:color w:val="000000"/>
      <w:kern w:val="0"/>
      <w:szCs w:val="20"/>
      <w:u w:color="000000"/>
    </w:rPr>
  </w:style>
  <w:style w:type="paragraph" w:customStyle="1" w:styleId="239">
    <w:name w:val="WPS Plain"/>
    <w:qFormat/>
    <w:uiPriority w:val="0"/>
    <w:rPr>
      <w:rFonts w:ascii="Times New Roman" w:hAnsi="Times New Roman" w:eastAsia="宋体" w:cs="Times New Roman"/>
      <w:lang w:val="en-US" w:eastAsia="zh-CN" w:bidi="ar-SA"/>
    </w:rPr>
  </w:style>
  <w:style w:type="character" w:customStyle="1" w:styleId="240">
    <w:name w:val="正文文本 3 字符2"/>
    <w:link w:val="26"/>
    <w:qFormat/>
    <w:uiPriority w:val="0"/>
    <w:rPr>
      <w:kern w:val="2"/>
      <w:sz w:val="18"/>
      <w:szCs w:val="18"/>
    </w:rPr>
  </w:style>
  <w:style w:type="character" w:customStyle="1" w:styleId="241">
    <w:name w:val="正文文本 3 字符"/>
    <w:qFormat/>
    <w:uiPriority w:val="0"/>
    <w:rPr>
      <w:rFonts w:ascii="Times New Roman" w:hAnsi="Times New Roman"/>
      <w:kern w:val="2"/>
      <w:sz w:val="16"/>
      <w:szCs w:val="16"/>
    </w:rPr>
  </w:style>
  <w:style w:type="character" w:customStyle="1" w:styleId="242">
    <w:name w:val="正文文本 3 Char1"/>
    <w:qFormat/>
    <w:uiPriority w:val="0"/>
    <w:rPr>
      <w:kern w:val="2"/>
      <w:sz w:val="16"/>
      <w:szCs w:val="16"/>
    </w:rPr>
  </w:style>
  <w:style w:type="character" w:customStyle="1" w:styleId="243">
    <w:name w:val="Char Char6"/>
    <w:qFormat/>
    <w:uiPriority w:val="0"/>
    <w:rPr>
      <w:rFonts w:ascii="Times New Roman" w:hAnsi="Times New Roman" w:eastAsia="宋体" w:cs="Times New Roman"/>
      <w:sz w:val="18"/>
      <w:szCs w:val="18"/>
    </w:rPr>
  </w:style>
  <w:style w:type="character" w:customStyle="1" w:styleId="244">
    <w:name w:val="TOC 3 字符1"/>
    <w:link w:val="33"/>
    <w:qFormat/>
    <w:uiPriority w:val="39"/>
    <w:rPr>
      <w:i/>
      <w:iCs/>
      <w:kern w:val="2"/>
      <w:lang w:val="zh-CN" w:eastAsia="zh-CN"/>
    </w:rPr>
  </w:style>
  <w:style w:type="paragraph" w:customStyle="1" w:styleId="245">
    <w:name w:val="EIA4"/>
    <w:basedOn w:val="1"/>
    <w:next w:val="1"/>
    <w:qFormat/>
    <w:uiPriority w:val="0"/>
    <w:pPr>
      <w:spacing w:line="560" w:lineRule="exact"/>
      <w:ind w:firstLine="482" w:firstLineChars="200"/>
    </w:pPr>
    <w:rPr>
      <w:rFonts w:ascii="宋体" w:hAnsi="宋体"/>
      <w:b/>
      <w:sz w:val="24"/>
      <w:szCs w:val="24"/>
    </w:rPr>
  </w:style>
  <w:style w:type="paragraph" w:customStyle="1" w:styleId="246">
    <w:name w:val="标题11"/>
    <w:basedOn w:val="7"/>
    <w:qFormat/>
    <w:uiPriority w:val="0"/>
    <w:pPr>
      <w:spacing w:before="340" w:beforeLines="0" w:after="330" w:line="578" w:lineRule="auto"/>
      <w:jc w:val="center"/>
    </w:pPr>
    <w:rPr>
      <w:bCs w:val="0"/>
      <w:szCs w:val="20"/>
      <w:lang w:val="zh-CN"/>
    </w:rPr>
  </w:style>
  <w:style w:type="paragraph" w:customStyle="1" w:styleId="247">
    <w:name w:val="标题二"/>
    <w:basedOn w:val="8"/>
    <w:qFormat/>
    <w:uiPriority w:val="0"/>
    <w:pPr>
      <w:spacing w:before="240" w:after="240" w:line="360" w:lineRule="auto"/>
    </w:pPr>
    <w:rPr>
      <w:rFonts w:ascii="宋体" w:hAnsi="宋体"/>
      <w:bCs w:val="0"/>
      <w:szCs w:val="20"/>
    </w:rPr>
  </w:style>
  <w:style w:type="paragraph" w:customStyle="1" w:styleId="248">
    <w:name w:val="标题三"/>
    <w:basedOn w:val="1"/>
    <w:qFormat/>
    <w:uiPriority w:val="0"/>
    <w:pPr>
      <w:keepNext/>
      <w:spacing w:before="240" w:after="240" w:line="360" w:lineRule="auto"/>
      <w:jc w:val="left"/>
      <w:outlineLvl w:val="2"/>
    </w:pPr>
    <w:rPr>
      <w:rFonts w:ascii="宋体" w:hAnsi="宋体"/>
      <w:b/>
      <w:sz w:val="28"/>
      <w:szCs w:val="28"/>
    </w:rPr>
  </w:style>
  <w:style w:type="character" w:customStyle="1" w:styleId="249">
    <w:name w:val="正文一 Char1"/>
    <w:qFormat/>
    <w:uiPriority w:val="0"/>
    <w:rPr>
      <w:rFonts w:eastAsia="宋体"/>
      <w:sz w:val="21"/>
      <w:lang w:val="en-US" w:eastAsia="zh-CN" w:bidi="ar-SA"/>
    </w:rPr>
  </w:style>
  <w:style w:type="paragraph" w:customStyle="1" w:styleId="250">
    <w:name w:val="TOC 标题1"/>
    <w:basedOn w:val="7"/>
    <w:next w:val="1"/>
    <w:qFormat/>
    <w:uiPriority w:val="39"/>
    <w:pPr>
      <w:widowControl/>
      <w:spacing w:before="480" w:beforeLines="0" w:line="276" w:lineRule="auto"/>
      <w:jc w:val="left"/>
      <w:outlineLvl w:val="9"/>
    </w:pPr>
    <w:rPr>
      <w:rFonts w:ascii="Cambria" w:hAnsi="Cambria"/>
      <w:color w:val="365F91"/>
      <w:kern w:val="0"/>
      <w:sz w:val="28"/>
      <w:szCs w:val="28"/>
      <w:lang w:val="zh-CN"/>
    </w:rPr>
  </w:style>
  <w:style w:type="paragraph" w:customStyle="1" w:styleId="251">
    <w:name w:val="EIA表头"/>
    <w:basedOn w:val="1"/>
    <w:qFormat/>
    <w:uiPriority w:val="0"/>
    <w:pPr>
      <w:ind w:firstLine="503" w:firstLineChars="196"/>
    </w:pPr>
    <w:rPr>
      <w:rFonts w:eastAsia="仿宋_GB2312"/>
      <w:sz w:val="28"/>
      <w:szCs w:val="20"/>
    </w:rPr>
  </w:style>
  <w:style w:type="character" w:customStyle="1" w:styleId="252">
    <w:name w:val="unnamed1"/>
    <w:qFormat/>
    <w:uiPriority w:val="0"/>
  </w:style>
  <w:style w:type="paragraph" w:customStyle="1" w:styleId="253">
    <w:name w:val="报告书正文"/>
    <w:basedOn w:val="1"/>
    <w:link w:val="446"/>
    <w:qFormat/>
    <w:uiPriority w:val="0"/>
    <w:pPr>
      <w:adjustRightInd w:val="0"/>
      <w:snapToGrid w:val="0"/>
      <w:spacing w:line="360" w:lineRule="atLeast"/>
      <w:ind w:firstLine="425"/>
      <w:textAlignment w:val="baseline"/>
    </w:pPr>
    <w:rPr>
      <w:kern w:val="0"/>
      <w:sz w:val="24"/>
      <w:szCs w:val="20"/>
      <w:lang w:val="zh-CN"/>
    </w:rPr>
  </w:style>
  <w:style w:type="character" w:customStyle="1" w:styleId="254">
    <w:name w:val="批注主题 字符1"/>
    <w:qFormat/>
    <w:uiPriority w:val="0"/>
    <w:rPr>
      <w:rFonts w:ascii="Times New Roman" w:hAnsi="Times New Roman"/>
      <w:b/>
      <w:bCs/>
      <w:kern w:val="2"/>
      <w:sz w:val="21"/>
      <w:szCs w:val="24"/>
      <w:lang w:val="zh-CN" w:eastAsia="zh-CN"/>
    </w:rPr>
  </w:style>
  <w:style w:type="character" w:customStyle="1" w:styleId="255">
    <w:name w:val="Char Char10"/>
    <w:qFormat/>
    <w:uiPriority w:val="0"/>
    <w:rPr>
      <w:rFonts w:ascii="宋体" w:hAnsi="宋体" w:eastAsia="宋体"/>
      <w:b/>
      <w:bCs/>
      <w:kern w:val="44"/>
      <w:sz w:val="44"/>
      <w:szCs w:val="44"/>
      <w:lang w:val="en-US" w:eastAsia="zh-CN" w:bidi="ar-SA"/>
    </w:rPr>
  </w:style>
  <w:style w:type="character" w:customStyle="1" w:styleId="256">
    <w:name w:val="节 Char Char"/>
    <w:qFormat/>
    <w:uiPriority w:val="0"/>
    <w:rPr>
      <w:rFonts w:ascii="Arial" w:hAnsi="Arial" w:eastAsia="黑体"/>
      <w:b/>
      <w:bCs/>
      <w:kern w:val="2"/>
      <w:sz w:val="32"/>
      <w:szCs w:val="32"/>
      <w:lang w:val="en-US" w:eastAsia="zh-CN" w:bidi="ar-SA"/>
    </w:rPr>
  </w:style>
  <w:style w:type="paragraph" w:customStyle="1" w:styleId="257">
    <w:name w:val="Char5"/>
    <w:basedOn w:val="1"/>
    <w:qFormat/>
    <w:uiPriority w:val="0"/>
    <w:rPr>
      <w:szCs w:val="24"/>
    </w:rPr>
  </w:style>
  <w:style w:type="paragraph" w:customStyle="1" w:styleId="258">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sz w:val="24"/>
      <w:szCs w:val="24"/>
    </w:rPr>
  </w:style>
  <w:style w:type="character" w:customStyle="1" w:styleId="259">
    <w:name w:val="批注框文本 字符1"/>
    <w:qFormat/>
    <w:uiPriority w:val="0"/>
    <w:rPr>
      <w:rFonts w:eastAsia="宋体"/>
      <w:kern w:val="2"/>
      <w:sz w:val="18"/>
      <w:szCs w:val="18"/>
      <w:lang w:val="zh-CN" w:eastAsia="zh-CN" w:bidi="ar-SA"/>
    </w:rPr>
  </w:style>
  <w:style w:type="character" w:customStyle="1" w:styleId="260">
    <w:name w:val="lh131"/>
    <w:qFormat/>
    <w:uiPriority w:val="0"/>
  </w:style>
  <w:style w:type="paragraph" w:customStyle="1" w:styleId="261">
    <w:name w:val="样式2"/>
    <w:basedOn w:val="1"/>
    <w:link w:val="396"/>
    <w:qFormat/>
    <w:uiPriority w:val="0"/>
    <w:pPr>
      <w:pBdr>
        <w:top w:val="thickThinSmallGap" w:color="auto" w:sz="24" w:space="1"/>
        <w:left w:val="thickThinSmallGap" w:color="auto" w:sz="24" w:space="4"/>
        <w:bottom w:val="thinThickSmallGap" w:color="auto" w:sz="24" w:space="1"/>
        <w:right w:val="thinThickSmallGap" w:color="auto" w:sz="24" w:space="4"/>
      </w:pBdr>
    </w:pPr>
    <w:rPr>
      <w:szCs w:val="20"/>
    </w:rPr>
  </w:style>
  <w:style w:type="paragraph" w:customStyle="1" w:styleId="262">
    <w:name w:val="样式3"/>
    <w:basedOn w:val="1"/>
    <w:link w:val="263"/>
    <w:qFormat/>
    <w:uiPriority w:val="0"/>
    <w:pPr>
      <w:pBdr>
        <w:top w:val="thickThinSmallGap" w:color="000000" w:sz="18" w:space="1"/>
        <w:left w:val="thickThinSmallGap" w:color="000000" w:sz="18" w:space="4"/>
        <w:bottom w:val="thinThickSmallGap" w:color="000000" w:sz="18" w:space="1"/>
        <w:right w:val="thinThickSmallGap" w:color="000000" w:sz="18" w:space="4"/>
      </w:pBdr>
    </w:pPr>
    <w:rPr>
      <w:szCs w:val="20"/>
      <w:lang w:val="zh-CN"/>
    </w:rPr>
  </w:style>
  <w:style w:type="character" w:customStyle="1" w:styleId="263">
    <w:name w:val="样式3 Char"/>
    <w:link w:val="262"/>
    <w:qFormat/>
    <w:uiPriority w:val="0"/>
    <w:rPr>
      <w:rFonts w:ascii="Times New Roman" w:hAnsi="Times New Roman"/>
      <w:kern w:val="2"/>
      <w:sz w:val="21"/>
      <w:lang w:val="zh-CN" w:eastAsia="zh-CN"/>
    </w:rPr>
  </w:style>
  <w:style w:type="paragraph" w:customStyle="1" w:styleId="264">
    <w:name w:val="样式4"/>
    <w:basedOn w:val="1"/>
    <w:link w:val="569"/>
    <w:qFormat/>
    <w:uiPriority w:val="0"/>
    <w:pPr>
      <w:pBdr>
        <w:top w:val="single" w:color="auto" w:sz="4" w:space="1"/>
      </w:pBdr>
    </w:pPr>
    <w:rPr>
      <w:szCs w:val="20"/>
    </w:rPr>
  </w:style>
  <w:style w:type="paragraph" w:customStyle="1" w:styleId="265">
    <w:name w:val="样式6"/>
    <w:basedOn w:val="39"/>
    <w:qFormat/>
    <w:uiPriority w:val="0"/>
    <w:pPr>
      <w:pBdr>
        <w:top w:val="thickThinSmallGap" w:color="auto" w:sz="12" w:space="1"/>
      </w:pBdr>
    </w:pPr>
    <w:rPr>
      <w:lang w:val="zh-CN"/>
    </w:rPr>
  </w:style>
  <w:style w:type="paragraph" w:customStyle="1" w:styleId="266">
    <w:name w:val="Char Char Char Char"/>
    <w:basedOn w:val="1"/>
    <w:qFormat/>
    <w:uiPriority w:val="0"/>
    <w:rPr>
      <w:szCs w:val="24"/>
    </w:rPr>
  </w:style>
  <w:style w:type="paragraph" w:customStyle="1" w:styleId="267">
    <w:name w:val="样式 正文hks + 首行缩进:  2 字符"/>
    <w:basedOn w:val="102"/>
    <w:link w:val="268"/>
    <w:qFormat/>
    <w:uiPriority w:val="0"/>
    <w:pPr>
      <w:ind w:firstLine="480"/>
    </w:pPr>
    <w:rPr>
      <w:szCs w:val="20"/>
      <w:lang w:val="zh-CN"/>
    </w:rPr>
  </w:style>
  <w:style w:type="character" w:customStyle="1" w:styleId="268">
    <w:name w:val="样式 正文hks + 首行缩进:  2 字符 Char"/>
    <w:link w:val="267"/>
    <w:qFormat/>
    <w:uiPriority w:val="0"/>
    <w:rPr>
      <w:rFonts w:ascii="Times New Roman" w:hAnsi="Times New Roman"/>
      <w:kern w:val="2"/>
      <w:sz w:val="24"/>
      <w:lang w:val="zh-CN" w:eastAsia="zh-CN"/>
    </w:rPr>
  </w:style>
  <w:style w:type="paragraph" w:customStyle="1" w:styleId="269">
    <w:name w:val="标题3x"/>
    <w:basedOn w:val="9"/>
    <w:next w:val="99"/>
    <w:qFormat/>
    <w:uiPriority w:val="0"/>
    <w:pPr>
      <w:snapToGrid w:val="0"/>
      <w:spacing w:before="50" w:beforeLines="50" w:after="0" w:line="360" w:lineRule="auto"/>
    </w:pPr>
    <w:rPr>
      <w:rFonts w:eastAsia="黑体"/>
      <w:b w:val="0"/>
      <w:sz w:val="24"/>
      <w:szCs w:val="24"/>
    </w:rPr>
  </w:style>
  <w:style w:type="paragraph" w:customStyle="1" w:styleId="270">
    <w:name w:val="默认段落字体 Para Char"/>
    <w:basedOn w:val="1"/>
    <w:qFormat/>
    <w:uiPriority w:val="0"/>
    <w:rPr>
      <w:sz w:val="24"/>
      <w:szCs w:val="24"/>
    </w:rPr>
  </w:style>
  <w:style w:type="character" w:customStyle="1" w:styleId="271">
    <w:name w:val="px141"/>
    <w:qFormat/>
    <w:uiPriority w:val="0"/>
    <w:rPr>
      <w:rFonts w:hint="default" w:ascii="ˎ̥" w:hAnsi="ˎ̥"/>
      <w:sz w:val="21"/>
      <w:szCs w:val="21"/>
    </w:rPr>
  </w:style>
  <w:style w:type="paragraph" w:customStyle="1" w:styleId="272">
    <w:name w:val="标题 2x"/>
    <w:next w:val="99"/>
    <w:link w:val="273"/>
    <w:qFormat/>
    <w:uiPriority w:val="0"/>
    <w:pPr>
      <w:spacing w:before="50" w:beforeLines="50" w:line="360" w:lineRule="auto"/>
      <w:outlineLvl w:val="1"/>
    </w:pPr>
    <w:rPr>
      <w:rFonts w:ascii="Times New Roman" w:hAnsi="Times New Roman" w:eastAsia="黑体" w:cs="Times New Roman"/>
      <w:color w:val="000000"/>
      <w:kern w:val="2"/>
      <w:sz w:val="28"/>
      <w:szCs w:val="32"/>
      <w:lang w:val="en-US" w:eastAsia="zh-CN" w:bidi="ar-SA"/>
    </w:rPr>
  </w:style>
  <w:style w:type="character" w:customStyle="1" w:styleId="273">
    <w:name w:val="标题 2x Char"/>
    <w:link w:val="272"/>
    <w:qFormat/>
    <w:uiPriority w:val="0"/>
    <w:rPr>
      <w:rFonts w:ascii="Times New Roman" w:hAnsi="Times New Roman" w:eastAsia="黑体"/>
      <w:color w:val="000000"/>
      <w:kern w:val="2"/>
      <w:sz w:val="28"/>
      <w:szCs w:val="32"/>
    </w:rPr>
  </w:style>
  <w:style w:type="paragraph" w:customStyle="1" w:styleId="274">
    <w:name w:val="Char Char Char Char Char Char Char Char Char Char1"/>
    <w:basedOn w:val="1"/>
    <w:qFormat/>
    <w:uiPriority w:val="0"/>
    <w:rPr>
      <w:rFonts w:ascii="宋体" w:hAnsi="宋体"/>
      <w:szCs w:val="24"/>
    </w:rPr>
  </w:style>
  <w:style w:type="paragraph" w:customStyle="1" w:styleId="275">
    <w:name w:val="标题3x + 段前: 0.3 行"/>
    <w:basedOn w:val="269"/>
    <w:qFormat/>
    <w:uiPriority w:val="0"/>
    <w:pPr>
      <w:snapToGrid/>
      <w:spacing w:before="93" w:beforeLines="30"/>
    </w:pPr>
    <w:rPr>
      <w:lang w:val="zh-CN"/>
    </w:rPr>
  </w:style>
  <w:style w:type="paragraph" w:customStyle="1" w:styleId="276">
    <w:name w:val="3 Char"/>
    <w:basedOn w:val="1"/>
    <w:next w:val="1"/>
    <w:qFormat/>
    <w:uiPriority w:val="0"/>
    <w:pPr>
      <w:spacing w:line="360" w:lineRule="auto"/>
      <w:ind w:firstLine="200" w:firstLineChars="200"/>
    </w:pPr>
    <w:rPr>
      <w:rFonts w:ascii="宋体" w:hAnsi="宋体" w:eastAsia="汉鼎简书宋" w:cs="宋体"/>
      <w:sz w:val="24"/>
      <w:szCs w:val="24"/>
    </w:rPr>
  </w:style>
  <w:style w:type="character" w:customStyle="1" w:styleId="277">
    <w:name w:val="样式 样式 正文x + 首行缩进:  2 字符2 + 首行缩进:  2 字符 Char"/>
    <w:qFormat/>
    <w:uiPriority w:val="0"/>
    <w:rPr>
      <w:rFonts w:eastAsia="宋体" w:cs="宋体"/>
      <w:kern w:val="24"/>
      <w:sz w:val="24"/>
      <w:lang w:val="zh-CN" w:eastAsia="zh-CN" w:bidi="he-IL"/>
    </w:rPr>
  </w:style>
  <w:style w:type="paragraph" w:customStyle="1" w:styleId="278">
    <w:name w:val="封面标准号2"/>
    <w:qFormat/>
    <w:uiPriority w:val="0"/>
    <w:pPr>
      <w:spacing w:before="357" w:line="280" w:lineRule="exact"/>
      <w:jc w:val="right"/>
    </w:pPr>
    <w:rPr>
      <w:rFonts w:ascii="黑体" w:hAnsi="Times New Roman" w:eastAsia="黑体" w:cs="Times New Roman"/>
      <w:sz w:val="28"/>
      <w:szCs w:val="28"/>
      <w:lang w:val="en-US" w:eastAsia="zh-CN" w:bidi="ar-SA"/>
    </w:rPr>
  </w:style>
  <w:style w:type="paragraph" w:customStyle="1" w:styleId="279">
    <w:name w:val="表内式样"/>
    <w:link w:val="280"/>
    <w:qFormat/>
    <w:uiPriority w:val="0"/>
    <w:pPr>
      <w:widowControl w:val="0"/>
      <w:kinsoku w:val="0"/>
      <w:adjustRightInd w:val="0"/>
      <w:spacing w:line="360" w:lineRule="atLeast"/>
      <w:jc w:val="both"/>
      <w:textAlignment w:val="baseline"/>
    </w:pPr>
    <w:rPr>
      <w:rFonts w:ascii="宋体" w:hAnsi="Times New Roman" w:eastAsia="宋体" w:cs="Times New Roman"/>
      <w:snapToGrid w:val="0"/>
      <w:sz w:val="21"/>
      <w:lang w:val="en-US" w:eastAsia="zh-CN" w:bidi="ar-SA"/>
    </w:rPr>
  </w:style>
  <w:style w:type="character" w:customStyle="1" w:styleId="280">
    <w:name w:val="表内式样 Char1"/>
    <w:link w:val="279"/>
    <w:qFormat/>
    <w:uiPriority w:val="0"/>
    <w:rPr>
      <w:rFonts w:ascii="宋体" w:hAnsi="Times New Roman"/>
      <w:snapToGrid w:val="0"/>
      <w:sz w:val="21"/>
    </w:rPr>
  </w:style>
  <w:style w:type="paragraph" w:customStyle="1" w:styleId="281">
    <w:name w:val="表格正文"/>
    <w:link w:val="398"/>
    <w:qFormat/>
    <w:uiPriority w:val="0"/>
    <w:pPr>
      <w:widowControl w:val="0"/>
      <w:spacing w:line="320" w:lineRule="exact"/>
      <w:jc w:val="center"/>
    </w:pPr>
    <w:rPr>
      <w:rFonts w:ascii="宋体" w:hAnsi="宋体" w:eastAsia="宋体" w:cs="Times New Roman"/>
      <w:kern w:val="2"/>
      <w:sz w:val="21"/>
      <w:lang w:val="en-US" w:eastAsia="zh-CN" w:bidi="ar-SA"/>
    </w:rPr>
  </w:style>
  <w:style w:type="character" w:customStyle="1" w:styleId="282">
    <w:name w:val="表格正文1 Char Char"/>
    <w:qFormat/>
    <w:uiPriority w:val="0"/>
    <w:rPr>
      <w:rFonts w:eastAsia="宋体" w:cs="宋体"/>
      <w:spacing w:val="-4"/>
      <w:kern w:val="2"/>
      <w:sz w:val="18"/>
      <w:szCs w:val="18"/>
      <w:lang w:val="en-US" w:eastAsia="zh-CN" w:bidi="ar-SA"/>
    </w:rPr>
  </w:style>
  <w:style w:type="table" w:customStyle="1" w:styleId="283">
    <w:name w:val="表格样式1"/>
    <w:basedOn w:val="59"/>
    <w:semiHidden/>
    <w:qFormat/>
    <w:uiPriority w:val="0"/>
    <w:pPr>
      <w:widowControl w:val="0"/>
      <w:jc w:val="both"/>
    </w:pPr>
    <w:tblPr>
      <w:tblBorders>
        <w:top w:val="single" w:color="auto" w:sz="12" w:space="0"/>
        <w:bottom w:val="single" w:color="auto" w:sz="12" w:space="0"/>
        <w:insideH w:val="single" w:color="auto" w:sz="4" w:space="0"/>
        <w:insideV w:val="single" w:color="auto" w:sz="4" w:space="0"/>
      </w:tblBorders>
    </w:tblPr>
  </w:style>
  <w:style w:type="paragraph" w:customStyle="1" w:styleId="284">
    <w:name w:val="流程文字"/>
    <w:basedOn w:val="1"/>
    <w:link w:val="1066"/>
    <w:qFormat/>
    <w:uiPriority w:val="0"/>
    <w:pPr>
      <w:tabs>
        <w:tab w:val="left" w:pos="6480"/>
      </w:tabs>
      <w:topLinePunct/>
      <w:adjustRightInd w:val="0"/>
      <w:snapToGrid w:val="0"/>
      <w:jc w:val="center"/>
    </w:pPr>
    <w:rPr>
      <w:rFonts w:eastAsia="仿宋_GB2312"/>
      <w:szCs w:val="20"/>
      <w:lang w:val="zh-CN"/>
    </w:rPr>
  </w:style>
  <w:style w:type="paragraph" w:customStyle="1" w:styleId="285">
    <w:name w:val="宋 小四 1.5倍行距"/>
    <w:basedOn w:val="1"/>
    <w:qFormat/>
    <w:uiPriority w:val="0"/>
    <w:pPr>
      <w:spacing w:line="360" w:lineRule="auto"/>
      <w:ind w:firstLine="200" w:firstLineChars="200"/>
    </w:pPr>
    <w:rPr>
      <w:sz w:val="24"/>
      <w:szCs w:val="24"/>
    </w:rPr>
  </w:style>
  <w:style w:type="paragraph" w:customStyle="1" w:styleId="286">
    <w:name w:val="样式 表名 + 首行缩进:  2 字符"/>
    <w:basedOn w:val="1"/>
    <w:qFormat/>
    <w:uiPriority w:val="0"/>
    <w:pPr>
      <w:widowControl/>
      <w:autoSpaceDE w:val="0"/>
      <w:autoSpaceDN w:val="0"/>
      <w:spacing w:line="490" w:lineRule="exact"/>
      <w:ind w:firstLine="361" w:firstLineChars="200"/>
      <w:jc w:val="center"/>
    </w:pPr>
    <w:rPr>
      <w:rFonts w:eastAsia="黑体" w:cs="宋体"/>
      <w:bCs/>
      <w:kern w:val="0"/>
      <w:sz w:val="18"/>
      <w:szCs w:val="24"/>
    </w:rPr>
  </w:style>
  <w:style w:type="paragraph" w:customStyle="1" w:styleId="287">
    <w:name w:val="段"/>
    <w:basedOn w:val="1"/>
    <w:link w:val="288"/>
    <w:qFormat/>
    <w:uiPriority w:val="0"/>
    <w:pPr>
      <w:ind w:firstLine="200" w:firstLineChars="200"/>
      <w:jc w:val="left"/>
    </w:pPr>
    <w:rPr>
      <w:rFonts w:ascii="宋体"/>
      <w:sz w:val="24"/>
      <w:szCs w:val="24"/>
      <w:lang w:val="zh-CN"/>
    </w:rPr>
  </w:style>
  <w:style w:type="character" w:customStyle="1" w:styleId="288">
    <w:name w:val="段 Char"/>
    <w:link w:val="287"/>
    <w:qFormat/>
    <w:uiPriority w:val="0"/>
    <w:rPr>
      <w:rFonts w:ascii="宋体" w:hAnsi="Times New Roman"/>
      <w:kern w:val="2"/>
      <w:sz w:val="24"/>
      <w:szCs w:val="24"/>
      <w:lang w:val="zh-CN" w:eastAsia="zh-CN"/>
    </w:rPr>
  </w:style>
  <w:style w:type="paragraph" w:customStyle="1" w:styleId="289">
    <w:name w:val="T正文"/>
    <w:qFormat/>
    <w:uiPriority w:val="0"/>
    <w:pPr>
      <w:widowControl w:val="0"/>
      <w:adjustRightInd w:val="0"/>
      <w:snapToGrid w:val="0"/>
      <w:spacing w:line="400" w:lineRule="exact"/>
      <w:ind w:firstLine="200" w:firstLineChars="200"/>
      <w:jc w:val="both"/>
    </w:pPr>
    <w:rPr>
      <w:rFonts w:ascii="Times New Roman" w:hAnsi="Times New Roman" w:eastAsia="宋体" w:cs="Times New Roman"/>
      <w:sz w:val="24"/>
      <w:lang w:val="en-US" w:eastAsia="zh-CN" w:bidi="ar-SA"/>
    </w:rPr>
  </w:style>
  <w:style w:type="paragraph" w:customStyle="1" w:styleId="290">
    <w:name w:val="正文小四"/>
    <w:link w:val="291"/>
    <w:qFormat/>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 w:type="character" w:customStyle="1" w:styleId="291">
    <w:name w:val="正文小四 Char"/>
    <w:link w:val="290"/>
    <w:qFormat/>
    <w:uiPriority w:val="0"/>
    <w:rPr>
      <w:rFonts w:ascii="Times New Roman" w:hAnsi="Times New Roman"/>
      <w:kern w:val="2"/>
      <w:sz w:val="24"/>
      <w:szCs w:val="24"/>
    </w:rPr>
  </w:style>
  <w:style w:type="paragraph" w:customStyle="1" w:styleId="292">
    <w:name w:val="reader-word-layer reader-word-s1-2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93">
    <w:name w:val="样式 EIA3 + Times New Roman 段前: 0.2 行 段后: 0.2 行1"/>
    <w:basedOn w:val="1"/>
    <w:qFormat/>
    <w:uiPriority w:val="0"/>
    <w:pPr>
      <w:keepNext/>
      <w:jc w:val="left"/>
      <w:outlineLvl w:val="2"/>
    </w:pPr>
    <w:rPr>
      <w:b/>
      <w:bCs/>
      <w:sz w:val="24"/>
      <w:szCs w:val="24"/>
    </w:rPr>
  </w:style>
  <w:style w:type="paragraph" w:customStyle="1" w:styleId="294">
    <w:name w:val="表样式1"/>
    <w:basedOn w:val="1"/>
    <w:qFormat/>
    <w:uiPriority w:val="0"/>
    <w:pPr>
      <w:spacing w:line="240" w:lineRule="exact"/>
      <w:jc w:val="center"/>
    </w:pPr>
    <w:rPr>
      <w:color w:val="0000FF"/>
      <w:szCs w:val="21"/>
    </w:rPr>
  </w:style>
  <w:style w:type="character" w:customStyle="1" w:styleId="295">
    <w:name w:val="px14"/>
    <w:qFormat/>
    <w:uiPriority w:val="0"/>
  </w:style>
  <w:style w:type="paragraph" w:customStyle="1" w:styleId="296">
    <w:name w:val="reader-word-layer reader-word-s1-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97">
    <w:name w:val="reader-word-layer reader-word-s1-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98">
    <w:name w:val="reader-word-layer reader-word-s1-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99">
    <w:name w:val="reader-word-layer reader-word-s1-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00">
    <w:name w:val="Char Char Char Char Char Char Char Char Char Char"/>
    <w:basedOn w:val="1"/>
    <w:semiHidden/>
    <w:qFormat/>
    <w:uiPriority w:val="0"/>
    <w:pPr>
      <w:tabs>
        <w:tab w:val="left" w:pos="864"/>
      </w:tabs>
      <w:snapToGrid w:val="0"/>
      <w:spacing w:line="360" w:lineRule="auto"/>
      <w:ind w:left="864" w:hanging="264"/>
    </w:pPr>
    <w:rPr>
      <w:rFonts w:eastAsia="仿宋_GB2312" w:cs="宋体"/>
      <w:sz w:val="24"/>
      <w:szCs w:val="24"/>
    </w:rPr>
  </w:style>
  <w:style w:type="paragraph" w:customStyle="1" w:styleId="301">
    <w:name w:val="环评正文"/>
    <w:basedOn w:val="7"/>
    <w:qFormat/>
    <w:uiPriority w:val="0"/>
    <w:pPr>
      <w:keepNext w:val="0"/>
      <w:keepLines w:val="0"/>
      <w:spacing w:before="60" w:beforeLines="0" w:after="60" w:line="400" w:lineRule="exact"/>
      <w:ind w:firstLine="480" w:firstLineChars="200"/>
      <w:outlineLvl w:val="9"/>
    </w:pPr>
    <w:rPr>
      <w:rFonts w:eastAsia="仿宋_GB2312"/>
      <w:b w:val="0"/>
      <w:sz w:val="24"/>
      <w:szCs w:val="28"/>
      <w:lang w:val="zh-CN"/>
    </w:rPr>
  </w:style>
  <w:style w:type="paragraph" w:customStyle="1" w:styleId="302">
    <w:name w:val="列表段落1"/>
    <w:basedOn w:val="1"/>
    <w:qFormat/>
    <w:uiPriority w:val="0"/>
    <w:pPr>
      <w:ind w:firstLine="420" w:firstLineChars="200"/>
    </w:pPr>
    <w:rPr>
      <w:szCs w:val="20"/>
    </w:rPr>
  </w:style>
  <w:style w:type="character" w:customStyle="1" w:styleId="303">
    <w:name w:val="样式8 Char"/>
    <w:link w:val="304"/>
    <w:qFormat/>
    <w:uiPriority w:val="0"/>
    <w:rPr>
      <w:sz w:val="24"/>
      <w:szCs w:val="24"/>
    </w:rPr>
  </w:style>
  <w:style w:type="paragraph" w:customStyle="1" w:styleId="304">
    <w:name w:val="样式8"/>
    <w:basedOn w:val="1"/>
    <w:link w:val="303"/>
    <w:qFormat/>
    <w:uiPriority w:val="0"/>
    <w:pPr>
      <w:autoSpaceDE w:val="0"/>
      <w:autoSpaceDN w:val="0"/>
      <w:adjustRightInd w:val="0"/>
      <w:spacing w:line="360" w:lineRule="auto"/>
      <w:ind w:firstLine="200" w:firstLineChars="200"/>
    </w:pPr>
    <w:rPr>
      <w:rFonts w:ascii="Calibri" w:hAnsi="Calibri"/>
      <w:kern w:val="0"/>
      <w:sz w:val="24"/>
      <w:szCs w:val="24"/>
    </w:rPr>
  </w:style>
  <w:style w:type="paragraph" w:customStyle="1" w:styleId="305">
    <w:name w:val="注解"/>
    <w:basedOn w:val="1"/>
    <w:qFormat/>
    <w:uiPriority w:val="0"/>
    <w:pPr>
      <w:adjustRightInd w:val="0"/>
      <w:snapToGrid w:val="0"/>
      <w:ind w:left="624" w:right="170" w:hanging="454"/>
    </w:pPr>
    <w:rPr>
      <w:rFonts w:ascii="宋体" w:hAnsi="宋体"/>
      <w:color w:val="000000"/>
      <w:sz w:val="15"/>
      <w:szCs w:val="20"/>
    </w:rPr>
  </w:style>
  <w:style w:type="paragraph" w:customStyle="1" w:styleId="306">
    <w:name w:val="样式 首行缩进:  2 字符"/>
    <w:basedOn w:val="1"/>
    <w:qFormat/>
    <w:uiPriority w:val="0"/>
    <w:pPr>
      <w:spacing w:line="360" w:lineRule="auto"/>
      <w:ind w:firstLine="480" w:firstLineChars="200"/>
    </w:pPr>
    <w:rPr>
      <w:kern w:val="0"/>
      <w:sz w:val="24"/>
      <w:szCs w:val="24"/>
    </w:rPr>
  </w:style>
  <w:style w:type="paragraph" w:customStyle="1" w:styleId="307">
    <w:name w:val="表头"/>
    <w:basedOn w:val="1"/>
    <w:link w:val="397"/>
    <w:qFormat/>
    <w:uiPriority w:val="0"/>
    <w:pPr>
      <w:adjustRightInd w:val="0"/>
      <w:spacing w:line="320" w:lineRule="atLeast"/>
      <w:jc w:val="center"/>
      <w:textAlignment w:val="baseline"/>
    </w:pPr>
    <w:rPr>
      <w:rFonts w:eastAsia="黑体"/>
      <w:spacing w:val="-10"/>
      <w:kern w:val="0"/>
      <w:szCs w:val="20"/>
    </w:rPr>
  </w:style>
  <w:style w:type="paragraph" w:customStyle="1" w:styleId="308">
    <w:name w:val="Char Char Char Char3"/>
    <w:basedOn w:val="1"/>
    <w:link w:val="309"/>
    <w:qFormat/>
    <w:uiPriority w:val="0"/>
    <w:rPr>
      <w:szCs w:val="24"/>
      <w:lang w:val="zh-CN"/>
    </w:rPr>
  </w:style>
  <w:style w:type="character" w:customStyle="1" w:styleId="309">
    <w:name w:val="Char Char Char Char Char"/>
    <w:link w:val="308"/>
    <w:qFormat/>
    <w:uiPriority w:val="0"/>
    <w:rPr>
      <w:rFonts w:ascii="Times New Roman" w:hAnsi="Times New Roman"/>
      <w:kern w:val="2"/>
      <w:sz w:val="21"/>
      <w:szCs w:val="24"/>
      <w:lang w:val="zh-CN" w:eastAsia="zh-CN"/>
    </w:rPr>
  </w:style>
  <w:style w:type="paragraph" w:customStyle="1" w:styleId="310">
    <w:name w:val="正文样式"/>
    <w:basedOn w:val="1"/>
    <w:link w:val="311"/>
    <w:qFormat/>
    <w:uiPriority w:val="0"/>
    <w:pPr>
      <w:autoSpaceDE w:val="0"/>
      <w:autoSpaceDN w:val="0"/>
      <w:spacing w:line="400" w:lineRule="exact"/>
      <w:ind w:firstLine="420" w:firstLineChars="200"/>
    </w:pPr>
    <w:rPr>
      <w:rFonts w:ascii="宋体" w:hAnsi="宋体"/>
      <w:szCs w:val="20"/>
      <w:lang w:val="zh-CN"/>
    </w:rPr>
  </w:style>
  <w:style w:type="character" w:customStyle="1" w:styleId="311">
    <w:name w:val="正文样式 Char Char"/>
    <w:link w:val="310"/>
    <w:qFormat/>
    <w:uiPriority w:val="0"/>
    <w:rPr>
      <w:rFonts w:ascii="宋体" w:hAnsi="宋体"/>
      <w:kern w:val="2"/>
      <w:sz w:val="21"/>
      <w:lang w:val="zh-CN" w:eastAsia="zh-CN"/>
    </w:rPr>
  </w:style>
  <w:style w:type="paragraph" w:customStyle="1" w:styleId="312">
    <w:name w:val="正文(首行缩进)"/>
    <w:basedOn w:val="1"/>
    <w:link w:val="313"/>
    <w:qFormat/>
    <w:uiPriority w:val="0"/>
    <w:pPr>
      <w:spacing w:line="360" w:lineRule="auto"/>
      <w:ind w:firstLine="480" w:firstLineChars="200"/>
    </w:pPr>
    <w:rPr>
      <w:snapToGrid w:val="0"/>
      <w:sz w:val="24"/>
      <w:szCs w:val="24"/>
      <w:lang w:val="zh-CN"/>
    </w:rPr>
  </w:style>
  <w:style w:type="character" w:customStyle="1" w:styleId="313">
    <w:name w:val="正文(首行缩进) Char1"/>
    <w:link w:val="312"/>
    <w:qFormat/>
    <w:uiPriority w:val="0"/>
    <w:rPr>
      <w:rFonts w:ascii="Times New Roman" w:hAnsi="Times New Roman"/>
      <w:snapToGrid w:val="0"/>
      <w:kern w:val="2"/>
      <w:sz w:val="24"/>
      <w:szCs w:val="24"/>
      <w:lang w:val="zh-CN" w:eastAsia="zh-CN"/>
    </w:rPr>
  </w:style>
  <w:style w:type="paragraph" w:customStyle="1" w:styleId="314">
    <w:name w:val="样式 EIA2 + 段前: 0.3 行 段后: 0.3 行1"/>
    <w:basedOn w:val="1"/>
    <w:qFormat/>
    <w:uiPriority w:val="0"/>
    <w:pPr>
      <w:keepNext/>
      <w:spacing w:before="150" w:beforeLines="30" w:after="150" w:afterLines="30"/>
      <w:jc w:val="left"/>
      <w:outlineLvl w:val="1"/>
    </w:pPr>
    <w:rPr>
      <w:rFonts w:cs="宋体"/>
      <w:b/>
      <w:bCs/>
      <w:sz w:val="30"/>
      <w:szCs w:val="20"/>
    </w:rPr>
  </w:style>
  <w:style w:type="character" w:customStyle="1" w:styleId="315">
    <w:name w:val="HTML 预设格式 字符"/>
    <w:qFormat/>
    <w:uiPriority w:val="0"/>
    <w:rPr>
      <w:rFonts w:ascii="Courier New" w:hAnsi="Courier New" w:cs="Courier New"/>
      <w:kern w:val="2"/>
    </w:rPr>
  </w:style>
  <w:style w:type="character" w:customStyle="1" w:styleId="316">
    <w:name w:val="HTML 预设格式 字符1"/>
    <w:link w:val="54"/>
    <w:qFormat/>
    <w:uiPriority w:val="0"/>
    <w:rPr>
      <w:rFonts w:ascii="宋体" w:hAnsi="宋体"/>
      <w:sz w:val="24"/>
      <w:szCs w:val="24"/>
      <w:lang w:val="zh-CN" w:eastAsia="zh-CN"/>
    </w:rPr>
  </w:style>
  <w:style w:type="character" w:customStyle="1" w:styleId="317">
    <w:name w:val="明显引用 字符1"/>
    <w:qFormat/>
    <w:uiPriority w:val="0"/>
    <w:rPr>
      <w:rFonts w:ascii="Calibri" w:hAnsi="Calibri" w:eastAsia="宋体"/>
      <w:b/>
      <w:bCs/>
      <w:i/>
      <w:iCs/>
      <w:color w:val="4F81BD"/>
      <w:kern w:val="2"/>
      <w:sz w:val="21"/>
      <w:szCs w:val="22"/>
      <w:lang w:val="zh-CN" w:eastAsia="zh-CN" w:bidi="ar-SA"/>
    </w:rPr>
  </w:style>
  <w:style w:type="character" w:customStyle="1" w:styleId="318">
    <w:name w:val="引用 字符1"/>
    <w:qFormat/>
    <w:uiPriority w:val="0"/>
    <w:rPr>
      <w:rFonts w:ascii="Calibri" w:hAnsi="Calibri" w:eastAsia="宋体"/>
      <w:i/>
      <w:iCs/>
      <w:color w:val="000000"/>
      <w:kern w:val="2"/>
      <w:sz w:val="21"/>
      <w:szCs w:val="22"/>
      <w:lang w:val="zh-CN" w:eastAsia="zh-CN" w:bidi="ar-SA"/>
    </w:rPr>
  </w:style>
  <w:style w:type="character" w:customStyle="1" w:styleId="319">
    <w:name w:val="样式 纯文本普通文字普通文字 Char普通文字 Char Char Char普通文字 Char Char Char Ch... Char"/>
    <w:link w:val="320"/>
    <w:qFormat/>
    <w:uiPriority w:val="0"/>
    <w:rPr>
      <w:rFonts w:ascii="宋体" w:hAnsi="Courier New"/>
      <w:kern w:val="2"/>
      <w:sz w:val="28"/>
    </w:rPr>
  </w:style>
  <w:style w:type="paragraph" w:customStyle="1" w:styleId="320">
    <w:name w:val="样式 纯文本普通文字普通文字 Char普通文字 Char Char Char普通文字 Char Char Char Ch..."/>
    <w:basedOn w:val="34"/>
    <w:link w:val="319"/>
    <w:qFormat/>
    <w:uiPriority w:val="0"/>
    <w:rPr>
      <w:sz w:val="28"/>
    </w:rPr>
  </w:style>
  <w:style w:type="paragraph" w:customStyle="1" w:styleId="321">
    <w:name w:val="样式 标题 3ReHead 3 WSAh3标题 3 Char标题 32标题 311Re11Head 3 WSA1..."/>
    <w:basedOn w:val="9"/>
    <w:qFormat/>
    <w:uiPriority w:val="0"/>
    <w:pPr>
      <w:keepNext w:val="0"/>
      <w:keepLines w:val="0"/>
      <w:widowControl/>
      <w:tabs>
        <w:tab w:val="left" w:pos="1418"/>
      </w:tabs>
      <w:spacing w:before="50" w:beforeLines="50" w:after="0" w:line="480" w:lineRule="exact"/>
      <w:ind w:left="1418" w:hanging="567"/>
      <w:jc w:val="left"/>
    </w:pPr>
    <w:rPr>
      <w:rFonts w:ascii="宋体" w:hAnsi="宋体" w:eastAsia="黑体" w:cs="宋体"/>
      <w:b w:val="0"/>
      <w:color w:val="000000"/>
      <w:kern w:val="0"/>
      <w:sz w:val="24"/>
      <w:szCs w:val="20"/>
      <w:lang w:val="zh-CN"/>
    </w:rPr>
  </w:style>
  <w:style w:type="paragraph" w:customStyle="1" w:styleId="322">
    <w:name w:val="图表文字"/>
    <w:basedOn w:val="1"/>
    <w:link w:val="323"/>
    <w:qFormat/>
    <w:uiPriority w:val="0"/>
    <w:pPr>
      <w:spacing w:line="300" w:lineRule="exact"/>
      <w:jc w:val="center"/>
    </w:pPr>
    <w:rPr>
      <w:bCs/>
      <w:szCs w:val="20"/>
      <w:lang w:val="zh-CN"/>
    </w:rPr>
  </w:style>
  <w:style w:type="character" w:customStyle="1" w:styleId="323">
    <w:name w:val="图表文字 Char"/>
    <w:link w:val="322"/>
    <w:qFormat/>
    <w:locked/>
    <w:uiPriority w:val="0"/>
    <w:rPr>
      <w:rFonts w:ascii="Times New Roman" w:hAnsi="Times New Roman"/>
      <w:bCs/>
      <w:kern w:val="2"/>
      <w:sz w:val="21"/>
      <w:lang w:val="zh-CN" w:eastAsia="zh-CN"/>
    </w:rPr>
  </w:style>
  <w:style w:type="paragraph" w:customStyle="1" w:styleId="324">
    <w:name w:val="02"/>
    <w:basedOn w:val="7"/>
    <w:qFormat/>
    <w:uiPriority w:val="0"/>
    <w:pPr>
      <w:pageBreakBefore/>
      <w:tabs>
        <w:tab w:val="left" w:pos="425"/>
      </w:tabs>
      <w:adjustRightInd w:val="0"/>
      <w:spacing w:before="120" w:after="120" w:afterLines="50" w:line="480" w:lineRule="exact"/>
      <w:ind w:left="425" w:right="228" w:hanging="425"/>
      <w:jc w:val="left"/>
      <w:textAlignment w:val="baseline"/>
    </w:pPr>
    <w:rPr>
      <w:rFonts w:ascii="黑体" w:eastAsia="黑体"/>
      <w:b w:val="0"/>
      <w:color w:val="000000"/>
      <w:kern w:val="0"/>
      <w:sz w:val="28"/>
      <w:szCs w:val="20"/>
      <w:lang w:val="zh-CN"/>
    </w:rPr>
  </w:style>
  <w:style w:type="paragraph" w:customStyle="1" w:styleId="325">
    <w:name w:val="EIA3"/>
    <w:basedOn w:val="9"/>
    <w:link w:val="326"/>
    <w:qFormat/>
    <w:uiPriority w:val="0"/>
    <w:pPr>
      <w:keepLines w:val="0"/>
      <w:spacing w:before="0" w:after="0" w:line="360" w:lineRule="auto"/>
      <w:jc w:val="left"/>
    </w:pPr>
    <w:rPr>
      <w:rFonts w:ascii="宋体" w:hAnsi="宋体"/>
      <w:bCs w:val="0"/>
      <w:kern w:val="0"/>
      <w:sz w:val="30"/>
      <w:szCs w:val="28"/>
      <w:lang w:val="zh-CN"/>
    </w:rPr>
  </w:style>
  <w:style w:type="character" w:customStyle="1" w:styleId="326">
    <w:name w:val="EIA3 Char"/>
    <w:link w:val="325"/>
    <w:qFormat/>
    <w:uiPriority w:val="0"/>
    <w:rPr>
      <w:rFonts w:ascii="宋体" w:hAnsi="宋体"/>
      <w:b/>
      <w:sz w:val="30"/>
      <w:szCs w:val="28"/>
      <w:lang w:val="zh-CN" w:eastAsia="zh-CN"/>
    </w:rPr>
  </w:style>
  <w:style w:type="paragraph" w:customStyle="1" w:styleId="327">
    <w:name w:val="样式 EIA正文 + (中文) 仿宋_GB2312"/>
    <w:basedOn w:val="198"/>
    <w:link w:val="328"/>
    <w:qFormat/>
    <w:uiPriority w:val="0"/>
    <w:pPr>
      <w:ind w:firstLine="514" w:firstLineChars="200"/>
    </w:pPr>
    <w:rPr>
      <w:rFonts w:hAnsi="Times New Roman" w:eastAsia="仿宋_GB2312"/>
      <w:b w:val="0"/>
      <w:sz w:val="28"/>
      <w:szCs w:val="28"/>
    </w:rPr>
  </w:style>
  <w:style w:type="character" w:customStyle="1" w:styleId="328">
    <w:name w:val="样式 EIA正文 + (中文) 仿宋_GB2312 Char"/>
    <w:link w:val="327"/>
    <w:qFormat/>
    <w:uiPriority w:val="0"/>
    <w:rPr>
      <w:rFonts w:ascii="Times New Roman" w:hAnsi="Times New Roman" w:eastAsia="仿宋_GB2312"/>
      <w:sz w:val="28"/>
      <w:szCs w:val="28"/>
      <w:lang w:val="zh-CN" w:eastAsia="zh-CN"/>
    </w:rPr>
  </w:style>
  <w:style w:type="paragraph" w:customStyle="1" w:styleId="329">
    <w:name w:val="样式 EIA正文 + Times New Roman"/>
    <w:basedOn w:val="198"/>
    <w:link w:val="330"/>
    <w:qFormat/>
    <w:uiPriority w:val="0"/>
    <w:pPr>
      <w:spacing w:line="580" w:lineRule="atLeast"/>
      <w:ind w:firstLine="514" w:firstLineChars="225"/>
    </w:pPr>
    <w:rPr>
      <w:rFonts w:ascii="宋体"/>
      <w:b w:val="0"/>
      <w:spacing w:val="-20"/>
    </w:rPr>
  </w:style>
  <w:style w:type="character" w:customStyle="1" w:styleId="330">
    <w:name w:val="样式 EIA正文 + Times New Roman Char"/>
    <w:link w:val="329"/>
    <w:qFormat/>
    <w:uiPriority w:val="0"/>
    <w:rPr>
      <w:rFonts w:ascii="宋体" w:hAnsi="宋体"/>
      <w:spacing w:val="-20"/>
      <w:sz w:val="24"/>
      <w:szCs w:val="24"/>
      <w:lang w:val="zh-CN" w:eastAsia="zh-CN"/>
    </w:rPr>
  </w:style>
  <w:style w:type="paragraph" w:customStyle="1" w:styleId="331">
    <w:name w:val="样式 标题 2节 + (中文) 宋体"/>
    <w:basedOn w:val="8"/>
    <w:link w:val="332"/>
    <w:qFormat/>
    <w:uiPriority w:val="0"/>
    <w:pPr>
      <w:spacing w:before="0" w:after="0" w:line="360" w:lineRule="auto"/>
    </w:pPr>
    <w:rPr>
      <w:rFonts w:ascii="Times New Roman" w:hAnsi="Times New Roman" w:eastAsia="黑体"/>
      <w:b w:val="0"/>
      <w:bCs w:val="0"/>
      <w:sz w:val="28"/>
      <w:lang w:val="zh-CN"/>
    </w:rPr>
  </w:style>
  <w:style w:type="character" w:customStyle="1" w:styleId="332">
    <w:name w:val="样式 标题 2节 + (中文) 宋体 Char"/>
    <w:link w:val="331"/>
    <w:qFormat/>
    <w:uiPriority w:val="0"/>
    <w:rPr>
      <w:rFonts w:ascii="Times New Roman" w:hAnsi="Times New Roman" w:eastAsia="黑体"/>
      <w:kern w:val="2"/>
      <w:sz w:val="28"/>
      <w:szCs w:val="32"/>
      <w:lang w:val="zh-CN" w:eastAsia="zh-CN"/>
    </w:rPr>
  </w:style>
  <w:style w:type="paragraph" w:customStyle="1" w:styleId="333">
    <w:name w:val="文字"/>
    <w:basedOn w:val="1"/>
    <w:link w:val="334"/>
    <w:qFormat/>
    <w:uiPriority w:val="0"/>
    <w:pPr>
      <w:spacing w:line="360" w:lineRule="auto"/>
      <w:ind w:firstLine="200" w:firstLineChars="200"/>
    </w:pPr>
    <w:rPr>
      <w:sz w:val="24"/>
      <w:szCs w:val="24"/>
      <w:lang w:val="zh-CN"/>
    </w:rPr>
  </w:style>
  <w:style w:type="character" w:customStyle="1" w:styleId="334">
    <w:name w:val="文字 Char"/>
    <w:link w:val="333"/>
    <w:qFormat/>
    <w:uiPriority w:val="0"/>
    <w:rPr>
      <w:rFonts w:ascii="Times New Roman" w:hAnsi="Times New Roman"/>
      <w:kern w:val="2"/>
      <w:sz w:val="24"/>
      <w:szCs w:val="24"/>
      <w:lang w:val="zh-CN" w:eastAsia="zh-CN"/>
    </w:rPr>
  </w:style>
  <w:style w:type="paragraph" w:customStyle="1" w:styleId="335">
    <w:name w:val="正文001"/>
    <w:basedOn w:val="1"/>
    <w:link w:val="336"/>
    <w:qFormat/>
    <w:uiPriority w:val="0"/>
    <w:pPr>
      <w:adjustRightInd w:val="0"/>
      <w:spacing w:before="60" w:line="420" w:lineRule="exact"/>
      <w:ind w:firstLine="482"/>
      <w:textAlignment w:val="baseline"/>
    </w:pPr>
    <w:rPr>
      <w:kern w:val="0"/>
      <w:sz w:val="24"/>
      <w:szCs w:val="20"/>
      <w:lang w:val="zh-CN"/>
    </w:rPr>
  </w:style>
  <w:style w:type="character" w:customStyle="1" w:styleId="336">
    <w:name w:val="正文001 Char"/>
    <w:link w:val="335"/>
    <w:qFormat/>
    <w:uiPriority w:val="0"/>
    <w:rPr>
      <w:rFonts w:ascii="Times New Roman" w:hAnsi="Times New Roman"/>
      <w:sz w:val="24"/>
      <w:lang w:val="zh-CN" w:eastAsia="zh-CN"/>
    </w:rPr>
  </w:style>
  <w:style w:type="paragraph" w:customStyle="1" w:styleId="337">
    <w:name w:val="表标题"/>
    <w:basedOn w:val="1"/>
    <w:link w:val="338"/>
    <w:qFormat/>
    <w:uiPriority w:val="0"/>
    <w:pPr>
      <w:spacing w:line="500" w:lineRule="exact"/>
      <w:ind w:firstLine="482" w:firstLineChars="200"/>
      <w:jc w:val="center"/>
    </w:pPr>
    <w:rPr>
      <w:rFonts w:ascii="仿宋_GB2312" w:eastAsia="仿宋_GB2312"/>
      <w:b/>
      <w:bCs/>
      <w:sz w:val="24"/>
      <w:szCs w:val="24"/>
      <w:lang w:val="zh-CN"/>
    </w:rPr>
  </w:style>
  <w:style w:type="character" w:customStyle="1" w:styleId="338">
    <w:name w:val="表标题 Char"/>
    <w:link w:val="337"/>
    <w:qFormat/>
    <w:locked/>
    <w:uiPriority w:val="0"/>
    <w:rPr>
      <w:rFonts w:ascii="仿宋_GB2312" w:hAnsi="Times New Roman" w:eastAsia="仿宋_GB2312"/>
      <w:b/>
      <w:bCs/>
      <w:kern w:val="2"/>
      <w:sz w:val="24"/>
      <w:szCs w:val="24"/>
      <w:lang w:val="zh-CN" w:eastAsia="zh-CN"/>
    </w:rPr>
  </w:style>
  <w:style w:type="character" w:customStyle="1" w:styleId="339">
    <w:name w:val="样式 正文 行距: 固定值 25 磅 Char"/>
    <w:qFormat/>
    <w:uiPriority w:val="0"/>
    <w:rPr>
      <w:rFonts w:eastAsia="宋体"/>
      <w:kern w:val="2"/>
      <w:sz w:val="24"/>
      <w:szCs w:val="24"/>
      <w:lang w:val="zh-CN" w:eastAsia="zh-CN" w:bidi="ar-SA"/>
    </w:rPr>
  </w:style>
  <w:style w:type="paragraph" w:customStyle="1" w:styleId="340">
    <w:name w:val="报告表正文"/>
    <w:basedOn w:val="1"/>
    <w:link w:val="341"/>
    <w:qFormat/>
    <w:uiPriority w:val="0"/>
    <w:pPr>
      <w:spacing w:line="360" w:lineRule="auto"/>
      <w:ind w:firstLine="200" w:firstLineChars="200"/>
    </w:pPr>
    <w:rPr>
      <w:rFonts w:eastAsia="楷体_GB2312"/>
      <w:sz w:val="24"/>
      <w:szCs w:val="24"/>
      <w:lang w:val="zh-CN"/>
    </w:rPr>
  </w:style>
  <w:style w:type="character" w:customStyle="1" w:styleId="341">
    <w:name w:val="报告表正文 Char1"/>
    <w:link w:val="340"/>
    <w:qFormat/>
    <w:uiPriority w:val="0"/>
    <w:rPr>
      <w:rFonts w:ascii="Times New Roman" w:hAnsi="Times New Roman" w:eastAsia="楷体_GB2312"/>
      <w:kern w:val="2"/>
      <w:sz w:val="24"/>
      <w:szCs w:val="24"/>
      <w:lang w:val="zh-CN" w:eastAsia="zh-CN"/>
    </w:rPr>
  </w:style>
  <w:style w:type="paragraph" w:customStyle="1" w:styleId="342">
    <w:name w:val="正文内容"/>
    <w:basedOn w:val="1"/>
    <w:link w:val="343"/>
    <w:qFormat/>
    <w:uiPriority w:val="0"/>
    <w:pPr>
      <w:spacing w:line="500" w:lineRule="exact"/>
      <w:ind w:firstLine="200" w:firstLineChars="200"/>
    </w:pPr>
    <w:rPr>
      <w:kern w:val="0"/>
      <w:sz w:val="24"/>
      <w:szCs w:val="24"/>
      <w:lang w:val="zh-CN"/>
    </w:rPr>
  </w:style>
  <w:style w:type="character" w:customStyle="1" w:styleId="343">
    <w:name w:val="正文内容 Char"/>
    <w:link w:val="342"/>
    <w:qFormat/>
    <w:uiPriority w:val="0"/>
    <w:rPr>
      <w:rFonts w:ascii="Times New Roman" w:hAnsi="Times New Roman"/>
      <w:sz w:val="24"/>
      <w:szCs w:val="24"/>
      <w:lang w:val="zh-CN" w:eastAsia="zh-CN"/>
    </w:rPr>
  </w:style>
  <w:style w:type="paragraph" w:customStyle="1" w:styleId="344">
    <w:name w:val="样式 (符号) 宋体 小三 行距: 1.5 倍行距"/>
    <w:basedOn w:val="1"/>
    <w:qFormat/>
    <w:uiPriority w:val="0"/>
    <w:pPr>
      <w:spacing w:line="360" w:lineRule="auto"/>
      <w:ind w:firstLine="600" w:firstLineChars="200"/>
      <w:jc w:val="center"/>
    </w:pPr>
    <w:rPr>
      <w:rFonts w:ascii="宋体" w:hAnsi="宋体" w:cs="宋体"/>
      <w:sz w:val="28"/>
      <w:szCs w:val="20"/>
    </w:rPr>
  </w:style>
  <w:style w:type="paragraph" w:customStyle="1" w:styleId="345">
    <w:name w:val="正文2"/>
    <w:basedOn w:val="1"/>
    <w:link w:val="414"/>
    <w:qFormat/>
    <w:uiPriority w:val="0"/>
    <w:pPr>
      <w:adjustRightInd w:val="0"/>
      <w:snapToGrid w:val="0"/>
      <w:spacing w:line="440" w:lineRule="atLeast"/>
      <w:ind w:firstLine="567"/>
    </w:pPr>
    <w:rPr>
      <w:sz w:val="24"/>
      <w:szCs w:val="20"/>
    </w:rPr>
  </w:style>
  <w:style w:type="character" w:customStyle="1" w:styleId="346">
    <w:name w:val="grame"/>
    <w:qFormat/>
    <w:uiPriority w:val="0"/>
  </w:style>
  <w:style w:type="paragraph" w:customStyle="1" w:styleId="347">
    <w:name w:val="前言、引言标题"/>
    <w:next w:val="1"/>
    <w:qFormat/>
    <w:uiPriority w:val="0"/>
    <w:pPr>
      <w:shd w:val="clear" w:color="FFFFFF" w:fill="FFFFFF"/>
      <w:tabs>
        <w:tab w:val="left" w:pos="0"/>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348">
    <w:name w:val="一级条标题"/>
    <w:basedOn w:val="7"/>
    <w:next w:val="1"/>
    <w:qFormat/>
    <w:uiPriority w:val="0"/>
    <w:pPr>
      <w:keepNext w:val="0"/>
      <w:keepLines w:val="0"/>
      <w:widowControl/>
      <w:tabs>
        <w:tab w:val="left" w:pos="360"/>
      </w:tabs>
      <w:spacing w:before="0" w:beforeLines="0"/>
      <w:outlineLvl w:val="2"/>
    </w:pPr>
    <w:rPr>
      <w:rFonts w:ascii="黑体" w:eastAsia="黑体"/>
      <w:b w:val="0"/>
      <w:bCs w:val="0"/>
      <w:kern w:val="0"/>
      <w:sz w:val="21"/>
      <w:szCs w:val="20"/>
      <w:lang w:val="zh-CN"/>
    </w:rPr>
  </w:style>
  <w:style w:type="paragraph" w:customStyle="1" w:styleId="349">
    <w:name w:val="二级条标题"/>
    <w:basedOn w:val="348"/>
    <w:next w:val="1"/>
    <w:qFormat/>
    <w:uiPriority w:val="0"/>
    <w:pPr>
      <w:outlineLvl w:val="3"/>
    </w:pPr>
  </w:style>
  <w:style w:type="paragraph" w:customStyle="1" w:styleId="350">
    <w:name w:val="三级条标题"/>
    <w:basedOn w:val="349"/>
    <w:next w:val="1"/>
    <w:qFormat/>
    <w:uiPriority w:val="0"/>
    <w:pPr>
      <w:outlineLvl w:val="4"/>
    </w:pPr>
  </w:style>
  <w:style w:type="paragraph" w:customStyle="1" w:styleId="351">
    <w:name w:val="四级条标题"/>
    <w:basedOn w:val="350"/>
    <w:next w:val="1"/>
    <w:qFormat/>
    <w:uiPriority w:val="0"/>
    <w:pPr>
      <w:outlineLvl w:val="5"/>
    </w:pPr>
  </w:style>
  <w:style w:type="paragraph" w:customStyle="1" w:styleId="352">
    <w:name w:val="五级条标题"/>
    <w:basedOn w:val="351"/>
    <w:next w:val="1"/>
    <w:qFormat/>
    <w:uiPriority w:val="0"/>
    <w:pPr>
      <w:outlineLvl w:val="6"/>
    </w:pPr>
  </w:style>
  <w:style w:type="character" w:customStyle="1" w:styleId="353">
    <w:name w:val="样式1 Char Char"/>
    <w:link w:val="204"/>
    <w:qFormat/>
    <w:uiPriority w:val="0"/>
    <w:rPr>
      <w:rFonts w:ascii="Times New Roman" w:hAnsi="Times New Roman"/>
      <w:color w:val="000000"/>
      <w:kern w:val="2"/>
      <w:sz w:val="24"/>
      <w:szCs w:val="24"/>
      <w:lang w:val="zh-CN" w:eastAsia="zh-CN"/>
    </w:rPr>
  </w:style>
  <w:style w:type="paragraph" w:customStyle="1" w:styleId="354">
    <w:name w:val="Char Char Char Char Char Char1 Char Char Char Char"/>
    <w:basedOn w:val="1"/>
    <w:qFormat/>
    <w:uiPriority w:val="0"/>
    <w:pPr>
      <w:widowControl/>
      <w:spacing w:after="160" w:line="240" w:lineRule="exact"/>
      <w:jc w:val="left"/>
    </w:pPr>
    <w:rPr>
      <w:rFonts w:ascii="宋体" w:hAnsi="宋体" w:cs="宋体"/>
      <w:kern w:val="0"/>
      <w:sz w:val="24"/>
      <w:szCs w:val="24"/>
    </w:rPr>
  </w:style>
  <w:style w:type="paragraph" w:customStyle="1" w:styleId="355">
    <w:name w:val="Char Char Char Char Char Char Char Char Char Char Char Char Char Char Char Char"/>
    <w:basedOn w:val="1"/>
    <w:qFormat/>
    <w:uiPriority w:val="0"/>
    <w:rPr>
      <w:szCs w:val="24"/>
    </w:rPr>
  </w:style>
  <w:style w:type="character" w:customStyle="1" w:styleId="356">
    <w:name w:val="gray_text12"/>
    <w:qFormat/>
    <w:uiPriority w:val="0"/>
  </w:style>
  <w:style w:type="paragraph" w:customStyle="1" w:styleId="357">
    <w:name w:val="Char Char1 Char Char"/>
    <w:basedOn w:val="1"/>
    <w:qFormat/>
    <w:uiPriority w:val="0"/>
    <w:rPr>
      <w:szCs w:val="21"/>
    </w:rPr>
  </w:style>
  <w:style w:type="paragraph" w:customStyle="1" w:styleId="358">
    <w:name w:val="Char11"/>
    <w:basedOn w:val="1"/>
    <w:qFormat/>
    <w:uiPriority w:val="0"/>
    <w:pPr>
      <w:snapToGrid w:val="0"/>
      <w:spacing w:line="500" w:lineRule="exact"/>
    </w:pPr>
    <w:rPr>
      <w:rFonts w:eastAsia="仿宋_GB2312"/>
      <w:sz w:val="24"/>
      <w:szCs w:val="24"/>
    </w:rPr>
  </w:style>
  <w:style w:type="character" w:customStyle="1" w:styleId="359">
    <w:name w:val="yyp Char"/>
    <w:link w:val="360"/>
    <w:qFormat/>
    <w:uiPriority w:val="0"/>
    <w:rPr>
      <w:sz w:val="24"/>
    </w:rPr>
  </w:style>
  <w:style w:type="paragraph" w:customStyle="1" w:styleId="360">
    <w:name w:val="yyp"/>
    <w:basedOn w:val="1"/>
    <w:link w:val="359"/>
    <w:qFormat/>
    <w:uiPriority w:val="0"/>
    <w:pPr>
      <w:spacing w:after="120" w:line="360" w:lineRule="auto"/>
      <w:ind w:firstLine="480" w:firstLineChars="200"/>
    </w:pPr>
    <w:rPr>
      <w:rFonts w:ascii="Calibri" w:hAnsi="Calibri"/>
      <w:kern w:val="0"/>
      <w:sz w:val="24"/>
      <w:szCs w:val="20"/>
    </w:rPr>
  </w:style>
  <w:style w:type="paragraph" w:customStyle="1" w:styleId="361">
    <w:name w:val="二级无标题条"/>
    <w:basedOn w:val="1"/>
    <w:qFormat/>
    <w:uiPriority w:val="0"/>
    <w:rPr>
      <w:szCs w:val="24"/>
    </w:rPr>
  </w:style>
  <w:style w:type="paragraph" w:customStyle="1" w:styleId="362">
    <w:name w:val="样式 正文 +1"/>
    <w:basedOn w:val="1"/>
    <w:qFormat/>
    <w:uiPriority w:val="0"/>
    <w:pPr>
      <w:spacing w:line="360" w:lineRule="auto"/>
      <w:ind w:firstLine="200" w:firstLineChars="200"/>
      <w:jc w:val="left"/>
    </w:pPr>
    <w:rPr>
      <w:rFonts w:cs="宋体"/>
      <w:sz w:val="24"/>
      <w:szCs w:val="20"/>
    </w:rPr>
  </w:style>
  <w:style w:type="character" w:customStyle="1" w:styleId="363">
    <w:name w:val="H3 Char2"/>
    <w:qFormat/>
    <w:uiPriority w:val="0"/>
    <w:rPr>
      <w:rFonts w:ascii="Times New Roman" w:hAnsi="Times New Roman"/>
      <w:b/>
      <w:bCs/>
      <w:kern w:val="2"/>
      <w:sz w:val="32"/>
      <w:szCs w:val="32"/>
    </w:rPr>
  </w:style>
  <w:style w:type="paragraph" w:customStyle="1" w:styleId="364">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365">
    <w:name w:val="样式 正文x + 首行缩进:  2 字符1"/>
    <w:basedOn w:val="99"/>
    <w:qFormat/>
    <w:uiPriority w:val="0"/>
    <w:rPr>
      <w:rFonts w:cs="宋体"/>
      <w:kern w:val="24"/>
      <w:szCs w:val="20"/>
      <w:lang w:val="zh-CN" w:bidi="he-IL"/>
    </w:rPr>
  </w:style>
  <w:style w:type="character" w:customStyle="1" w:styleId="366">
    <w:name w:val="font41"/>
    <w:qFormat/>
    <w:uiPriority w:val="0"/>
    <w:rPr>
      <w:rFonts w:hint="eastAsia" w:ascii="宋体" w:hAnsi="宋体" w:eastAsia="宋体" w:cs="宋体"/>
      <w:color w:val="4F81BD"/>
      <w:sz w:val="21"/>
      <w:szCs w:val="21"/>
      <w:u w:val="none"/>
    </w:rPr>
  </w:style>
  <w:style w:type="paragraph" w:customStyle="1" w:styleId="367">
    <w:name w:val="表名"/>
    <w:basedOn w:val="1"/>
    <w:qFormat/>
    <w:uiPriority w:val="0"/>
    <w:pPr>
      <w:spacing w:line="360" w:lineRule="auto"/>
      <w:jc w:val="center"/>
    </w:pPr>
    <w:rPr>
      <w:rFonts w:ascii="黑体" w:hAnsi="宋体" w:eastAsia="黑体"/>
      <w:sz w:val="18"/>
      <w:szCs w:val="20"/>
    </w:rPr>
  </w:style>
  <w:style w:type="character" w:customStyle="1" w:styleId="368">
    <w:name w:val="标题 5 Char1"/>
    <w:semiHidden/>
    <w:qFormat/>
    <w:uiPriority w:val="0"/>
    <w:rPr>
      <w:b/>
      <w:bCs/>
      <w:kern w:val="2"/>
      <w:sz w:val="28"/>
      <w:szCs w:val="28"/>
    </w:rPr>
  </w:style>
  <w:style w:type="character" w:customStyle="1" w:styleId="369">
    <w:name w:val="标题 6 Char1"/>
    <w:semiHidden/>
    <w:qFormat/>
    <w:uiPriority w:val="0"/>
    <w:rPr>
      <w:rFonts w:ascii="Cambria" w:hAnsi="Cambria" w:eastAsia="宋体" w:cs="Times New Roman"/>
      <w:b/>
      <w:bCs/>
      <w:kern w:val="2"/>
      <w:sz w:val="24"/>
      <w:szCs w:val="24"/>
    </w:rPr>
  </w:style>
  <w:style w:type="character" w:customStyle="1" w:styleId="370">
    <w:name w:val="标题 7 Char1"/>
    <w:semiHidden/>
    <w:qFormat/>
    <w:uiPriority w:val="0"/>
    <w:rPr>
      <w:b/>
      <w:bCs/>
      <w:kern w:val="2"/>
      <w:sz w:val="24"/>
      <w:szCs w:val="24"/>
    </w:rPr>
  </w:style>
  <w:style w:type="character" w:customStyle="1" w:styleId="371">
    <w:name w:val="标题 8 Char1"/>
    <w:semiHidden/>
    <w:qFormat/>
    <w:uiPriority w:val="0"/>
    <w:rPr>
      <w:rFonts w:ascii="Cambria" w:hAnsi="Cambria" w:eastAsia="宋体" w:cs="Times New Roman"/>
      <w:kern w:val="2"/>
      <w:sz w:val="24"/>
      <w:szCs w:val="24"/>
    </w:rPr>
  </w:style>
  <w:style w:type="character" w:customStyle="1" w:styleId="372">
    <w:name w:val="标题 9 Char1"/>
    <w:semiHidden/>
    <w:qFormat/>
    <w:uiPriority w:val="0"/>
    <w:rPr>
      <w:rFonts w:hint="eastAsia" w:ascii="等线 Light" w:hAnsi="等线 Light" w:eastAsia="等线 Light"/>
      <w:kern w:val="2"/>
      <w:sz w:val="21"/>
      <w:szCs w:val="21"/>
    </w:rPr>
  </w:style>
  <w:style w:type="character" w:customStyle="1" w:styleId="373">
    <w:name w:val="脚注文本 字符2"/>
    <w:link w:val="47"/>
    <w:qFormat/>
    <w:locked/>
    <w:uiPriority w:val="0"/>
    <w:rPr>
      <w:kern w:val="2"/>
      <w:sz w:val="18"/>
    </w:rPr>
  </w:style>
  <w:style w:type="character" w:customStyle="1" w:styleId="374">
    <w:name w:val="页眉 Char1"/>
    <w:semiHidden/>
    <w:qFormat/>
    <w:uiPriority w:val="0"/>
    <w:rPr>
      <w:rFonts w:ascii="Calibri" w:hAnsi="Calibri"/>
      <w:kern w:val="2"/>
      <w:sz w:val="18"/>
      <w:szCs w:val="18"/>
    </w:rPr>
  </w:style>
  <w:style w:type="character" w:customStyle="1" w:styleId="375">
    <w:name w:val="题注 字符1"/>
    <w:link w:val="21"/>
    <w:qFormat/>
    <w:locked/>
    <w:uiPriority w:val="0"/>
    <w:rPr>
      <w:rFonts w:ascii="Arial" w:hAnsi="Arial" w:eastAsia="黑体"/>
      <w:kern w:val="2"/>
    </w:rPr>
  </w:style>
  <w:style w:type="character" w:customStyle="1" w:styleId="376">
    <w:name w:val="标题 字符2"/>
    <w:qFormat/>
    <w:locked/>
    <w:uiPriority w:val="0"/>
    <w:rPr>
      <w:rFonts w:ascii="Cambria" w:hAnsi="Cambria"/>
      <w:b/>
      <w:bCs/>
      <w:kern w:val="2"/>
      <w:sz w:val="32"/>
      <w:szCs w:val="32"/>
      <w:lang w:bidi="ar-SA"/>
    </w:rPr>
  </w:style>
  <w:style w:type="character" w:customStyle="1" w:styleId="377">
    <w:name w:val="结束语 字符2"/>
    <w:link w:val="27"/>
    <w:qFormat/>
    <w:locked/>
    <w:uiPriority w:val="0"/>
    <w:rPr>
      <w:rFonts w:ascii="宋体" w:hAnsi="华文细黑"/>
      <w:kern w:val="2"/>
      <w:sz w:val="24"/>
      <w:szCs w:val="24"/>
    </w:rPr>
  </w:style>
  <w:style w:type="character" w:customStyle="1" w:styleId="378">
    <w:name w:val="签名 字符2"/>
    <w:link w:val="40"/>
    <w:qFormat/>
    <w:locked/>
    <w:uiPriority w:val="0"/>
    <w:rPr>
      <w:rFonts w:ascii="黑体" w:eastAsia="黑体"/>
      <w:sz w:val="24"/>
      <w:szCs w:val="24"/>
    </w:rPr>
  </w:style>
  <w:style w:type="character" w:customStyle="1" w:styleId="379">
    <w:name w:val="正文文本 Char1"/>
    <w:semiHidden/>
    <w:qFormat/>
    <w:uiPriority w:val="0"/>
    <w:rPr>
      <w:rFonts w:ascii="Calibri" w:hAnsi="Calibri"/>
      <w:kern w:val="2"/>
      <w:sz w:val="21"/>
      <w:szCs w:val="22"/>
    </w:rPr>
  </w:style>
  <w:style w:type="character" w:customStyle="1" w:styleId="380">
    <w:name w:val="正文文本缩进 Char1"/>
    <w:semiHidden/>
    <w:qFormat/>
    <w:uiPriority w:val="0"/>
    <w:rPr>
      <w:rFonts w:ascii="Calibri" w:hAnsi="Calibri"/>
      <w:kern w:val="2"/>
      <w:sz w:val="21"/>
      <w:szCs w:val="22"/>
    </w:rPr>
  </w:style>
  <w:style w:type="character" w:customStyle="1" w:styleId="381">
    <w:name w:val="副标题 字符2"/>
    <w:qFormat/>
    <w:locked/>
    <w:uiPriority w:val="0"/>
    <w:rPr>
      <w:rFonts w:ascii="Cambria" w:hAnsi="Cambria"/>
      <w:b/>
      <w:bCs/>
      <w:kern w:val="28"/>
      <w:sz w:val="32"/>
      <w:szCs w:val="32"/>
      <w:lang w:val="zh-CN" w:eastAsia="zh-CN" w:bidi="ar-SA"/>
    </w:rPr>
  </w:style>
  <w:style w:type="character" w:customStyle="1" w:styleId="382">
    <w:name w:val="称呼 字符2"/>
    <w:link w:val="25"/>
    <w:qFormat/>
    <w:locked/>
    <w:uiPriority w:val="0"/>
    <w:rPr>
      <w:rFonts w:ascii="宋体" w:hAnsi="华文细黑"/>
      <w:kern w:val="2"/>
      <w:sz w:val="24"/>
      <w:szCs w:val="24"/>
    </w:rPr>
  </w:style>
  <w:style w:type="character" w:customStyle="1" w:styleId="383">
    <w:name w:val="正文首行缩进 Char1"/>
    <w:semiHidden/>
    <w:qFormat/>
    <w:uiPriority w:val="0"/>
  </w:style>
  <w:style w:type="character" w:customStyle="1" w:styleId="384">
    <w:name w:val="正文首行缩进 2 Char1"/>
    <w:semiHidden/>
    <w:qFormat/>
    <w:uiPriority w:val="0"/>
  </w:style>
  <w:style w:type="character" w:customStyle="1" w:styleId="385">
    <w:name w:val="注释标题 字符2"/>
    <w:link w:val="18"/>
    <w:qFormat/>
    <w:locked/>
    <w:uiPriority w:val="0"/>
    <w:rPr>
      <w:rFonts w:ascii="宋体"/>
      <w:kern w:val="2"/>
      <w:sz w:val="21"/>
    </w:rPr>
  </w:style>
  <w:style w:type="character" w:customStyle="1" w:styleId="386">
    <w:name w:val="正文文本缩进 2 Char1"/>
    <w:semiHidden/>
    <w:qFormat/>
    <w:uiPriority w:val="0"/>
    <w:rPr>
      <w:rFonts w:ascii="Calibri" w:hAnsi="Calibri"/>
      <w:kern w:val="2"/>
      <w:sz w:val="21"/>
      <w:szCs w:val="22"/>
    </w:rPr>
  </w:style>
  <w:style w:type="character" w:customStyle="1" w:styleId="387">
    <w:name w:val="正文文本缩进 3 Char1"/>
    <w:semiHidden/>
    <w:qFormat/>
    <w:uiPriority w:val="0"/>
    <w:rPr>
      <w:rFonts w:ascii="Calibri" w:hAnsi="Calibri"/>
      <w:kern w:val="2"/>
      <w:sz w:val="16"/>
      <w:szCs w:val="16"/>
    </w:rPr>
  </w:style>
  <w:style w:type="character" w:customStyle="1" w:styleId="388">
    <w:name w:val="文档结构图 字符1"/>
    <w:link w:val="22"/>
    <w:semiHidden/>
    <w:qFormat/>
    <w:locked/>
    <w:uiPriority w:val="0"/>
    <w:rPr>
      <w:rFonts w:ascii="Times New Roman" w:hAnsi="Times New Roman"/>
      <w:kern w:val="2"/>
      <w:sz w:val="21"/>
      <w:szCs w:val="24"/>
      <w:shd w:val="clear" w:color="auto" w:fill="000080"/>
    </w:rPr>
  </w:style>
  <w:style w:type="character" w:customStyle="1" w:styleId="389">
    <w:name w:val="电子邮件签名 字符2"/>
    <w:link w:val="19"/>
    <w:qFormat/>
    <w:locked/>
    <w:uiPriority w:val="0"/>
    <w:rPr>
      <w:sz w:val="21"/>
      <w:szCs w:val="21"/>
    </w:rPr>
  </w:style>
  <w:style w:type="character" w:customStyle="1" w:styleId="390">
    <w:name w:val="批注文字 Char1"/>
    <w:semiHidden/>
    <w:qFormat/>
    <w:uiPriority w:val="0"/>
    <w:rPr>
      <w:rFonts w:ascii="Calibri" w:hAnsi="Calibri"/>
      <w:kern w:val="2"/>
      <w:sz w:val="21"/>
      <w:szCs w:val="22"/>
    </w:rPr>
  </w:style>
  <w:style w:type="character" w:customStyle="1" w:styleId="391">
    <w:name w:val="普通(网站) Char"/>
    <w:qFormat/>
    <w:locked/>
    <w:uiPriority w:val="0"/>
    <w:rPr>
      <w:b/>
      <w:bCs/>
      <w:i/>
      <w:iCs/>
      <w:color w:val="4F81BD"/>
      <w:kern w:val="2"/>
      <w:sz w:val="21"/>
      <w:szCs w:val="22"/>
      <w:lang w:val="zh-CN" w:eastAsia="zh-CN"/>
    </w:rPr>
  </w:style>
  <w:style w:type="character" w:customStyle="1" w:styleId="392">
    <w:name w:val="标准化正文 Char"/>
    <w:link w:val="393"/>
    <w:qFormat/>
    <w:locked/>
    <w:uiPriority w:val="0"/>
    <w:rPr>
      <w:kern w:val="24"/>
      <w:sz w:val="24"/>
      <w:szCs w:val="24"/>
      <w:lang w:val="zh-CN" w:eastAsia="zh-CN" w:bidi="he-IL"/>
    </w:rPr>
  </w:style>
  <w:style w:type="paragraph" w:customStyle="1" w:styleId="393">
    <w:name w:val="标准化正文"/>
    <w:basedOn w:val="1"/>
    <w:link w:val="392"/>
    <w:qFormat/>
    <w:uiPriority w:val="0"/>
    <w:pPr>
      <w:spacing w:line="360" w:lineRule="auto"/>
      <w:ind w:firstLine="480" w:firstLineChars="200"/>
    </w:pPr>
    <w:rPr>
      <w:rFonts w:ascii="Calibri" w:hAnsi="Calibri"/>
      <w:kern w:val="24"/>
      <w:sz w:val="24"/>
      <w:szCs w:val="24"/>
      <w:lang w:val="zh-CN" w:bidi="he-IL"/>
    </w:rPr>
  </w:style>
  <w:style w:type="character" w:customStyle="1" w:styleId="394">
    <w:name w:val="页脚 Char1"/>
    <w:semiHidden/>
    <w:qFormat/>
    <w:uiPriority w:val="0"/>
    <w:rPr>
      <w:rFonts w:ascii="Calibri" w:hAnsi="Calibri"/>
      <w:kern w:val="2"/>
      <w:sz w:val="18"/>
      <w:szCs w:val="18"/>
    </w:rPr>
  </w:style>
  <w:style w:type="character" w:customStyle="1" w:styleId="395">
    <w:name w:val="样式1 Char"/>
    <w:qFormat/>
    <w:locked/>
    <w:uiPriority w:val="0"/>
  </w:style>
  <w:style w:type="character" w:customStyle="1" w:styleId="396">
    <w:name w:val="样式2 Char"/>
    <w:link w:val="261"/>
    <w:qFormat/>
    <w:locked/>
    <w:uiPriority w:val="0"/>
    <w:rPr>
      <w:rFonts w:ascii="Times New Roman" w:hAnsi="Times New Roman"/>
      <w:kern w:val="2"/>
      <w:sz w:val="21"/>
    </w:rPr>
  </w:style>
  <w:style w:type="character" w:customStyle="1" w:styleId="397">
    <w:name w:val="表头 Char"/>
    <w:link w:val="307"/>
    <w:qFormat/>
    <w:locked/>
    <w:uiPriority w:val="0"/>
    <w:rPr>
      <w:rFonts w:ascii="Times New Roman" w:hAnsi="Times New Roman" w:eastAsia="黑体"/>
      <w:spacing w:val="-10"/>
      <w:sz w:val="21"/>
    </w:rPr>
  </w:style>
  <w:style w:type="character" w:customStyle="1" w:styleId="398">
    <w:name w:val="表格正文 Char"/>
    <w:link w:val="281"/>
    <w:qFormat/>
    <w:locked/>
    <w:uiPriority w:val="0"/>
    <w:rPr>
      <w:rFonts w:ascii="宋体" w:hAnsi="宋体"/>
      <w:kern w:val="2"/>
      <w:sz w:val="21"/>
    </w:rPr>
  </w:style>
  <w:style w:type="character" w:customStyle="1" w:styleId="399">
    <w:name w:val="表格文字2 Char"/>
    <w:link w:val="400"/>
    <w:qFormat/>
    <w:locked/>
    <w:uiPriority w:val="0"/>
    <w:rPr>
      <w:kern w:val="2"/>
      <w:sz w:val="21"/>
      <w:szCs w:val="21"/>
    </w:rPr>
  </w:style>
  <w:style w:type="paragraph" w:customStyle="1" w:styleId="400">
    <w:name w:val="表格文字2"/>
    <w:basedOn w:val="1"/>
    <w:link w:val="399"/>
    <w:qFormat/>
    <w:uiPriority w:val="0"/>
    <w:pPr>
      <w:spacing w:line="280" w:lineRule="exact"/>
      <w:jc w:val="center"/>
    </w:pPr>
    <w:rPr>
      <w:rFonts w:ascii="Calibri" w:hAnsi="Calibri"/>
      <w:szCs w:val="21"/>
    </w:rPr>
  </w:style>
  <w:style w:type="paragraph" w:customStyle="1" w:styleId="401">
    <w:name w:val="Char1 Char Char Char Char Char Char"/>
    <w:basedOn w:val="1"/>
    <w:qFormat/>
    <w:uiPriority w:val="0"/>
    <w:rPr>
      <w:rFonts w:ascii="Tahoma" w:hAnsi="Tahoma" w:eastAsia="仿宋_GB2312"/>
      <w:sz w:val="24"/>
      <w:szCs w:val="20"/>
    </w:rPr>
  </w:style>
  <w:style w:type="character" w:customStyle="1" w:styleId="402">
    <w:name w:val="样式7 Char Char"/>
    <w:link w:val="403"/>
    <w:qFormat/>
    <w:locked/>
    <w:uiPriority w:val="0"/>
    <w:rPr>
      <w:rFonts w:ascii="黑体" w:hAnsi="黑体" w:eastAsia="黑体"/>
      <w:kern w:val="2"/>
      <w:sz w:val="24"/>
      <w:szCs w:val="24"/>
    </w:rPr>
  </w:style>
  <w:style w:type="paragraph" w:customStyle="1" w:styleId="403">
    <w:name w:val="样式7"/>
    <w:basedOn w:val="1"/>
    <w:link w:val="402"/>
    <w:qFormat/>
    <w:uiPriority w:val="0"/>
    <w:pPr>
      <w:spacing w:beforeLines="50" w:line="360" w:lineRule="auto"/>
      <w:outlineLvl w:val="2"/>
    </w:pPr>
    <w:rPr>
      <w:rFonts w:ascii="黑体" w:hAnsi="黑体" w:eastAsia="黑体"/>
      <w:sz w:val="24"/>
      <w:szCs w:val="24"/>
    </w:rPr>
  </w:style>
  <w:style w:type="character" w:customStyle="1" w:styleId="404">
    <w:name w:val="样式8 Char Char"/>
    <w:qFormat/>
    <w:locked/>
    <w:uiPriority w:val="0"/>
    <w:rPr>
      <w:sz w:val="24"/>
      <w:szCs w:val="24"/>
    </w:rPr>
  </w:style>
  <w:style w:type="character" w:customStyle="1" w:styleId="405">
    <w:name w:val="表格文字 Char"/>
    <w:link w:val="197"/>
    <w:qFormat/>
    <w:locked/>
    <w:uiPriority w:val="0"/>
    <w:rPr>
      <w:rFonts w:ascii="宋体" w:hAnsi="宋体" w:eastAsia="仿宋_GB2312"/>
      <w:kern w:val="44"/>
      <w:sz w:val="24"/>
    </w:rPr>
  </w:style>
  <w:style w:type="paragraph" w:customStyle="1" w:styleId="406">
    <w:name w:val="基准标题"/>
    <w:basedOn w:val="28"/>
    <w:next w:val="28"/>
    <w:qFormat/>
    <w:uiPriority w:val="0"/>
    <w:pPr>
      <w:widowControl/>
      <w:snapToGrid w:val="0"/>
      <w:spacing w:after="0"/>
      <w:jc w:val="center"/>
    </w:pPr>
    <w:rPr>
      <w:kern w:val="0"/>
      <w:lang w:val="en-US"/>
    </w:rPr>
  </w:style>
  <w:style w:type="paragraph" w:customStyle="1" w:styleId="407">
    <w:name w:val="表格段落1"/>
    <w:basedOn w:val="1"/>
    <w:qFormat/>
    <w:uiPriority w:val="0"/>
    <w:rPr>
      <w:rFonts w:eastAsia="黑体"/>
      <w:sz w:val="24"/>
      <w:szCs w:val="24"/>
    </w:rPr>
  </w:style>
  <w:style w:type="character" w:customStyle="1" w:styleId="408">
    <w:name w:val="Char Char101"/>
    <w:link w:val="227"/>
    <w:qFormat/>
    <w:uiPriority w:val="0"/>
    <w:rPr>
      <w:rFonts w:ascii="宋体" w:hAnsi="宋体"/>
      <w:kern w:val="2"/>
      <w:sz w:val="24"/>
      <w:szCs w:val="24"/>
      <w:lang w:val="zh-CN" w:eastAsia="zh-CN"/>
    </w:rPr>
  </w:style>
  <w:style w:type="paragraph" w:customStyle="1" w:styleId="409">
    <w:name w:val="表格文字（居中）"/>
    <w:basedOn w:val="1"/>
    <w:qFormat/>
    <w:uiPriority w:val="0"/>
    <w:pPr>
      <w:jc w:val="center"/>
    </w:pPr>
    <w:rPr>
      <w:szCs w:val="21"/>
    </w:rPr>
  </w:style>
  <w:style w:type="paragraph" w:customStyle="1" w:styleId="410">
    <w:name w:val="表格"/>
    <w:basedOn w:val="46"/>
    <w:qFormat/>
    <w:uiPriority w:val="0"/>
    <w:pPr>
      <w:tabs>
        <w:tab w:val="left" w:pos="255"/>
        <w:tab w:val="left" w:pos="540"/>
        <w:tab w:val="left" w:pos="600"/>
        <w:tab w:val="left" w:pos="720"/>
        <w:tab w:val="left" w:pos="1200"/>
        <w:tab w:val="left" w:pos="1440"/>
        <w:tab w:val="left" w:pos="2448"/>
        <w:tab w:val="left" w:pos="3000"/>
        <w:tab w:val="left" w:pos="3888"/>
        <w:tab w:val="left" w:pos="4800"/>
        <w:tab w:val="left" w:pos="5883"/>
        <w:tab w:val="left" w:pos="6300"/>
        <w:tab w:val="left" w:pos="7353"/>
        <w:tab w:val="left" w:pos="8613"/>
      </w:tabs>
      <w:autoSpaceDE w:val="0"/>
      <w:autoSpaceDN w:val="0"/>
      <w:snapToGrid w:val="0"/>
      <w:spacing w:line="320" w:lineRule="exact"/>
    </w:pPr>
    <w:rPr>
      <w:rFonts w:ascii="Times New Roman" w:eastAsia="宋体"/>
      <w:bCs/>
      <w:sz w:val="21"/>
      <w:szCs w:val="21"/>
    </w:rPr>
  </w:style>
  <w:style w:type="paragraph" w:customStyle="1" w:styleId="411">
    <w:name w:val="表格2"/>
    <w:basedOn w:val="1"/>
    <w:qFormat/>
    <w:uiPriority w:val="0"/>
    <w:pPr>
      <w:spacing w:line="360" w:lineRule="atLeast"/>
      <w:jc w:val="center"/>
    </w:pPr>
    <w:rPr>
      <w:szCs w:val="21"/>
    </w:rPr>
  </w:style>
  <w:style w:type="paragraph" w:customStyle="1" w:styleId="412">
    <w:name w:val="样式 样式 正文1 + 段前: 0.1 行 + 段前: 0.1 行1"/>
    <w:basedOn w:val="1"/>
    <w:qFormat/>
    <w:uiPriority w:val="0"/>
    <w:pPr>
      <w:snapToGrid w:val="0"/>
      <w:spacing w:beforeLines="10" w:line="440" w:lineRule="atLeast"/>
      <w:ind w:firstLine="567"/>
    </w:pPr>
    <w:rPr>
      <w:rFonts w:cs="宋体"/>
      <w:sz w:val="24"/>
      <w:szCs w:val="20"/>
    </w:rPr>
  </w:style>
  <w:style w:type="paragraph" w:customStyle="1" w:styleId="413">
    <w:name w:val="表格文字中对齐"/>
    <w:basedOn w:val="1"/>
    <w:qFormat/>
    <w:uiPriority w:val="0"/>
    <w:pPr>
      <w:spacing w:line="300" w:lineRule="auto"/>
      <w:jc w:val="center"/>
    </w:pPr>
    <w:rPr>
      <w:szCs w:val="24"/>
    </w:rPr>
  </w:style>
  <w:style w:type="character" w:customStyle="1" w:styleId="414">
    <w:name w:val="正文 Char"/>
    <w:link w:val="345"/>
    <w:qFormat/>
    <w:locked/>
    <w:uiPriority w:val="0"/>
    <w:rPr>
      <w:rFonts w:ascii="Times New Roman" w:hAnsi="Times New Roman"/>
      <w:kern w:val="2"/>
      <w:sz w:val="24"/>
    </w:rPr>
  </w:style>
  <w:style w:type="paragraph" w:customStyle="1" w:styleId="415">
    <w:name w:val="样式 表格2 + 行距: 最小值 16 磅"/>
    <w:basedOn w:val="411"/>
    <w:qFormat/>
    <w:uiPriority w:val="0"/>
    <w:rPr>
      <w:szCs w:val="20"/>
    </w:rPr>
  </w:style>
  <w:style w:type="paragraph" w:customStyle="1" w:styleId="416">
    <w:name w:val="Char Char Char Char Char Char Char Char Char Char Char Char Char Char Char Char2"/>
    <w:basedOn w:val="1"/>
    <w:qFormat/>
    <w:uiPriority w:val="0"/>
    <w:pPr>
      <w:spacing w:line="360" w:lineRule="auto"/>
      <w:ind w:firstLine="200" w:firstLineChars="200"/>
    </w:pPr>
    <w:rPr>
      <w:rFonts w:ascii="宋体" w:hAnsi="宋体" w:cs="宋体"/>
      <w:sz w:val="24"/>
      <w:szCs w:val="24"/>
    </w:rPr>
  </w:style>
  <w:style w:type="paragraph" w:customStyle="1" w:styleId="417">
    <w:name w:val="样式 小四 行距: 1.5 倍行距"/>
    <w:basedOn w:val="1"/>
    <w:qFormat/>
    <w:uiPriority w:val="0"/>
    <w:pPr>
      <w:spacing w:line="500" w:lineRule="exact"/>
      <w:ind w:firstLine="200" w:firstLineChars="200"/>
    </w:pPr>
    <w:rPr>
      <w:rFonts w:cs="宋体"/>
      <w:sz w:val="24"/>
      <w:szCs w:val="20"/>
    </w:rPr>
  </w:style>
  <w:style w:type="paragraph" w:customStyle="1" w:styleId="418">
    <w:name w:val="样式 样式 标题 2 + 首行缩进:  1.06 厘米 段前: 1 行 段后: 1 行 + 段前: 1 行 段后: 1 行"/>
    <w:basedOn w:val="1"/>
    <w:qFormat/>
    <w:uiPriority w:val="0"/>
    <w:pPr>
      <w:keepNext/>
      <w:keepLines/>
      <w:spacing w:beforeLines="100" w:afterLines="50" w:line="500" w:lineRule="exact"/>
      <w:jc w:val="left"/>
      <w:outlineLvl w:val="1"/>
    </w:pPr>
    <w:rPr>
      <w:rFonts w:eastAsia="黑体" w:cs="宋体"/>
      <w:b/>
      <w:bCs/>
      <w:sz w:val="30"/>
      <w:szCs w:val="20"/>
    </w:rPr>
  </w:style>
  <w:style w:type="paragraph" w:customStyle="1" w:styleId="419">
    <w:name w:val="样式 标题 3 + 首行缩进:  0.99 厘米 段前: 7.8 磅 段后: 7.8 磅"/>
    <w:basedOn w:val="9"/>
    <w:qFormat/>
    <w:uiPriority w:val="0"/>
    <w:pPr>
      <w:spacing w:before="0" w:beforeLines="100" w:after="0" w:afterLines="50" w:line="500" w:lineRule="exact"/>
    </w:pPr>
    <w:rPr>
      <w:rFonts w:cs="宋体"/>
      <w:sz w:val="28"/>
      <w:szCs w:val="20"/>
    </w:rPr>
  </w:style>
  <w:style w:type="paragraph" w:customStyle="1" w:styleId="420">
    <w:name w:val="论文正文"/>
    <w:basedOn w:val="20"/>
    <w:qFormat/>
    <w:uiPriority w:val="0"/>
    <w:pPr>
      <w:ind w:firstLine="480"/>
    </w:pPr>
    <w:rPr>
      <w:rFonts w:ascii="宋体" w:hAnsi="宋体"/>
      <w:sz w:val="28"/>
      <w:lang w:val="zh-CN"/>
    </w:rPr>
  </w:style>
  <w:style w:type="paragraph" w:customStyle="1" w:styleId="421">
    <w:name w:val="Char Char Char Char Char Char Char Char Char Char Char Char Char Char Char Char Char Char Char"/>
    <w:basedOn w:val="1"/>
    <w:qFormat/>
    <w:uiPriority w:val="0"/>
    <w:rPr>
      <w:szCs w:val="24"/>
    </w:rPr>
  </w:style>
  <w:style w:type="paragraph" w:customStyle="1" w:styleId="422">
    <w:name w:val="样式 宋体 四号 左 行距: 固定值 24 磅"/>
    <w:basedOn w:val="1"/>
    <w:qFormat/>
    <w:uiPriority w:val="0"/>
    <w:pPr>
      <w:spacing w:line="480" w:lineRule="exact"/>
      <w:ind w:firstLine="560" w:firstLineChars="200"/>
      <w:jc w:val="left"/>
    </w:pPr>
    <w:rPr>
      <w:rFonts w:ascii="宋体" w:hAnsi="宋体" w:cs="宋体"/>
      <w:sz w:val="24"/>
      <w:szCs w:val="20"/>
    </w:rPr>
  </w:style>
  <w:style w:type="paragraph" w:customStyle="1" w:styleId="423">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24">
    <w:name w:val="GY6"/>
    <w:basedOn w:val="1"/>
    <w:qFormat/>
    <w:uiPriority w:val="0"/>
    <w:pPr>
      <w:tabs>
        <w:tab w:val="left" w:pos="840"/>
      </w:tabs>
      <w:adjustRightInd w:val="0"/>
      <w:snapToGrid w:val="0"/>
      <w:spacing w:line="360" w:lineRule="auto"/>
    </w:pPr>
    <w:rPr>
      <w:rFonts w:ascii="宋体" w:hAnsi="宋体"/>
      <w:sz w:val="28"/>
      <w:szCs w:val="20"/>
    </w:rPr>
  </w:style>
  <w:style w:type="paragraph" w:customStyle="1" w:styleId="425">
    <w:name w:val="Char Char Char Char Char Char Char Char Char1 Char Char Char Char Char Char Char Char Char Char Char Char Char"/>
    <w:basedOn w:val="7"/>
    <w:qFormat/>
    <w:uiPriority w:val="0"/>
    <w:pPr>
      <w:snapToGrid w:val="0"/>
      <w:spacing w:before="240" w:beforeLines="0" w:after="240" w:line="348" w:lineRule="auto"/>
    </w:pPr>
    <w:rPr>
      <w:rFonts w:ascii="Tahoma" w:hAnsi="Tahoma"/>
      <w:bCs w:val="0"/>
      <w:kern w:val="2"/>
      <w:sz w:val="24"/>
      <w:szCs w:val="20"/>
    </w:rPr>
  </w:style>
  <w:style w:type="paragraph" w:customStyle="1" w:styleId="426">
    <w:name w:val="1 Char2"/>
    <w:basedOn w:val="1"/>
    <w:qFormat/>
    <w:uiPriority w:val="0"/>
    <w:rPr>
      <w:rFonts w:ascii="Tahoma" w:hAnsi="Tahoma"/>
      <w:sz w:val="24"/>
      <w:szCs w:val="20"/>
    </w:rPr>
  </w:style>
  <w:style w:type="paragraph" w:customStyle="1" w:styleId="427">
    <w:name w:val="样式 仿宋_GB2312 小三 黑色 首行缩进:  1.06 厘米 行距: 固定值 25 磅"/>
    <w:basedOn w:val="1"/>
    <w:qFormat/>
    <w:uiPriority w:val="0"/>
    <w:pPr>
      <w:spacing w:line="360" w:lineRule="auto"/>
      <w:ind w:firstLine="601"/>
    </w:pPr>
    <w:rPr>
      <w:rFonts w:ascii="仿宋_GB2312" w:eastAsia="仿宋_GB2312" w:cs="宋体"/>
      <w:color w:val="000000"/>
      <w:sz w:val="30"/>
      <w:szCs w:val="20"/>
      <w:lang w:val="zh-CN"/>
    </w:rPr>
  </w:style>
  <w:style w:type="paragraph" w:customStyle="1" w:styleId="428">
    <w:name w:val="zg1"/>
    <w:basedOn w:val="1"/>
    <w:qFormat/>
    <w:uiPriority w:val="0"/>
    <w:pPr>
      <w:spacing w:line="500" w:lineRule="exact"/>
      <w:ind w:firstLine="200"/>
    </w:pPr>
    <w:rPr>
      <w:sz w:val="24"/>
      <w:szCs w:val="20"/>
    </w:rPr>
  </w:style>
  <w:style w:type="paragraph" w:customStyle="1" w:styleId="429">
    <w:name w:val="图目"/>
    <w:basedOn w:val="1"/>
    <w:qFormat/>
    <w:uiPriority w:val="0"/>
    <w:pPr>
      <w:jc w:val="center"/>
    </w:pPr>
    <w:rPr>
      <w:rFonts w:hAnsi="宋体"/>
      <w:sz w:val="24"/>
      <w:szCs w:val="20"/>
    </w:rPr>
  </w:style>
  <w:style w:type="character" w:customStyle="1" w:styleId="430">
    <w:name w:val="表格hks Char"/>
    <w:link w:val="105"/>
    <w:qFormat/>
    <w:locked/>
    <w:uiPriority w:val="0"/>
    <w:rPr>
      <w:rFonts w:ascii="Times New Roman" w:hAnsi="Times New Roman"/>
      <w:kern w:val="2"/>
      <w:sz w:val="21"/>
      <w:szCs w:val="22"/>
    </w:rPr>
  </w:style>
  <w:style w:type="paragraph" w:customStyle="1" w:styleId="431">
    <w:name w:val="图表"/>
    <w:basedOn w:val="1"/>
    <w:qFormat/>
    <w:uiPriority w:val="0"/>
    <w:pPr>
      <w:adjustRightInd w:val="0"/>
      <w:snapToGrid w:val="0"/>
      <w:spacing w:line="260" w:lineRule="exact"/>
      <w:jc w:val="center"/>
    </w:pPr>
    <w:rPr>
      <w:szCs w:val="24"/>
    </w:rPr>
  </w:style>
  <w:style w:type="paragraph" w:customStyle="1" w:styleId="432">
    <w:name w:val="报告表格"/>
    <w:basedOn w:val="1"/>
    <w:qFormat/>
    <w:uiPriority w:val="0"/>
    <w:pPr>
      <w:autoSpaceDE w:val="0"/>
      <w:autoSpaceDN w:val="0"/>
      <w:adjustRightInd w:val="0"/>
      <w:spacing w:before="40" w:after="40"/>
      <w:jc w:val="center"/>
    </w:pPr>
    <w:rPr>
      <w:kern w:val="0"/>
      <w:szCs w:val="20"/>
    </w:rPr>
  </w:style>
  <w:style w:type="paragraph" w:customStyle="1" w:styleId="433">
    <w:name w:val="表格1"/>
    <w:basedOn w:val="1"/>
    <w:qFormat/>
    <w:uiPriority w:val="0"/>
    <w:pPr>
      <w:snapToGrid w:val="0"/>
      <w:spacing w:beforeLines="10" w:afterLines="10"/>
      <w:jc w:val="center"/>
    </w:pPr>
    <w:rPr>
      <w:sz w:val="18"/>
      <w:szCs w:val="20"/>
    </w:rPr>
  </w:style>
  <w:style w:type="paragraph" w:customStyle="1" w:styleId="434">
    <w:name w:val="xl26"/>
    <w:basedOn w:val="1"/>
    <w:qFormat/>
    <w:uiPriority w:val="0"/>
    <w:pPr>
      <w:widowControl/>
      <w:pBdr>
        <w:bottom w:val="single" w:color="auto" w:sz="4" w:space="0"/>
        <w:right w:val="single" w:color="auto" w:sz="4" w:space="0"/>
      </w:pBdr>
      <w:spacing w:before="100" w:after="100"/>
      <w:jc w:val="center"/>
    </w:pPr>
    <w:rPr>
      <w:kern w:val="0"/>
      <w:szCs w:val="20"/>
    </w:rPr>
  </w:style>
  <w:style w:type="paragraph" w:customStyle="1" w:styleId="435">
    <w:name w:val="Char Char Char1"/>
    <w:basedOn w:val="1"/>
    <w:qFormat/>
    <w:uiPriority w:val="0"/>
    <w:rPr>
      <w:szCs w:val="24"/>
    </w:rPr>
  </w:style>
  <w:style w:type="paragraph" w:customStyle="1" w:styleId="436">
    <w:name w:val="Char Char Char Char Char Char Char Char Char Char3"/>
    <w:basedOn w:val="1"/>
    <w:qFormat/>
    <w:uiPriority w:val="0"/>
    <w:rPr>
      <w:szCs w:val="24"/>
    </w:rPr>
  </w:style>
  <w:style w:type="paragraph" w:customStyle="1" w:styleId="437">
    <w:name w:val="Char Char Char Char Char Char Char Char Char Char Char Char Char"/>
    <w:basedOn w:val="1"/>
    <w:qFormat/>
    <w:uiPriority w:val="0"/>
    <w:rPr>
      <w:szCs w:val="24"/>
    </w:rPr>
  </w:style>
  <w:style w:type="paragraph" w:customStyle="1" w:styleId="438">
    <w:name w:val="正文表格"/>
    <w:basedOn w:val="1"/>
    <w:qFormat/>
    <w:uiPriority w:val="0"/>
    <w:pPr>
      <w:keepNext/>
      <w:keepLines/>
      <w:numPr>
        <w:ilvl w:val="2"/>
        <w:numId w:val="1"/>
      </w:numPr>
      <w:overflowPunct w:val="0"/>
      <w:adjustRightInd w:val="0"/>
      <w:spacing w:before="80"/>
      <w:ind w:left="0" w:firstLine="0"/>
      <w:jc w:val="center"/>
    </w:pPr>
    <w:rPr>
      <w:kern w:val="0"/>
      <w:sz w:val="28"/>
      <w:szCs w:val="20"/>
    </w:rPr>
  </w:style>
  <w:style w:type="paragraph" w:customStyle="1" w:styleId="439">
    <w:name w:val="style1"/>
    <w:basedOn w:val="1"/>
    <w:qFormat/>
    <w:uiPriority w:val="0"/>
    <w:pPr>
      <w:widowControl/>
      <w:spacing w:before="100" w:beforeAutospacing="1" w:after="100" w:afterAutospacing="1" w:line="330" w:lineRule="atLeast"/>
      <w:ind w:firstLine="360"/>
      <w:jc w:val="left"/>
    </w:pPr>
    <w:rPr>
      <w:rFonts w:ascii="Arial Unicode MS" w:hAnsi="Arial Unicode MS" w:eastAsia="Arial Unicode MS" w:cs="Arial Unicode MS"/>
      <w:kern w:val="0"/>
      <w:sz w:val="18"/>
      <w:szCs w:val="18"/>
    </w:rPr>
  </w:style>
  <w:style w:type="paragraph" w:customStyle="1" w:styleId="440">
    <w:name w:val="EIA2"/>
    <w:basedOn w:val="8"/>
    <w:qFormat/>
    <w:uiPriority w:val="0"/>
    <w:pPr>
      <w:keepLines w:val="0"/>
      <w:spacing w:before="0" w:after="0" w:line="240" w:lineRule="auto"/>
    </w:pPr>
    <w:rPr>
      <w:rFonts w:ascii="Times New Roman" w:hAnsi="Times New Roman" w:eastAsia="仿宋_GB2312" w:cs="Arial"/>
      <w:bCs w:val="0"/>
      <w:color w:val="000000"/>
      <w:lang w:val="zh-CN"/>
    </w:rPr>
  </w:style>
  <w:style w:type="paragraph" w:customStyle="1" w:styleId="441">
    <w:name w:val="EIA1"/>
    <w:basedOn w:val="7"/>
    <w:next w:val="1"/>
    <w:qFormat/>
    <w:uiPriority w:val="0"/>
    <w:pPr>
      <w:keepLines w:val="0"/>
      <w:spacing w:before="0" w:afterLines="50"/>
      <w:jc w:val="left"/>
    </w:pPr>
    <w:rPr>
      <w:bCs w:val="0"/>
      <w:kern w:val="2"/>
      <w:sz w:val="30"/>
      <w:szCs w:val="20"/>
      <w:lang w:val="zh-CN"/>
    </w:rPr>
  </w:style>
  <w:style w:type="paragraph" w:customStyle="1" w:styleId="442">
    <w:name w:val="表格文本 小五 居中"/>
    <w:basedOn w:val="1"/>
    <w:qFormat/>
    <w:uiPriority w:val="0"/>
    <w:pPr>
      <w:adjustRightInd w:val="0"/>
      <w:snapToGrid w:val="0"/>
      <w:jc w:val="center"/>
    </w:pPr>
    <w:rPr>
      <w:rFonts w:cs="宋体"/>
      <w:color w:val="FF0000"/>
      <w:sz w:val="18"/>
      <w:szCs w:val="18"/>
    </w:rPr>
  </w:style>
  <w:style w:type="paragraph" w:customStyle="1" w:styleId="443">
    <w:name w:val="表格文本 五号 居中 单倍行距"/>
    <w:basedOn w:val="1"/>
    <w:qFormat/>
    <w:uiPriority w:val="0"/>
    <w:pPr>
      <w:keepNext/>
      <w:adjustRightInd w:val="0"/>
      <w:snapToGrid w:val="0"/>
      <w:jc w:val="center"/>
    </w:pPr>
    <w:rPr>
      <w:color w:val="000000"/>
      <w:szCs w:val="20"/>
    </w:rPr>
  </w:style>
  <w:style w:type="paragraph" w:customStyle="1" w:styleId="444">
    <w:name w:val="title 01"/>
    <w:basedOn w:val="1"/>
    <w:qFormat/>
    <w:uiPriority w:val="0"/>
    <w:pPr>
      <w:jc w:val="center"/>
    </w:pPr>
    <w:rPr>
      <w:rFonts w:cs="宋体"/>
      <w:sz w:val="44"/>
      <w:szCs w:val="20"/>
    </w:rPr>
  </w:style>
  <w:style w:type="paragraph" w:customStyle="1" w:styleId="445">
    <w:name w:val="正文文本 21"/>
    <w:basedOn w:val="1"/>
    <w:qFormat/>
    <w:uiPriority w:val="0"/>
    <w:pPr>
      <w:tabs>
        <w:tab w:val="left" w:pos="567"/>
      </w:tabs>
      <w:adjustRightInd w:val="0"/>
      <w:spacing w:line="410" w:lineRule="atLeast"/>
      <w:ind w:firstLine="480"/>
    </w:pPr>
    <w:rPr>
      <w:rFonts w:ascii="宋体"/>
      <w:kern w:val="0"/>
      <w:sz w:val="24"/>
      <w:szCs w:val="20"/>
    </w:rPr>
  </w:style>
  <w:style w:type="character" w:customStyle="1" w:styleId="446">
    <w:name w:val="报告书正文 Char"/>
    <w:link w:val="253"/>
    <w:qFormat/>
    <w:locked/>
    <w:uiPriority w:val="0"/>
    <w:rPr>
      <w:rFonts w:ascii="Times New Roman" w:hAnsi="Times New Roman"/>
      <w:sz w:val="24"/>
      <w:lang w:val="zh-CN" w:eastAsia="zh-CN"/>
    </w:rPr>
  </w:style>
  <w:style w:type="paragraph" w:customStyle="1" w:styleId="447">
    <w:name w:val="讲稿"/>
    <w:basedOn w:val="1"/>
    <w:qFormat/>
    <w:uiPriority w:val="0"/>
    <w:pPr>
      <w:ind w:firstLine="431"/>
    </w:pPr>
    <w:rPr>
      <w:rFonts w:ascii="Arial" w:hAnsi="Arial"/>
      <w:kern w:val="0"/>
      <w:szCs w:val="20"/>
    </w:rPr>
  </w:style>
  <w:style w:type="paragraph" w:customStyle="1" w:styleId="448">
    <w:name w:val="unnamed2"/>
    <w:basedOn w:val="1"/>
    <w:qFormat/>
    <w:uiPriority w:val="0"/>
    <w:pPr>
      <w:widowControl/>
      <w:spacing w:before="100" w:beforeAutospacing="1" w:after="100" w:afterAutospacing="1"/>
      <w:jc w:val="left"/>
    </w:pPr>
    <w:rPr>
      <w:rFonts w:ascii="宋体" w:hAnsi="宋体"/>
      <w:color w:val="000000"/>
      <w:kern w:val="0"/>
      <w:sz w:val="24"/>
      <w:szCs w:val="24"/>
    </w:rPr>
  </w:style>
  <w:style w:type="paragraph" w:customStyle="1" w:styleId="449">
    <w:name w:val="项目符号"/>
    <w:qFormat/>
    <w:uiPriority w:val="0"/>
    <w:pPr>
      <w:widowControl w:val="0"/>
      <w:tabs>
        <w:tab w:val="left" w:pos="1200"/>
        <w:tab w:val="left" w:pos="4536"/>
      </w:tabs>
      <w:spacing w:line="440" w:lineRule="exact"/>
    </w:pPr>
    <w:rPr>
      <w:rFonts w:ascii="宋体" w:hAnsi="宋体" w:eastAsia="宋体" w:cs="Times New Roman"/>
      <w:kern w:val="2"/>
      <w:sz w:val="24"/>
      <w:lang w:val="en-US" w:eastAsia="zh-CN" w:bidi="ar-SA"/>
    </w:rPr>
  </w:style>
  <w:style w:type="paragraph" w:customStyle="1" w:styleId="450">
    <w:name w:val="xl60"/>
    <w:basedOn w:val="1"/>
    <w:qFormat/>
    <w:uiPriority w:val="0"/>
    <w:pPr>
      <w:widowControl/>
      <w:pBdr>
        <w:left w:val="single" w:color="auto" w:sz="8" w:space="0"/>
        <w:right w:val="single" w:color="auto" w:sz="4" w:space="0"/>
      </w:pBdr>
      <w:spacing w:before="100" w:beforeAutospacing="1" w:after="100" w:afterAutospacing="1"/>
      <w:jc w:val="center"/>
    </w:pPr>
    <w:rPr>
      <w:kern w:val="0"/>
      <w:sz w:val="24"/>
      <w:szCs w:val="24"/>
    </w:rPr>
  </w:style>
  <w:style w:type="paragraph" w:customStyle="1" w:styleId="451">
    <w:name w:val="a)"/>
    <w:basedOn w:val="1"/>
    <w:qFormat/>
    <w:uiPriority w:val="0"/>
    <w:pPr>
      <w:adjustRightInd w:val="0"/>
      <w:spacing w:line="360" w:lineRule="auto"/>
      <w:ind w:firstLine="567"/>
    </w:pPr>
    <w:rPr>
      <w:kern w:val="0"/>
      <w:sz w:val="28"/>
      <w:szCs w:val="20"/>
    </w:rPr>
  </w:style>
  <w:style w:type="paragraph" w:customStyle="1" w:styleId="452">
    <w:name w:val="图文框"/>
    <w:basedOn w:val="1"/>
    <w:qFormat/>
    <w:uiPriority w:val="0"/>
    <w:pPr>
      <w:widowControl/>
      <w:spacing w:line="240" w:lineRule="atLeast"/>
      <w:jc w:val="center"/>
    </w:pPr>
    <w:rPr>
      <w:color w:val="0000FF"/>
      <w:kern w:val="0"/>
      <w:szCs w:val="21"/>
    </w:rPr>
  </w:style>
  <w:style w:type="paragraph" w:customStyle="1" w:styleId="453">
    <w:name w:val="样式 楷体_GB2312 居中"/>
    <w:basedOn w:val="1"/>
    <w:qFormat/>
    <w:uiPriority w:val="0"/>
    <w:pPr>
      <w:spacing w:line="360" w:lineRule="auto"/>
      <w:jc w:val="center"/>
    </w:pPr>
    <w:rPr>
      <w:rFonts w:ascii="楷体_GB2312" w:eastAsia="楷体_GB2312"/>
      <w:szCs w:val="20"/>
    </w:rPr>
  </w:style>
  <w:style w:type="paragraph" w:customStyle="1" w:styleId="454">
    <w:name w:val="陈光的正文"/>
    <w:basedOn w:val="1"/>
    <w:qFormat/>
    <w:uiPriority w:val="0"/>
    <w:pPr>
      <w:adjustRightInd w:val="0"/>
      <w:snapToGrid w:val="0"/>
      <w:spacing w:beforeLines="10" w:afterLines="10" w:line="360" w:lineRule="auto"/>
      <w:ind w:firstLine="560" w:firstLineChars="200"/>
    </w:pPr>
    <w:rPr>
      <w:sz w:val="28"/>
      <w:szCs w:val="20"/>
    </w:rPr>
  </w:style>
  <w:style w:type="paragraph" w:customStyle="1" w:styleId="455">
    <w:name w:val="gctext"/>
    <w:basedOn w:val="1"/>
    <w:qFormat/>
    <w:uiPriority w:val="0"/>
    <w:pPr>
      <w:widowControl/>
      <w:spacing w:before="100" w:beforeAutospacing="1" w:after="100" w:afterAutospacing="1"/>
      <w:jc w:val="left"/>
    </w:pPr>
    <w:rPr>
      <w:rFonts w:ascii="ˎ̥" w:hAnsi="ˎ̥" w:cs="宋体"/>
      <w:color w:val="000000"/>
      <w:kern w:val="0"/>
      <w:sz w:val="24"/>
      <w:szCs w:val="24"/>
    </w:rPr>
  </w:style>
  <w:style w:type="paragraph" w:customStyle="1" w:styleId="456">
    <w:name w:val="封面正文"/>
    <w:qFormat/>
    <w:uiPriority w:val="0"/>
    <w:pPr>
      <w:jc w:val="both"/>
    </w:pPr>
    <w:rPr>
      <w:rFonts w:ascii="Times New Roman" w:hAnsi="Times New Roman" w:eastAsia="宋体" w:cs="Times New Roman"/>
      <w:lang w:val="en-US" w:eastAsia="zh-CN" w:bidi="ar-SA"/>
    </w:rPr>
  </w:style>
  <w:style w:type="paragraph" w:customStyle="1" w:styleId="457">
    <w:name w:val="5"/>
    <w:basedOn w:val="1"/>
    <w:next w:val="3"/>
    <w:qFormat/>
    <w:uiPriority w:val="0"/>
    <w:pPr>
      <w:spacing w:line="360" w:lineRule="auto"/>
      <w:ind w:firstLine="560" w:firstLineChars="200"/>
    </w:pPr>
    <w:rPr>
      <w:rFonts w:ascii="宋体" w:hAnsi="宋体"/>
      <w:color w:val="000000"/>
      <w:sz w:val="28"/>
      <w:szCs w:val="24"/>
    </w:rPr>
  </w:style>
  <w:style w:type="paragraph" w:customStyle="1" w:styleId="458">
    <w:name w:val="正文文字缩进 2 Char2"/>
    <w:basedOn w:val="1"/>
    <w:next w:val="55"/>
    <w:qFormat/>
    <w:uiPriority w:val="0"/>
    <w:pPr>
      <w:widowControl/>
      <w:spacing w:before="100" w:beforeAutospacing="1" w:after="100" w:afterAutospacing="1"/>
      <w:jc w:val="left"/>
    </w:pPr>
    <w:rPr>
      <w:rFonts w:ascii="宋体" w:hAnsi="宋体"/>
      <w:kern w:val="0"/>
      <w:sz w:val="24"/>
      <w:szCs w:val="24"/>
    </w:rPr>
  </w:style>
  <w:style w:type="paragraph" w:customStyle="1" w:styleId="459">
    <w:name w:val="TabC"/>
    <w:basedOn w:val="1"/>
    <w:qFormat/>
    <w:uiPriority w:val="0"/>
    <w:pPr>
      <w:keepLines/>
      <w:widowControl/>
      <w:spacing w:before="120" w:after="120"/>
      <w:jc w:val="center"/>
    </w:pPr>
    <w:rPr>
      <w:rFonts w:ascii="Arial" w:hAnsi="Arial"/>
      <w:kern w:val="0"/>
      <w:sz w:val="24"/>
      <w:szCs w:val="20"/>
      <w:lang w:val="fr-FR" w:eastAsia="fr-FR"/>
    </w:rPr>
  </w:style>
  <w:style w:type="paragraph" w:customStyle="1" w:styleId="460">
    <w:name w:val="段落1"/>
    <w:basedOn w:val="1"/>
    <w:qFormat/>
    <w:uiPriority w:val="0"/>
    <w:pPr>
      <w:adjustRightInd w:val="0"/>
      <w:spacing w:line="500" w:lineRule="exact"/>
      <w:ind w:firstLine="592" w:firstLineChars="200"/>
    </w:pPr>
    <w:rPr>
      <w:spacing w:val="8"/>
      <w:sz w:val="28"/>
      <w:szCs w:val="20"/>
    </w:rPr>
  </w:style>
  <w:style w:type="paragraph" w:customStyle="1" w:styleId="461">
    <w:name w:val="表1"/>
    <w:basedOn w:val="1"/>
    <w:qFormat/>
    <w:uiPriority w:val="0"/>
    <w:pPr>
      <w:adjustRightInd w:val="0"/>
      <w:spacing w:beforeLines="50" w:afterLines="50" w:line="400" w:lineRule="exact"/>
      <w:jc w:val="center"/>
    </w:pPr>
    <w:rPr>
      <w:rFonts w:eastAsia="黑体"/>
      <w:spacing w:val="10"/>
      <w:sz w:val="28"/>
      <w:szCs w:val="20"/>
    </w:rPr>
  </w:style>
  <w:style w:type="paragraph" w:customStyle="1" w:styleId="462">
    <w:name w:val="段落2"/>
    <w:basedOn w:val="1"/>
    <w:qFormat/>
    <w:uiPriority w:val="0"/>
    <w:pPr>
      <w:adjustRightInd w:val="0"/>
      <w:spacing w:line="440" w:lineRule="exact"/>
      <w:jc w:val="left"/>
    </w:pPr>
    <w:rPr>
      <w:spacing w:val="4"/>
      <w:kern w:val="0"/>
      <w:sz w:val="28"/>
      <w:szCs w:val="20"/>
    </w:rPr>
  </w:style>
  <w:style w:type="paragraph" w:customStyle="1" w:styleId="463">
    <w:name w:val="样式 标题 3 + 段前: 7.8 磅1"/>
    <w:basedOn w:val="9"/>
    <w:qFormat/>
    <w:uiPriority w:val="0"/>
    <w:pPr>
      <w:keepNext w:val="0"/>
      <w:keepLines w:val="0"/>
      <w:autoSpaceDE w:val="0"/>
      <w:autoSpaceDN w:val="0"/>
      <w:adjustRightInd w:val="0"/>
      <w:spacing w:before="0" w:beforeLines="20" w:after="0" w:line="240" w:lineRule="auto"/>
      <w:ind w:firstLine="508" w:firstLineChars="200"/>
      <w:outlineLvl w:val="9"/>
    </w:pPr>
    <w:rPr>
      <w:b w:val="0"/>
      <w:bCs w:val="0"/>
      <w:kern w:val="0"/>
      <w:sz w:val="24"/>
      <w:szCs w:val="24"/>
    </w:rPr>
  </w:style>
  <w:style w:type="paragraph" w:customStyle="1" w:styleId="464">
    <w:name w:val="我的正文"/>
    <w:basedOn w:val="1"/>
    <w:qFormat/>
    <w:uiPriority w:val="0"/>
    <w:pPr>
      <w:ind w:firstLine="538" w:firstLineChars="192"/>
    </w:pPr>
    <w:rPr>
      <w:sz w:val="28"/>
      <w:szCs w:val="24"/>
    </w:rPr>
  </w:style>
  <w:style w:type="paragraph" w:customStyle="1" w:styleId="465">
    <w:name w:val="我的标题3"/>
    <w:basedOn w:val="1"/>
    <w:qFormat/>
    <w:uiPriority w:val="0"/>
    <w:pPr>
      <w:ind w:firstLine="538" w:firstLineChars="192"/>
    </w:pPr>
    <w:rPr>
      <w:rFonts w:eastAsia="黑体"/>
      <w:sz w:val="28"/>
      <w:szCs w:val="24"/>
    </w:rPr>
  </w:style>
  <w:style w:type="paragraph" w:customStyle="1" w:styleId="466">
    <w:name w:val="我的标题2"/>
    <w:basedOn w:val="1"/>
    <w:qFormat/>
    <w:uiPriority w:val="0"/>
    <w:pPr>
      <w:ind w:firstLine="576" w:firstLineChars="192"/>
    </w:pPr>
    <w:rPr>
      <w:rFonts w:ascii="黑体" w:eastAsia="黑体"/>
      <w:sz w:val="30"/>
      <w:szCs w:val="24"/>
    </w:rPr>
  </w:style>
  <w:style w:type="paragraph" w:customStyle="1" w:styleId="467">
    <w:name w:val="我的标题1"/>
    <w:basedOn w:val="1"/>
    <w:qFormat/>
    <w:uiPriority w:val="0"/>
    <w:pPr>
      <w:spacing w:line="460" w:lineRule="exact"/>
      <w:ind w:firstLine="192" w:firstLineChars="192"/>
      <w:outlineLvl w:val="0"/>
    </w:pPr>
    <w:rPr>
      <w:rFonts w:ascii="黑体" w:eastAsia="黑体"/>
      <w:sz w:val="32"/>
      <w:szCs w:val="24"/>
    </w:rPr>
  </w:style>
  <w:style w:type="paragraph" w:customStyle="1" w:styleId="468">
    <w:name w:val="xl34"/>
    <w:basedOn w:val="1"/>
    <w:qFormat/>
    <w:uiPriority w:val="0"/>
    <w:pPr>
      <w:widowControl/>
      <w:spacing w:before="100" w:beforeAutospacing="1" w:after="100" w:afterAutospacing="1"/>
      <w:ind w:firstLine="567"/>
      <w:jc w:val="center"/>
    </w:pPr>
    <w:rPr>
      <w:rFonts w:ascii="Arial Unicode MS" w:hAnsi="Arial Unicode MS" w:eastAsia="Arial Unicode MS"/>
      <w:kern w:val="0"/>
      <w:sz w:val="24"/>
      <w:szCs w:val="24"/>
    </w:rPr>
  </w:style>
  <w:style w:type="paragraph" w:customStyle="1" w:styleId="469">
    <w:name w:val="表格03"/>
    <w:basedOn w:val="1"/>
    <w:qFormat/>
    <w:uiPriority w:val="0"/>
    <w:pPr>
      <w:spacing w:line="400" w:lineRule="exact"/>
      <w:jc w:val="center"/>
    </w:pPr>
    <w:rPr>
      <w:szCs w:val="21"/>
    </w:rPr>
  </w:style>
  <w:style w:type="paragraph" w:customStyle="1" w:styleId="470">
    <w:name w:val="样式 小五 居中 行距: 固定值 20 磅"/>
    <w:basedOn w:val="1"/>
    <w:qFormat/>
    <w:uiPriority w:val="0"/>
    <w:pPr>
      <w:adjustRightInd w:val="0"/>
      <w:spacing w:line="320" w:lineRule="exact"/>
      <w:jc w:val="center"/>
    </w:pPr>
    <w:rPr>
      <w:kern w:val="0"/>
      <w:sz w:val="18"/>
      <w:szCs w:val="18"/>
    </w:rPr>
  </w:style>
  <w:style w:type="paragraph" w:customStyle="1" w:styleId="471">
    <w:name w:val="表格02"/>
    <w:basedOn w:val="1"/>
    <w:qFormat/>
    <w:uiPriority w:val="0"/>
    <w:pPr>
      <w:adjustRightInd w:val="0"/>
      <w:snapToGrid w:val="0"/>
      <w:spacing w:line="400" w:lineRule="exact"/>
      <w:jc w:val="center"/>
    </w:pPr>
    <w:rPr>
      <w:spacing w:val="-2"/>
      <w:kern w:val="0"/>
      <w:sz w:val="24"/>
      <w:szCs w:val="20"/>
      <w:lang w:val="en-GB"/>
    </w:rPr>
  </w:style>
  <w:style w:type="paragraph" w:customStyle="1" w:styleId="472">
    <w:name w:val="xl29"/>
    <w:basedOn w:val="1"/>
    <w:qFormat/>
    <w:uiPriority w:val="0"/>
    <w:pPr>
      <w:widowControl/>
      <w:spacing w:before="100" w:after="100"/>
      <w:jc w:val="center"/>
    </w:pPr>
    <w:rPr>
      <w:kern w:val="0"/>
      <w:sz w:val="24"/>
      <w:szCs w:val="20"/>
    </w:rPr>
  </w:style>
  <w:style w:type="paragraph" w:customStyle="1" w:styleId="473">
    <w:name w:val="表样式2"/>
    <w:basedOn w:val="1"/>
    <w:qFormat/>
    <w:uiPriority w:val="0"/>
    <w:pPr>
      <w:jc w:val="center"/>
    </w:pPr>
    <w:rPr>
      <w:rFonts w:ascii="宋体" w:hAnsi="宋体"/>
      <w:bCs/>
      <w:szCs w:val="24"/>
    </w:rPr>
  </w:style>
  <w:style w:type="character" w:customStyle="1" w:styleId="474">
    <w:name w:val="正文 首行缩进:  2 字符 Char"/>
    <w:link w:val="475"/>
    <w:qFormat/>
    <w:locked/>
    <w:uiPriority w:val="0"/>
    <w:rPr>
      <w:kern w:val="2"/>
      <w:sz w:val="24"/>
    </w:rPr>
  </w:style>
  <w:style w:type="paragraph" w:customStyle="1" w:styleId="475">
    <w:name w:val="正文 首行缩进:  2 字符"/>
    <w:basedOn w:val="1"/>
    <w:link w:val="474"/>
    <w:qFormat/>
    <w:uiPriority w:val="0"/>
    <w:pPr>
      <w:adjustRightInd w:val="0"/>
      <w:snapToGrid w:val="0"/>
      <w:spacing w:line="500" w:lineRule="exact"/>
      <w:ind w:firstLine="200" w:firstLineChars="200"/>
      <w:jc w:val="left"/>
    </w:pPr>
    <w:rPr>
      <w:rFonts w:ascii="Calibri" w:hAnsi="Calibri"/>
      <w:sz w:val="24"/>
      <w:szCs w:val="20"/>
    </w:rPr>
  </w:style>
  <w:style w:type="paragraph" w:customStyle="1" w:styleId="476">
    <w:name w:val="默认段落字体 Para Char Char Char Char Char"/>
    <w:basedOn w:val="1"/>
    <w:qFormat/>
    <w:uiPriority w:val="0"/>
    <w:rPr>
      <w:szCs w:val="24"/>
    </w:rPr>
  </w:style>
  <w:style w:type="paragraph" w:customStyle="1" w:styleId="477">
    <w:name w:val="Char Char Char2 Char"/>
    <w:basedOn w:val="1"/>
    <w:qFormat/>
    <w:uiPriority w:val="0"/>
    <w:pPr>
      <w:spacing w:line="240" w:lineRule="exact"/>
      <w:ind w:firstLine="200" w:firstLineChars="200"/>
    </w:pPr>
    <w:rPr>
      <w:sz w:val="28"/>
      <w:szCs w:val="28"/>
    </w:rPr>
  </w:style>
  <w:style w:type="paragraph" w:customStyle="1" w:styleId="478">
    <w:name w:val="纯文本2"/>
    <w:basedOn w:val="1"/>
    <w:qFormat/>
    <w:uiPriority w:val="0"/>
    <w:pPr>
      <w:adjustRightInd w:val="0"/>
    </w:pPr>
    <w:rPr>
      <w:rFonts w:ascii="宋体" w:hAnsi="Courier New"/>
      <w:szCs w:val="20"/>
    </w:rPr>
  </w:style>
  <w:style w:type="paragraph" w:customStyle="1" w:styleId="479">
    <w:name w:val="新正文"/>
    <w:basedOn w:val="1"/>
    <w:qFormat/>
    <w:uiPriority w:val="0"/>
    <w:pPr>
      <w:spacing w:line="480" w:lineRule="exact"/>
      <w:ind w:firstLine="482"/>
    </w:pPr>
    <w:rPr>
      <w:rFonts w:ascii="仿宋_GB2312" w:eastAsia="仿宋_GB2312"/>
      <w:bCs/>
      <w:kern w:val="0"/>
      <w:sz w:val="28"/>
      <w:szCs w:val="20"/>
    </w:rPr>
  </w:style>
  <w:style w:type="paragraph" w:customStyle="1" w:styleId="480">
    <w:name w:val="表格内文字"/>
    <w:basedOn w:val="1"/>
    <w:qFormat/>
    <w:uiPriority w:val="0"/>
    <w:pPr>
      <w:widowControl/>
      <w:tabs>
        <w:tab w:val="left" w:pos="0"/>
      </w:tabs>
      <w:snapToGrid w:val="0"/>
      <w:jc w:val="center"/>
    </w:pPr>
    <w:rPr>
      <w:rFonts w:ascii="仿宋_GB2312" w:hAnsi="宋体" w:eastAsia="仿宋_GB2312" w:cs="宋体"/>
      <w:w w:val="90"/>
      <w:kern w:val="18"/>
      <w:sz w:val="24"/>
      <w:szCs w:val="24"/>
    </w:rPr>
  </w:style>
  <w:style w:type="paragraph" w:customStyle="1" w:styleId="481">
    <w:name w:val="表格标题新"/>
    <w:basedOn w:val="480"/>
    <w:qFormat/>
    <w:uiPriority w:val="0"/>
    <w:pPr>
      <w:spacing w:beforeLines="50"/>
      <w:ind w:firstLine="562"/>
    </w:pPr>
    <w:rPr>
      <w:rFonts w:eastAsia="黑体"/>
      <w:b/>
      <w:w w:val="100"/>
      <w:kern w:val="0"/>
    </w:rPr>
  </w:style>
  <w:style w:type="character" w:customStyle="1" w:styleId="482">
    <w:name w:val="正文1-1 Char"/>
    <w:link w:val="483"/>
    <w:qFormat/>
    <w:locked/>
    <w:uiPriority w:val="0"/>
    <w:rPr>
      <w:rFonts w:ascii="宋体" w:hAnsi="宋体" w:eastAsia="仿宋_GB2312"/>
      <w:sz w:val="28"/>
      <w:szCs w:val="24"/>
    </w:rPr>
  </w:style>
  <w:style w:type="paragraph" w:customStyle="1" w:styleId="483">
    <w:name w:val="正文1-1"/>
    <w:basedOn w:val="1"/>
    <w:link w:val="482"/>
    <w:qFormat/>
    <w:uiPriority w:val="0"/>
    <w:pPr>
      <w:widowControl/>
      <w:snapToGrid w:val="0"/>
      <w:spacing w:line="360" w:lineRule="auto"/>
      <w:ind w:firstLine="200" w:firstLineChars="200"/>
      <w:jc w:val="left"/>
    </w:pPr>
    <w:rPr>
      <w:rFonts w:ascii="宋体" w:hAnsi="宋体" w:eastAsia="仿宋_GB2312"/>
      <w:kern w:val="0"/>
      <w:sz w:val="28"/>
      <w:szCs w:val="24"/>
    </w:rPr>
  </w:style>
  <w:style w:type="paragraph" w:customStyle="1" w:styleId="484">
    <w:name w:val="样式 EIA2 + 段前: 0.5 行"/>
    <w:basedOn w:val="440"/>
    <w:qFormat/>
    <w:uiPriority w:val="0"/>
    <w:pPr>
      <w:spacing w:beforeLines="50"/>
      <w:jc w:val="left"/>
    </w:pPr>
    <w:rPr>
      <w:rFonts w:ascii="宋体" w:hAnsi="宋体" w:cs="宋体"/>
      <w:bCs/>
      <w:color w:val="auto"/>
      <w:szCs w:val="20"/>
      <w:lang w:val="en-US"/>
    </w:rPr>
  </w:style>
  <w:style w:type="paragraph" w:customStyle="1" w:styleId="485">
    <w:name w:val="contentarticle"/>
    <w:basedOn w:val="1"/>
    <w:qFormat/>
    <w:uiPriority w:val="0"/>
    <w:pPr>
      <w:widowControl/>
      <w:spacing w:before="100" w:beforeAutospacing="1" w:after="100" w:afterAutospacing="1"/>
      <w:jc w:val="left"/>
    </w:pPr>
    <w:rPr>
      <w:rFonts w:ascii="宋体" w:hAnsi="宋体" w:cs="宋体"/>
      <w:kern w:val="0"/>
      <w:sz w:val="14"/>
      <w:szCs w:val="14"/>
    </w:rPr>
  </w:style>
  <w:style w:type="paragraph" w:customStyle="1" w:styleId="486">
    <w:name w:val="bh1"/>
    <w:basedOn w:val="1"/>
    <w:qFormat/>
    <w:uiPriority w:val="0"/>
    <w:pPr>
      <w:widowControl/>
      <w:jc w:val="left"/>
    </w:pPr>
    <w:rPr>
      <w:rFonts w:ascii="宋体" w:hAnsi="宋体" w:cs="宋体"/>
      <w:kern w:val="0"/>
      <w:sz w:val="24"/>
      <w:szCs w:val="24"/>
    </w:rPr>
  </w:style>
  <w:style w:type="character" w:customStyle="1" w:styleId="487">
    <w:name w:val="框图 居中 Char"/>
    <w:link w:val="488"/>
    <w:qFormat/>
    <w:locked/>
    <w:uiPriority w:val="0"/>
    <w:rPr>
      <w:rFonts w:eastAsia="Times New Roman"/>
      <w:kern w:val="2"/>
      <w:sz w:val="24"/>
      <w:szCs w:val="24"/>
    </w:rPr>
  </w:style>
  <w:style w:type="paragraph" w:customStyle="1" w:styleId="488">
    <w:name w:val="框图 居中"/>
    <w:next w:val="1"/>
    <w:link w:val="487"/>
    <w:qFormat/>
    <w:uiPriority w:val="0"/>
    <w:pPr>
      <w:jc w:val="center"/>
    </w:pPr>
    <w:rPr>
      <w:rFonts w:ascii="Calibri" w:hAnsi="Calibri" w:eastAsia="Times New Roman" w:cs="Times New Roman"/>
      <w:kern w:val="2"/>
      <w:sz w:val="24"/>
      <w:szCs w:val="24"/>
      <w:lang w:val="en-US" w:eastAsia="zh-CN" w:bidi="ar-SA"/>
    </w:rPr>
  </w:style>
  <w:style w:type="paragraph" w:customStyle="1" w:styleId="489">
    <w:name w:val="font14"/>
    <w:basedOn w:val="1"/>
    <w:qFormat/>
    <w:uiPriority w:val="0"/>
    <w:pPr>
      <w:widowControl/>
      <w:spacing w:before="100" w:beforeAutospacing="1" w:after="100" w:afterAutospacing="1"/>
      <w:jc w:val="left"/>
    </w:pPr>
    <w:rPr>
      <w:rFonts w:eastAsia="Arial Unicode MS"/>
      <w:kern w:val="0"/>
      <w:sz w:val="20"/>
      <w:szCs w:val="20"/>
    </w:rPr>
  </w:style>
  <w:style w:type="paragraph" w:customStyle="1" w:styleId="490">
    <w:name w:val="CM7"/>
    <w:basedOn w:val="183"/>
    <w:next w:val="183"/>
    <w:qFormat/>
    <w:uiPriority w:val="0"/>
    <w:pPr>
      <w:spacing w:line="560" w:lineRule="atLeast"/>
    </w:pPr>
    <w:rPr>
      <w:rFonts w:ascii="黑体" w:hAnsi="Calibri" w:eastAsia="黑体" w:cs="Times New Roman"/>
      <w:color w:val="auto"/>
    </w:rPr>
  </w:style>
  <w:style w:type="paragraph" w:customStyle="1" w:styleId="491">
    <w:name w:val="CM33"/>
    <w:basedOn w:val="183"/>
    <w:next w:val="183"/>
    <w:qFormat/>
    <w:uiPriority w:val="0"/>
    <w:pPr>
      <w:spacing w:line="560" w:lineRule="atLeast"/>
    </w:pPr>
    <w:rPr>
      <w:rFonts w:ascii="黑体" w:hAnsi="Calibri" w:eastAsia="黑体" w:cs="Times New Roman"/>
      <w:color w:val="auto"/>
    </w:rPr>
  </w:style>
  <w:style w:type="paragraph" w:customStyle="1" w:styleId="492">
    <w:name w:val="条目"/>
    <w:basedOn w:val="1"/>
    <w:next w:val="1"/>
    <w:qFormat/>
    <w:uiPriority w:val="0"/>
    <w:pPr>
      <w:tabs>
        <w:tab w:val="left" w:pos="420"/>
      </w:tabs>
      <w:spacing w:line="360" w:lineRule="auto"/>
      <w:ind w:left="420" w:hanging="420"/>
    </w:pPr>
    <w:rPr>
      <w:rFonts w:ascii="宋体" w:hAnsi="宋体"/>
      <w:szCs w:val="21"/>
    </w:rPr>
  </w:style>
  <w:style w:type="paragraph" w:customStyle="1" w:styleId="493">
    <w:name w:val="样式 行距: 1.5 倍行距1"/>
    <w:basedOn w:val="1"/>
    <w:qFormat/>
    <w:uiPriority w:val="0"/>
    <w:pPr>
      <w:tabs>
        <w:tab w:val="left" w:pos="360"/>
      </w:tabs>
    </w:pPr>
    <w:rPr>
      <w:szCs w:val="24"/>
    </w:rPr>
  </w:style>
  <w:style w:type="character" w:customStyle="1" w:styleId="494">
    <w:name w:val="标准化表格正文 Char"/>
    <w:link w:val="495"/>
    <w:qFormat/>
    <w:locked/>
    <w:uiPriority w:val="0"/>
  </w:style>
  <w:style w:type="paragraph" w:customStyle="1" w:styleId="495">
    <w:name w:val="标准化表格正文"/>
    <w:basedOn w:val="105"/>
    <w:link w:val="494"/>
    <w:qFormat/>
    <w:uiPriority w:val="0"/>
    <w:pPr>
      <w:spacing w:line="240" w:lineRule="auto"/>
    </w:pPr>
    <w:rPr>
      <w:rFonts w:ascii="Calibri" w:hAnsi="Calibri"/>
      <w:kern w:val="0"/>
      <w:sz w:val="20"/>
      <w:szCs w:val="20"/>
    </w:rPr>
  </w:style>
  <w:style w:type="character" w:customStyle="1" w:styleId="496">
    <w:name w:val="三级标题 Char"/>
    <w:link w:val="497"/>
    <w:qFormat/>
    <w:locked/>
    <w:uiPriority w:val="0"/>
    <w:rPr>
      <w:rFonts w:ascii="黑体" w:hAnsi="黑体" w:eastAsia="黑体"/>
      <w:bCs/>
      <w:kern w:val="2"/>
      <w:sz w:val="24"/>
      <w:szCs w:val="22"/>
    </w:rPr>
  </w:style>
  <w:style w:type="paragraph" w:customStyle="1" w:styleId="497">
    <w:name w:val="三级标题"/>
    <w:basedOn w:val="1"/>
    <w:link w:val="496"/>
    <w:qFormat/>
    <w:uiPriority w:val="0"/>
    <w:pPr>
      <w:spacing w:beforeLines="25" w:line="360" w:lineRule="auto"/>
      <w:outlineLvl w:val="2"/>
    </w:pPr>
    <w:rPr>
      <w:rFonts w:ascii="黑体" w:hAnsi="黑体" w:eastAsia="黑体"/>
      <w:bCs/>
      <w:sz w:val="24"/>
    </w:rPr>
  </w:style>
  <w:style w:type="paragraph" w:customStyle="1" w:styleId="498">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499">
    <w:name w:val="表内字"/>
    <w:basedOn w:val="1"/>
    <w:qFormat/>
    <w:uiPriority w:val="0"/>
    <w:pPr>
      <w:spacing w:line="360" w:lineRule="exact"/>
      <w:jc w:val="center"/>
    </w:pPr>
    <w:rPr>
      <w:color w:val="000000"/>
      <w:szCs w:val="24"/>
    </w:rPr>
  </w:style>
  <w:style w:type="character" w:customStyle="1" w:styleId="500">
    <w:name w:val="表内容 Char"/>
    <w:link w:val="501"/>
    <w:qFormat/>
    <w:locked/>
    <w:uiPriority w:val="0"/>
    <w:rPr>
      <w:snapToGrid w:val="0"/>
      <w:szCs w:val="21"/>
    </w:rPr>
  </w:style>
  <w:style w:type="paragraph" w:customStyle="1" w:styleId="501">
    <w:name w:val="表内容"/>
    <w:basedOn w:val="1"/>
    <w:link w:val="500"/>
    <w:qFormat/>
    <w:uiPriority w:val="0"/>
    <w:pPr>
      <w:adjustRightInd w:val="0"/>
      <w:snapToGrid w:val="0"/>
      <w:jc w:val="center"/>
    </w:pPr>
    <w:rPr>
      <w:rFonts w:ascii="Calibri" w:hAnsi="Calibri"/>
      <w:snapToGrid w:val="0"/>
      <w:kern w:val="0"/>
      <w:sz w:val="20"/>
      <w:szCs w:val="21"/>
    </w:rPr>
  </w:style>
  <w:style w:type="paragraph" w:customStyle="1" w:styleId="502">
    <w:name w:val="我的样式（正文） Char"/>
    <w:basedOn w:val="1"/>
    <w:qFormat/>
    <w:uiPriority w:val="0"/>
    <w:pPr>
      <w:spacing w:line="440" w:lineRule="exact"/>
    </w:pPr>
    <w:rPr>
      <w:rFonts w:ascii="宋体" w:hAnsi="华文楷体"/>
      <w:kern w:val="0"/>
      <w:sz w:val="28"/>
      <w:szCs w:val="20"/>
    </w:rPr>
  </w:style>
  <w:style w:type="paragraph" w:customStyle="1" w:styleId="503">
    <w:name w:val="项目编号文字"/>
    <w:basedOn w:val="1"/>
    <w:next w:val="20"/>
    <w:qFormat/>
    <w:uiPriority w:val="0"/>
    <w:pPr>
      <w:spacing w:before="120" w:after="120" w:line="360" w:lineRule="auto"/>
      <w:ind w:left="1077"/>
    </w:pPr>
    <w:rPr>
      <w:kern w:val="0"/>
      <w:szCs w:val="20"/>
    </w:rPr>
  </w:style>
  <w:style w:type="paragraph" w:customStyle="1" w:styleId="504">
    <w:name w:val="项目编号"/>
    <w:basedOn w:val="1"/>
    <w:next w:val="503"/>
    <w:qFormat/>
    <w:uiPriority w:val="0"/>
    <w:pPr>
      <w:spacing w:before="120" w:after="120" w:line="360" w:lineRule="auto"/>
    </w:pPr>
    <w:rPr>
      <w:kern w:val="0"/>
      <w:szCs w:val="20"/>
    </w:rPr>
  </w:style>
  <w:style w:type="paragraph" w:customStyle="1" w:styleId="505">
    <w:name w:val="正文楷体"/>
    <w:basedOn w:val="1"/>
    <w:qFormat/>
    <w:uiPriority w:val="0"/>
    <w:rPr>
      <w:rFonts w:eastAsia="楷体_GB2312"/>
      <w:szCs w:val="24"/>
    </w:rPr>
  </w:style>
  <w:style w:type="paragraph" w:customStyle="1" w:styleId="506">
    <w:name w:val="Char2 Char Char Char"/>
    <w:basedOn w:val="1"/>
    <w:qFormat/>
    <w:uiPriority w:val="0"/>
    <w:pPr>
      <w:spacing w:line="360" w:lineRule="auto"/>
      <w:ind w:firstLine="200" w:firstLineChars="200"/>
    </w:pPr>
    <w:rPr>
      <w:rFonts w:ascii="宋体" w:hAnsi="宋体" w:cs="宋体"/>
      <w:sz w:val="24"/>
      <w:szCs w:val="24"/>
    </w:rPr>
  </w:style>
  <w:style w:type="paragraph" w:customStyle="1" w:styleId="507">
    <w:name w:val="小四表文左齐"/>
    <w:basedOn w:val="1"/>
    <w:qFormat/>
    <w:uiPriority w:val="0"/>
    <w:pPr>
      <w:jc w:val="center"/>
    </w:pPr>
    <w:rPr>
      <w:rFonts w:ascii="宋体"/>
      <w:spacing w:val="-20"/>
      <w:kern w:val="0"/>
      <w:szCs w:val="20"/>
    </w:rPr>
  </w:style>
  <w:style w:type="paragraph" w:customStyle="1" w:styleId="508">
    <w:name w:val="样式 标题 3 + 首行缩进:  2 字符"/>
    <w:basedOn w:val="9"/>
    <w:qFormat/>
    <w:uiPriority w:val="0"/>
    <w:pPr>
      <w:spacing w:before="30" w:after="30" w:line="500" w:lineRule="exact"/>
    </w:pPr>
    <w:rPr>
      <w:sz w:val="30"/>
      <w:szCs w:val="21"/>
    </w:rPr>
  </w:style>
  <w:style w:type="paragraph" w:customStyle="1" w:styleId="509">
    <w:name w:val="正文文本 212"/>
    <w:basedOn w:val="1"/>
    <w:qFormat/>
    <w:uiPriority w:val="0"/>
    <w:pPr>
      <w:autoSpaceDE w:val="0"/>
      <w:autoSpaceDN w:val="0"/>
      <w:adjustRightInd w:val="0"/>
      <w:spacing w:line="360" w:lineRule="atLeast"/>
      <w:ind w:firstLine="425"/>
    </w:pPr>
    <w:rPr>
      <w:rFonts w:ascii="宋体" w:hAnsi="Tms Rmn"/>
      <w:kern w:val="0"/>
      <w:sz w:val="28"/>
      <w:szCs w:val="20"/>
    </w:rPr>
  </w:style>
  <w:style w:type="paragraph" w:customStyle="1" w:styleId="510">
    <w:name w:val="font6"/>
    <w:basedOn w:val="1"/>
    <w:qFormat/>
    <w:uiPriority w:val="0"/>
    <w:pPr>
      <w:widowControl/>
      <w:spacing w:before="100" w:beforeAutospacing="1" w:after="100" w:afterAutospacing="1"/>
      <w:jc w:val="left"/>
    </w:pPr>
    <w:rPr>
      <w:rFonts w:eastAsia="Arial Unicode MS"/>
      <w:kern w:val="0"/>
      <w:sz w:val="18"/>
      <w:szCs w:val="18"/>
    </w:rPr>
  </w:style>
  <w:style w:type="paragraph" w:customStyle="1" w:styleId="511">
    <w:name w:val="大纲封面"/>
    <w:basedOn w:val="1"/>
    <w:qFormat/>
    <w:uiPriority w:val="0"/>
    <w:pPr>
      <w:spacing w:line="360" w:lineRule="auto"/>
      <w:jc w:val="center"/>
    </w:pPr>
    <w:rPr>
      <w:rFonts w:ascii="宋体" w:eastAsia="楷体_GB2312"/>
      <w:b/>
      <w:spacing w:val="100"/>
      <w:kern w:val="0"/>
      <w:sz w:val="72"/>
      <w:szCs w:val="20"/>
    </w:rPr>
  </w:style>
  <w:style w:type="paragraph" w:customStyle="1" w:styleId="512">
    <w:name w:val="Body Text 21"/>
    <w:basedOn w:val="1"/>
    <w:qFormat/>
    <w:uiPriority w:val="0"/>
    <w:pPr>
      <w:autoSpaceDE w:val="0"/>
      <w:autoSpaceDN w:val="0"/>
      <w:adjustRightInd w:val="0"/>
      <w:spacing w:line="480" w:lineRule="exact"/>
      <w:ind w:firstLine="540"/>
    </w:pPr>
    <w:rPr>
      <w:rFonts w:ascii="宋体" w:hAnsi="Tms Rmn"/>
      <w:kern w:val="0"/>
      <w:szCs w:val="20"/>
    </w:rPr>
  </w:style>
  <w:style w:type="paragraph" w:customStyle="1" w:styleId="513">
    <w:name w:val="_Style 79"/>
    <w:basedOn w:val="1"/>
    <w:next w:val="20"/>
    <w:qFormat/>
    <w:uiPriority w:val="0"/>
    <w:pPr>
      <w:ind w:firstLine="420"/>
    </w:pPr>
    <w:rPr>
      <w:rFonts w:ascii="仿宋_GB2312" w:hAnsi="Arial Black" w:eastAsia="仿宋_GB2312"/>
      <w:kern w:val="0"/>
      <w:sz w:val="28"/>
      <w:szCs w:val="28"/>
    </w:rPr>
  </w:style>
  <w:style w:type="paragraph" w:customStyle="1" w:styleId="514">
    <w:name w:val="环正文"/>
    <w:basedOn w:val="1"/>
    <w:qFormat/>
    <w:uiPriority w:val="0"/>
    <w:pPr>
      <w:widowControl/>
      <w:tabs>
        <w:tab w:val="left" w:pos="5094"/>
      </w:tabs>
      <w:adjustRightInd w:val="0"/>
      <w:snapToGrid w:val="0"/>
      <w:spacing w:beforeLines="50" w:line="360" w:lineRule="auto"/>
      <w:ind w:firstLine="523" w:firstLineChars="218"/>
    </w:pPr>
    <w:rPr>
      <w:rFonts w:ascii="宋体" w:hAnsi="宋体"/>
      <w:kern w:val="0"/>
      <w:szCs w:val="20"/>
    </w:rPr>
  </w:style>
  <w:style w:type="paragraph" w:customStyle="1" w:styleId="515">
    <w:name w:val="_Style 80"/>
    <w:basedOn w:val="1"/>
    <w:next w:val="20"/>
    <w:qFormat/>
    <w:uiPriority w:val="0"/>
    <w:pPr>
      <w:ind w:firstLine="420"/>
    </w:pPr>
    <w:rPr>
      <w:rFonts w:ascii="仿宋_GB2312" w:hAnsi="Arial Black" w:eastAsia="仿宋_GB2312"/>
      <w:sz w:val="28"/>
      <w:szCs w:val="28"/>
    </w:rPr>
  </w:style>
  <w:style w:type="paragraph" w:customStyle="1" w:styleId="516">
    <w:name w:val="公式"/>
    <w:qFormat/>
    <w:uiPriority w:val="0"/>
    <w:pPr>
      <w:jc w:val="center"/>
    </w:pPr>
    <w:rPr>
      <w:rFonts w:ascii="Times New Roman" w:hAnsi="Times New Roman" w:eastAsia="宋体" w:cs="Times New Roman"/>
      <w:sz w:val="28"/>
      <w:lang w:val="en-US" w:eastAsia="zh-CN" w:bidi="ar-SA"/>
    </w:rPr>
  </w:style>
  <w:style w:type="paragraph" w:customStyle="1" w:styleId="517">
    <w:name w:val="xl28"/>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Cs w:val="21"/>
    </w:rPr>
  </w:style>
  <w:style w:type="paragraph" w:customStyle="1" w:styleId="518">
    <w:name w:val="Char Char Char Char Char Char"/>
    <w:basedOn w:val="1"/>
    <w:qFormat/>
    <w:uiPriority w:val="0"/>
    <w:pPr>
      <w:adjustRightInd w:val="0"/>
      <w:snapToGrid w:val="0"/>
    </w:pPr>
    <w:rPr>
      <w:sz w:val="24"/>
      <w:szCs w:val="21"/>
    </w:rPr>
  </w:style>
  <w:style w:type="paragraph" w:customStyle="1" w:styleId="519">
    <w:name w:val="xl35"/>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eastAsia="Arial Unicode MS" w:cs="仿宋_GB2312"/>
      <w:kern w:val="0"/>
      <w:sz w:val="18"/>
      <w:szCs w:val="18"/>
    </w:rPr>
  </w:style>
  <w:style w:type="paragraph" w:customStyle="1" w:styleId="520">
    <w:name w:val="表序号"/>
    <w:basedOn w:val="11"/>
    <w:qFormat/>
    <w:uiPriority w:val="0"/>
    <w:pPr>
      <w:spacing w:before="0" w:after="0" w:line="360" w:lineRule="auto"/>
      <w:ind w:left="1134" w:hanging="1134"/>
      <w:jc w:val="center"/>
    </w:pPr>
    <w:rPr>
      <w:rFonts w:ascii="宋体" w:hAnsi="Arial"/>
      <w:bCs w:val="0"/>
      <w:kern w:val="0"/>
      <w:sz w:val="21"/>
      <w:szCs w:val="20"/>
      <w:lang w:val="en-US"/>
    </w:rPr>
  </w:style>
  <w:style w:type="paragraph" w:customStyle="1" w:styleId="521">
    <w:name w:val="我的样式（正文）"/>
    <w:basedOn w:val="1"/>
    <w:qFormat/>
    <w:uiPriority w:val="0"/>
    <w:pPr>
      <w:spacing w:line="440" w:lineRule="exact"/>
    </w:pPr>
    <w:rPr>
      <w:rFonts w:ascii="宋体"/>
      <w:kern w:val="0"/>
      <w:sz w:val="28"/>
      <w:szCs w:val="20"/>
    </w:rPr>
  </w:style>
  <w:style w:type="paragraph" w:customStyle="1" w:styleId="522">
    <w:name w:val="表格编号"/>
    <w:basedOn w:val="1"/>
    <w:next w:val="1"/>
    <w:qFormat/>
    <w:uiPriority w:val="0"/>
    <w:pPr>
      <w:tabs>
        <w:tab w:val="left" w:pos="720"/>
      </w:tabs>
      <w:spacing w:before="300" w:after="200"/>
      <w:jc w:val="center"/>
    </w:pPr>
    <w:rPr>
      <w:kern w:val="0"/>
      <w:szCs w:val="20"/>
    </w:rPr>
  </w:style>
  <w:style w:type="paragraph" w:customStyle="1" w:styleId="523">
    <w:name w:val="xl22"/>
    <w:basedOn w:val="1"/>
    <w:qFormat/>
    <w:uiPriority w:val="0"/>
    <w:pPr>
      <w:widowControl/>
      <w:pBdr>
        <w:bottom w:val="single" w:color="auto" w:sz="4" w:space="0"/>
        <w:right w:val="single" w:color="auto" w:sz="4" w:space="0"/>
      </w:pBdr>
      <w:spacing w:before="100" w:after="100"/>
      <w:jc w:val="center"/>
    </w:pPr>
    <w:rPr>
      <w:rFonts w:ascii="宋体" w:hAnsi="宋体"/>
      <w:kern w:val="0"/>
      <w:szCs w:val="20"/>
    </w:rPr>
  </w:style>
  <w:style w:type="paragraph" w:customStyle="1" w:styleId="524">
    <w:name w:val="图编号"/>
    <w:basedOn w:val="197"/>
    <w:qFormat/>
    <w:uiPriority w:val="0"/>
    <w:pPr>
      <w:tabs>
        <w:tab w:val="left" w:pos="720"/>
      </w:tabs>
      <w:spacing w:before="300" w:after="300" w:line="360" w:lineRule="auto"/>
      <w:ind w:left="425" w:hanging="425"/>
    </w:pPr>
    <w:rPr>
      <w:rFonts w:hint="eastAsia" w:ascii="Times New Roman" w:hAnsi="Times New Roman" w:eastAsia="宋体"/>
      <w:kern w:val="0"/>
    </w:rPr>
  </w:style>
  <w:style w:type="paragraph" w:customStyle="1" w:styleId="525">
    <w:name w:val="_Style 81"/>
    <w:basedOn w:val="1"/>
    <w:next w:val="50"/>
    <w:qFormat/>
    <w:uiPriority w:val="0"/>
    <w:pPr>
      <w:spacing w:line="360" w:lineRule="auto"/>
      <w:ind w:left="300" w:leftChars="143" w:firstLine="300" w:firstLineChars="100"/>
    </w:pPr>
    <w:rPr>
      <w:rFonts w:ascii="仿宋_GB2312" w:hAnsi="宋体" w:eastAsia="仿宋_GB2312"/>
      <w:sz w:val="30"/>
      <w:szCs w:val="20"/>
    </w:rPr>
  </w:style>
  <w:style w:type="paragraph" w:customStyle="1" w:styleId="526">
    <w:name w:val="_Style 83"/>
    <w:basedOn w:val="1"/>
    <w:next w:val="20"/>
    <w:qFormat/>
    <w:uiPriority w:val="0"/>
    <w:pPr>
      <w:ind w:firstLine="420"/>
    </w:pPr>
    <w:rPr>
      <w:rFonts w:ascii="仿宋_GB2312" w:hAnsi="Arial Black" w:eastAsia="仿宋_GB2312"/>
      <w:sz w:val="28"/>
      <w:szCs w:val="28"/>
    </w:rPr>
  </w:style>
  <w:style w:type="paragraph" w:customStyle="1" w:styleId="527">
    <w:name w:val="框图"/>
    <w:basedOn w:val="1"/>
    <w:qFormat/>
    <w:uiPriority w:val="0"/>
    <w:pPr>
      <w:adjustRightInd w:val="0"/>
      <w:snapToGrid w:val="0"/>
      <w:ind w:left="2" w:leftChars="-38" w:right="-106" w:rightChars="-38" w:hanging="108" w:hangingChars="54"/>
      <w:jc w:val="center"/>
    </w:pPr>
    <w:rPr>
      <w:rFonts w:ascii="宋体"/>
      <w:kern w:val="0"/>
      <w:sz w:val="20"/>
      <w:szCs w:val="20"/>
    </w:rPr>
  </w:style>
  <w:style w:type="paragraph" w:customStyle="1" w:styleId="528">
    <w:name w:val="样式 标题 1章标题 1H11.1标题 111标题 1 + 行距: 固定值 30 磅"/>
    <w:basedOn w:val="7"/>
    <w:qFormat/>
    <w:uiPriority w:val="0"/>
    <w:pPr>
      <w:keepNext w:val="0"/>
      <w:keepLines w:val="0"/>
      <w:pageBreakBefore/>
      <w:spacing w:before="120" w:beforeLines="0" w:after="120" w:line="600" w:lineRule="exact"/>
    </w:pPr>
    <w:rPr>
      <w:rFonts w:ascii="黑体" w:eastAsia="黑体" w:cs="宋体"/>
      <w:szCs w:val="20"/>
    </w:rPr>
  </w:style>
  <w:style w:type="paragraph" w:customStyle="1" w:styleId="529">
    <w:name w:val="环保篇"/>
    <w:basedOn w:val="1"/>
    <w:qFormat/>
    <w:uiPriority w:val="0"/>
    <w:pPr>
      <w:tabs>
        <w:tab w:val="left" w:pos="360"/>
      </w:tabs>
      <w:adjustRightInd w:val="0"/>
      <w:spacing w:line="360" w:lineRule="auto"/>
    </w:pPr>
    <w:rPr>
      <w:sz w:val="28"/>
      <w:szCs w:val="20"/>
    </w:rPr>
  </w:style>
  <w:style w:type="paragraph" w:customStyle="1" w:styleId="530">
    <w:name w:val="封面单位"/>
    <w:basedOn w:val="1"/>
    <w:qFormat/>
    <w:uiPriority w:val="0"/>
    <w:pPr>
      <w:tabs>
        <w:tab w:val="right" w:leader="middleDot" w:pos="8222"/>
      </w:tabs>
      <w:spacing w:line="360" w:lineRule="auto"/>
      <w:jc w:val="center"/>
    </w:pPr>
    <w:rPr>
      <w:rFonts w:ascii="楷体_GB2312" w:eastAsia="楷体_GB2312"/>
      <w:b/>
      <w:kern w:val="0"/>
      <w:sz w:val="36"/>
      <w:szCs w:val="20"/>
    </w:rPr>
  </w:style>
  <w:style w:type="paragraph" w:customStyle="1" w:styleId="531">
    <w:name w:val="font5"/>
    <w:basedOn w:val="1"/>
    <w:qFormat/>
    <w:uiPriority w:val="0"/>
    <w:pPr>
      <w:widowControl/>
      <w:spacing w:before="100" w:beforeAutospacing="1" w:after="100" w:afterAutospacing="1"/>
      <w:jc w:val="left"/>
    </w:pPr>
    <w:rPr>
      <w:rFonts w:ascii="宋体" w:hAnsi="宋体" w:cs="仿宋_GB2312"/>
      <w:kern w:val="0"/>
      <w:sz w:val="18"/>
      <w:szCs w:val="18"/>
    </w:rPr>
  </w:style>
  <w:style w:type="paragraph" w:customStyle="1" w:styleId="532">
    <w:name w:val="Char2"/>
    <w:basedOn w:val="1"/>
    <w:qFormat/>
    <w:uiPriority w:val="0"/>
    <w:pPr>
      <w:spacing w:line="360" w:lineRule="auto"/>
      <w:ind w:firstLine="200" w:firstLineChars="200"/>
    </w:pPr>
    <w:rPr>
      <w:rFonts w:ascii="宋体" w:hAnsi="宋体" w:cs="宋体"/>
      <w:sz w:val="24"/>
      <w:szCs w:val="24"/>
    </w:rPr>
  </w:style>
  <w:style w:type="paragraph" w:customStyle="1" w:styleId="533">
    <w:name w:val="7"/>
    <w:basedOn w:val="1"/>
    <w:next w:val="20"/>
    <w:qFormat/>
    <w:uiPriority w:val="0"/>
    <w:pPr>
      <w:ind w:firstLine="420"/>
    </w:pPr>
    <w:rPr>
      <w:rFonts w:ascii="仿宋_GB2312" w:hAnsi="Arial Black" w:eastAsia="仿宋_GB2312"/>
      <w:kern w:val="0"/>
      <w:sz w:val="28"/>
      <w:szCs w:val="28"/>
    </w:rPr>
  </w:style>
  <w:style w:type="paragraph" w:customStyle="1" w:styleId="534">
    <w:name w:val="6"/>
    <w:basedOn w:val="1"/>
    <w:next w:val="20"/>
    <w:qFormat/>
    <w:uiPriority w:val="0"/>
    <w:pPr>
      <w:ind w:firstLine="420"/>
    </w:pPr>
    <w:rPr>
      <w:rFonts w:ascii="仿宋_GB2312" w:hAnsi="Arial Black" w:eastAsia="仿宋_GB2312"/>
      <w:sz w:val="28"/>
      <w:szCs w:val="28"/>
    </w:rPr>
  </w:style>
  <w:style w:type="paragraph" w:customStyle="1" w:styleId="535">
    <w:name w:val="样式 正文文字缩进 + 行距: 1.5 倍行距 首行缩进:  1.98 字符"/>
    <w:basedOn w:val="3"/>
    <w:qFormat/>
    <w:uiPriority w:val="0"/>
    <w:pPr>
      <w:adjustRightInd w:val="0"/>
      <w:snapToGrid w:val="0"/>
      <w:spacing w:beforeLines="50" w:after="0" w:line="480" w:lineRule="exact"/>
      <w:ind w:left="0" w:leftChars="0"/>
    </w:pPr>
    <w:rPr>
      <w:sz w:val="24"/>
      <w:szCs w:val="20"/>
      <w:lang w:val="en-US"/>
    </w:rPr>
  </w:style>
  <w:style w:type="paragraph" w:customStyle="1" w:styleId="536">
    <w:name w:val="Char2 Char Char1 Char Char Char"/>
    <w:basedOn w:val="1"/>
    <w:qFormat/>
    <w:uiPriority w:val="0"/>
    <w:pPr>
      <w:spacing w:line="360" w:lineRule="auto"/>
      <w:ind w:firstLine="200" w:firstLineChars="200"/>
    </w:pPr>
    <w:rPr>
      <w:rFonts w:ascii="宋体" w:hAnsi="宋体" w:cs="宋体"/>
      <w:sz w:val="24"/>
      <w:szCs w:val="24"/>
    </w:rPr>
  </w:style>
  <w:style w:type="paragraph" w:customStyle="1" w:styleId="537">
    <w:name w:val="新正文样式"/>
    <w:basedOn w:val="1"/>
    <w:qFormat/>
    <w:uiPriority w:val="0"/>
    <w:pPr>
      <w:tabs>
        <w:tab w:val="left" w:pos="567"/>
      </w:tabs>
      <w:spacing w:line="360" w:lineRule="auto"/>
      <w:ind w:firstLine="567"/>
    </w:pPr>
    <w:rPr>
      <w:spacing w:val="20"/>
      <w:sz w:val="24"/>
      <w:szCs w:val="20"/>
    </w:rPr>
  </w:style>
  <w:style w:type="paragraph" w:customStyle="1" w:styleId="538">
    <w:name w:val="字元"/>
    <w:basedOn w:val="1"/>
    <w:qFormat/>
    <w:uiPriority w:val="0"/>
    <w:rPr>
      <w:sz w:val="24"/>
      <w:szCs w:val="24"/>
    </w:rPr>
  </w:style>
  <w:style w:type="paragraph" w:customStyle="1" w:styleId="539">
    <w:name w:val="样式 标题 1 + 首行缩进:  2 字符"/>
    <w:basedOn w:val="7"/>
    <w:qFormat/>
    <w:uiPriority w:val="0"/>
    <w:pPr>
      <w:spacing w:before="80" w:beforeLines="0" w:after="80" w:line="560" w:lineRule="exact"/>
    </w:pPr>
    <w:rPr>
      <w:rFonts w:cs="宋体"/>
      <w:sz w:val="36"/>
      <w:szCs w:val="20"/>
    </w:rPr>
  </w:style>
  <w:style w:type="paragraph" w:customStyle="1" w:styleId="540">
    <w:name w:val="样式 标题 2 + 首行缩进:  2 字符"/>
    <w:basedOn w:val="8"/>
    <w:qFormat/>
    <w:uiPriority w:val="0"/>
    <w:pPr>
      <w:spacing w:before="40" w:after="40" w:line="520" w:lineRule="exact"/>
    </w:pPr>
    <w:rPr>
      <w:rFonts w:ascii="Arial" w:hAnsi="Arial" w:eastAsia="黑体" w:cs="宋体"/>
      <w:szCs w:val="20"/>
    </w:rPr>
  </w:style>
  <w:style w:type="paragraph" w:customStyle="1" w:styleId="541">
    <w:name w:val="Char Char Char Char Char Char Char1"/>
    <w:basedOn w:val="1"/>
    <w:qFormat/>
    <w:uiPriority w:val="0"/>
    <w:rPr>
      <w:szCs w:val="24"/>
    </w:rPr>
  </w:style>
  <w:style w:type="paragraph" w:customStyle="1" w:styleId="542">
    <w:name w:val="Char Char Char Char Char Char Char Char Char Char Char Char Char1"/>
    <w:basedOn w:val="1"/>
    <w:qFormat/>
    <w:uiPriority w:val="0"/>
    <w:rPr>
      <w:szCs w:val="24"/>
    </w:rPr>
  </w:style>
  <w:style w:type="paragraph" w:customStyle="1" w:styleId="543">
    <w:name w:val="Char Char Char Char Char Char Char Char Char Char11"/>
    <w:basedOn w:val="1"/>
    <w:qFormat/>
    <w:uiPriority w:val="0"/>
    <w:rPr>
      <w:szCs w:val="24"/>
    </w:rPr>
  </w:style>
  <w:style w:type="paragraph" w:customStyle="1" w:styleId="544">
    <w:name w:val="Char3"/>
    <w:basedOn w:val="1"/>
    <w:qFormat/>
    <w:uiPriority w:val="0"/>
    <w:pPr>
      <w:spacing w:line="360" w:lineRule="auto"/>
      <w:ind w:firstLine="200" w:firstLineChars="200"/>
    </w:pPr>
    <w:rPr>
      <w:rFonts w:ascii="宋体" w:hAnsi="宋体" w:cs="宋体"/>
      <w:sz w:val="24"/>
      <w:szCs w:val="24"/>
    </w:rPr>
  </w:style>
  <w:style w:type="paragraph" w:customStyle="1" w:styleId="545">
    <w:name w:val="lw正文"/>
    <w:basedOn w:val="1"/>
    <w:qFormat/>
    <w:uiPriority w:val="0"/>
    <w:pPr>
      <w:autoSpaceDE w:val="0"/>
      <w:autoSpaceDN w:val="0"/>
      <w:adjustRightInd w:val="0"/>
      <w:spacing w:line="360" w:lineRule="auto"/>
      <w:ind w:firstLine="420"/>
      <w:jc w:val="left"/>
    </w:pPr>
    <w:rPr>
      <w:kern w:val="0"/>
      <w:sz w:val="24"/>
      <w:szCs w:val="20"/>
    </w:rPr>
  </w:style>
  <w:style w:type="character" w:customStyle="1" w:styleId="546">
    <w:name w:val="图表标题 Char"/>
    <w:link w:val="547"/>
    <w:qFormat/>
    <w:locked/>
    <w:uiPriority w:val="0"/>
    <w:rPr>
      <w:rFonts w:ascii="黑体" w:eastAsia="黑体"/>
      <w:kern w:val="2"/>
      <w:sz w:val="21"/>
      <w:szCs w:val="21"/>
    </w:rPr>
  </w:style>
  <w:style w:type="paragraph" w:customStyle="1" w:styleId="547">
    <w:name w:val="图表标题"/>
    <w:basedOn w:val="1"/>
    <w:link w:val="546"/>
    <w:qFormat/>
    <w:uiPriority w:val="0"/>
    <w:pPr>
      <w:jc w:val="center"/>
    </w:pPr>
    <w:rPr>
      <w:rFonts w:ascii="黑体" w:hAnsi="Calibri" w:eastAsia="黑体"/>
      <w:szCs w:val="21"/>
    </w:rPr>
  </w:style>
  <w:style w:type="character" w:customStyle="1" w:styleId="548">
    <w:name w:val="文本正文 Char"/>
    <w:link w:val="549"/>
    <w:qFormat/>
    <w:locked/>
    <w:uiPriority w:val="0"/>
    <w:rPr>
      <w:kern w:val="2"/>
      <w:sz w:val="24"/>
      <w:szCs w:val="24"/>
    </w:rPr>
  </w:style>
  <w:style w:type="paragraph" w:customStyle="1" w:styleId="549">
    <w:name w:val="文本正文"/>
    <w:basedOn w:val="37"/>
    <w:link w:val="548"/>
    <w:qFormat/>
    <w:uiPriority w:val="0"/>
    <w:pPr>
      <w:spacing w:beforeLines="50" w:after="0" w:afterLines="50" w:line="360" w:lineRule="auto"/>
      <w:ind w:left="0" w:leftChars="0" w:firstLine="538" w:firstLineChars="224"/>
    </w:pPr>
    <w:rPr>
      <w:sz w:val="24"/>
      <w:szCs w:val="24"/>
    </w:rPr>
  </w:style>
  <w:style w:type="paragraph" w:customStyle="1" w:styleId="550">
    <w:name w:val="图表名"/>
    <w:basedOn w:val="1"/>
    <w:qFormat/>
    <w:uiPriority w:val="0"/>
    <w:pPr>
      <w:adjustRightInd w:val="0"/>
      <w:snapToGrid w:val="0"/>
      <w:spacing w:beforeLines="30"/>
      <w:jc w:val="center"/>
    </w:pPr>
    <w:rPr>
      <w:rFonts w:ascii="宋体" w:hAnsi="Courier New" w:cs="Courier New"/>
      <w:bCs/>
      <w:kern w:val="0"/>
      <w:sz w:val="24"/>
      <w:szCs w:val="28"/>
    </w:rPr>
  </w:style>
  <w:style w:type="paragraph" w:customStyle="1" w:styleId="551">
    <w:name w:val="环评报告书"/>
    <w:basedOn w:val="7"/>
    <w:qFormat/>
    <w:uiPriority w:val="0"/>
    <w:pPr>
      <w:keepLines w:val="0"/>
      <w:adjustRightInd w:val="0"/>
      <w:spacing w:before="120" w:beforeLines="0" w:line="360" w:lineRule="atLeast"/>
      <w:jc w:val="center"/>
    </w:pPr>
    <w:rPr>
      <w:rFonts w:eastAsia="黑体"/>
      <w:b w:val="0"/>
      <w:bCs w:val="0"/>
      <w:kern w:val="0"/>
      <w:sz w:val="30"/>
      <w:szCs w:val="20"/>
    </w:rPr>
  </w:style>
  <w:style w:type="paragraph" w:customStyle="1" w:styleId="552">
    <w:name w:val="Char Char Char Char Char Char1 Char Char Char Char Char Char Char"/>
    <w:basedOn w:val="1"/>
    <w:qFormat/>
    <w:uiPriority w:val="0"/>
    <w:rPr>
      <w:szCs w:val="24"/>
    </w:rPr>
  </w:style>
  <w:style w:type="paragraph" w:customStyle="1" w:styleId="553">
    <w:name w:val="常用段落格式"/>
    <w:basedOn w:val="1"/>
    <w:qFormat/>
    <w:uiPriority w:val="0"/>
    <w:pPr>
      <w:spacing w:line="360" w:lineRule="auto"/>
      <w:ind w:firstLine="480" w:firstLineChars="200"/>
    </w:pPr>
    <w:rPr>
      <w:rFonts w:cs="宋体"/>
      <w:sz w:val="24"/>
      <w:szCs w:val="20"/>
    </w:rPr>
  </w:style>
  <w:style w:type="paragraph" w:customStyle="1" w:styleId="554">
    <w:name w:val="Char Char Char Char1"/>
    <w:basedOn w:val="1"/>
    <w:qFormat/>
    <w:uiPriority w:val="0"/>
    <w:rPr>
      <w:szCs w:val="24"/>
    </w:rPr>
  </w:style>
  <w:style w:type="paragraph" w:customStyle="1" w:styleId="555">
    <w:name w:val="Char Char Char1 Char Char Char Char Char Char Char Char Char Char"/>
    <w:basedOn w:val="1"/>
    <w:qFormat/>
    <w:uiPriority w:val="0"/>
    <w:rPr>
      <w:szCs w:val="24"/>
    </w:rPr>
  </w:style>
  <w:style w:type="paragraph" w:customStyle="1" w:styleId="556">
    <w:name w:val="表的格式（小四）"/>
    <w:basedOn w:val="1"/>
    <w:qFormat/>
    <w:uiPriority w:val="0"/>
    <w:pPr>
      <w:adjustRightInd w:val="0"/>
      <w:spacing w:line="360" w:lineRule="atLeast"/>
      <w:jc w:val="center"/>
    </w:pPr>
    <w:rPr>
      <w:kern w:val="0"/>
      <w:sz w:val="24"/>
      <w:szCs w:val="20"/>
    </w:rPr>
  </w:style>
  <w:style w:type="paragraph" w:customStyle="1" w:styleId="557">
    <w:name w:val="标题02"/>
    <w:basedOn w:val="1"/>
    <w:next w:val="1"/>
    <w:qFormat/>
    <w:uiPriority w:val="0"/>
    <w:pPr>
      <w:snapToGrid w:val="0"/>
      <w:spacing w:line="360" w:lineRule="auto"/>
      <w:outlineLvl w:val="1"/>
    </w:pPr>
    <w:rPr>
      <w:b/>
      <w:sz w:val="28"/>
      <w:szCs w:val="20"/>
    </w:rPr>
  </w:style>
  <w:style w:type="paragraph" w:customStyle="1" w:styleId="558">
    <w:name w:val="标题03"/>
    <w:basedOn w:val="1"/>
    <w:next w:val="1"/>
    <w:qFormat/>
    <w:uiPriority w:val="0"/>
    <w:pPr>
      <w:spacing w:line="480" w:lineRule="atLeast"/>
      <w:ind w:firstLine="480"/>
    </w:pPr>
    <w:rPr>
      <w:b/>
      <w:sz w:val="24"/>
      <w:szCs w:val="20"/>
    </w:rPr>
  </w:style>
  <w:style w:type="paragraph" w:customStyle="1" w:styleId="559">
    <w:name w:val="标题01"/>
    <w:basedOn w:val="1"/>
    <w:qFormat/>
    <w:uiPriority w:val="0"/>
    <w:pPr>
      <w:spacing w:after="120" w:line="460" w:lineRule="atLeast"/>
      <w:ind w:firstLine="480"/>
      <w:jc w:val="center"/>
      <w:outlineLvl w:val="0"/>
    </w:pPr>
    <w:rPr>
      <w:b/>
      <w:sz w:val="30"/>
      <w:szCs w:val="20"/>
    </w:rPr>
  </w:style>
  <w:style w:type="paragraph" w:customStyle="1" w:styleId="560">
    <w:name w:val="105v"/>
    <w:basedOn w:val="1"/>
    <w:qFormat/>
    <w:uiPriority w:val="0"/>
    <w:pPr>
      <w:widowControl/>
      <w:spacing w:before="100" w:beforeAutospacing="1" w:after="100" w:afterAutospacing="1"/>
      <w:jc w:val="left"/>
    </w:pPr>
    <w:rPr>
      <w:rFonts w:ascii="宋体" w:hAnsi="宋体" w:cs="宋体"/>
      <w:kern w:val="0"/>
      <w:szCs w:val="21"/>
    </w:rPr>
  </w:style>
  <w:style w:type="paragraph" w:customStyle="1" w:styleId="561">
    <w:name w:val="表头样式1"/>
    <w:basedOn w:val="1"/>
    <w:qFormat/>
    <w:uiPriority w:val="0"/>
    <w:pPr>
      <w:autoSpaceDE w:val="0"/>
      <w:autoSpaceDN w:val="0"/>
      <w:adjustRightInd w:val="0"/>
      <w:snapToGrid w:val="0"/>
      <w:spacing w:line="360" w:lineRule="auto"/>
      <w:jc w:val="center"/>
    </w:pPr>
    <w:rPr>
      <w:rFonts w:ascii="黑体" w:hAnsi="宋体" w:eastAsia="黑体" w:cs="黑体"/>
      <w:color w:val="000000"/>
      <w:kern w:val="0"/>
      <w:sz w:val="24"/>
      <w:szCs w:val="24"/>
    </w:rPr>
  </w:style>
  <w:style w:type="paragraph" w:customStyle="1" w:styleId="562">
    <w:name w:val="正文2表格"/>
    <w:basedOn w:val="1"/>
    <w:qFormat/>
    <w:uiPriority w:val="0"/>
    <w:pPr>
      <w:spacing w:line="400" w:lineRule="exact"/>
      <w:jc w:val="center"/>
    </w:pPr>
    <w:rPr>
      <w:rFonts w:ascii="宋体" w:hAnsi="宋体"/>
      <w:szCs w:val="24"/>
    </w:rPr>
  </w:style>
  <w:style w:type="paragraph" w:customStyle="1" w:styleId="563">
    <w:name w:val="word"/>
    <w:basedOn w:val="1"/>
    <w:qFormat/>
    <w:uiPriority w:val="0"/>
    <w:pPr>
      <w:widowControl/>
      <w:spacing w:before="100" w:beforeAutospacing="1" w:after="100" w:afterAutospacing="1"/>
      <w:jc w:val="left"/>
    </w:pPr>
    <w:rPr>
      <w:color w:val="565656"/>
      <w:kern w:val="0"/>
      <w:sz w:val="18"/>
      <w:szCs w:val="18"/>
    </w:rPr>
  </w:style>
  <w:style w:type="paragraph" w:customStyle="1" w:styleId="564">
    <w:name w:val="4号两端对齐"/>
    <w:qFormat/>
    <w:uiPriority w:val="0"/>
    <w:pPr>
      <w:widowControl w:val="0"/>
      <w:spacing w:line="400" w:lineRule="exact"/>
      <w:jc w:val="center"/>
    </w:pPr>
    <w:rPr>
      <w:rFonts w:ascii="Times New Roman" w:hAnsi="Times New Roman" w:eastAsia="宋体" w:cs="Times New Roman"/>
      <w:kern w:val="2"/>
      <w:sz w:val="21"/>
      <w:szCs w:val="24"/>
      <w:lang w:val="en-US" w:eastAsia="zh-CN" w:bidi="ar-SA"/>
    </w:rPr>
  </w:style>
  <w:style w:type="character" w:customStyle="1" w:styleId="565">
    <w:name w:val="正文 + 首行缩进:  2 字符 Char"/>
    <w:link w:val="566"/>
    <w:qFormat/>
    <w:locked/>
    <w:uiPriority w:val="0"/>
    <w:rPr>
      <w:kern w:val="2"/>
      <w:sz w:val="24"/>
    </w:rPr>
  </w:style>
  <w:style w:type="paragraph" w:customStyle="1" w:styleId="566">
    <w:name w:val="正文 + 首行缩进:  2 字符"/>
    <w:basedOn w:val="1"/>
    <w:link w:val="565"/>
    <w:qFormat/>
    <w:uiPriority w:val="0"/>
    <w:pPr>
      <w:spacing w:line="360" w:lineRule="auto"/>
      <w:ind w:firstLine="480" w:firstLineChars="200"/>
    </w:pPr>
    <w:rPr>
      <w:rFonts w:ascii="Calibri" w:hAnsi="Calibri"/>
      <w:sz w:val="24"/>
      <w:szCs w:val="20"/>
    </w:rPr>
  </w:style>
  <w:style w:type="paragraph" w:customStyle="1" w:styleId="567">
    <w:name w:val="日期1"/>
    <w:basedOn w:val="1"/>
    <w:next w:val="1"/>
    <w:qFormat/>
    <w:uiPriority w:val="0"/>
    <w:pPr>
      <w:tabs>
        <w:tab w:val="left" w:pos="1134"/>
        <w:tab w:val="right" w:pos="7371"/>
      </w:tabs>
      <w:adjustRightInd w:val="0"/>
      <w:spacing w:line="360" w:lineRule="atLeast"/>
      <w:ind w:firstLine="567"/>
    </w:pPr>
    <w:rPr>
      <w:rFonts w:ascii="宋体"/>
      <w:kern w:val="0"/>
      <w:sz w:val="28"/>
      <w:szCs w:val="20"/>
    </w:rPr>
  </w:style>
  <w:style w:type="paragraph" w:customStyle="1" w:styleId="568">
    <w:name w:val="0"/>
    <w:basedOn w:val="1"/>
    <w:qFormat/>
    <w:uiPriority w:val="0"/>
    <w:pPr>
      <w:widowControl/>
      <w:snapToGrid w:val="0"/>
      <w:spacing w:line="365" w:lineRule="atLeast"/>
      <w:ind w:left="1"/>
    </w:pPr>
    <w:rPr>
      <w:kern w:val="0"/>
      <w:sz w:val="20"/>
      <w:szCs w:val="20"/>
    </w:rPr>
  </w:style>
  <w:style w:type="character" w:customStyle="1" w:styleId="569">
    <w:name w:val="样式4 Char"/>
    <w:link w:val="264"/>
    <w:qFormat/>
    <w:locked/>
    <w:uiPriority w:val="0"/>
    <w:rPr>
      <w:rFonts w:ascii="Times New Roman" w:hAnsi="Times New Roman"/>
      <w:kern w:val="2"/>
      <w:sz w:val="21"/>
    </w:rPr>
  </w:style>
  <w:style w:type="paragraph" w:customStyle="1" w:styleId="570">
    <w:name w:val="Char Char Char Char2"/>
    <w:basedOn w:val="1"/>
    <w:qFormat/>
    <w:uiPriority w:val="0"/>
    <w:pPr>
      <w:widowControl/>
      <w:spacing w:after="160" w:line="240" w:lineRule="exact"/>
      <w:jc w:val="left"/>
    </w:pPr>
    <w:rPr>
      <w:rFonts w:ascii="Verdana" w:hAnsi="Verdana"/>
      <w:kern w:val="0"/>
      <w:sz w:val="20"/>
      <w:szCs w:val="20"/>
      <w:lang w:eastAsia="en-US"/>
    </w:rPr>
  </w:style>
  <w:style w:type="paragraph" w:customStyle="1" w:styleId="571">
    <w:name w:val="Char4"/>
    <w:basedOn w:val="1"/>
    <w:qFormat/>
    <w:uiPriority w:val="0"/>
    <w:rPr>
      <w:szCs w:val="24"/>
    </w:rPr>
  </w:style>
  <w:style w:type="paragraph" w:customStyle="1" w:styleId="572">
    <w:name w:val="Char Char Char Char Char Char Char Char Char Char Char Char Char Char Char Char1"/>
    <w:basedOn w:val="1"/>
    <w:qFormat/>
    <w:uiPriority w:val="0"/>
    <w:pPr>
      <w:spacing w:line="360" w:lineRule="auto"/>
      <w:ind w:firstLine="200" w:firstLineChars="200"/>
    </w:pPr>
    <w:rPr>
      <w:rFonts w:ascii="宋体" w:hAnsi="宋体" w:cs="宋体"/>
      <w:sz w:val="24"/>
      <w:szCs w:val="24"/>
    </w:rPr>
  </w:style>
  <w:style w:type="paragraph" w:customStyle="1" w:styleId="573">
    <w:name w:val="Char Char Char Char Char Char Char2"/>
    <w:basedOn w:val="1"/>
    <w:qFormat/>
    <w:uiPriority w:val="0"/>
    <w:rPr>
      <w:szCs w:val="24"/>
    </w:rPr>
  </w:style>
  <w:style w:type="paragraph" w:customStyle="1" w:styleId="574">
    <w:name w:val="正文文本 211"/>
    <w:basedOn w:val="1"/>
    <w:qFormat/>
    <w:uiPriority w:val="0"/>
    <w:pPr>
      <w:autoSpaceDE w:val="0"/>
      <w:autoSpaceDN w:val="0"/>
      <w:adjustRightInd w:val="0"/>
      <w:spacing w:line="360" w:lineRule="atLeast"/>
      <w:ind w:firstLine="425"/>
    </w:pPr>
    <w:rPr>
      <w:rFonts w:ascii="宋体" w:hAnsi="Tms Rmn"/>
      <w:kern w:val="0"/>
      <w:sz w:val="28"/>
      <w:szCs w:val="20"/>
    </w:rPr>
  </w:style>
  <w:style w:type="paragraph" w:customStyle="1" w:styleId="575">
    <w:name w:val="Char Char Char2 Char1"/>
    <w:basedOn w:val="1"/>
    <w:qFormat/>
    <w:uiPriority w:val="0"/>
    <w:pPr>
      <w:spacing w:line="240" w:lineRule="exact"/>
      <w:ind w:firstLine="200" w:firstLineChars="200"/>
    </w:pPr>
    <w:rPr>
      <w:sz w:val="28"/>
      <w:szCs w:val="28"/>
    </w:rPr>
  </w:style>
  <w:style w:type="paragraph" w:customStyle="1" w:styleId="576">
    <w:name w:val="纯文本11"/>
    <w:basedOn w:val="1"/>
    <w:qFormat/>
    <w:uiPriority w:val="0"/>
    <w:pPr>
      <w:snapToGrid w:val="0"/>
      <w:ind w:firstLine="523" w:firstLineChars="218"/>
      <w:jc w:val="center"/>
      <w:outlineLvl w:val="0"/>
    </w:pPr>
    <w:rPr>
      <w:rFonts w:ascii="宋体" w:hAnsi="宋体"/>
      <w:color w:val="000000"/>
      <w:kern w:val="0"/>
      <w:szCs w:val="20"/>
    </w:rPr>
  </w:style>
  <w:style w:type="paragraph" w:customStyle="1" w:styleId="577">
    <w:name w:val="Char Char Char Char Char Char Char Char Char Char2"/>
    <w:basedOn w:val="1"/>
    <w:qFormat/>
    <w:uiPriority w:val="0"/>
    <w:rPr>
      <w:szCs w:val="24"/>
    </w:rPr>
  </w:style>
  <w:style w:type="paragraph" w:customStyle="1" w:styleId="578">
    <w:name w:val="Char21"/>
    <w:basedOn w:val="1"/>
    <w:qFormat/>
    <w:uiPriority w:val="0"/>
    <w:pPr>
      <w:spacing w:line="360" w:lineRule="auto"/>
      <w:ind w:firstLine="200" w:firstLineChars="200"/>
    </w:pPr>
    <w:rPr>
      <w:rFonts w:ascii="宋体" w:hAnsi="宋体" w:cs="宋体"/>
      <w:sz w:val="24"/>
      <w:szCs w:val="24"/>
    </w:rPr>
  </w:style>
  <w:style w:type="paragraph" w:customStyle="1" w:styleId="579">
    <w:name w:val="Char2 Char Char Char1"/>
    <w:basedOn w:val="1"/>
    <w:qFormat/>
    <w:uiPriority w:val="0"/>
    <w:pPr>
      <w:spacing w:line="360" w:lineRule="auto"/>
      <w:ind w:firstLine="200" w:firstLineChars="200"/>
    </w:pPr>
    <w:rPr>
      <w:rFonts w:ascii="宋体" w:hAnsi="宋体" w:cs="宋体"/>
      <w:sz w:val="24"/>
      <w:szCs w:val="24"/>
    </w:rPr>
  </w:style>
  <w:style w:type="paragraph" w:customStyle="1" w:styleId="580">
    <w:name w:val="Char Char Char Char Char Char1"/>
    <w:basedOn w:val="1"/>
    <w:semiHidden/>
    <w:qFormat/>
    <w:uiPriority w:val="0"/>
    <w:pPr>
      <w:adjustRightInd w:val="0"/>
      <w:snapToGrid w:val="0"/>
    </w:pPr>
    <w:rPr>
      <w:sz w:val="24"/>
      <w:szCs w:val="21"/>
    </w:rPr>
  </w:style>
  <w:style w:type="paragraph" w:customStyle="1" w:styleId="581">
    <w:name w:val="Char Char Char Char Char Char Char Char Char Char Char Char Char2"/>
    <w:basedOn w:val="1"/>
    <w:qFormat/>
    <w:uiPriority w:val="0"/>
    <w:rPr>
      <w:szCs w:val="24"/>
    </w:rPr>
  </w:style>
  <w:style w:type="paragraph" w:customStyle="1" w:styleId="582">
    <w:name w:val="日期11"/>
    <w:basedOn w:val="1"/>
    <w:next w:val="1"/>
    <w:qFormat/>
    <w:uiPriority w:val="0"/>
    <w:pPr>
      <w:tabs>
        <w:tab w:val="left" w:pos="1134"/>
        <w:tab w:val="right" w:pos="7371"/>
      </w:tabs>
      <w:adjustRightInd w:val="0"/>
      <w:spacing w:line="360" w:lineRule="atLeast"/>
      <w:ind w:firstLine="567"/>
    </w:pPr>
    <w:rPr>
      <w:rFonts w:ascii="宋体"/>
      <w:kern w:val="0"/>
      <w:sz w:val="28"/>
      <w:szCs w:val="20"/>
    </w:rPr>
  </w:style>
  <w:style w:type="character" w:customStyle="1" w:styleId="583">
    <w:name w:val="表内容0 Char"/>
    <w:link w:val="584"/>
    <w:qFormat/>
    <w:locked/>
    <w:uiPriority w:val="0"/>
    <w:rPr>
      <w:rFonts w:ascii="宋体" w:hAnsi="宋体"/>
      <w:snapToGrid w:val="0"/>
      <w:kern w:val="2"/>
      <w:sz w:val="18"/>
      <w:szCs w:val="18"/>
    </w:rPr>
  </w:style>
  <w:style w:type="paragraph" w:customStyle="1" w:styleId="584">
    <w:name w:val="表内容0"/>
    <w:basedOn w:val="1"/>
    <w:link w:val="583"/>
    <w:qFormat/>
    <w:uiPriority w:val="0"/>
    <w:pPr>
      <w:adjustRightInd w:val="0"/>
      <w:snapToGrid w:val="0"/>
      <w:spacing w:line="240" w:lineRule="atLeast"/>
      <w:jc w:val="center"/>
    </w:pPr>
    <w:rPr>
      <w:rFonts w:ascii="宋体" w:hAnsi="宋体"/>
      <w:snapToGrid w:val="0"/>
      <w:sz w:val="18"/>
      <w:szCs w:val="18"/>
    </w:rPr>
  </w:style>
  <w:style w:type="character" w:customStyle="1" w:styleId="585">
    <w:name w:val="正文C1 Char"/>
    <w:link w:val="586"/>
    <w:qFormat/>
    <w:locked/>
    <w:uiPriority w:val="0"/>
    <w:rPr>
      <w:rFonts w:ascii="宋体" w:hAnsi="宋体"/>
      <w:kern w:val="2"/>
      <w:sz w:val="24"/>
      <w:szCs w:val="28"/>
    </w:rPr>
  </w:style>
  <w:style w:type="paragraph" w:customStyle="1" w:styleId="586">
    <w:name w:val="正文C1"/>
    <w:basedOn w:val="2"/>
    <w:link w:val="585"/>
    <w:qFormat/>
    <w:uiPriority w:val="0"/>
    <w:pPr>
      <w:tabs>
        <w:tab w:val="left" w:pos="420"/>
        <w:tab w:val="left" w:pos="870"/>
        <w:tab w:val="left" w:pos="3150"/>
      </w:tabs>
      <w:autoSpaceDE w:val="0"/>
      <w:autoSpaceDN w:val="0"/>
      <w:adjustRightInd w:val="0"/>
      <w:snapToGrid w:val="0"/>
      <w:spacing w:after="0" w:line="336" w:lineRule="auto"/>
      <w:ind w:left="0" w:leftChars="0" w:firstLine="397" w:firstLineChars="0"/>
    </w:pPr>
    <w:rPr>
      <w:rFonts w:hAnsi="宋体"/>
      <w:color w:val="auto"/>
      <w:kern w:val="2"/>
      <w:szCs w:val="28"/>
      <w:lang w:val="en-US"/>
    </w:rPr>
  </w:style>
  <w:style w:type="character" w:customStyle="1" w:styleId="587">
    <w:name w:val="样式 表内容 + 居中 行距: 固定值 14 磅 Char"/>
    <w:link w:val="588"/>
    <w:qFormat/>
    <w:locked/>
    <w:uiPriority w:val="0"/>
    <w:rPr>
      <w:rFonts w:ascii="楷体_GB2312" w:eastAsia="楷体_GB2312"/>
      <w:sz w:val="21"/>
    </w:rPr>
  </w:style>
  <w:style w:type="paragraph" w:customStyle="1" w:styleId="588">
    <w:name w:val="样式 表内容 + 居中 行距: 固定值 14 磅"/>
    <w:basedOn w:val="1"/>
    <w:link w:val="587"/>
    <w:qFormat/>
    <w:uiPriority w:val="0"/>
    <w:pPr>
      <w:adjustRightInd w:val="0"/>
      <w:snapToGrid w:val="0"/>
      <w:spacing w:line="280" w:lineRule="exact"/>
      <w:jc w:val="center"/>
    </w:pPr>
    <w:rPr>
      <w:rFonts w:ascii="楷体_GB2312" w:hAnsi="Calibri" w:eastAsia="楷体_GB2312"/>
      <w:kern w:val="0"/>
      <w:szCs w:val="20"/>
    </w:rPr>
  </w:style>
  <w:style w:type="character" w:customStyle="1" w:styleId="589">
    <w:name w:val="样式 样式 表格标题 + 首行缩进:  2 字符 + 红色 Char"/>
    <w:link w:val="590"/>
    <w:qFormat/>
    <w:locked/>
    <w:uiPriority w:val="0"/>
    <w:rPr>
      <w:rFonts w:ascii="汉鼎简特宋" w:eastAsia="汉鼎简特宋"/>
      <w:sz w:val="24"/>
      <w:szCs w:val="24"/>
    </w:rPr>
  </w:style>
  <w:style w:type="paragraph" w:customStyle="1" w:styleId="590">
    <w:name w:val="样式 样式 表格标题 + 首行缩进:  2 字符 + 红色"/>
    <w:basedOn w:val="1"/>
    <w:link w:val="589"/>
    <w:qFormat/>
    <w:uiPriority w:val="0"/>
    <w:pPr>
      <w:adjustRightInd w:val="0"/>
      <w:spacing w:before="120" w:line="360" w:lineRule="auto"/>
      <w:ind w:firstLine="480" w:firstLineChars="200"/>
      <w:jc w:val="center"/>
    </w:pPr>
    <w:rPr>
      <w:rFonts w:ascii="汉鼎简特宋" w:hAnsi="Calibri" w:eastAsia="汉鼎简特宋"/>
      <w:kern w:val="0"/>
      <w:sz w:val="24"/>
      <w:szCs w:val="24"/>
    </w:rPr>
  </w:style>
  <w:style w:type="character" w:customStyle="1" w:styleId="591">
    <w:name w:val="表、图标题 Char Char"/>
    <w:link w:val="592"/>
    <w:qFormat/>
    <w:locked/>
    <w:uiPriority w:val="0"/>
    <w:rPr>
      <w:b/>
      <w:bCs/>
      <w:snapToGrid w:val="0"/>
      <w:sz w:val="24"/>
      <w:szCs w:val="21"/>
    </w:rPr>
  </w:style>
  <w:style w:type="paragraph" w:customStyle="1" w:styleId="592">
    <w:name w:val="表、图标题"/>
    <w:basedOn w:val="1"/>
    <w:link w:val="591"/>
    <w:qFormat/>
    <w:uiPriority w:val="0"/>
    <w:pPr>
      <w:adjustRightInd w:val="0"/>
      <w:snapToGrid w:val="0"/>
      <w:spacing w:line="480" w:lineRule="exact"/>
      <w:jc w:val="center"/>
    </w:pPr>
    <w:rPr>
      <w:rFonts w:ascii="Calibri" w:hAnsi="Calibri"/>
      <w:b/>
      <w:bCs/>
      <w:snapToGrid w:val="0"/>
      <w:kern w:val="0"/>
      <w:sz w:val="24"/>
      <w:szCs w:val="21"/>
    </w:rPr>
  </w:style>
  <w:style w:type="paragraph" w:customStyle="1" w:styleId="593">
    <w:name w:val="xl53"/>
    <w:basedOn w:val="1"/>
    <w:qFormat/>
    <w:uiPriority w:val="0"/>
    <w:pPr>
      <w:widowControl/>
      <w:pBdr>
        <w:top w:val="single" w:color="auto" w:sz="8" w:space="0"/>
        <w:left w:val="single" w:color="auto" w:sz="4" w:space="0"/>
        <w:bottom w:val="single" w:color="auto" w:sz="4" w:space="0"/>
        <w:right w:val="single" w:color="auto" w:sz="4" w:space="0"/>
      </w:pBdr>
      <w:shd w:val="clear" w:color="auto" w:fill="99CCFF"/>
      <w:spacing w:before="100" w:beforeAutospacing="1" w:after="100" w:afterAutospacing="1" w:line="360" w:lineRule="auto"/>
      <w:jc w:val="center"/>
    </w:pPr>
    <w:rPr>
      <w:rFonts w:ascii="宋体" w:hAnsi="宋体"/>
      <w:b/>
      <w:bCs/>
      <w:kern w:val="0"/>
      <w:sz w:val="20"/>
      <w:szCs w:val="20"/>
    </w:rPr>
  </w:style>
  <w:style w:type="paragraph" w:customStyle="1" w:styleId="594">
    <w:name w:val="font9"/>
    <w:basedOn w:val="1"/>
    <w:qFormat/>
    <w:uiPriority w:val="0"/>
    <w:pPr>
      <w:widowControl/>
      <w:spacing w:before="100" w:beforeAutospacing="1" w:after="100" w:afterAutospacing="1"/>
      <w:jc w:val="left"/>
    </w:pPr>
    <w:rPr>
      <w:rFonts w:ascii="宋体" w:hAnsi="宋体" w:cs="Arial Unicode MS"/>
      <w:kern w:val="0"/>
      <w:sz w:val="22"/>
    </w:rPr>
  </w:style>
  <w:style w:type="paragraph" w:customStyle="1" w:styleId="595">
    <w:name w:val="xl59"/>
    <w:basedOn w:val="1"/>
    <w:qFormat/>
    <w:uiPriority w:val="0"/>
    <w:pPr>
      <w:widowControl/>
      <w:pBdr>
        <w:top w:val="single" w:color="auto" w:sz="8" w:space="0"/>
        <w:left w:val="single" w:color="auto" w:sz="4" w:space="0"/>
        <w:bottom w:val="single" w:color="auto" w:sz="8" w:space="0"/>
        <w:right w:val="single" w:color="auto" w:sz="4" w:space="0"/>
      </w:pBdr>
      <w:shd w:val="clear" w:color="auto" w:fill="99CCFF"/>
      <w:spacing w:before="100" w:beforeAutospacing="1" w:after="100" w:afterAutospacing="1" w:line="360" w:lineRule="auto"/>
      <w:jc w:val="right"/>
    </w:pPr>
    <w:rPr>
      <w:b/>
      <w:bCs/>
      <w:kern w:val="0"/>
      <w:sz w:val="20"/>
      <w:szCs w:val="20"/>
    </w:rPr>
  </w:style>
  <w:style w:type="paragraph" w:customStyle="1" w:styleId="596">
    <w:name w:val="xl44"/>
    <w:basedOn w:val="1"/>
    <w:qFormat/>
    <w:uiPriority w:val="0"/>
    <w:pPr>
      <w:widowControl/>
      <w:pBdr>
        <w:top w:val="single" w:color="auto" w:sz="8" w:space="0"/>
        <w:left w:val="single" w:color="auto" w:sz="8" w:space="0"/>
        <w:bottom w:val="single" w:color="auto" w:sz="4" w:space="0"/>
        <w:right w:val="single" w:color="auto" w:sz="4" w:space="0"/>
      </w:pBdr>
      <w:shd w:val="clear" w:color="auto" w:fill="99CCFF"/>
      <w:spacing w:before="100" w:beforeAutospacing="1" w:after="100" w:afterAutospacing="1" w:line="360" w:lineRule="auto"/>
      <w:jc w:val="center"/>
    </w:pPr>
    <w:rPr>
      <w:rFonts w:ascii="宋体" w:hAnsi="宋体"/>
      <w:b/>
      <w:bCs/>
      <w:kern w:val="0"/>
      <w:sz w:val="20"/>
      <w:szCs w:val="20"/>
    </w:rPr>
  </w:style>
  <w:style w:type="paragraph" w:customStyle="1" w:styleId="597">
    <w:name w:val="font7"/>
    <w:basedOn w:val="1"/>
    <w:qFormat/>
    <w:uiPriority w:val="0"/>
    <w:pPr>
      <w:widowControl/>
      <w:spacing w:before="100" w:beforeAutospacing="1" w:after="100" w:afterAutospacing="1"/>
      <w:jc w:val="left"/>
    </w:pPr>
    <w:rPr>
      <w:rFonts w:ascii="宋体" w:hAnsi="宋体" w:cs="Arial Unicode MS"/>
      <w:kern w:val="0"/>
      <w:sz w:val="18"/>
      <w:szCs w:val="18"/>
    </w:rPr>
  </w:style>
  <w:style w:type="paragraph" w:customStyle="1" w:styleId="598">
    <w:name w:val="xl49"/>
    <w:basedOn w:val="1"/>
    <w:qFormat/>
    <w:uiPriority w:val="0"/>
    <w:pPr>
      <w:widowControl/>
      <w:pBdr>
        <w:top w:val="single" w:color="auto" w:sz="8" w:space="0"/>
        <w:left w:val="single" w:color="auto" w:sz="4" w:space="0"/>
        <w:bottom w:val="single" w:color="auto" w:sz="8" w:space="0"/>
        <w:right w:val="single" w:color="auto" w:sz="4" w:space="0"/>
      </w:pBdr>
      <w:shd w:val="clear" w:color="auto" w:fill="99CCFF"/>
      <w:spacing w:before="100" w:beforeAutospacing="1" w:after="100" w:afterAutospacing="1" w:line="360" w:lineRule="auto"/>
      <w:jc w:val="center"/>
    </w:pPr>
    <w:rPr>
      <w:rFonts w:ascii="宋体" w:hAnsi="宋体"/>
      <w:b/>
      <w:bCs/>
      <w:kern w:val="0"/>
      <w:sz w:val="20"/>
      <w:szCs w:val="20"/>
    </w:rPr>
  </w:style>
  <w:style w:type="paragraph" w:customStyle="1" w:styleId="599">
    <w:name w:val="xl52"/>
    <w:basedOn w:val="1"/>
    <w:qFormat/>
    <w:uiPriority w:val="0"/>
    <w:pPr>
      <w:widowControl/>
      <w:pBdr>
        <w:top w:val="single" w:color="auto" w:sz="4" w:space="0"/>
        <w:left w:val="single" w:color="auto" w:sz="8" w:space="0"/>
        <w:bottom w:val="single" w:color="auto" w:sz="8" w:space="0"/>
        <w:right w:val="single" w:color="auto" w:sz="4" w:space="0"/>
      </w:pBdr>
      <w:shd w:val="clear" w:color="auto" w:fill="99CCFF"/>
      <w:spacing w:before="100" w:beforeAutospacing="1" w:after="100" w:afterAutospacing="1" w:line="360" w:lineRule="auto"/>
      <w:jc w:val="center"/>
    </w:pPr>
    <w:rPr>
      <w:rFonts w:ascii="宋体" w:hAnsi="宋体"/>
      <w:b/>
      <w:bCs/>
      <w:kern w:val="0"/>
      <w:sz w:val="20"/>
      <w:szCs w:val="20"/>
    </w:rPr>
  </w:style>
  <w:style w:type="paragraph" w:customStyle="1" w:styleId="600">
    <w:name w:val="表前文字"/>
    <w:basedOn w:val="1"/>
    <w:qFormat/>
    <w:uiPriority w:val="0"/>
    <w:pPr>
      <w:adjustRightInd w:val="0"/>
      <w:snapToGrid w:val="0"/>
      <w:spacing w:line="440" w:lineRule="exact"/>
      <w:jc w:val="center"/>
    </w:pPr>
    <w:rPr>
      <w:color w:val="000000"/>
      <w:kern w:val="0"/>
      <w:sz w:val="24"/>
      <w:szCs w:val="24"/>
    </w:rPr>
  </w:style>
  <w:style w:type="paragraph" w:customStyle="1" w:styleId="601">
    <w:name w:val="xl36"/>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jc w:val="center"/>
    </w:pPr>
    <w:rPr>
      <w:rFonts w:ascii="宋体" w:hAnsi="宋体"/>
      <w:kern w:val="0"/>
      <w:sz w:val="20"/>
      <w:szCs w:val="20"/>
    </w:rPr>
  </w:style>
  <w:style w:type="paragraph" w:customStyle="1" w:styleId="602">
    <w:name w:val="xl51"/>
    <w:basedOn w:val="1"/>
    <w:qFormat/>
    <w:uiPriority w:val="0"/>
    <w:pPr>
      <w:widowControl/>
      <w:pBdr>
        <w:top w:val="single" w:color="auto" w:sz="8" w:space="0"/>
        <w:left w:val="single" w:color="auto" w:sz="4" w:space="0"/>
        <w:bottom w:val="single" w:color="auto" w:sz="4" w:space="0"/>
        <w:right w:val="single" w:color="auto" w:sz="8" w:space="0"/>
      </w:pBdr>
      <w:shd w:val="clear" w:color="auto" w:fill="99CCFF"/>
      <w:spacing w:before="100" w:beforeAutospacing="1" w:after="100" w:afterAutospacing="1" w:line="360" w:lineRule="auto"/>
      <w:jc w:val="center"/>
    </w:pPr>
    <w:rPr>
      <w:rFonts w:ascii="宋体" w:hAnsi="宋体"/>
      <w:b/>
      <w:bCs/>
      <w:kern w:val="0"/>
      <w:sz w:val="20"/>
      <w:szCs w:val="20"/>
    </w:rPr>
  </w:style>
  <w:style w:type="paragraph" w:customStyle="1" w:styleId="603">
    <w:name w:val="zxj正文"/>
    <w:basedOn w:val="1"/>
    <w:qFormat/>
    <w:uiPriority w:val="0"/>
    <w:pPr>
      <w:snapToGrid w:val="0"/>
      <w:spacing w:line="360" w:lineRule="auto"/>
      <w:ind w:firstLine="200" w:firstLineChars="200"/>
    </w:pPr>
    <w:rPr>
      <w:rFonts w:ascii="宋体"/>
      <w:szCs w:val="24"/>
    </w:rPr>
  </w:style>
  <w:style w:type="paragraph" w:customStyle="1" w:styleId="604">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Arial Unicode MS"/>
      <w:kern w:val="0"/>
      <w:sz w:val="24"/>
      <w:szCs w:val="24"/>
    </w:rPr>
  </w:style>
  <w:style w:type="paragraph" w:customStyle="1" w:styleId="605">
    <w:name w:val="xl57"/>
    <w:basedOn w:val="1"/>
    <w:qFormat/>
    <w:uiPriority w:val="0"/>
    <w:pPr>
      <w:widowControl/>
      <w:pBdr>
        <w:top w:val="single" w:color="auto" w:sz="8" w:space="0"/>
        <w:left w:val="single" w:color="auto" w:sz="8" w:space="0"/>
        <w:bottom w:val="single" w:color="auto" w:sz="8" w:space="0"/>
        <w:right w:val="single" w:color="auto" w:sz="4" w:space="0"/>
      </w:pBdr>
      <w:shd w:val="clear" w:color="auto" w:fill="99CCFF"/>
      <w:spacing w:before="100" w:beforeAutospacing="1" w:after="100" w:afterAutospacing="1" w:line="360" w:lineRule="auto"/>
      <w:jc w:val="center"/>
    </w:pPr>
    <w:rPr>
      <w:rFonts w:ascii="宋体" w:hAnsi="宋体"/>
      <w:b/>
      <w:bCs/>
      <w:kern w:val="0"/>
      <w:sz w:val="20"/>
      <w:szCs w:val="20"/>
    </w:rPr>
  </w:style>
  <w:style w:type="paragraph" w:customStyle="1" w:styleId="606">
    <w:name w:val="zxj表头"/>
    <w:basedOn w:val="1"/>
    <w:qFormat/>
    <w:uiPriority w:val="0"/>
    <w:pPr>
      <w:spacing w:beforeLines="50" w:afterLines="50"/>
      <w:jc w:val="center"/>
    </w:pPr>
    <w:rPr>
      <w:rFonts w:eastAsia="楷体_GB2312"/>
      <w:b/>
      <w:sz w:val="18"/>
      <w:szCs w:val="24"/>
    </w:rPr>
  </w:style>
  <w:style w:type="paragraph" w:customStyle="1" w:styleId="607">
    <w:name w:val="xl110"/>
    <w:basedOn w:val="1"/>
    <w:qFormat/>
    <w:uiPriority w:val="0"/>
    <w:pPr>
      <w:widowControl/>
      <w:spacing w:before="100" w:beforeAutospacing="1" w:after="100" w:afterAutospacing="1"/>
      <w:jc w:val="left"/>
    </w:pPr>
    <w:rPr>
      <w:rFonts w:eastAsia="Arial Unicode MS"/>
      <w:kern w:val="0"/>
      <w:sz w:val="20"/>
      <w:szCs w:val="20"/>
    </w:rPr>
  </w:style>
  <w:style w:type="paragraph" w:customStyle="1" w:styleId="608">
    <w:name w:val="样式 标题 2 + (西文) 宋体 四号"/>
    <w:basedOn w:val="8"/>
    <w:qFormat/>
    <w:uiPriority w:val="0"/>
    <w:pPr>
      <w:spacing w:line="360" w:lineRule="auto"/>
    </w:pPr>
    <w:rPr>
      <w:rFonts w:ascii="宋体" w:hAnsi="宋体" w:eastAsia="黑体"/>
      <w:sz w:val="28"/>
    </w:rPr>
  </w:style>
  <w:style w:type="paragraph" w:customStyle="1" w:styleId="609">
    <w:name w:val="xl46"/>
    <w:basedOn w:val="1"/>
    <w:qFormat/>
    <w:uiPriority w:val="0"/>
    <w:pPr>
      <w:widowControl/>
      <w:pBdr>
        <w:top w:val="single" w:color="auto" w:sz="8" w:space="0"/>
        <w:left w:val="single" w:color="auto" w:sz="4" w:space="0"/>
        <w:bottom w:val="single" w:color="auto" w:sz="4" w:space="0"/>
        <w:right w:val="single" w:color="auto" w:sz="4" w:space="0"/>
      </w:pBdr>
      <w:shd w:val="clear" w:color="auto" w:fill="99CCFF"/>
      <w:spacing w:before="100" w:beforeAutospacing="1" w:after="100" w:afterAutospacing="1" w:line="360" w:lineRule="auto"/>
      <w:jc w:val="center"/>
    </w:pPr>
    <w:rPr>
      <w:rFonts w:ascii="宋体" w:hAnsi="宋体"/>
      <w:b/>
      <w:bCs/>
      <w:kern w:val="0"/>
      <w:sz w:val="20"/>
      <w:szCs w:val="20"/>
    </w:rPr>
  </w:style>
  <w:style w:type="paragraph" w:customStyle="1" w:styleId="610">
    <w:name w:val="about"/>
    <w:basedOn w:val="1"/>
    <w:qFormat/>
    <w:uiPriority w:val="0"/>
    <w:pPr>
      <w:widowControl/>
      <w:spacing w:before="100" w:beforeAutospacing="1" w:after="100" w:afterAutospacing="1" w:line="270" w:lineRule="atLeast"/>
      <w:ind w:firstLine="375"/>
      <w:jc w:val="left"/>
    </w:pPr>
    <w:rPr>
      <w:rFonts w:ascii="宋体" w:hAnsi="宋体" w:cs="宋体"/>
      <w:color w:val="333333"/>
      <w:kern w:val="0"/>
      <w:sz w:val="18"/>
      <w:szCs w:val="18"/>
    </w:rPr>
  </w:style>
  <w:style w:type="paragraph" w:customStyle="1" w:styleId="611">
    <w:name w:val="font0"/>
    <w:basedOn w:val="1"/>
    <w:qFormat/>
    <w:uiPriority w:val="0"/>
    <w:pPr>
      <w:widowControl/>
      <w:spacing w:before="100" w:beforeAutospacing="1" w:after="100" w:afterAutospacing="1"/>
      <w:jc w:val="left"/>
    </w:pPr>
    <w:rPr>
      <w:rFonts w:eastAsia="Arial Unicode MS"/>
      <w:kern w:val="0"/>
      <w:sz w:val="24"/>
      <w:szCs w:val="24"/>
    </w:rPr>
  </w:style>
  <w:style w:type="paragraph" w:customStyle="1" w:styleId="612">
    <w:name w:val="zxj三级节标题"/>
    <w:basedOn w:val="603"/>
    <w:next w:val="1"/>
    <w:qFormat/>
    <w:uiPriority w:val="0"/>
    <w:pPr>
      <w:tabs>
        <w:tab w:val="left" w:pos="1425"/>
      </w:tabs>
      <w:spacing w:beforeLines="100" w:afterLines="50"/>
      <w:ind w:left="420" w:leftChars="200" w:firstLine="0" w:firstLineChars="0"/>
      <w:outlineLvl w:val="2"/>
    </w:pPr>
    <w:rPr>
      <w:rFonts w:ascii="楷体_GB2312" w:eastAsia="黑体"/>
      <w:b/>
      <w:sz w:val="24"/>
      <w:szCs w:val="21"/>
    </w:rPr>
  </w:style>
  <w:style w:type="paragraph" w:customStyle="1" w:styleId="613">
    <w:name w:val="xl39"/>
    <w:basedOn w:val="1"/>
    <w:qFormat/>
    <w:uiPriority w:val="0"/>
    <w:pPr>
      <w:widowControl/>
      <w:pBdr>
        <w:left w:val="single" w:color="auto" w:sz="4" w:space="0"/>
        <w:bottom w:val="single" w:color="auto" w:sz="8" w:space="0"/>
        <w:right w:val="single" w:color="auto" w:sz="8" w:space="0"/>
      </w:pBdr>
      <w:spacing w:before="100" w:beforeAutospacing="1" w:after="100" w:afterAutospacing="1"/>
      <w:jc w:val="center"/>
    </w:pPr>
    <w:rPr>
      <w:rFonts w:ascii="宋体" w:hAnsi="宋体"/>
      <w:kern w:val="0"/>
      <w:sz w:val="24"/>
      <w:szCs w:val="24"/>
    </w:rPr>
  </w:style>
  <w:style w:type="paragraph" w:customStyle="1" w:styleId="614">
    <w:name w:val="font10"/>
    <w:basedOn w:val="1"/>
    <w:qFormat/>
    <w:uiPriority w:val="0"/>
    <w:pPr>
      <w:widowControl/>
      <w:spacing w:before="100" w:beforeAutospacing="1" w:after="100" w:afterAutospacing="1"/>
      <w:jc w:val="left"/>
    </w:pPr>
    <w:rPr>
      <w:rFonts w:ascii="宋体" w:hAnsi="宋体" w:cs="Arial Unicode MS"/>
      <w:color w:val="FF0000"/>
      <w:kern w:val="0"/>
      <w:sz w:val="24"/>
      <w:szCs w:val="24"/>
    </w:rPr>
  </w:style>
  <w:style w:type="paragraph" w:customStyle="1" w:styleId="615">
    <w:name w:val="Achievement"/>
    <w:basedOn w:val="1"/>
    <w:qFormat/>
    <w:uiPriority w:val="0"/>
    <w:pPr>
      <w:tabs>
        <w:tab w:val="left" w:pos="840"/>
      </w:tabs>
      <w:spacing w:line="440" w:lineRule="exact"/>
      <w:ind w:left="840" w:hanging="840"/>
    </w:pPr>
    <w:rPr>
      <w:szCs w:val="20"/>
    </w:rPr>
  </w:style>
  <w:style w:type="paragraph" w:customStyle="1" w:styleId="616">
    <w:name w:val="xl45"/>
    <w:basedOn w:val="1"/>
    <w:qFormat/>
    <w:uiPriority w:val="0"/>
    <w:pPr>
      <w:widowControl/>
      <w:pBdr>
        <w:top w:val="single" w:color="auto" w:sz="4" w:space="0"/>
        <w:left w:val="single" w:color="auto" w:sz="8" w:space="0"/>
        <w:bottom w:val="single" w:color="auto" w:sz="8" w:space="0"/>
        <w:right w:val="single" w:color="auto" w:sz="4" w:space="0"/>
      </w:pBdr>
      <w:shd w:val="clear" w:color="auto" w:fill="99CCFF"/>
      <w:spacing w:before="100" w:beforeAutospacing="1" w:after="100" w:afterAutospacing="1" w:line="360" w:lineRule="auto"/>
      <w:jc w:val="center"/>
    </w:pPr>
    <w:rPr>
      <w:rFonts w:ascii="宋体" w:hAnsi="宋体"/>
      <w:b/>
      <w:bCs/>
      <w:kern w:val="0"/>
      <w:sz w:val="20"/>
      <w:szCs w:val="20"/>
    </w:rPr>
  </w:style>
  <w:style w:type="paragraph" w:customStyle="1" w:styleId="617">
    <w:name w:val="xl37"/>
    <w:basedOn w:val="1"/>
    <w:qFormat/>
    <w:uiPriority w:val="0"/>
    <w:pPr>
      <w:widowControl/>
      <w:pBdr>
        <w:top w:val="single" w:color="auto" w:sz="4" w:space="0"/>
        <w:left w:val="single" w:color="auto" w:sz="4" w:space="0"/>
        <w:right w:val="single" w:color="auto" w:sz="8" w:space="0"/>
      </w:pBdr>
      <w:spacing w:before="100" w:beforeAutospacing="1" w:after="100" w:afterAutospacing="1" w:line="360" w:lineRule="auto"/>
      <w:jc w:val="center"/>
    </w:pPr>
    <w:rPr>
      <w:rFonts w:ascii="宋体" w:hAnsi="宋体"/>
      <w:kern w:val="0"/>
      <w:sz w:val="20"/>
      <w:szCs w:val="20"/>
    </w:rPr>
  </w:style>
  <w:style w:type="paragraph" w:customStyle="1" w:styleId="618">
    <w:name w:val="xl48"/>
    <w:basedOn w:val="1"/>
    <w:qFormat/>
    <w:uiPriority w:val="0"/>
    <w:pPr>
      <w:widowControl/>
      <w:spacing w:before="100" w:beforeAutospacing="1" w:after="100" w:afterAutospacing="1" w:line="360" w:lineRule="auto"/>
      <w:jc w:val="center"/>
    </w:pPr>
    <w:rPr>
      <w:rFonts w:ascii="宋体" w:hAnsi="宋体"/>
      <w:b/>
      <w:bCs/>
      <w:kern w:val="0"/>
      <w:sz w:val="20"/>
      <w:szCs w:val="20"/>
    </w:rPr>
  </w:style>
  <w:style w:type="paragraph" w:customStyle="1" w:styleId="619">
    <w:name w:val="xl58"/>
    <w:basedOn w:val="1"/>
    <w:qFormat/>
    <w:uiPriority w:val="0"/>
    <w:pPr>
      <w:widowControl/>
      <w:pBdr>
        <w:top w:val="single" w:color="auto" w:sz="8" w:space="0"/>
        <w:left w:val="single" w:color="auto" w:sz="4" w:space="0"/>
        <w:bottom w:val="single" w:color="auto" w:sz="8" w:space="0"/>
        <w:right w:val="single" w:color="auto" w:sz="4" w:space="0"/>
      </w:pBdr>
      <w:shd w:val="clear" w:color="auto" w:fill="99CCFF"/>
      <w:spacing w:before="100" w:beforeAutospacing="1" w:after="100" w:afterAutospacing="1" w:line="360" w:lineRule="auto"/>
      <w:jc w:val="center"/>
    </w:pPr>
    <w:rPr>
      <w:rFonts w:ascii="宋体" w:hAnsi="宋体"/>
      <w:b/>
      <w:bCs/>
      <w:kern w:val="0"/>
      <w:sz w:val="20"/>
      <w:szCs w:val="20"/>
    </w:rPr>
  </w:style>
  <w:style w:type="paragraph" w:customStyle="1" w:styleId="620">
    <w:name w:val="xl3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Arial Unicode MS"/>
      <w:kern w:val="0"/>
      <w:sz w:val="24"/>
      <w:szCs w:val="24"/>
    </w:rPr>
  </w:style>
  <w:style w:type="paragraph" w:customStyle="1" w:styleId="621">
    <w:name w:val="font8"/>
    <w:basedOn w:val="1"/>
    <w:qFormat/>
    <w:uiPriority w:val="0"/>
    <w:pPr>
      <w:widowControl/>
      <w:spacing w:before="100" w:beforeAutospacing="1" w:after="100" w:afterAutospacing="1"/>
      <w:jc w:val="left"/>
    </w:pPr>
    <w:rPr>
      <w:rFonts w:ascii="宋体" w:hAnsi="宋体" w:cs="Arial Unicode MS"/>
      <w:kern w:val="0"/>
      <w:sz w:val="24"/>
      <w:szCs w:val="24"/>
    </w:rPr>
  </w:style>
  <w:style w:type="paragraph" w:customStyle="1" w:styleId="622">
    <w:name w:val="xl55"/>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jc w:val="right"/>
    </w:pPr>
    <w:rPr>
      <w:color w:val="FF0000"/>
      <w:kern w:val="0"/>
      <w:sz w:val="20"/>
      <w:szCs w:val="20"/>
    </w:rPr>
  </w:style>
  <w:style w:type="paragraph" w:customStyle="1" w:styleId="623">
    <w:name w:val="xl3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Arial Unicode MS"/>
      <w:kern w:val="0"/>
      <w:sz w:val="24"/>
      <w:szCs w:val="24"/>
    </w:rPr>
  </w:style>
  <w:style w:type="paragraph" w:customStyle="1" w:styleId="624">
    <w:name w:val="xl38"/>
    <w:basedOn w:val="1"/>
    <w:qFormat/>
    <w:uiPriority w:val="0"/>
    <w:pPr>
      <w:widowControl/>
      <w:pBdr>
        <w:top w:val="single" w:color="auto" w:sz="8" w:space="0"/>
        <w:left w:val="single" w:color="auto" w:sz="8" w:space="0"/>
        <w:bottom w:val="single" w:color="auto" w:sz="8" w:space="0"/>
        <w:right w:val="single" w:color="auto" w:sz="4" w:space="0"/>
      </w:pBdr>
      <w:shd w:val="clear" w:color="auto" w:fill="99CCFF"/>
      <w:spacing w:before="100" w:beforeAutospacing="1" w:after="100" w:afterAutospacing="1" w:line="360" w:lineRule="auto"/>
      <w:jc w:val="center"/>
    </w:pPr>
    <w:rPr>
      <w:rFonts w:ascii="宋体" w:hAnsi="宋体"/>
      <w:b/>
      <w:bCs/>
      <w:kern w:val="0"/>
      <w:sz w:val="20"/>
      <w:szCs w:val="20"/>
    </w:rPr>
  </w:style>
  <w:style w:type="paragraph" w:customStyle="1" w:styleId="625">
    <w:name w:val="xl43"/>
    <w:basedOn w:val="1"/>
    <w:qFormat/>
    <w:uiPriority w:val="0"/>
    <w:pPr>
      <w:widowControl/>
      <w:pBdr>
        <w:top w:val="single" w:color="auto" w:sz="4" w:space="0"/>
        <w:left w:val="single" w:color="auto" w:sz="8" w:space="0"/>
        <w:right w:val="single" w:color="auto" w:sz="4" w:space="0"/>
      </w:pBdr>
      <w:spacing w:before="100" w:beforeAutospacing="1" w:after="100" w:afterAutospacing="1" w:line="360" w:lineRule="auto"/>
      <w:jc w:val="center"/>
    </w:pPr>
    <w:rPr>
      <w:rFonts w:ascii="宋体" w:hAnsi="宋体"/>
      <w:kern w:val="0"/>
      <w:sz w:val="20"/>
      <w:szCs w:val="20"/>
    </w:rPr>
  </w:style>
  <w:style w:type="paragraph" w:customStyle="1" w:styleId="626">
    <w:name w:val="xl42"/>
    <w:basedOn w:val="1"/>
    <w:qFormat/>
    <w:uiPriority w:val="0"/>
    <w:pPr>
      <w:widowControl/>
      <w:pBdr>
        <w:left w:val="single" w:color="auto" w:sz="8" w:space="0"/>
        <w:bottom w:val="single" w:color="auto" w:sz="4" w:space="0"/>
        <w:right w:val="single" w:color="auto" w:sz="4" w:space="0"/>
      </w:pBdr>
      <w:spacing w:before="100" w:beforeAutospacing="1" w:after="100" w:afterAutospacing="1" w:line="360" w:lineRule="auto"/>
      <w:jc w:val="center"/>
    </w:pPr>
    <w:rPr>
      <w:rFonts w:ascii="宋体" w:hAnsi="宋体"/>
      <w:b/>
      <w:bCs/>
      <w:kern w:val="0"/>
      <w:sz w:val="20"/>
      <w:szCs w:val="20"/>
    </w:rPr>
  </w:style>
  <w:style w:type="paragraph" w:customStyle="1" w:styleId="627">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628">
    <w:name w:val="xl54"/>
    <w:basedOn w:val="1"/>
    <w:qFormat/>
    <w:uiPriority w:val="0"/>
    <w:pPr>
      <w:widowControl/>
      <w:pBdr>
        <w:top w:val="single" w:color="auto" w:sz="8" w:space="0"/>
        <w:left w:val="single" w:color="auto" w:sz="4" w:space="0"/>
        <w:bottom w:val="single" w:color="auto" w:sz="4" w:space="0"/>
        <w:right w:val="single" w:color="auto" w:sz="8" w:space="0"/>
      </w:pBdr>
      <w:shd w:val="clear" w:color="auto" w:fill="99CCFF"/>
      <w:spacing w:before="100" w:beforeAutospacing="1" w:after="100" w:afterAutospacing="1" w:line="360" w:lineRule="auto"/>
      <w:jc w:val="center"/>
    </w:pPr>
    <w:rPr>
      <w:rFonts w:ascii="宋体" w:hAnsi="宋体"/>
      <w:b/>
      <w:bCs/>
      <w:kern w:val="0"/>
      <w:sz w:val="20"/>
      <w:szCs w:val="20"/>
    </w:rPr>
  </w:style>
  <w:style w:type="paragraph" w:customStyle="1" w:styleId="629">
    <w:name w:val="xl41"/>
    <w:basedOn w:val="1"/>
    <w:qFormat/>
    <w:uiPriority w:val="0"/>
    <w:pPr>
      <w:widowControl/>
      <w:pBdr>
        <w:top w:val="single" w:color="auto" w:sz="8" w:space="0"/>
        <w:left w:val="single" w:color="auto" w:sz="4" w:space="0"/>
        <w:bottom w:val="single" w:color="auto" w:sz="8" w:space="0"/>
        <w:right w:val="single" w:color="auto" w:sz="8" w:space="0"/>
      </w:pBdr>
      <w:shd w:val="clear" w:color="auto" w:fill="99CCFF"/>
      <w:spacing w:before="100" w:beforeAutospacing="1" w:after="100" w:afterAutospacing="1" w:line="360" w:lineRule="auto"/>
      <w:jc w:val="center"/>
    </w:pPr>
    <w:rPr>
      <w:rFonts w:ascii="宋体" w:hAnsi="宋体"/>
      <w:b/>
      <w:bCs/>
      <w:kern w:val="0"/>
      <w:sz w:val="20"/>
      <w:szCs w:val="20"/>
    </w:rPr>
  </w:style>
  <w:style w:type="paragraph" w:customStyle="1" w:styleId="630">
    <w:name w:val="xl47"/>
    <w:basedOn w:val="1"/>
    <w:qFormat/>
    <w:uiPriority w:val="0"/>
    <w:pPr>
      <w:widowControl/>
      <w:pBdr>
        <w:top w:val="single" w:color="auto" w:sz="8" w:space="0"/>
        <w:left w:val="single" w:color="auto" w:sz="4" w:space="0"/>
        <w:bottom w:val="single" w:color="auto" w:sz="4" w:space="0"/>
        <w:right w:val="single" w:color="auto" w:sz="8" w:space="0"/>
      </w:pBdr>
      <w:shd w:val="clear" w:color="auto" w:fill="99CCFF"/>
      <w:spacing w:before="100" w:beforeAutospacing="1" w:after="100" w:afterAutospacing="1" w:line="360" w:lineRule="auto"/>
      <w:jc w:val="center"/>
    </w:pPr>
    <w:rPr>
      <w:rFonts w:ascii="宋体" w:hAnsi="宋体"/>
      <w:b/>
      <w:bCs/>
      <w:kern w:val="0"/>
      <w:sz w:val="20"/>
      <w:szCs w:val="20"/>
    </w:rPr>
  </w:style>
  <w:style w:type="paragraph" w:customStyle="1" w:styleId="631">
    <w:name w:val="xl50"/>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jc w:val="center"/>
    </w:pPr>
    <w:rPr>
      <w:rFonts w:ascii="宋体" w:hAnsi="宋体"/>
      <w:kern w:val="0"/>
      <w:sz w:val="20"/>
      <w:szCs w:val="20"/>
    </w:rPr>
  </w:style>
  <w:style w:type="paragraph" w:customStyle="1" w:styleId="632">
    <w:name w:val="xl56"/>
    <w:basedOn w:val="1"/>
    <w:qFormat/>
    <w:uiPriority w:val="0"/>
    <w:pPr>
      <w:widowControl/>
      <w:pBdr>
        <w:top w:val="single" w:color="auto" w:sz="4" w:space="0"/>
        <w:left w:val="single" w:color="auto" w:sz="4" w:space="0"/>
        <w:right w:val="single" w:color="auto" w:sz="8" w:space="0"/>
      </w:pBdr>
      <w:spacing w:before="100" w:beforeAutospacing="1" w:after="100" w:afterAutospacing="1" w:line="360" w:lineRule="auto"/>
      <w:jc w:val="right"/>
    </w:pPr>
    <w:rPr>
      <w:kern w:val="0"/>
      <w:sz w:val="20"/>
      <w:szCs w:val="20"/>
    </w:rPr>
  </w:style>
  <w:style w:type="paragraph" w:customStyle="1" w:styleId="633">
    <w:name w:val="样式16"/>
    <w:basedOn w:val="9"/>
    <w:qFormat/>
    <w:uiPriority w:val="0"/>
    <w:pPr>
      <w:keepNext w:val="0"/>
      <w:keepLines w:val="0"/>
      <w:widowControl/>
      <w:spacing w:before="209" w:after="136" w:line="748" w:lineRule="atLeast"/>
      <w:ind w:firstLine="419"/>
      <w:outlineLvl w:val="9"/>
    </w:pPr>
    <w:rPr>
      <w:rFonts w:ascii="宋体"/>
      <w:bCs w:val="0"/>
      <w:color w:val="000000"/>
      <w:spacing w:val="11"/>
      <w:kern w:val="0"/>
      <w:sz w:val="28"/>
      <w:szCs w:val="20"/>
      <w:u w:color="000000"/>
    </w:rPr>
  </w:style>
  <w:style w:type="paragraph" w:customStyle="1" w:styleId="634">
    <w:name w:val="样式 正文（首行缩进两字） + 黑色"/>
    <w:basedOn w:val="20"/>
    <w:qFormat/>
    <w:uiPriority w:val="0"/>
    <w:pPr>
      <w:adjustRightInd w:val="0"/>
      <w:spacing w:line="520" w:lineRule="exact"/>
      <w:ind w:firstLine="200"/>
    </w:pPr>
    <w:rPr>
      <w:rFonts w:ascii="宋体" w:hAnsi="宋体" w:eastAsia="仿宋_GB2312"/>
      <w:color w:val="000000"/>
      <w:sz w:val="28"/>
      <w:szCs w:val="20"/>
    </w:rPr>
  </w:style>
  <w:style w:type="paragraph" w:customStyle="1" w:styleId="635">
    <w:name w:val="样式 标题 2 + Times New Roman"/>
    <w:basedOn w:val="8"/>
    <w:qFormat/>
    <w:uiPriority w:val="0"/>
    <w:pPr>
      <w:keepNext w:val="0"/>
      <w:keepLines w:val="0"/>
      <w:spacing w:before="0" w:after="0" w:line="360" w:lineRule="auto"/>
      <w:outlineLvl w:val="9"/>
    </w:pPr>
    <w:rPr>
      <w:rFonts w:ascii="黑体" w:hAnsi="宋体" w:eastAsia="黑体"/>
      <w:b w:val="0"/>
      <w:sz w:val="28"/>
      <w:szCs w:val="28"/>
    </w:rPr>
  </w:style>
  <w:style w:type="paragraph" w:customStyle="1" w:styleId="636">
    <w:name w:val="样式 标题 3 + (西文) Times New Roman (中文) 仿宋_GB2312"/>
    <w:basedOn w:val="9"/>
    <w:qFormat/>
    <w:uiPriority w:val="0"/>
    <w:pPr>
      <w:keepNext w:val="0"/>
      <w:keepLines w:val="0"/>
      <w:spacing w:before="0" w:after="0" w:line="440" w:lineRule="exact"/>
      <w:jc w:val="left"/>
    </w:pPr>
    <w:rPr>
      <w:rFonts w:ascii="宋体" w:hAnsi="宋体"/>
      <w:b w:val="0"/>
      <w:sz w:val="24"/>
      <w:szCs w:val="24"/>
    </w:rPr>
  </w:style>
  <w:style w:type="paragraph" w:customStyle="1" w:styleId="637">
    <w:name w:val="样式 样式 标题 3 + 仿宋_GB2312 + Times New Roman"/>
    <w:basedOn w:val="1"/>
    <w:qFormat/>
    <w:uiPriority w:val="0"/>
    <w:pPr>
      <w:spacing w:line="360" w:lineRule="auto"/>
      <w:jc w:val="left"/>
      <w:outlineLvl w:val="3"/>
    </w:pPr>
    <w:rPr>
      <w:rFonts w:ascii="宋体" w:hAnsi="宋体"/>
      <w:bCs/>
      <w:sz w:val="28"/>
      <w:szCs w:val="28"/>
    </w:rPr>
  </w:style>
  <w:style w:type="paragraph" w:customStyle="1" w:styleId="638">
    <w:name w:val="chenxutu"/>
    <w:basedOn w:val="1"/>
    <w:qFormat/>
    <w:uiPriority w:val="0"/>
    <w:pPr>
      <w:adjustRightInd w:val="0"/>
      <w:snapToGrid w:val="0"/>
      <w:spacing w:line="480" w:lineRule="exact"/>
      <w:jc w:val="center"/>
    </w:pPr>
    <w:rPr>
      <w:sz w:val="24"/>
      <w:szCs w:val="24"/>
    </w:rPr>
  </w:style>
  <w:style w:type="paragraph" w:customStyle="1" w:styleId="639">
    <w:name w:val="样式（大表格）"/>
    <w:basedOn w:val="410"/>
    <w:qFormat/>
    <w:uiPriority w:val="0"/>
    <w:pPr>
      <w:tabs>
        <w:tab w:val="clear" w:pos="255"/>
        <w:tab w:val="clear" w:pos="540"/>
        <w:tab w:val="clear" w:pos="600"/>
        <w:tab w:val="clear" w:pos="720"/>
        <w:tab w:val="clear" w:pos="1200"/>
        <w:tab w:val="clear" w:pos="1440"/>
        <w:tab w:val="clear" w:pos="2448"/>
        <w:tab w:val="clear" w:pos="3000"/>
        <w:tab w:val="clear" w:pos="3888"/>
        <w:tab w:val="clear" w:pos="4800"/>
        <w:tab w:val="clear" w:pos="5883"/>
        <w:tab w:val="clear" w:pos="6300"/>
        <w:tab w:val="clear" w:pos="7353"/>
        <w:tab w:val="clear" w:pos="8613"/>
      </w:tabs>
      <w:autoSpaceDE/>
      <w:autoSpaceDN/>
      <w:adjustRightInd w:val="0"/>
      <w:spacing w:line="240" w:lineRule="auto"/>
      <w:ind w:left="-315" w:leftChars="-150" w:right="-292" w:rightChars="-139"/>
    </w:pPr>
    <w:rPr>
      <w:bCs w:val="0"/>
      <w:color w:val="FF0000"/>
      <w:sz w:val="24"/>
      <w:szCs w:val="24"/>
    </w:rPr>
  </w:style>
  <w:style w:type="paragraph" w:customStyle="1" w:styleId="640">
    <w:name w:val="表格（大）"/>
    <w:basedOn w:val="410"/>
    <w:qFormat/>
    <w:uiPriority w:val="0"/>
    <w:pPr>
      <w:tabs>
        <w:tab w:val="clear" w:pos="255"/>
        <w:tab w:val="clear" w:pos="540"/>
        <w:tab w:val="clear" w:pos="600"/>
        <w:tab w:val="clear" w:pos="720"/>
        <w:tab w:val="clear" w:pos="1200"/>
        <w:tab w:val="clear" w:pos="1440"/>
        <w:tab w:val="clear" w:pos="2448"/>
        <w:tab w:val="clear" w:pos="3000"/>
        <w:tab w:val="clear" w:pos="3888"/>
        <w:tab w:val="clear" w:pos="4800"/>
        <w:tab w:val="clear" w:pos="5883"/>
        <w:tab w:val="clear" w:pos="6300"/>
        <w:tab w:val="clear" w:pos="7353"/>
        <w:tab w:val="clear" w:pos="8613"/>
      </w:tabs>
      <w:autoSpaceDE/>
      <w:autoSpaceDN/>
      <w:adjustRightInd w:val="0"/>
      <w:spacing w:line="240" w:lineRule="auto"/>
      <w:ind w:left="-315" w:leftChars="-150" w:right="-292" w:rightChars="-139"/>
    </w:pPr>
    <w:rPr>
      <w:bCs w:val="0"/>
      <w:color w:val="FF0000"/>
      <w:sz w:val="24"/>
      <w:szCs w:val="24"/>
    </w:rPr>
  </w:style>
  <w:style w:type="paragraph" w:customStyle="1" w:styleId="641">
    <w:name w:val="正文文字 3"/>
    <w:basedOn w:val="1"/>
    <w:qFormat/>
    <w:uiPriority w:val="0"/>
    <w:pPr>
      <w:jc w:val="center"/>
    </w:pPr>
    <w:rPr>
      <w:szCs w:val="21"/>
    </w:rPr>
  </w:style>
  <w:style w:type="paragraph" w:customStyle="1" w:styleId="642">
    <w:name w:val="菲薄1"/>
    <w:basedOn w:val="1"/>
    <w:qFormat/>
    <w:uiPriority w:val="0"/>
    <w:pPr>
      <w:numPr>
        <w:ilvl w:val="1"/>
        <w:numId w:val="2"/>
      </w:numPr>
      <w:spacing w:line="720" w:lineRule="exact"/>
      <w:ind w:left="0" w:firstLine="570"/>
    </w:pPr>
    <w:rPr>
      <w:sz w:val="28"/>
      <w:szCs w:val="28"/>
    </w:rPr>
  </w:style>
  <w:style w:type="character" w:customStyle="1" w:styleId="643">
    <w:name w:val="张--正文 Char"/>
    <w:link w:val="644"/>
    <w:qFormat/>
    <w:locked/>
    <w:uiPriority w:val="0"/>
    <w:rPr>
      <w:kern w:val="2"/>
      <w:sz w:val="28"/>
      <w:szCs w:val="28"/>
    </w:rPr>
  </w:style>
  <w:style w:type="paragraph" w:customStyle="1" w:styleId="644">
    <w:name w:val="张--正文"/>
    <w:basedOn w:val="1"/>
    <w:link w:val="643"/>
    <w:qFormat/>
    <w:uiPriority w:val="0"/>
    <w:pPr>
      <w:adjustRightInd w:val="0"/>
      <w:snapToGrid w:val="0"/>
      <w:spacing w:line="360" w:lineRule="auto"/>
      <w:ind w:firstLine="200" w:firstLineChars="200"/>
    </w:pPr>
    <w:rPr>
      <w:rFonts w:ascii="Calibri" w:hAnsi="Calibri"/>
      <w:sz w:val="28"/>
      <w:szCs w:val="28"/>
    </w:rPr>
  </w:style>
  <w:style w:type="paragraph" w:customStyle="1" w:styleId="645">
    <w:name w:val="样式 样式 正文1 + 段前: 0.1 行 + 段前: 0.1 行"/>
    <w:basedOn w:val="1"/>
    <w:qFormat/>
    <w:uiPriority w:val="0"/>
    <w:pPr>
      <w:snapToGrid w:val="0"/>
      <w:spacing w:beforeLines="10" w:line="440" w:lineRule="atLeast"/>
      <w:ind w:firstLine="567"/>
    </w:pPr>
    <w:rPr>
      <w:rFonts w:cs="宋体"/>
      <w:sz w:val="24"/>
      <w:szCs w:val="20"/>
    </w:rPr>
  </w:style>
  <w:style w:type="character" w:customStyle="1" w:styleId="646">
    <w:name w:val="张-正文 Char"/>
    <w:link w:val="647"/>
    <w:qFormat/>
    <w:locked/>
    <w:uiPriority w:val="0"/>
    <w:rPr>
      <w:kern w:val="2"/>
      <w:sz w:val="28"/>
      <w:szCs w:val="28"/>
    </w:rPr>
  </w:style>
  <w:style w:type="paragraph" w:customStyle="1" w:styleId="647">
    <w:name w:val="张-正文"/>
    <w:basedOn w:val="1"/>
    <w:link w:val="646"/>
    <w:qFormat/>
    <w:uiPriority w:val="0"/>
    <w:pPr>
      <w:adjustRightInd w:val="0"/>
      <w:snapToGrid w:val="0"/>
      <w:spacing w:line="360" w:lineRule="auto"/>
      <w:ind w:firstLine="200" w:firstLineChars="200"/>
      <w:jc w:val="left"/>
    </w:pPr>
    <w:rPr>
      <w:rFonts w:ascii="Calibri" w:hAnsi="Calibri"/>
      <w:sz w:val="28"/>
      <w:szCs w:val="28"/>
    </w:rPr>
  </w:style>
  <w:style w:type="paragraph" w:customStyle="1" w:styleId="648">
    <w:name w:val="Char Char1 Char Char Char Char Char Char Char"/>
    <w:basedOn w:val="1"/>
    <w:qFormat/>
    <w:uiPriority w:val="0"/>
    <w:pPr>
      <w:spacing w:line="360" w:lineRule="auto"/>
    </w:pPr>
    <w:rPr>
      <w:rFonts w:ascii="宋体" w:hAnsi="宋体"/>
      <w:sz w:val="22"/>
      <w:szCs w:val="24"/>
    </w:rPr>
  </w:style>
  <w:style w:type="paragraph" w:customStyle="1" w:styleId="649">
    <w:name w:val="标题2+楷体_GB2312，小四"/>
    <w:basedOn w:val="1"/>
    <w:next w:val="1"/>
    <w:qFormat/>
    <w:uiPriority w:val="0"/>
    <w:pPr>
      <w:widowControl/>
      <w:tabs>
        <w:tab w:val="left" w:pos="0"/>
      </w:tabs>
      <w:snapToGrid w:val="0"/>
      <w:spacing w:beforeLines="100" w:afterLines="50"/>
      <w:jc w:val="left"/>
    </w:pPr>
    <w:rPr>
      <w:rFonts w:ascii="楷体_GB2312" w:eastAsia="楷体_GB2312"/>
      <w:b/>
      <w:kern w:val="0"/>
      <w:sz w:val="24"/>
      <w:szCs w:val="20"/>
    </w:rPr>
  </w:style>
  <w:style w:type="paragraph" w:customStyle="1" w:styleId="650">
    <w:name w:val="简单回函地址"/>
    <w:basedOn w:val="1"/>
    <w:qFormat/>
    <w:uiPriority w:val="0"/>
    <w:pPr>
      <w:autoSpaceDE w:val="0"/>
      <w:autoSpaceDN w:val="0"/>
      <w:adjustRightInd w:val="0"/>
    </w:pPr>
    <w:rPr>
      <w:rFonts w:eastAsia="楷体_GB2312"/>
      <w:sz w:val="28"/>
      <w:szCs w:val="20"/>
    </w:rPr>
  </w:style>
  <w:style w:type="paragraph" w:customStyle="1" w:styleId="651">
    <w:name w:val="居中表格文字"/>
    <w:basedOn w:val="1"/>
    <w:qFormat/>
    <w:uiPriority w:val="0"/>
    <w:pPr>
      <w:jc w:val="center"/>
    </w:pPr>
    <w:rPr>
      <w:szCs w:val="24"/>
    </w:rPr>
  </w:style>
  <w:style w:type="paragraph" w:customStyle="1" w:styleId="652">
    <w:name w:val="样式 正文缩进正文（首行缩进两字） + 宋体 行距: 1.5 倍行距"/>
    <w:basedOn w:val="20"/>
    <w:qFormat/>
    <w:uiPriority w:val="0"/>
    <w:pPr>
      <w:adjustRightInd w:val="0"/>
      <w:spacing w:line="300" w:lineRule="auto"/>
      <w:ind w:firstLine="482" w:firstLineChars="0"/>
      <w:jc w:val="left"/>
    </w:pPr>
    <w:rPr>
      <w:rFonts w:ascii="宋体" w:hAnsi="宋体"/>
      <w:sz w:val="24"/>
      <w:szCs w:val="20"/>
    </w:rPr>
  </w:style>
  <w:style w:type="paragraph" w:customStyle="1" w:styleId="653">
    <w:name w:val="样式 首行缩进:  0.75 厘米 行距: 多倍行距 1.2 字行"/>
    <w:basedOn w:val="1"/>
    <w:qFormat/>
    <w:uiPriority w:val="0"/>
    <w:pPr>
      <w:spacing w:line="360" w:lineRule="auto"/>
      <w:ind w:firstLine="560" w:firstLineChars="200"/>
    </w:pPr>
    <w:rPr>
      <w:bCs/>
      <w:sz w:val="28"/>
      <w:szCs w:val="28"/>
    </w:rPr>
  </w:style>
  <w:style w:type="paragraph" w:customStyle="1" w:styleId="654">
    <w:name w:val="标准正文B"/>
    <w:basedOn w:val="1"/>
    <w:qFormat/>
    <w:uiPriority w:val="0"/>
    <w:pPr>
      <w:spacing w:line="360" w:lineRule="auto"/>
      <w:ind w:firstLine="200" w:firstLineChars="200"/>
    </w:pPr>
    <w:rPr>
      <w:sz w:val="24"/>
      <w:szCs w:val="24"/>
    </w:rPr>
  </w:style>
  <w:style w:type="character" w:customStyle="1" w:styleId="655">
    <w:name w:val="正文缩进2 Char1"/>
    <w:link w:val="656"/>
    <w:qFormat/>
    <w:locked/>
    <w:uiPriority w:val="0"/>
    <w:rPr>
      <w:bCs/>
      <w:kern w:val="2"/>
      <w:sz w:val="24"/>
      <w:szCs w:val="21"/>
    </w:rPr>
  </w:style>
  <w:style w:type="paragraph" w:customStyle="1" w:styleId="656">
    <w:name w:val="正文缩进2"/>
    <w:basedOn w:val="1"/>
    <w:link w:val="655"/>
    <w:qFormat/>
    <w:uiPriority w:val="0"/>
    <w:pPr>
      <w:spacing w:line="360" w:lineRule="auto"/>
      <w:ind w:firstLine="200" w:firstLineChars="200"/>
    </w:pPr>
    <w:rPr>
      <w:rFonts w:ascii="Calibri" w:hAnsi="Calibri"/>
      <w:bCs/>
      <w:sz w:val="24"/>
      <w:szCs w:val="21"/>
    </w:rPr>
  </w:style>
  <w:style w:type="paragraph" w:customStyle="1" w:styleId="657">
    <w:name w:val="Char Char1 Char Char Char Char Char Char Char Char Char Char Char Char Char Char Char Char Char Char Char Char1 Char1"/>
    <w:basedOn w:val="1"/>
    <w:qFormat/>
    <w:uiPriority w:val="0"/>
    <w:pPr>
      <w:spacing w:line="360" w:lineRule="auto"/>
      <w:ind w:firstLine="200"/>
    </w:pPr>
    <w:rPr>
      <w:rFonts w:ascii="宋体" w:hAnsi="宋体" w:cs="宋体"/>
      <w:color w:val="000000"/>
      <w:sz w:val="24"/>
      <w:szCs w:val="24"/>
    </w:rPr>
  </w:style>
  <w:style w:type="character" w:customStyle="1" w:styleId="658">
    <w:name w:val="正文01 Char1"/>
    <w:link w:val="659"/>
    <w:qFormat/>
    <w:locked/>
    <w:uiPriority w:val="0"/>
    <w:rPr>
      <w:bCs/>
      <w:kern w:val="2"/>
      <w:sz w:val="24"/>
      <w:szCs w:val="24"/>
    </w:rPr>
  </w:style>
  <w:style w:type="paragraph" w:customStyle="1" w:styleId="659">
    <w:name w:val="正文01"/>
    <w:basedOn w:val="1"/>
    <w:link w:val="658"/>
    <w:qFormat/>
    <w:uiPriority w:val="0"/>
    <w:pPr>
      <w:numPr>
        <w:ilvl w:val="4"/>
        <w:numId w:val="3"/>
      </w:numPr>
      <w:spacing w:before="60" w:line="460" w:lineRule="exact"/>
    </w:pPr>
    <w:rPr>
      <w:rFonts w:ascii="Calibri" w:hAnsi="Calibri"/>
      <w:bCs/>
      <w:sz w:val="24"/>
      <w:szCs w:val="24"/>
    </w:rPr>
  </w:style>
  <w:style w:type="character" w:customStyle="1" w:styleId="660">
    <w:name w:val="张-5号 Char"/>
    <w:link w:val="661"/>
    <w:qFormat/>
    <w:locked/>
    <w:uiPriority w:val="0"/>
    <w:rPr>
      <w:kern w:val="2"/>
      <w:sz w:val="21"/>
      <w:szCs w:val="24"/>
    </w:rPr>
  </w:style>
  <w:style w:type="paragraph" w:customStyle="1" w:styleId="661">
    <w:name w:val="张-5号"/>
    <w:basedOn w:val="1"/>
    <w:link w:val="660"/>
    <w:qFormat/>
    <w:uiPriority w:val="0"/>
    <w:pPr>
      <w:adjustRightInd w:val="0"/>
      <w:snapToGrid w:val="0"/>
    </w:pPr>
    <w:rPr>
      <w:rFonts w:ascii="Calibri" w:hAnsi="Calibri"/>
      <w:szCs w:val="24"/>
    </w:rPr>
  </w:style>
  <w:style w:type="paragraph" w:customStyle="1" w:styleId="662">
    <w:name w:val="_Style 32"/>
    <w:basedOn w:val="1"/>
    <w:next w:val="34"/>
    <w:qFormat/>
    <w:uiPriority w:val="0"/>
    <w:rPr>
      <w:rFonts w:ascii="宋体" w:hAnsi="Courier New"/>
      <w:szCs w:val="20"/>
    </w:rPr>
  </w:style>
  <w:style w:type="paragraph" w:customStyle="1" w:styleId="663">
    <w:name w:val="Char Char4 Char"/>
    <w:basedOn w:val="1"/>
    <w:qFormat/>
    <w:uiPriority w:val="0"/>
    <w:rPr>
      <w:rFonts w:ascii="宋体" w:hAnsi="宋体" w:cs="Courier New"/>
      <w:sz w:val="32"/>
      <w:szCs w:val="32"/>
    </w:rPr>
  </w:style>
  <w:style w:type="character" w:customStyle="1" w:styleId="664">
    <w:name w:val="缩进正文 Char"/>
    <w:link w:val="665"/>
    <w:qFormat/>
    <w:locked/>
    <w:uiPriority w:val="0"/>
    <w:rPr>
      <w:kern w:val="2"/>
      <w:sz w:val="28"/>
    </w:rPr>
  </w:style>
  <w:style w:type="paragraph" w:customStyle="1" w:styleId="665">
    <w:name w:val="缩进正文"/>
    <w:basedOn w:val="1"/>
    <w:link w:val="664"/>
    <w:qFormat/>
    <w:uiPriority w:val="0"/>
    <w:pPr>
      <w:adjustRightInd w:val="0"/>
      <w:snapToGrid w:val="0"/>
      <w:spacing w:line="360" w:lineRule="auto"/>
      <w:ind w:firstLine="567"/>
    </w:pPr>
    <w:rPr>
      <w:rFonts w:ascii="Calibri" w:hAnsi="Calibri"/>
      <w:sz w:val="28"/>
      <w:szCs w:val="20"/>
    </w:rPr>
  </w:style>
  <w:style w:type="paragraph" w:customStyle="1" w:styleId="666">
    <w:name w:val="表居中（中文）"/>
    <w:basedOn w:val="1"/>
    <w:qFormat/>
    <w:uiPriority w:val="0"/>
    <w:pPr>
      <w:adjustRightInd w:val="0"/>
      <w:spacing w:line="380" w:lineRule="atLeast"/>
      <w:jc w:val="center"/>
    </w:pPr>
    <w:rPr>
      <w:rFonts w:eastAsia="楷体_GB2312"/>
      <w:kern w:val="0"/>
      <w:szCs w:val="20"/>
    </w:rPr>
  </w:style>
  <w:style w:type="paragraph" w:customStyle="1" w:styleId="667">
    <w:name w:val="4级标题"/>
    <w:basedOn w:val="659"/>
    <w:qFormat/>
    <w:uiPriority w:val="0"/>
    <w:pPr>
      <w:numPr>
        <w:ilvl w:val="0"/>
        <w:numId w:val="0"/>
      </w:numPr>
      <w:adjustRightInd w:val="0"/>
      <w:snapToGrid w:val="0"/>
      <w:ind w:firstLine="200" w:firstLineChars="200"/>
    </w:pPr>
    <w:rPr>
      <w:color w:val="000000"/>
      <w:kern w:val="0"/>
    </w:rPr>
  </w:style>
  <w:style w:type="paragraph" w:customStyle="1" w:styleId="668">
    <w:name w:val="注释"/>
    <w:basedOn w:val="1"/>
    <w:qFormat/>
    <w:uiPriority w:val="0"/>
    <w:pPr>
      <w:adjustRightInd w:val="0"/>
      <w:snapToGrid w:val="0"/>
      <w:spacing w:line="360" w:lineRule="exact"/>
    </w:pPr>
    <w:rPr>
      <w:color w:val="000000"/>
      <w:kern w:val="0"/>
      <w:szCs w:val="24"/>
    </w:rPr>
  </w:style>
  <w:style w:type="paragraph" w:customStyle="1" w:styleId="669">
    <w:name w:val="my"/>
    <w:qFormat/>
    <w:uiPriority w:val="0"/>
    <w:pPr>
      <w:spacing w:before="60" w:line="460" w:lineRule="exact"/>
      <w:ind w:firstLine="200" w:firstLineChars="200"/>
    </w:pPr>
    <w:rPr>
      <w:rFonts w:ascii="Times New Roman" w:hAnsi="Times New Roman" w:eastAsia="宋体" w:cs="Times New Roman"/>
      <w:sz w:val="24"/>
      <w:szCs w:val="24"/>
      <w:lang w:val="en-US" w:eastAsia="zh-CN" w:bidi="ar-SA"/>
    </w:rPr>
  </w:style>
  <w:style w:type="paragraph" w:customStyle="1" w:styleId="670">
    <w:name w:val="表格下方正文"/>
    <w:basedOn w:val="1"/>
    <w:qFormat/>
    <w:uiPriority w:val="0"/>
    <w:pPr>
      <w:adjustRightInd w:val="0"/>
      <w:snapToGrid w:val="0"/>
      <w:spacing w:before="300" w:line="460" w:lineRule="exact"/>
      <w:ind w:firstLine="482"/>
    </w:pPr>
    <w:rPr>
      <w:color w:val="000000"/>
      <w:kern w:val="0"/>
      <w:sz w:val="24"/>
      <w:szCs w:val="24"/>
    </w:rPr>
  </w:style>
  <w:style w:type="paragraph" w:customStyle="1" w:styleId="671">
    <w:name w:val="2级标题"/>
    <w:basedOn w:val="1"/>
    <w:qFormat/>
    <w:uiPriority w:val="0"/>
    <w:pPr>
      <w:spacing w:before="60" w:line="460" w:lineRule="exact"/>
      <w:outlineLvl w:val="1"/>
    </w:pPr>
    <w:rPr>
      <w:b/>
      <w:color w:val="000000"/>
      <w:sz w:val="28"/>
      <w:szCs w:val="24"/>
    </w:rPr>
  </w:style>
  <w:style w:type="paragraph" w:customStyle="1" w:styleId="672">
    <w:name w:val="字元 字元1"/>
    <w:basedOn w:val="1"/>
    <w:qFormat/>
    <w:uiPriority w:val="0"/>
    <w:rPr>
      <w:sz w:val="24"/>
      <w:szCs w:val="24"/>
    </w:rPr>
  </w:style>
  <w:style w:type="paragraph" w:customStyle="1" w:styleId="673">
    <w:name w:val="正文文本首行缩进1"/>
    <w:basedOn w:val="20"/>
    <w:qFormat/>
    <w:uiPriority w:val="0"/>
    <w:pPr>
      <w:tabs>
        <w:tab w:val="left" w:pos="0"/>
      </w:tabs>
      <w:overflowPunct w:val="0"/>
      <w:autoSpaceDE w:val="0"/>
      <w:autoSpaceDN w:val="0"/>
      <w:adjustRightInd w:val="0"/>
      <w:spacing w:before="120" w:line="360" w:lineRule="auto"/>
      <w:ind w:firstLine="567" w:firstLineChars="0"/>
    </w:pPr>
    <w:rPr>
      <w:rFonts w:ascii="宋体" w:hAnsi="Garamond"/>
      <w:sz w:val="28"/>
      <w:szCs w:val="20"/>
    </w:rPr>
  </w:style>
  <w:style w:type="paragraph" w:customStyle="1" w:styleId="674">
    <w:name w:val="表格文字中"/>
    <w:basedOn w:val="1"/>
    <w:qFormat/>
    <w:uiPriority w:val="0"/>
    <w:pPr>
      <w:keepNext/>
      <w:tabs>
        <w:tab w:val="left" w:pos="1727"/>
        <w:tab w:val="left" w:pos="1884"/>
      </w:tabs>
      <w:adjustRightInd w:val="0"/>
      <w:snapToGrid w:val="0"/>
      <w:spacing w:line="360" w:lineRule="auto"/>
      <w:ind w:right="-154" w:rightChars="-55" w:firstLine="2"/>
      <w:jc w:val="center"/>
      <w:outlineLvl w:val="0"/>
    </w:pPr>
    <w:rPr>
      <w:rFonts w:ascii="黑体" w:hAnsi="宋体" w:eastAsia="黑体"/>
      <w:color w:val="000000"/>
      <w:kern w:val="0"/>
      <w:position w:val="2"/>
      <w:sz w:val="18"/>
      <w:szCs w:val="18"/>
    </w:rPr>
  </w:style>
  <w:style w:type="paragraph" w:customStyle="1" w:styleId="675">
    <w:name w:val="高表内"/>
    <w:basedOn w:val="34"/>
    <w:qFormat/>
    <w:uiPriority w:val="0"/>
    <w:pPr>
      <w:autoSpaceDE w:val="0"/>
      <w:adjustRightInd w:val="0"/>
      <w:snapToGrid w:val="0"/>
      <w:jc w:val="center"/>
    </w:pPr>
    <w:rPr>
      <w:rFonts w:hint="eastAsia" w:ascii="Arial" w:hAnsi="Arial" w:eastAsia="楷体_GB2312"/>
      <w:sz w:val="24"/>
      <w:szCs w:val="24"/>
    </w:rPr>
  </w:style>
  <w:style w:type="paragraph" w:customStyle="1" w:styleId="676">
    <w:name w:val="样式 宋体 四号 行距: 1.5 倍行距1"/>
    <w:basedOn w:val="1"/>
    <w:qFormat/>
    <w:uiPriority w:val="0"/>
    <w:pPr>
      <w:spacing w:line="360" w:lineRule="auto"/>
      <w:ind w:firstLine="560" w:firstLineChars="200"/>
    </w:pPr>
    <w:rPr>
      <w:sz w:val="28"/>
      <w:szCs w:val="28"/>
      <w:lang w:val="zh-CN"/>
    </w:rPr>
  </w:style>
  <w:style w:type="paragraph" w:customStyle="1" w:styleId="677">
    <w:name w:val="样式 四号 黑色 首行缩进:  0.85 厘米 段前: 3.9 磅 行距: 固定值 26 磅"/>
    <w:basedOn w:val="1"/>
    <w:qFormat/>
    <w:uiPriority w:val="0"/>
    <w:pPr>
      <w:snapToGrid w:val="0"/>
      <w:spacing w:before="78" w:line="300" w:lineRule="auto"/>
      <w:ind w:firstLine="482"/>
    </w:pPr>
    <w:rPr>
      <w:rFonts w:hAnsi="宋体"/>
      <w:sz w:val="28"/>
      <w:szCs w:val="28"/>
    </w:rPr>
  </w:style>
  <w:style w:type="paragraph" w:customStyle="1" w:styleId="678">
    <w:name w:val="图表五号"/>
    <w:basedOn w:val="1"/>
    <w:qFormat/>
    <w:uiPriority w:val="0"/>
    <w:pPr>
      <w:autoSpaceDE w:val="0"/>
      <w:autoSpaceDN w:val="0"/>
      <w:adjustRightInd w:val="0"/>
      <w:snapToGrid w:val="0"/>
      <w:spacing w:line="20" w:lineRule="atLeast"/>
      <w:jc w:val="center"/>
    </w:pPr>
    <w:rPr>
      <w:szCs w:val="20"/>
    </w:rPr>
  </w:style>
  <w:style w:type="paragraph" w:customStyle="1" w:styleId="679">
    <w:name w:val="样式 宋体 四号 行距: 1.5 倍行距"/>
    <w:basedOn w:val="1"/>
    <w:qFormat/>
    <w:uiPriority w:val="0"/>
    <w:pPr>
      <w:spacing w:line="360" w:lineRule="auto"/>
      <w:ind w:firstLine="560" w:firstLineChars="200"/>
      <w:jc w:val="left"/>
    </w:pPr>
    <w:rPr>
      <w:rFonts w:ascii="宋体" w:hAnsi="宋体"/>
      <w:sz w:val="28"/>
      <w:szCs w:val="28"/>
    </w:rPr>
  </w:style>
  <w:style w:type="paragraph" w:customStyle="1" w:styleId="680">
    <w:name w:val="样式 标题 2 + 宋体 小三 加粗 黑色"/>
    <w:basedOn w:val="8"/>
    <w:qFormat/>
    <w:uiPriority w:val="0"/>
    <w:pPr>
      <w:keepLines w:val="0"/>
      <w:tabs>
        <w:tab w:val="left" w:pos="0"/>
      </w:tabs>
      <w:snapToGrid w:val="0"/>
      <w:spacing w:before="0" w:beforeLines="100" w:after="0" w:line="240" w:lineRule="auto"/>
      <w:jc w:val="left"/>
    </w:pPr>
    <w:rPr>
      <w:rFonts w:ascii="宋体" w:hAnsi="宋体"/>
      <w:color w:val="000000"/>
      <w:sz w:val="30"/>
      <w:szCs w:val="24"/>
    </w:rPr>
  </w:style>
  <w:style w:type="paragraph" w:customStyle="1" w:styleId="681">
    <w:name w:val="样式 标题 1 + 宋体 三号 加粗 居中"/>
    <w:basedOn w:val="7"/>
    <w:qFormat/>
    <w:uiPriority w:val="0"/>
    <w:pPr>
      <w:keepLines w:val="0"/>
      <w:pageBreakBefore/>
      <w:snapToGrid w:val="0"/>
      <w:spacing w:before="0" w:beforeLines="200" w:afterLines="200" w:line="360" w:lineRule="auto"/>
      <w:jc w:val="center"/>
    </w:pPr>
    <w:rPr>
      <w:rFonts w:ascii="宋体" w:hAnsi="宋体" w:cs="宋体"/>
      <w:color w:val="000000"/>
      <w:kern w:val="2"/>
      <w:sz w:val="32"/>
      <w:szCs w:val="20"/>
    </w:rPr>
  </w:style>
  <w:style w:type="paragraph" w:customStyle="1" w:styleId="682">
    <w:name w:val="样式 样式 标题 1 + 宋体 三号 加粗 居中 + 段前: 2 行 段后: 2 行"/>
    <w:basedOn w:val="681"/>
    <w:qFormat/>
    <w:uiPriority w:val="0"/>
    <w:pPr>
      <w:spacing w:beforeLines="100" w:afterLines="100"/>
    </w:pPr>
  </w:style>
  <w:style w:type="paragraph" w:customStyle="1" w:styleId="683">
    <w:name w:val="样式 样式 标题 1 + 宋体 三号 加粗 居中 + 段前: 2 行 段后: 2 行1"/>
    <w:basedOn w:val="681"/>
    <w:qFormat/>
    <w:uiPriority w:val="0"/>
    <w:pPr>
      <w:jc w:val="left"/>
    </w:pPr>
  </w:style>
  <w:style w:type="paragraph" w:customStyle="1" w:styleId="684">
    <w:name w:val="样式 样式2 + 11.5 磅 左侧:  -0.38 厘米 行距: 固定值 12.5 磅"/>
    <w:basedOn w:val="261"/>
    <w:qFormat/>
    <w:uiPriority w:val="0"/>
    <w:pPr>
      <w:widowControl/>
      <w:pBdr>
        <w:top w:val="none" w:color="auto" w:sz="0" w:space="0"/>
        <w:left w:val="none" w:color="auto" w:sz="0" w:space="0"/>
        <w:bottom w:val="none" w:color="auto" w:sz="0" w:space="0"/>
        <w:right w:val="none" w:color="auto" w:sz="0" w:space="0"/>
      </w:pBdr>
      <w:adjustRightInd w:val="0"/>
      <w:snapToGrid w:val="0"/>
      <w:spacing w:line="270" w:lineRule="exact"/>
    </w:pPr>
    <w:rPr>
      <w:rFonts w:eastAsia="楷体_GB2312" w:cs="宋体"/>
      <w:kern w:val="0"/>
      <w:sz w:val="23"/>
    </w:rPr>
  </w:style>
  <w:style w:type="paragraph" w:customStyle="1" w:styleId="685">
    <w:name w:val="样式 样式2 + 11.5 磅 居中 左侧:  -0.38 厘米"/>
    <w:basedOn w:val="261"/>
    <w:qFormat/>
    <w:uiPriority w:val="0"/>
    <w:pPr>
      <w:widowControl/>
      <w:pBdr>
        <w:top w:val="none" w:color="auto" w:sz="0" w:space="0"/>
        <w:left w:val="none" w:color="auto" w:sz="0" w:space="0"/>
        <w:bottom w:val="none" w:color="auto" w:sz="0" w:space="0"/>
        <w:right w:val="none" w:color="auto" w:sz="0" w:space="0"/>
      </w:pBdr>
      <w:adjustRightInd w:val="0"/>
      <w:snapToGrid w:val="0"/>
      <w:spacing w:line="250" w:lineRule="exact"/>
      <w:jc w:val="center"/>
    </w:pPr>
    <w:rPr>
      <w:rFonts w:eastAsia="楷体_GB2312" w:cs="宋体"/>
      <w:kern w:val="0"/>
      <w:sz w:val="23"/>
    </w:rPr>
  </w:style>
  <w:style w:type="paragraph" w:customStyle="1" w:styleId="686">
    <w:name w:val="样式 样式2 + 11.5 磅 左侧:  -0.38 厘米 行距: 固定值 12.5 磅1"/>
    <w:basedOn w:val="261"/>
    <w:qFormat/>
    <w:uiPriority w:val="0"/>
    <w:pPr>
      <w:widowControl/>
      <w:pBdr>
        <w:top w:val="none" w:color="auto" w:sz="0" w:space="0"/>
        <w:left w:val="none" w:color="auto" w:sz="0" w:space="0"/>
        <w:bottom w:val="none" w:color="auto" w:sz="0" w:space="0"/>
        <w:right w:val="none" w:color="auto" w:sz="0" w:space="0"/>
      </w:pBdr>
      <w:adjustRightInd w:val="0"/>
      <w:snapToGrid w:val="0"/>
      <w:spacing w:line="250" w:lineRule="exact"/>
    </w:pPr>
    <w:rPr>
      <w:rFonts w:eastAsia="楷体_GB2312" w:cs="宋体"/>
      <w:kern w:val="0"/>
      <w:sz w:val="23"/>
    </w:rPr>
  </w:style>
  <w:style w:type="paragraph" w:customStyle="1" w:styleId="687">
    <w:name w:val="样式 样式 标题 1 + 宋体 三号 加粗 居中 + 段前: 2 行 段后: 2 行2"/>
    <w:basedOn w:val="681"/>
    <w:qFormat/>
    <w:uiPriority w:val="0"/>
    <w:pPr>
      <w:jc w:val="left"/>
    </w:pPr>
  </w:style>
  <w:style w:type="paragraph" w:customStyle="1" w:styleId="688">
    <w:name w:val="样式 标题 1 + 段前: 1 行"/>
    <w:basedOn w:val="7"/>
    <w:qFormat/>
    <w:uiPriority w:val="0"/>
    <w:pPr>
      <w:keepLines w:val="0"/>
      <w:pageBreakBefore/>
      <w:snapToGrid w:val="0"/>
      <w:spacing w:before="0" w:beforeLines="100" w:line="360" w:lineRule="auto"/>
      <w:jc w:val="left"/>
    </w:pPr>
    <w:rPr>
      <w:rFonts w:eastAsia="仿宋_GB2312" w:cs="宋体"/>
      <w:bCs w:val="0"/>
      <w:color w:val="000000"/>
      <w:kern w:val="2"/>
      <w:sz w:val="32"/>
      <w:szCs w:val="32"/>
    </w:rPr>
  </w:style>
  <w:style w:type="paragraph" w:customStyle="1" w:styleId="689">
    <w:name w:val="样式 宋体 四号 黑色 首行缩进:  0.77 厘米 行距: 固定值 28 磅"/>
    <w:basedOn w:val="1"/>
    <w:qFormat/>
    <w:uiPriority w:val="0"/>
    <w:pPr>
      <w:spacing w:line="560" w:lineRule="exact"/>
      <w:ind w:firstLine="437"/>
    </w:pPr>
    <w:rPr>
      <w:rFonts w:ascii="宋体" w:hAnsi="宋体" w:cs="宋体"/>
      <w:color w:val="000000"/>
      <w:sz w:val="24"/>
      <w:szCs w:val="24"/>
    </w:rPr>
  </w:style>
  <w:style w:type="paragraph" w:customStyle="1" w:styleId="690">
    <w:name w:val="样式 宋体 四号 行距: 固定值 28 磅"/>
    <w:basedOn w:val="1"/>
    <w:qFormat/>
    <w:uiPriority w:val="0"/>
    <w:pPr>
      <w:spacing w:line="560" w:lineRule="exact"/>
      <w:ind w:firstLine="560" w:firstLineChars="200"/>
    </w:pPr>
    <w:rPr>
      <w:rFonts w:ascii="宋体" w:hAnsi="宋体" w:cs="宋体"/>
      <w:sz w:val="24"/>
      <w:szCs w:val="20"/>
    </w:rPr>
  </w:style>
  <w:style w:type="paragraph" w:customStyle="1" w:styleId="691">
    <w:name w:val="样式 宋体 四号 行距: 固定值 28 磅1"/>
    <w:basedOn w:val="1"/>
    <w:qFormat/>
    <w:uiPriority w:val="0"/>
    <w:pPr>
      <w:spacing w:line="560" w:lineRule="exact"/>
      <w:ind w:firstLine="560" w:firstLineChars="200"/>
    </w:pPr>
    <w:rPr>
      <w:rFonts w:ascii="宋体" w:hAnsi="宋体" w:cs="宋体"/>
      <w:sz w:val="24"/>
      <w:szCs w:val="20"/>
    </w:rPr>
  </w:style>
  <w:style w:type="paragraph" w:customStyle="1" w:styleId="692">
    <w:name w:val="样式 宋体 四号 黑色 首行缩进:  0.77 厘米 行距: 固定值 28 磅1"/>
    <w:basedOn w:val="1"/>
    <w:qFormat/>
    <w:uiPriority w:val="0"/>
    <w:pPr>
      <w:spacing w:line="560" w:lineRule="exact"/>
      <w:ind w:firstLine="437"/>
    </w:pPr>
    <w:rPr>
      <w:rFonts w:ascii="宋体" w:hAnsi="宋体" w:cs="宋体"/>
      <w:color w:val="000000"/>
      <w:sz w:val="24"/>
      <w:szCs w:val="20"/>
    </w:rPr>
  </w:style>
  <w:style w:type="paragraph" w:customStyle="1" w:styleId="693">
    <w:name w:val="样式 宋体 四号 行距: 固定值 33 磅"/>
    <w:basedOn w:val="1"/>
    <w:qFormat/>
    <w:uiPriority w:val="0"/>
    <w:pPr>
      <w:spacing w:line="660" w:lineRule="exact"/>
      <w:ind w:firstLine="560" w:firstLineChars="200"/>
    </w:pPr>
    <w:rPr>
      <w:rFonts w:ascii="宋体" w:hAnsi="宋体" w:cs="宋体"/>
      <w:sz w:val="24"/>
      <w:szCs w:val="20"/>
    </w:rPr>
  </w:style>
  <w:style w:type="paragraph" w:customStyle="1" w:styleId="694">
    <w:name w:val="图名"/>
    <w:basedOn w:val="1"/>
    <w:qFormat/>
    <w:uiPriority w:val="0"/>
    <w:pPr>
      <w:jc w:val="center"/>
    </w:pPr>
    <w:rPr>
      <w:rFonts w:ascii="宋体" w:hAnsi="宋体"/>
      <w:szCs w:val="24"/>
    </w:rPr>
  </w:style>
  <w:style w:type="paragraph" w:customStyle="1" w:styleId="695">
    <w:name w:val="BIG BOLD"/>
    <w:basedOn w:val="1"/>
    <w:qFormat/>
    <w:uiPriority w:val="0"/>
    <w:pPr>
      <w:tabs>
        <w:tab w:val="left" w:leader="underscore" w:pos="1134"/>
      </w:tabs>
    </w:pPr>
    <w:rPr>
      <w:szCs w:val="20"/>
    </w:rPr>
  </w:style>
  <w:style w:type="character" w:customStyle="1" w:styleId="696">
    <w:name w:val="样式 标题 4 + (符号) 宋体 加粗 Char"/>
    <w:link w:val="697"/>
    <w:qFormat/>
    <w:locked/>
    <w:uiPriority w:val="0"/>
    <w:rPr>
      <w:rFonts w:ascii="宋体" w:hAnsi="Arial"/>
      <w:bCs/>
      <w:kern w:val="18"/>
      <w:sz w:val="24"/>
      <w:szCs w:val="24"/>
    </w:rPr>
  </w:style>
  <w:style w:type="paragraph" w:customStyle="1" w:styleId="697">
    <w:name w:val="样式 标题 4 + (符号) 宋体 加粗"/>
    <w:basedOn w:val="10"/>
    <w:link w:val="696"/>
    <w:qFormat/>
    <w:uiPriority w:val="0"/>
    <w:pPr>
      <w:keepLines w:val="0"/>
      <w:spacing w:before="0" w:after="0" w:line="360" w:lineRule="auto"/>
    </w:pPr>
    <w:rPr>
      <w:rFonts w:ascii="宋体" w:hAnsi="Arial" w:eastAsia="宋体"/>
      <w:b w:val="0"/>
      <w:kern w:val="18"/>
      <w:sz w:val="24"/>
      <w:szCs w:val="24"/>
    </w:rPr>
  </w:style>
  <w:style w:type="paragraph" w:customStyle="1" w:styleId="698">
    <w:name w:val="样式 标题 3 + 宋体 四号 行距: 1.5 倍行距"/>
    <w:basedOn w:val="9"/>
    <w:qFormat/>
    <w:uiPriority w:val="0"/>
    <w:pPr>
      <w:spacing w:before="200" w:after="200" w:line="360" w:lineRule="auto"/>
    </w:pPr>
    <w:rPr>
      <w:rFonts w:ascii="宋体" w:hAnsi="宋体" w:cs="宋体"/>
      <w:kern w:val="0"/>
      <w:sz w:val="28"/>
      <w:szCs w:val="20"/>
    </w:rPr>
  </w:style>
  <w:style w:type="paragraph" w:customStyle="1" w:styleId="699">
    <w:name w:val="样式 样式 宋体 四号 行距: 1.5 倍行距 + 首行缩进:  1.5 字符"/>
    <w:basedOn w:val="679"/>
    <w:qFormat/>
    <w:uiPriority w:val="0"/>
    <w:pPr>
      <w:spacing w:line="480" w:lineRule="auto"/>
      <w:ind w:firstLine="150"/>
    </w:pPr>
    <w:rPr>
      <w:szCs w:val="20"/>
    </w:rPr>
  </w:style>
  <w:style w:type="paragraph" w:customStyle="1" w:styleId="700">
    <w:name w:val="小五表文"/>
    <w:qFormat/>
    <w:uiPriority w:val="0"/>
    <w:pPr>
      <w:widowControl w:val="0"/>
      <w:jc w:val="both"/>
    </w:pPr>
    <w:rPr>
      <w:rFonts w:ascii="宋体" w:hAnsi="宋体" w:eastAsia="宋体" w:cs="Times New Roman"/>
      <w:kern w:val="2"/>
      <w:sz w:val="21"/>
      <w:lang w:val="en-US" w:eastAsia="zh-CN" w:bidi="ar-SA"/>
    </w:rPr>
  </w:style>
  <w:style w:type="paragraph" w:customStyle="1" w:styleId="701">
    <w:name w:val="样式 样式 标题 1 + 宋体 三号 加粗 居中 行距: 1.5 倍行距 + 段前: 1 行 段后: 0.5 行"/>
    <w:basedOn w:val="1"/>
    <w:qFormat/>
    <w:uiPriority w:val="0"/>
    <w:pPr>
      <w:keepNext/>
      <w:pageBreakBefore/>
      <w:spacing w:beforeLines="150" w:afterLines="50" w:line="360" w:lineRule="auto"/>
      <w:jc w:val="center"/>
      <w:outlineLvl w:val="0"/>
    </w:pPr>
    <w:rPr>
      <w:rFonts w:ascii="宋体" w:hAnsi="宋体" w:cs="宋体"/>
      <w:b/>
      <w:bCs/>
      <w:kern w:val="0"/>
      <w:sz w:val="32"/>
      <w:szCs w:val="20"/>
    </w:rPr>
  </w:style>
  <w:style w:type="paragraph" w:customStyle="1" w:styleId="702">
    <w:name w:val="小表格"/>
    <w:basedOn w:val="1"/>
    <w:qFormat/>
    <w:uiPriority w:val="0"/>
    <w:pPr>
      <w:autoSpaceDE w:val="0"/>
      <w:autoSpaceDN w:val="0"/>
      <w:adjustRightInd w:val="0"/>
      <w:snapToGrid w:val="0"/>
      <w:jc w:val="center"/>
    </w:pPr>
    <w:rPr>
      <w:rFonts w:ascii="仿宋_GB2312"/>
      <w:kern w:val="0"/>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704">
    <w:name w:val="样式111"/>
    <w:qFormat/>
    <w:uiPriority w:val="0"/>
    <w:pPr>
      <w:adjustRightInd w:val="0"/>
      <w:snapToGrid w:val="0"/>
      <w:jc w:val="both"/>
    </w:pPr>
    <w:rPr>
      <w:rFonts w:ascii="宋体" w:hAnsi="Times New Roman" w:eastAsia="宋体" w:cs="Times New Roman"/>
      <w:sz w:val="21"/>
      <w:lang w:val="en-US" w:eastAsia="zh-CN" w:bidi="ar-SA"/>
    </w:rPr>
  </w:style>
  <w:style w:type="paragraph" w:customStyle="1" w:styleId="705">
    <w:name w:val="5 Char"/>
    <w:basedOn w:val="1"/>
    <w:qFormat/>
    <w:uiPriority w:val="0"/>
    <w:rPr>
      <w:sz w:val="24"/>
      <w:szCs w:val="24"/>
    </w:rPr>
  </w:style>
  <w:style w:type="paragraph" w:customStyle="1" w:styleId="706">
    <w:name w:val="样式 标题 2标题2节标题H2（一）Underrubrik1prop2Heading 2 HiddenHeadi..."/>
    <w:basedOn w:val="8"/>
    <w:qFormat/>
    <w:uiPriority w:val="0"/>
    <w:pPr>
      <w:keepLines w:val="0"/>
      <w:spacing w:before="0" w:after="0" w:line="360" w:lineRule="auto"/>
      <w:jc w:val="left"/>
    </w:pPr>
    <w:rPr>
      <w:rFonts w:ascii="宋体" w:hAnsi="Times New Roman" w:cs="宋体"/>
      <w:bCs w:val="0"/>
      <w:sz w:val="30"/>
      <w:szCs w:val="20"/>
    </w:rPr>
  </w:style>
  <w:style w:type="paragraph" w:customStyle="1" w:styleId="707">
    <w:name w:val="样式 标题 1章标题 11.标题 1一、标1章节标题-*+文章标题h11st levelSection He..."/>
    <w:basedOn w:val="7"/>
    <w:qFormat/>
    <w:uiPriority w:val="0"/>
    <w:pPr>
      <w:keepLines w:val="0"/>
      <w:pageBreakBefore/>
      <w:spacing w:before="0" w:beforeLines="0" w:line="360" w:lineRule="auto"/>
      <w:jc w:val="center"/>
    </w:pPr>
    <w:rPr>
      <w:rFonts w:ascii="黑体" w:eastAsia="黑体" w:cs="宋体"/>
      <w:b w:val="0"/>
      <w:bCs w:val="0"/>
      <w:sz w:val="32"/>
      <w:szCs w:val="20"/>
    </w:rPr>
  </w:style>
  <w:style w:type="character" w:customStyle="1" w:styleId="708">
    <w:name w:val="样式 标题 1章标题 11.标题 1一、标1章节标题-*+文章标题h11st levelSection He...1 Char"/>
    <w:link w:val="709"/>
    <w:qFormat/>
    <w:locked/>
    <w:uiPriority w:val="0"/>
    <w:rPr>
      <w:rFonts w:ascii="黑体" w:hAnsi="黑体" w:eastAsia="黑体"/>
      <w:b/>
      <w:bCs/>
      <w:sz w:val="32"/>
    </w:rPr>
  </w:style>
  <w:style w:type="paragraph" w:customStyle="1" w:styleId="709">
    <w:name w:val="样式 标题 1章标题 11.标题 1一、标1章节标题-*+文章标题h11st levelSection He...1"/>
    <w:basedOn w:val="7"/>
    <w:link w:val="708"/>
    <w:qFormat/>
    <w:uiPriority w:val="0"/>
    <w:pPr>
      <w:keepLines w:val="0"/>
      <w:pageBreakBefore/>
      <w:spacing w:before="0" w:beforeLines="0"/>
      <w:ind w:firstLine="2400" w:firstLineChars="2400"/>
      <w:jc w:val="center"/>
    </w:pPr>
    <w:rPr>
      <w:rFonts w:ascii="黑体" w:hAnsi="黑体" w:eastAsia="黑体"/>
      <w:kern w:val="0"/>
      <w:sz w:val="32"/>
      <w:szCs w:val="20"/>
    </w:rPr>
  </w:style>
  <w:style w:type="paragraph" w:customStyle="1" w:styleId="710">
    <w:name w:val="样式 楷体_GB2312 四号 首行缩进:  1.01 厘米"/>
    <w:basedOn w:val="1"/>
    <w:qFormat/>
    <w:uiPriority w:val="0"/>
    <w:pPr>
      <w:ind w:firstLine="570"/>
    </w:pPr>
    <w:rPr>
      <w:rFonts w:ascii="宋体" w:hAnsi="Plotter" w:cs="宋体"/>
      <w:sz w:val="28"/>
      <w:szCs w:val="20"/>
    </w:rPr>
  </w:style>
  <w:style w:type="paragraph" w:customStyle="1" w:styleId="711">
    <w:name w:val="样式 楷体_GB2312 四号 左侧:  0.14 厘米 首行缩进:  1.01 厘米"/>
    <w:basedOn w:val="1"/>
    <w:qFormat/>
    <w:uiPriority w:val="0"/>
    <w:pPr>
      <w:ind w:left="78" w:firstLine="570"/>
    </w:pPr>
    <w:rPr>
      <w:rFonts w:ascii="宋体" w:hAnsi="Plotter" w:cs="宋体"/>
      <w:sz w:val="28"/>
      <w:szCs w:val="20"/>
    </w:rPr>
  </w:style>
  <w:style w:type="paragraph" w:customStyle="1" w:styleId="712">
    <w:name w:val="样式 楷体_GB2312 四号"/>
    <w:basedOn w:val="1"/>
    <w:qFormat/>
    <w:uiPriority w:val="0"/>
    <w:pPr>
      <w:ind w:firstLine="560" w:firstLineChars="200"/>
    </w:pPr>
    <w:rPr>
      <w:rFonts w:ascii="楷体_GB2312" w:hAnsi="宋体" w:cs="宋体"/>
      <w:sz w:val="28"/>
      <w:szCs w:val="20"/>
    </w:rPr>
  </w:style>
  <w:style w:type="paragraph" w:customStyle="1" w:styleId="713">
    <w:name w:val="样式 楷体_GB2312 四号1"/>
    <w:basedOn w:val="1"/>
    <w:qFormat/>
    <w:uiPriority w:val="0"/>
    <w:pPr>
      <w:ind w:firstLine="560" w:firstLineChars="200"/>
    </w:pPr>
    <w:rPr>
      <w:rFonts w:ascii="宋体" w:hAnsi="Plotter" w:cs="宋体"/>
      <w:sz w:val="28"/>
      <w:szCs w:val="20"/>
    </w:rPr>
  </w:style>
  <w:style w:type="paragraph" w:customStyle="1" w:styleId="714">
    <w:name w:val="xl67"/>
    <w:basedOn w:val="1"/>
    <w:qFormat/>
    <w:uiPriority w:val="0"/>
    <w:pPr>
      <w:widowControl/>
      <w:pBdr>
        <w:left w:val="single" w:color="auto" w:sz="4" w:space="0"/>
      </w:pBdr>
      <w:spacing w:before="100" w:beforeAutospacing="1" w:after="100" w:afterAutospacing="1"/>
      <w:jc w:val="center"/>
    </w:pPr>
    <w:rPr>
      <w:rFonts w:ascii="仿宋_GB2312" w:hAnsi="宋体" w:eastAsia="仿宋_GB2312"/>
      <w:kern w:val="0"/>
      <w:sz w:val="24"/>
      <w:szCs w:val="24"/>
    </w:rPr>
  </w:style>
  <w:style w:type="paragraph" w:customStyle="1" w:styleId="715">
    <w:name w:val="表号"/>
    <w:basedOn w:val="1"/>
    <w:qFormat/>
    <w:uiPriority w:val="0"/>
    <w:rPr>
      <w:szCs w:val="20"/>
    </w:rPr>
  </w:style>
  <w:style w:type="character" w:customStyle="1" w:styleId="716">
    <w:name w:val="签名 字符"/>
    <w:qFormat/>
    <w:uiPriority w:val="0"/>
    <w:rPr>
      <w:rFonts w:ascii="Times New Roman" w:hAnsi="Times New Roman"/>
      <w:kern w:val="2"/>
      <w:sz w:val="21"/>
      <w:szCs w:val="22"/>
    </w:rPr>
  </w:style>
  <w:style w:type="character" w:customStyle="1" w:styleId="717">
    <w:name w:val="签名 Char1"/>
    <w:qFormat/>
    <w:uiPriority w:val="0"/>
    <w:rPr>
      <w:kern w:val="2"/>
      <w:sz w:val="21"/>
      <w:szCs w:val="24"/>
    </w:rPr>
  </w:style>
  <w:style w:type="paragraph" w:customStyle="1" w:styleId="718">
    <w:name w:val="PP 行"/>
    <w:basedOn w:val="40"/>
    <w:qFormat/>
    <w:uiPriority w:val="0"/>
    <w:pPr>
      <w:jc w:val="both"/>
    </w:pPr>
    <w:rPr>
      <w:rFonts w:ascii="Times New Roman" w:eastAsia="仿宋_GB2312"/>
      <w:sz w:val="28"/>
    </w:rPr>
  </w:style>
  <w:style w:type="paragraph" w:customStyle="1" w:styleId="719">
    <w:name w:val="附录标识"/>
    <w:next w:val="1"/>
    <w:qFormat/>
    <w:uiPriority w:val="0"/>
    <w:pPr>
      <w:spacing w:before="100" w:line="440" w:lineRule="exact"/>
      <w:jc w:val="center"/>
      <w:outlineLvl w:val="0"/>
    </w:pPr>
    <w:rPr>
      <w:rFonts w:ascii="黑体" w:hAnsi="Times New Roman" w:eastAsia="黑体" w:cs="Times New Roman"/>
      <w:sz w:val="24"/>
      <w:lang w:val="en-US" w:eastAsia="zh-CN" w:bidi="ar-SA"/>
    </w:rPr>
  </w:style>
  <w:style w:type="paragraph" w:customStyle="1" w:styleId="720">
    <w:name w:val="缩进2个字"/>
    <w:basedOn w:val="1"/>
    <w:qFormat/>
    <w:uiPriority w:val="0"/>
    <w:pPr>
      <w:numPr>
        <w:ilvl w:val="3"/>
        <w:numId w:val="4"/>
      </w:numPr>
      <w:snapToGrid w:val="0"/>
      <w:spacing w:line="0" w:lineRule="atLeast"/>
      <w:ind w:left="0" w:firstLine="0"/>
      <w:jc w:val="center"/>
    </w:pPr>
    <w:rPr>
      <w:color w:val="000000"/>
      <w:spacing w:val="12"/>
      <w:kern w:val="24"/>
      <w:szCs w:val="20"/>
    </w:rPr>
  </w:style>
  <w:style w:type="paragraph" w:customStyle="1" w:styleId="721">
    <w:name w:val="四级标题"/>
    <w:qFormat/>
    <w:uiPriority w:val="0"/>
    <w:pPr>
      <w:keepNext/>
      <w:widowControl w:val="0"/>
      <w:numPr>
        <w:ilvl w:val="1"/>
        <w:numId w:val="5"/>
      </w:numPr>
      <w:adjustRightInd w:val="0"/>
      <w:snapToGrid w:val="0"/>
      <w:jc w:val="center"/>
    </w:pPr>
    <w:rPr>
      <w:rFonts w:ascii="Times New Roman" w:hAnsi="Times New Roman" w:eastAsia="黑体" w:cs="Times New Roman"/>
      <w:spacing w:val="20"/>
      <w:sz w:val="24"/>
      <w:lang w:val="en-US" w:eastAsia="zh-CN" w:bidi="ar-SA"/>
    </w:rPr>
  </w:style>
  <w:style w:type="paragraph" w:customStyle="1" w:styleId="722">
    <w:name w:val="Legal3_L2"/>
    <w:basedOn w:val="1"/>
    <w:next w:val="28"/>
    <w:qFormat/>
    <w:uiPriority w:val="0"/>
    <w:pPr>
      <w:widowControl/>
      <w:tabs>
        <w:tab w:val="left" w:pos="720"/>
      </w:tabs>
      <w:spacing w:after="240"/>
      <w:jc w:val="left"/>
      <w:outlineLvl w:val="1"/>
    </w:pPr>
    <w:rPr>
      <w:rFonts w:ascii="Times New Roman Bold" w:hAnsi="Times New Roman Bold"/>
      <w:b/>
      <w:kern w:val="0"/>
      <w:sz w:val="24"/>
      <w:szCs w:val="24"/>
      <w:lang w:eastAsia="en-US"/>
    </w:rPr>
  </w:style>
  <w:style w:type="paragraph" w:customStyle="1" w:styleId="723">
    <w:name w:val="Legal3_L3"/>
    <w:basedOn w:val="722"/>
    <w:next w:val="28"/>
    <w:qFormat/>
    <w:uiPriority w:val="0"/>
    <w:pPr>
      <w:outlineLvl w:val="2"/>
    </w:pPr>
    <w:rPr>
      <w:rFonts w:ascii="Times New Roman" w:hAnsi="Times New Roman"/>
      <w:b w:val="0"/>
    </w:rPr>
  </w:style>
  <w:style w:type="paragraph" w:customStyle="1" w:styleId="724">
    <w:name w:val="Legal3_L4"/>
    <w:basedOn w:val="723"/>
    <w:next w:val="28"/>
    <w:qFormat/>
    <w:uiPriority w:val="0"/>
    <w:pPr>
      <w:tabs>
        <w:tab w:val="left" w:pos="1440"/>
        <w:tab w:val="clear" w:pos="720"/>
      </w:tabs>
      <w:ind w:left="1440" w:hanging="720"/>
      <w:jc w:val="both"/>
      <w:outlineLvl w:val="3"/>
    </w:pPr>
  </w:style>
  <w:style w:type="paragraph" w:customStyle="1" w:styleId="725">
    <w:name w:val="Legal3_L5"/>
    <w:basedOn w:val="724"/>
    <w:next w:val="28"/>
    <w:qFormat/>
    <w:uiPriority w:val="0"/>
    <w:pPr>
      <w:tabs>
        <w:tab w:val="left" w:pos="3600"/>
        <w:tab w:val="clear" w:pos="1440"/>
      </w:tabs>
      <w:ind w:left="0" w:firstLine="3024"/>
      <w:outlineLvl w:val="4"/>
    </w:pPr>
    <w:rPr>
      <w:rFonts w:ascii="Times New Roman Bold" w:hAnsi="Times New Roman Bold" w:cs="Times New Roman Bold"/>
      <w:sz w:val="21"/>
    </w:rPr>
  </w:style>
  <w:style w:type="paragraph" w:customStyle="1" w:styleId="726">
    <w:name w:val="Legal3_L6"/>
    <w:basedOn w:val="725"/>
    <w:next w:val="28"/>
    <w:qFormat/>
    <w:uiPriority w:val="0"/>
    <w:pPr>
      <w:tabs>
        <w:tab w:val="left" w:pos="4320"/>
        <w:tab w:val="clear" w:pos="3600"/>
      </w:tabs>
      <w:ind w:firstLine="3600"/>
      <w:outlineLvl w:val="5"/>
    </w:pPr>
  </w:style>
  <w:style w:type="paragraph" w:customStyle="1" w:styleId="727">
    <w:name w:val="Legal3_L7"/>
    <w:basedOn w:val="726"/>
    <w:next w:val="28"/>
    <w:qFormat/>
    <w:uiPriority w:val="0"/>
    <w:pPr>
      <w:tabs>
        <w:tab w:val="left" w:pos="1440"/>
        <w:tab w:val="clear" w:pos="4320"/>
      </w:tabs>
      <w:ind w:firstLine="720"/>
      <w:outlineLvl w:val="6"/>
    </w:pPr>
  </w:style>
  <w:style w:type="paragraph" w:customStyle="1" w:styleId="728">
    <w:name w:val="Legal3_L8"/>
    <w:basedOn w:val="727"/>
    <w:next w:val="28"/>
    <w:qFormat/>
    <w:uiPriority w:val="0"/>
    <w:pPr>
      <w:tabs>
        <w:tab w:val="left" w:pos="2160"/>
        <w:tab w:val="clear" w:pos="1440"/>
      </w:tabs>
      <w:ind w:firstLine="1584"/>
      <w:outlineLvl w:val="7"/>
    </w:pPr>
  </w:style>
  <w:style w:type="paragraph" w:customStyle="1" w:styleId="729">
    <w:name w:val="Legal3_L9"/>
    <w:basedOn w:val="728"/>
    <w:next w:val="28"/>
    <w:qFormat/>
    <w:uiPriority w:val="0"/>
    <w:pPr>
      <w:tabs>
        <w:tab w:val="left" w:pos="2880"/>
        <w:tab w:val="clear" w:pos="2160"/>
      </w:tabs>
      <w:ind w:firstLine="2160"/>
      <w:outlineLvl w:val="8"/>
    </w:pPr>
  </w:style>
  <w:style w:type="paragraph" w:customStyle="1" w:styleId="730">
    <w:name w:val="font11"/>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731">
    <w:name w:val="xl72"/>
    <w:basedOn w:val="1"/>
    <w:qFormat/>
    <w:uiPriority w:val="0"/>
    <w:pPr>
      <w:widowControl/>
      <w:pBdr>
        <w:top w:val="single" w:color="auto" w:sz="4" w:space="0"/>
        <w:left w:val="single" w:color="auto" w:sz="8" w:space="0"/>
        <w:right w:val="single" w:color="auto" w:sz="4" w:space="0"/>
      </w:pBdr>
      <w:spacing w:before="100" w:beforeAutospacing="1" w:after="100" w:afterAutospacing="1"/>
      <w:jc w:val="left"/>
    </w:pPr>
    <w:rPr>
      <w:rFonts w:ascii="宋体" w:hAnsi="宋体" w:cs="宋体"/>
      <w:kern w:val="0"/>
      <w:sz w:val="22"/>
    </w:rPr>
  </w:style>
  <w:style w:type="paragraph" w:customStyle="1" w:styleId="732">
    <w:name w:val="xl73"/>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2"/>
    </w:rPr>
  </w:style>
  <w:style w:type="paragraph" w:customStyle="1" w:styleId="733">
    <w:name w:val="xl74"/>
    <w:basedOn w:val="1"/>
    <w:qFormat/>
    <w:uiPriority w:val="0"/>
    <w:pPr>
      <w:widowControl/>
      <w:pBdr>
        <w:top w:val="single" w:color="auto" w:sz="4" w:space="0"/>
        <w:right w:val="single" w:color="auto" w:sz="4" w:space="0"/>
      </w:pBdr>
      <w:spacing w:before="100" w:beforeAutospacing="1" w:after="100" w:afterAutospacing="1"/>
      <w:jc w:val="left"/>
    </w:pPr>
    <w:rPr>
      <w:rFonts w:ascii="宋体" w:hAnsi="宋体" w:cs="宋体"/>
      <w:kern w:val="0"/>
      <w:sz w:val="22"/>
    </w:rPr>
  </w:style>
  <w:style w:type="paragraph" w:customStyle="1" w:styleId="734">
    <w:name w:val="xl75"/>
    <w:basedOn w:val="1"/>
    <w:qFormat/>
    <w:uiPriority w:val="0"/>
    <w:pPr>
      <w:widowControl/>
      <w:pBdr>
        <w:top w:val="single" w:color="auto" w:sz="4" w:space="0"/>
        <w:left w:val="single" w:color="auto" w:sz="4" w:space="0"/>
      </w:pBdr>
      <w:spacing w:before="100" w:beforeAutospacing="1" w:after="100" w:afterAutospacing="1"/>
      <w:jc w:val="left"/>
    </w:pPr>
    <w:rPr>
      <w:rFonts w:ascii="宋体" w:hAnsi="宋体" w:cs="宋体"/>
      <w:kern w:val="0"/>
      <w:sz w:val="22"/>
    </w:rPr>
  </w:style>
  <w:style w:type="paragraph" w:customStyle="1" w:styleId="735">
    <w:name w:val="xl7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 w:val="20"/>
      <w:szCs w:val="20"/>
    </w:rPr>
  </w:style>
  <w:style w:type="paragraph" w:customStyle="1" w:styleId="736">
    <w:name w:val="xl77"/>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kern w:val="0"/>
      <w:sz w:val="22"/>
    </w:rPr>
  </w:style>
  <w:style w:type="paragraph" w:customStyle="1" w:styleId="737">
    <w:name w:val="xl78"/>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2"/>
    </w:rPr>
  </w:style>
  <w:style w:type="paragraph" w:customStyle="1" w:styleId="73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739">
    <w:name w:val="xl8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2"/>
    </w:rPr>
  </w:style>
  <w:style w:type="paragraph" w:customStyle="1" w:styleId="740">
    <w:name w:val="xl81"/>
    <w:basedOn w:val="1"/>
    <w:qFormat/>
    <w:uiPriority w:val="0"/>
    <w:pPr>
      <w:widowControl/>
      <w:pBdr>
        <w:top w:val="single" w:color="auto" w:sz="4" w:space="0"/>
        <w:bottom w:val="single" w:color="auto" w:sz="4" w:space="0"/>
      </w:pBdr>
      <w:spacing w:before="100" w:beforeAutospacing="1" w:after="100" w:afterAutospacing="1"/>
      <w:jc w:val="left"/>
    </w:pPr>
    <w:rPr>
      <w:kern w:val="0"/>
      <w:sz w:val="24"/>
      <w:szCs w:val="24"/>
    </w:rPr>
  </w:style>
  <w:style w:type="paragraph" w:customStyle="1" w:styleId="741">
    <w:name w:val="xl82"/>
    <w:basedOn w:val="1"/>
    <w:qFormat/>
    <w:uiPriority w:val="0"/>
    <w:pPr>
      <w:widowControl/>
      <w:spacing w:before="100" w:beforeAutospacing="1" w:after="100" w:afterAutospacing="1"/>
      <w:jc w:val="left"/>
    </w:pPr>
    <w:rPr>
      <w:kern w:val="0"/>
      <w:sz w:val="24"/>
      <w:szCs w:val="24"/>
    </w:rPr>
  </w:style>
  <w:style w:type="paragraph" w:customStyle="1" w:styleId="742">
    <w:name w:val="xl83"/>
    <w:basedOn w:val="1"/>
    <w:qFormat/>
    <w:uiPriority w:val="0"/>
    <w:pPr>
      <w:widowControl/>
      <w:spacing w:before="100" w:beforeAutospacing="1" w:after="100" w:afterAutospacing="1"/>
      <w:jc w:val="center"/>
    </w:pPr>
    <w:rPr>
      <w:rFonts w:ascii="宋体" w:hAnsi="宋体" w:cs="宋体"/>
      <w:kern w:val="0"/>
      <w:sz w:val="22"/>
    </w:rPr>
  </w:style>
  <w:style w:type="paragraph" w:customStyle="1" w:styleId="743">
    <w:name w:val="xl84"/>
    <w:basedOn w:val="1"/>
    <w:qFormat/>
    <w:uiPriority w:val="0"/>
    <w:pPr>
      <w:widowControl/>
      <w:pBdr>
        <w:left w:val="single" w:color="auto" w:sz="8" w:space="0"/>
        <w:right w:val="single" w:color="auto" w:sz="4" w:space="0"/>
      </w:pBdr>
      <w:spacing w:before="100" w:beforeAutospacing="1" w:after="100" w:afterAutospacing="1"/>
      <w:jc w:val="center"/>
    </w:pPr>
    <w:rPr>
      <w:rFonts w:ascii="宋体" w:hAnsi="宋体" w:cs="宋体"/>
      <w:kern w:val="0"/>
      <w:sz w:val="22"/>
    </w:rPr>
  </w:style>
  <w:style w:type="paragraph" w:customStyle="1" w:styleId="744">
    <w:name w:val="xl85"/>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2"/>
    </w:rPr>
  </w:style>
  <w:style w:type="paragraph" w:customStyle="1" w:styleId="745">
    <w:name w:val="xl86"/>
    <w:basedOn w:val="1"/>
    <w:qFormat/>
    <w:uiPriority w:val="0"/>
    <w:pPr>
      <w:widowControl/>
      <w:pBdr>
        <w:right w:val="single" w:color="auto" w:sz="4" w:space="0"/>
      </w:pBdr>
      <w:spacing w:before="100" w:beforeAutospacing="1" w:after="100" w:afterAutospacing="1"/>
      <w:jc w:val="center"/>
    </w:pPr>
    <w:rPr>
      <w:rFonts w:ascii="宋体" w:hAnsi="宋体" w:cs="宋体"/>
      <w:kern w:val="0"/>
      <w:sz w:val="22"/>
    </w:rPr>
  </w:style>
  <w:style w:type="paragraph" w:customStyle="1" w:styleId="74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rPr>
  </w:style>
  <w:style w:type="paragraph" w:customStyle="1" w:styleId="747">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748">
    <w:name w:val="xl89"/>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74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50">
    <w:name w:val="xl9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75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75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753">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szCs w:val="24"/>
    </w:rPr>
  </w:style>
  <w:style w:type="paragraph" w:customStyle="1" w:styleId="754">
    <w:name w:val="xl95"/>
    <w:basedOn w:val="1"/>
    <w:qFormat/>
    <w:uiPriority w:val="0"/>
    <w:pPr>
      <w:widowControl/>
      <w:pBdr>
        <w:left w:val="single" w:color="auto" w:sz="8" w:space="0"/>
        <w:right w:val="single" w:color="auto" w:sz="4" w:space="0"/>
      </w:pBdr>
      <w:spacing w:before="100" w:beforeAutospacing="1" w:after="100" w:afterAutospacing="1"/>
      <w:jc w:val="left"/>
    </w:pPr>
    <w:rPr>
      <w:rFonts w:ascii="宋体" w:hAnsi="宋体" w:cs="宋体"/>
      <w:kern w:val="0"/>
      <w:sz w:val="22"/>
    </w:rPr>
  </w:style>
  <w:style w:type="paragraph" w:customStyle="1" w:styleId="755">
    <w:name w:val="xl96"/>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2"/>
    </w:rPr>
  </w:style>
  <w:style w:type="paragraph" w:customStyle="1" w:styleId="756">
    <w:name w:val="xl97"/>
    <w:basedOn w:val="1"/>
    <w:qFormat/>
    <w:uiPriority w:val="0"/>
    <w:pPr>
      <w:widowControl/>
      <w:pBdr>
        <w:right w:val="single" w:color="auto" w:sz="4" w:space="0"/>
      </w:pBdr>
      <w:spacing w:before="100" w:beforeAutospacing="1" w:after="100" w:afterAutospacing="1"/>
      <w:jc w:val="left"/>
    </w:pPr>
    <w:rPr>
      <w:rFonts w:ascii="宋体" w:hAnsi="宋体" w:cs="宋体"/>
      <w:kern w:val="0"/>
      <w:sz w:val="22"/>
    </w:rPr>
  </w:style>
  <w:style w:type="paragraph" w:customStyle="1" w:styleId="757">
    <w:name w:val="xl98"/>
    <w:basedOn w:val="1"/>
    <w:qFormat/>
    <w:uiPriority w:val="0"/>
    <w:pPr>
      <w:widowControl/>
      <w:pBdr>
        <w:left w:val="single" w:color="auto" w:sz="4" w:space="0"/>
        <w:right w:val="single" w:color="auto" w:sz="4" w:space="0"/>
      </w:pBdr>
      <w:spacing w:before="100" w:beforeAutospacing="1" w:after="100" w:afterAutospacing="1"/>
      <w:jc w:val="center"/>
    </w:pPr>
    <w:rPr>
      <w:kern w:val="0"/>
      <w:sz w:val="16"/>
      <w:szCs w:val="16"/>
    </w:rPr>
  </w:style>
  <w:style w:type="paragraph" w:customStyle="1" w:styleId="758">
    <w:name w:val="xl99"/>
    <w:basedOn w:val="1"/>
    <w:qFormat/>
    <w:uiPriority w:val="0"/>
    <w:pPr>
      <w:widowControl/>
      <w:pBdr>
        <w:right w:val="single" w:color="auto" w:sz="4" w:space="0"/>
      </w:pBdr>
      <w:spacing w:before="100" w:beforeAutospacing="1" w:after="100" w:afterAutospacing="1"/>
      <w:jc w:val="left"/>
    </w:pPr>
    <w:rPr>
      <w:kern w:val="0"/>
      <w:sz w:val="24"/>
      <w:szCs w:val="24"/>
    </w:rPr>
  </w:style>
  <w:style w:type="paragraph" w:customStyle="1" w:styleId="759">
    <w:name w:val="xl10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2"/>
    </w:rPr>
  </w:style>
  <w:style w:type="paragraph" w:customStyle="1" w:styleId="760">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61">
    <w:name w:val="xl102"/>
    <w:basedOn w:val="1"/>
    <w:qFormat/>
    <w:uiPriority w:val="0"/>
    <w:pPr>
      <w:widowControl/>
      <w:spacing w:before="100" w:beforeAutospacing="1" w:after="100" w:afterAutospacing="1"/>
      <w:jc w:val="left"/>
    </w:pPr>
    <w:rPr>
      <w:rFonts w:ascii="宋体" w:hAnsi="宋体" w:cs="宋体"/>
      <w:kern w:val="0"/>
      <w:sz w:val="22"/>
    </w:rPr>
  </w:style>
  <w:style w:type="paragraph" w:customStyle="1" w:styleId="762">
    <w:name w:val="xl10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763">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764">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765">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766">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67">
    <w:name w:val="xl10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768">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rPr>
  </w:style>
  <w:style w:type="paragraph" w:customStyle="1" w:styleId="769">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70">
    <w:name w:val="xl11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color w:val="FF0000"/>
      <w:kern w:val="0"/>
      <w:sz w:val="20"/>
      <w:szCs w:val="20"/>
    </w:rPr>
  </w:style>
  <w:style w:type="paragraph" w:customStyle="1" w:styleId="771">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kern w:val="0"/>
      <w:sz w:val="20"/>
      <w:szCs w:val="20"/>
    </w:rPr>
  </w:style>
  <w:style w:type="paragraph" w:customStyle="1" w:styleId="772">
    <w:name w:val="xl114"/>
    <w:basedOn w:val="1"/>
    <w:qFormat/>
    <w:uiPriority w:val="0"/>
    <w:pPr>
      <w:widowControl/>
      <w:spacing w:before="100" w:beforeAutospacing="1" w:after="100" w:afterAutospacing="1"/>
      <w:jc w:val="left"/>
    </w:pPr>
    <w:rPr>
      <w:rFonts w:ascii="宋体" w:hAnsi="宋体" w:cs="宋体"/>
      <w:kern w:val="0"/>
      <w:sz w:val="22"/>
    </w:rPr>
  </w:style>
  <w:style w:type="paragraph" w:customStyle="1" w:styleId="773">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szCs w:val="24"/>
    </w:rPr>
  </w:style>
  <w:style w:type="paragraph" w:customStyle="1" w:styleId="774">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775">
    <w:name w:val="文本框"/>
    <w:basedOn w:val="1"/>
    <w:next w:val="1"/>
    <w:qFormat/>
    <w:uiPriority w:val="0"/>
    <w:pPr>
      <w:widowControl/>
      <w:spacing w:line="320" w:lineRule="exact"/>
      <w:ind w:firstLine="200" w:firstLineChars="200"/>
      <w:jc w:val="center"/>
    </w:pPr>
    <w:rPr>
      <w:rFonts w:ascii="仿宋_GB2312" w:eastAsia="仿宋_GB2312"/>
      <w:kern w:val="0"/>
      <w:sz w:val="24"/>
      <w:szCs w:val="24"/>
    </w:rPr>
  </w:style>
  <w:style w:type="paragraph" w:customStyle="1" w:styleId="776">
    <w:name w:val="样式 首行缩进:  0 字符"/>
    <w:basedOn w:val="1"/>
    <w:qFormat/>
    <w:uiPriority w:val="0"/>
    <w:pPr>
      <w:spacing w:line="360" w:lineRule="auto"/>
      <w:ind w:firstLine="200" w:firstLineChars="200"/>
    </w:pPr>
    <w:rPr>
      <w:sz w:val="24"/>
      <w:szCs w:val="20"/>
    </w:rPr>
  </w:style>
  <w:style w:type="character" w:customStyle="1" w:styleId="777">
    <w:name w:val="表 Char"/>
    <w:link w:val="778"/>
    <w:qFormat/>
    <w:locked/>
    <w:uiPriority w:val="0"/>
    <w:rPr>
      <w:rFonts w:ascii="宋体" w:hAnsi="宋体"/>
      <w:kern w:val="2"/>
      <w:sz w:val="24"/>
      <w:szCs w:val="24"/>
      <w:lang w:val="zh-CN" w:eastAsia="zh-CN"/>
    </w:rPr>
  </w:style>
  <w:style w:type="paragraph" w:customStyle="1" w:styleId="778">
    <w:name w:val="表"/>
    <w:basedOn w:val="1"/>
    <w:link w:val="777"/>
    <w:qFormat/>
    <w:uiPriority w:val="0"/>
    <w:pPr>
      <w:adjustRightInd w:val="0"/>
      <w:snapToGrid w:val="0"/>
      <w:jc w:val="center"/>
    </w:pPr>
    <w:rPr>
      <w:rFonts w:ascii="宋体" w:hAnsi="宋体"/>
      <w:sz w:val="24"/>
      <w:szCs w:val="24"/>
      <w:lang w:val="zh-CN"/>
    </w:rPr>
  </w:style>
  <w:style w:type="paragraph" w:customStyle="1" w:styleId="779">
    <w:name w:val="样式 (西文) 宋体 首行缩进:  2 字符"/>
    <w:basedOn w:val="1"/>
    <w:qFormat/>
    <w:uiPriority w:val="0"/>
    <w:pPr>
      <w:spacing w:line="360" w:lineRule="auto"/>
      <w:ind w:firstLine="480" w:firstLineChars="200"/>
    </w:pPr>
    <w:rPr>
      <w:rFonts w:ascii="宋体" w:hAnsi="宋体"/>
      <w:spacing w:val="20"/>
      <w:sz w:val="24"/>
      <w:szCs w:val="24"/>
    </w:rPr>
  </w:style>
  <w:style w:type="paragraph" w:customStyle="1" w:styleId="780">
    <w:name w:val="text_view"/>
    <w:basedOn w:val="1"/>
    <w:qFormat/>
    <w:uiPriority w:val="0"/>
    <w:pPr>
      <w:widowControl/>
      <w:spacing w:before="100" w:beforeAutospacing="1" w:after="100" w:afterAutospacing="1" w:line="360" w:lineRule="atLeast"/>
      <w:jc w:val="left"/>
    </w:pPr>
    <w:rPr>
      <w:rFonts w:ascii="宋体" w:hAnsi="宋体" w:cs="宋体"/>
      <w:color w:val="000000"/>
      <w:kern w:val="0"/>
      <w:sz w:val="18"/>
      <w:szCs w:val="18"/>
    </w:rPr>
  </w:style>
  <w:style w:type="character" w:customStyle="1" w:styleId="781">
    <w:name w:val="样式15 Char"/>
    <w:link w:val="782"/>
    <w:qFormat/>
    <w:locked/>
    <w:uiPriority w:val="0"/>
    <w:rPr>
      <w:bCs/>
      <w:color w:val="000000"/>
      <w:kern w:val="2"/>
      <w:sz w:val="28"/>
      <w:szCs w:val="28"/>
    </w:rPr>
  </w:style>
  <w:style w:type="paragraph" w:customStyle="1" w:styleId="782">
    <w:name w:val="样式15"/>
    <w:basedOn w:val="1"/>
    <w:next w:val="1"/>
    <w:link w:val="781"/>
    <w:qFormat/>
    <w:uiPriority w:val="0"/>
    <w:pPr>
      <w:spacing w:line="520" w:lineRule="exact"/>
      <w:ind w:firstLine="358" w:firstLineChars="128"/>
    </w:pPr>
    <w:rPr>
      <w:rFonts w:ascii="Calibri" w:hAnsi="Calibri"/>
      <w:bCs/>
      <w:color w:val="000000"/>
      <w:sz w:val="28"/>
      <w:szCs w:val="28"/>
    </w:rPr>
  </w:style>
  <w:style w:type="paragraph" w:customStyle="1" w:styleId="783">
    <w:name w:val="表格文字样式"/>
    <w:basedOn w:val="537"/>
    <w:qFormat/>
    <w:uiPriority w:val="0"/>
    <w:pPr>
      <w:spacing w:line="240" w:lineRule="auto"/>
      <w:ind w:firstLine="0"/>
      <w:jc w:val="center"/>
    </w:pPr>
    <w:rPr>
      <w:rFonts w:ascii="宋体" w:hAnsi="宋体"/>
      <w:szCs w:val="18"/>
    </w:rPr>
  </w:style>
  <w:style w:type="paragraph" w:customStyle="1" w:styleId="784">
    <w:name w:val="XYF1"/>
    <w:basedOn w:val="1"/>
    <w:qFormat/>
    <w:uiPriority w:val="0"/>
    <w:pPr>
      <w:tabs>
        <w:tab w:val="left" w:pos="1080"/>
      </w:tabs>
      <w:spacing w:line="440" w:lineRule="exact"/>
      <w:ind w:firstLine="195" w:firstLineChars="195"/>
    </w:pPr>
    <w:rPr>
      <w:sz w:val="24"/>
      <w:szCs w:val="24"/>
    </w:rPr>
  </w:style>
  <w:style w:type="paragraph" w:customStyle="1" w:styleId="785">
    <w:name w:val="字母项"/>
    <w:basedOn w:val="20"/>
    <w:qFormat/>
    <w:uiPriority w:val="0"/>
    <w:pPr>
      <w:widowControl/>
      <w:tabs>
        <w:tab w:val="left" w:pos="5760"/>
      </w:tabs>
      <w:spacing w:line="440" w:lineRule="exact"/>
      <w:ind w:left="5760" w:hanging="360" w:firstLineChars="0"/>
      <w:jc w:val="left"/>
    </w:pPr>
    <w:rPr>
      <w:rFonts w:ascii="宋体"/>
      <w:kern w:val="0"/>
      <w:sz w:val="24"/>
      <w:szCs w:val="20"/>
    </w:rPr>
  </w:style>
  <w:style w:type="character" w:customStyle="1" w:styleId="786">
    <w:name w:val="表蕊 Char1"/>
    <w:link w:val="113"/>
    <w:qFormat/>
    <w:locked/>
    <w:uiPriority w:val="0"/>
    <w:rPr>
      <w:rFonts w:ascii="Times New Roman" w:hAnsi="Times New Roman" w:eastAsia="楷体_GB2312"/>
      <w:spacing w:val="-10"/>
      <w:sz w:val="21"/>
    </w:rPr>
  </w:style>
  <w:style w:type="paragraph" w:customStyle="1" w:styleId="787">
    <w:name w:val="方框"/>
    <w:basedOn w:val="1"/>
    <w:qFormat/>
    <w:uiPriority w:val="0"/>
    <w:pPr>
      <w:widowControl/>
      <w:spacing w:line="240" w:lineRule="atLeast"/>
    </w:pPr>
    <w:rPr>
      <w:rFonts w:ascii="宋体"/>
      <w:kern w:val="0"/>
      <w:sz w:val="24"/>
      <w:szCs w:val="20"/>
    </w:rPr>
  </w:style>
  <w:style w:type="paragraph" w:customStyle="1" w:styleId="788">
    <w:name w:val="Char Char Char1 Char"/>
    <w:basedOn w:val="1"/>
    <w:qFormat/>
    <w:uiPriority w:val="0"/>
    <w:pPr>
      <w:spacing w:line="360" w:lineRule="auto"/>
      <w:ind w:firstLine="200" w:firstLineChars="200"/>
    </w:pPr>
    <w:rPr>
      <w:rFonts w:ascii="宋体" w:hAnsi="宋体"/>
      <w:sz w:val="24"/>
      <w:szCs w:val="20"/>
    </w:rPr>
  </w:style>
  <w:style w:type="paragraph" w:customStyle="1" w:styleId="789">
    <w:name w:val="图"/>
    <w:basedOn w:val="20"/>
    <w:next w:val="1"/>
    <w:qFormat/>
    <w:uiPriority w:val="0"/>
    <w:pPr>
      <w:ind w:firstLine="0" w:firstLineChars="0"/>
      <w:jc w:val="center"/>
    </w:pPr>
    <w:rPr>
      <w:rFonts w:ascii="宋体"/>
      <w:sz w:val="24"/>
      <w:szCs w:val="20"/>
    </w:rPr>
  </w:style>
  <w:style w:type="paragraph" w:customStyle="1" w:styleId="790">
    <w:name w:val="正文段落"/>
    <w:basedOn w:val="1"/>
    <w:qFormat/>
    <w:uiPriority w:val="0"/>
    <w:pPr>
      <w:ind w:firstLine="560" w:firstLineChars="200"/>
    </w:pPr>
    <w:rPr>
      <w:sz w:val="28"/>
      <w:szCs w:val="20"/>
    </w:rPr>
  </w:style>
  <w:style w:type="paragraph" w:customStyle="1" w:styleId="791">
    <w:name w:val="小标题2"/>
    <w:basedOn w:val="1"/>
    <w:next w:val="790"/>
    <w:qFormat/>
    <w:uiPriority w:val="0"/>
    <w:pPr>
      <w:numPr>
        <w:ilvl w:val="0"/>
        <w:numId w:val="6"/>
      </w:numPr>
      <w:tabs>
        <w:tab w:val="left" w:pos="420"/>
      </w:tabs>
    </w:pPr>
    <w:rPr>
      <w:sz w:val="28"/>
      <w:szCs w:val="20"/>
    </w:rPr>
  </w:style>
  <w:style w:type="paragraph" w:customStyle="1" w:styleId="792">
    <w:name w:val="默认段落字体 Para Char Char Char Char Char Char Char"/>
    <w:basedOn w:val="1"/>
    <w:qFormat/>
    <w:uiPriority w:val="0"/>
    <w:pPr>
      <w:spacing w:line="360" w:lineRule="auto"/>
    </w:pPr>
    <w:rPr>
      <w:sz w:val="24"/>
      <w:szCs w:val="20"/>
    </w:rPr>
  </w:style>
  <w:style w:type="paragraph" w:customStyle="1" w:styleId="793">
    <w:name w:val="font13"/>
    <w:basedOn w:val="1"/>
    <w:qFormat/>
    <w:uiPriority w:val="0"/>
    <w:pPr>
      <w:widowControl/>
      <w:spacing w:before="100" w:beforeAutospacing="1" w:after="100" w:afterAutospacing="1"/>
      <w:jc w:val="left"/>
    </w:pPr>
    <w:rPr>
      <w:rFonts w:ascii="Arial" w:hAnsi="Arial"/>
      <w:kern w:val="0"/>
      <w:sz w:val="24"/>
      <w:szCs w:val="20"/>
    </w:rPr>
  </w:style>
  <w:style w:type="paragraph" w:customStyle="1" w:styleId="794">
    <w:name w:val="et63"/>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olor w:val="000000"/>
      <w:kern w:val="0"/>
      <w:sz w:val="24"/>
      <w:szCs w:val="20"/>
    </w:rPr>
  </w:style>
  <w:style w:type="paragraph" w:customStyle="1" w:styleId="795">
    <w:name w:val="正文B"/>
    <w:basedOn w:val="1"/>
    <w:qFormat/>
    <w:uiPriority w:val="0"/>
    <w:pPr>
      <w:adjustRightInd w:val="0"/>
      <w:spacing w:line="390" w:lineRule="exact"/>
      <w:ind w:firstLine="601"/>
    </w:pPr>
    <w:rPr>
      <w:rFonts w:eastAsia="楷体_GB2312"/>
      <w:spacing w:val="8"/>
      <w:kern w:val="0"/>
      <w:sz w:val="28"/>
      <w:szCs w:val="20"/>
    </w:rPr>
  </w:style>
  <w:style w:type="paragraph" w:customStyle="1" w:styleId="796">
    <w:name w:val="表格中"/>
    <w:basedOn w:val="1"/>
    <w:qFormat/>
    <w:uiPriority w:val="0"/>
    <w:pPr>
      <w:adjustRightInd w:val="0"/>
      <w:snapToGrid w:val="0"/>
      <w:spacing w:line="0" w:lineRule="atLeast"/>
      <w:jc w:val="center"/>
    </w:pPr>
    <w:rPr>
      <w:rFonts w:ascii="宋体" w:hAnsi="宋体"/>
      <w:sz w:val="28"/>
      <w:szCs w:val="20"/>
    </w:rPr>
  </w:style>
  <w:style w:type="paragraph" w:customStyle="1" w:styleId="797">
    <w:name w:val="8"/>
    <w:basedOn w:val="1"/>
    <w:next w:val="44"/>
    <w:qFormat/>
    <w:uiPriority w:val="0"/>
    <w:rPr>
      <w:szCs w:val="20"/>
    </w:rPr>
  </w:style>
  <w:style w:type="paragraph" w:customStyle="1" w:styleId="798">
    <w:name w:val="表图1"/>
    <w:basedOn w:val="1"/>
    <w:qFormat/>
    <w:uiPriority w:val="0"/>
    <w:pPr>
      <w:spacing w:line="0" w:lineRule="atLeast"/>
    </w:pPr>
    <w:rPr>
      <w:szCs w:val="20"/>
    </w:rPr>
  </w:style>
  <w:style w:type="paragraph" w:customStyle="1" w:styleId="799">
    <w:name w:val="样式 标题 3标题 3目标题 3 Char Char Char标题 3 Char Charh3H3level_3P...3"/>
    <w:basedOn w:val="9"/>
    <w:qFormat/>
    <w:uiPriority w:val="0"/>
    <w:pPr>
      <w:spacing w:before="0" w:after="0" w:line="360" w:lineRule="auto"/>
    </w:pPr>
    <w:rPr>
      <w:rFonts w:ascii="黑体" w:hAnsi="宋体" w:eastAsia="黑体"/>
      <w:b w:val="0"/>
      <w:bCs w:val="0"/>
      <w:color w:val="000000"/>
      <w:sz w:val="28"/>
      <w:szCs w:val="20"/>
    </w:rPr>
  </w:style>
  <w:style w:type="paragraph" w:customStyle="1" w:styleId="800">
    <w:name w:val="正文１ Char"/>
    <w:basedOn w:val="1"/>
    <w:qFormat/>
    <w:uiPriority w:val="0"/>
    <w:pPr>
      <w:snapToGrid w:val="0"/>
      <w:spacing w:line="360" w:lineRule="auto"/>
      <w:ind w:firstLine="480"/>
    </w:pPr>
    <w:rPr>
      <w:sz w:val="24"/>
      <w:szCs w:val="20"/>
    </w:rPr>
  </w:style>
  <w:style w:type="paragraph" w:customStyle="1" w:styleId="801">
    <w:name w:val="zxl行距: 1.5 倍行距 首行缩进:  2 字符"/>
    <w:basedOn w:val="1"/>
    <w:next w:val="1"/>
    <w:qFormat/>
    <w:uiPriority w:val="0"/>
    <w:pPr>
      <w:spacing w:line="360" w:lineRule="auto"/>
      <w:ind w:firstLine="612" w:firstLineChars="196"/>
      <w:jc w:val="left"/>
    </w:pPr>
    <w:rPr>
      <w:rFonts w:ascii="宋体" w:hAnsi="宋体"/>
      <w:spacing w:val="16"/>
      <w:kern w:val="0"/>
      <w:sz w:val="28"/>
      <w:szCs w:val="20"/>
      <w:lang w:val="zh-CN"/>
    </w:rPr>
  </w:style>
  <w:style w:type="paragraph" w:customStyle="1" w:styleId="802">
    <w:name w:val="正文居中"/>
    <w:basedOn w:val="1"/>
    <w:next w:val="1"/>
    <w:qFormat/>
    <w:uiPriority w:val="0"/>
    <w:pPr>
      <w:ind w:left="113" w:right="113"/>
      <w:jc w:val="center"/>
    </w:pPr>
    <w:rPr>
      <w:rFonts w:ascii="楷体_GB2312" w:hAnsi="宋体" w:eastAsia="楷体_GB2312"/>
      <w:color w:val="000000"/>
      <w:sz w:val="24"/>
      <w:szCs w:val="20"/>
    </w:rPr>
  </w:style>
  <w:style w:type="paragraph" w:customStyle="1" w:styleId="803">
    <w:name w:val="Char2 Char Char Char Char Char Char Char Char Char Char Char Char Char Char Char"/>
    <w:basedOn w:val="1"/>
    <w:qFormat/>
    <w:uiPriority w:val="0"/>
    <w:rPr>
      <w:szCs w:val="20"/>
    </w:rPr>
  </w:style>
  <w:style w:type="paragraph" w:customStyle="1" w:styleId="804">
    <w:name w:val="主题1"/>
    <w:basedOn w:val="1"/>
    <w:qFormat/>
    <w:uiPriority w:val="0"/>
    <w:pPr>
      <w:adjustRightInd w:val="0"/>
      <w:spacing w:line="480" w:lineRule="auto"/>
      <w:ind w:left="709" w:right="284"/>
    </w:pPr>
    <w:rPr>
      <w:b/>
      <w:kern w:val="0"/>
      <w:sz w:val="28"/>
      <w:szCs w:val="20"/>
    </w:rPr>
  </w:style>
  <w:style w:type="paragraph" w:customStyle="1" w:styleId="805">
    <w:name w:val="条文"/>
    <w:basedOn w:val="1"/>
    <w:qFormat/>
    <w:uiPriority w:val="0"/>
    <w:pPr>
      <w:spacing w:line="300" w:lineRule="auto"/>
      <w:outlineLvl w:val="2"/>
    </w:pPr>
    <w:rPr>
      <w:sz w:val="24"/>
      <w:szCs w:val="20"/>
    </w:rPr>
  </w:style>
  <w:style w:type="paragraph" w:customStyle="1" w:styleId="806">
    <w:name w:val="A标题1"/>
    <w:basedOn w:val="1"/>
    <w:next w:val="8"/>
    <w:qFormat/>
    <w:uiPriority w:val="0"/>
    <w:pPr>
      <w:widowControl/>
      <w:spacing w:after="160" w:line="240" w:lineRule="exact"/>
      <w:jc w:val="left"/>
    </w:pPr>
    <w:rPr>
      <w:rFonts w:ascii="Arial" w:hAnsi="Arial"/>
      <w:b/>
      <w:kern w:val="0"/>
      <w:sz w:val="28"/>
      <w:szCs w:val="28"/>
      <w:lang w:eastAsia="en-US"/>
    </w:rPr>
  </w:style>
  <w:style w:type="paragraph" w:customStyle="1" w:styleId="807">
    <w:name w:val="段落"/>
    <w:basedOn w:val="34"/>
    <w:qFormat/>
    <w:uiPriority w:val="0"/>
    <w:pPr>
      <w:spacing w:line="520" w:lineRule="exact"/>
      <w:ind w:firstLine="601"/>
    </w:pPr>
    <w:rPr>
      <w:rFonts w:hint="eastAsia" w:ascii="Times New Roman" w:hAnsi="Times New Roman"/>
      <w:sz w:val="28"/>
    </w:rPr>
  </w:style>
  <w:style w:type="paragraph" w:customStyle="1" w:styleId="808">
    <w:name w:val="样式 正文（首行缩进两字） + 五号 居中"/>
    <w:basedOn w:val="1"/>
    <w:qFormat/>
    <w:uiPriority w:val="0"/>
    <w:pPr>
      <w:adjustRightInd w:val="0"/>
      <w:jc w:val="center"/>
    </w:pPr>
    <w:rPr>
      <w:rFonts w:ascii="宋体" w:cs="宋体"/>
      <w:kern w:val="0"/>
      <w:szCs w:val="20"/>
    </w:rPr>
  </w:style>
  <w:style w:type="paragraph" w:customStyle="1" w:styleId="809">
    <w:name w:val="表内文字一级"/>
    <w:basedOn w:val="1"/>
    <w:qFormat/>
    <w:uiPriority w:val="0"/>
    <w:pPr>
      <w:adjustRightInd w:val="0"/>
      <w:snapToGrid w:val="0"/>
      <w:spacing w:beforeLines="15"/>
      <w:ind w:left="10" w:leftChars="10" w:right="10" w:rightChars="10" w:firstLine="200" w:firstLineChars="200"/>
      <w:jc w:val="left"/>
    </w:pPr>
    <w:rPr>
      <w:rFonts w:ascii="宋体" w:hAnsi="宋体"/>
      <w:color w:val="000000"/>
      <w:szCs w:val="24"/>
    </w:rPr>
  </w:style>
  <w:style w:type="paragraph" w:customStyle="1" w:styleId="810">
    <w:name w:val="目次、标准名称标题"/>
    <w:basedOn w:val="1"/>
    <w:next w:val="287"/>
    <w:qFormat/>
    <w:uiPriority w:val="0"/>
    <w:pPr>
      <w:keepNext/>
      <w:pageBreakBefore/>
      <w:widowControl/>
      <w:shd w:val="clear" w:color="auto" w:fill="FFFFFF"/>
      <w:spacing w:before="640" w:after="560" w:line="460" w:lineRule="exact"/>
      <w:jc w:val="center"/>
      <w:outlineLvl w:val="0"/>
    </w:pPr>
    <w:rPr>
      <w:rFonts w:ascii="黑体" w:eastAsia="黑体"/>
      <w:kern w:val="0"/>
      <w:sz w:val="32"/>
      <w:szCs w:val="20"/>
    </w:rPr>
  </w:style>
  <w:style w:type="paragraph" w:customStyle="1" w:styleId="811">
    <w:name w:val="xl23"/>
    <w:basedOn w:val="1"/>
    <w:qFormat/>
    <w:uiPriority w:val="0"/>
    <w:pPr>
      <w:widowControl/>
      <w:spacing w:before="100" w:beforeAutospacing="1" w:after="100" w:afterAutospacing="1"/>
      <w:jc w:val="center"/>
    </w:pPr>
    <w:rPr>
      <w:rFonts w:ascii="Arial Unicode MS" w:hAnsi="Arial Unicode MS" w:eastAsia="Arial Unicode MS" w:cs="Arial Unicode MS"/>
      <w:kern w:val="0"/>
      <w:sz w:val="24"/>
      <w:szCs w:val="28"/>
    </w:rPr>
  </w:style>
  <w:style w:type="paragraph" w:customStyle="1" w:styleId="812">
    <w:name w:val="20"/>
    <w:basedOn w:val="1"/>
    <w:next w:val="1"/>
    <w:qFormat/>
    <w:uiPriority w:val="0"/>
    <w:pPr>
      <w:widowControl/>
      <w:spacing w:line="480" w:lineRule="exact"/>
      <w:jc w:val="left"/>
    </w:pPr>
    <w:rPr>
      <w:rFonts w:ascii="宋体" w:hAnsi="宋体" w:eastAsia="黑体"/>
      <w:kern w:val="0"/>
      <w:sz w:val="24"/>
      <w:szCs w:val="21"/>
    </w:rPr>
  </w:style>
  <w:style w:type="paragraph" w:customStyle="1" w:styleId="813">
    <w:name w:val="正文表标题"/>
    <w:next w:val="287"/>
    <w:qFormat/>
    <w:uiPriority w:val="0"/>
    <w:pPr>
      <w:jc w:val="center"/>
    </w:pPr>
    <w:rPr>
      <w:rFonts w:ascii="黑体" w:hAnsi="Times New Roman" w:eastAsia="黑体" w:cs="Times New Roman"/>
      <w:sz w:val="21"/>
      <w:lang w:val="en-US" w:eastAsia="zh-CN" w:bidi="ar-SA"/>
    </w:rPr>
  </w:style>
  <w:style w:type="paragraph" w:customStyle="1" w:styleId="814">
    <w:name w:val="三级无标题条"/>
    <w:basedOn w:val="1"/>
    <w:qFormat/>
    <w:uiPriority w:val="0"/>
    <w:rPr>
      <w:szCs w:val="24"/>
    </w:rPr>
  </w:style>
  <w:style w:type="paragraph" w:customStyle="1" w:styleId="815">
    <w:name w:val="四级无标题条"/>
    <w:basedOn w:val="1"/>
    <w:qFormat/>
    <w:uiPriority w:val="0"/>
    <w:rPr>
      <w:szCs w:val="24"/>
    </w:rPr>
  </w:style>
  <w:style w:type="paragraph" w:customStyle="1" w:styleId="816">
    <w:name w:val="五级无标题条"/>
    <w:basedOn w:val="1"/>
    <w:qFormat/>
    <w:uiPriority w:val="0"/>
    <w:rPr>
      <w:szCs w:val="24"/>
    </w:rPr>
  </w:style>
  <w:style w:type="paragraph" w:customStyle="1" w:styleId="817">
    <w:name w:val="一级无标题条"/>
    <w:basedOn w:val="1"/>
    <w:qFormat/>
    <w:uiPriority w:val="0"/>
    <w:rPr>
      <w:szCs w:val="24"/>
    </w:rPr>
  </w:style>
  <w:style w:type="paragraph" w:customStyle="1" w:styleId="818">
    <w:name w:val="Char Char Char Char Char Char Char Char Char"/>
    <w:basedOn w:val="1"/>
    <w:qFormat/>
    <w:uiPriority w:val="0"/>
    <w:rPr>
      <w:sz w:val="24"/>
      <w:szCs w:val="24"/>
    </w:rPr>
  </w:style>
  <w:style w:type="paragraph" w:customStyle="1" w:styleId="819">
    <w:name w:val="1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820">
    <w:name w:val="样式 正文首行缩进 + 黑色 首行缩进:  2 字符1"/>
    <w:basedOn w:val="58"/>
    <w:qFormat/>
    <w:uiPriority w:val="0"/>
    <w:pPr>
      <w:adjustRightInd w:val="0"/>
      <w:snapToGrid w:val="0"/>
      <w:spacing w:after="0" w:line="300" w:lineRule="auto"/>
      <w:ind w:firstLine="560" w:firstLineChars="200"/>
    </w:pPr>
    <w:rPr>
      <w:color w:val="000000"/>
      <w:sz w:val="28"/>
      <w:lang w:val="en-US"/>
    </w:rPr>
  </w:style>
  <w:style w:type="character" w:customStyle="1" w:styleId="821">
    <w:name w:val="样式 标题 3H3 + 黑色 Char"/>
    <w:link w:val="822"/>
    <w:qFormat/>
    <w:locked/>
    <w:uiPriority w:val="0"/>
    <w:rPr>
      <w:b/>
      <w:snapToGrid w:val="0"/>
      <w:color w:val="000000"/>
      <w:sz w:val="24"/>
      <w:szCs w:val="24"/>
    </w:rPr>
  </w:style>
  <w:style w:type="paragraph" w:customStyle="1" w:styleId="822">
    <w:name w:val="样式 标题 3H3 + 黑色"/>
    <w:basedOn w:val="9"/>
    <w:link w:val="821"/>
    <w:qFormat/>
    <w:uiPriority w:val="0"/>
    <w:pPr>
      <w:keepNext w:val="0"/>
      <w:keepLines w:val="0"/>
      <w:adjustRightInd w:val="0"/>
      <w:snapToGrid w:val="0"/>
      <w:spacing w:before="0" w:after="0" w:line="460" w:lineRule="exact"/>
      <w:ind w:left="720" w:hanging="720"/>
    </w:pPr>
    <w:rPr>
      <w:rFonts w:ascii="Calibri" w:hAnsi="Calibri"/>
      <w:bCs w:val="0"/>
      <w:snapToGrid w:val="0"/>
      <w:color w:val="000000"/>
      <w:kern w:val="0"/>
      <w:sz w:val="24"/>
      <w:szCs w:val="24"/>
    </w:rPr>
  </w:style>
  <w:style w:type="character" w:customStyle="1" w:styleId="823">
    <w:name w:val="样式 标题 2_Heading 2HEAD_2HEAD_21HEAD_22HEAD_211HEAD_23HEAD_... Char"/>
    <w:link w:val="824"/>
    <w:qFormat/>
    <w:locked/>
    <w:uiPriority w:val="0"/>
    <w:rPr>
      <w:rFonts w:hAnsi="宋体"/>
      <w:b/>
      <w:snapToGrid w:val="0"/>
      <w:color w:val="000000"/>
      <w:sz w:val="24"/>
      <w:szCs w:val="24"/>
    </w:rPr>
  </w:style>
  <w:style w:type="paragraph" w:customStyle="1" w:styleId="824">
    <w:name w:val="样式 标题 2_Heading 2HEAD_2HEAD_21HEAD_22HEAD_211HEAD_23HEAD_..."/>
    <w:basedOn w:val="8"/>
    <w:link w:val="823"/>
    <w:qFormat/>
    <w:uiPriority w:val="0"/>
    <w:pPr>
      <w:keepNext w:val="0"/>
      <w:keepLines w:val="0"/>
      <w:widowControl/>
      <w:adjustRightInd w:val="0"/>
      <w:snapToGrid w:val="0"/>
      <w:spacing w:before="0" w:after="0" w:line="460" w:lineRule="exact"/>
      <w:ind w:firstLine="445" w:firstLineChars="196"/>
      <w:jc w:val="left"/>
    </w:pPr>
    <w:rPr>
      <w:rFonts w:ascii="Calibri" w:hAnsi="宋体"/>
      <w:bCs w:val="0"/>
      <w:snapToGrid w:val="0"/>
      <w:color w:val="000000"/>
      <w:kern w:val="0"/>
      <w:sz w:val="24"/>
      <w:szCs w:val="24"/>
    </w:rPr>
  </w:style>
  <w:style w:type="paragraph" w:customStyle="1" w:styleId="825">
    <w:name w:val="c"/>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2"/>
    </w:rPr>
  </w:style>
  <w:style w:type="character" w:customStyle="1" w:styleId="826">
    <w:name w:val="样式 标题 3H3 + 黑色1 Char"/>
    <w:link w:val="827"/>
    <w:qFormat/>
    <w:locked/>
    <w:uiPriority w:val="0"/>
    <w:rPr>
      <w:b/>
      <w:snapToGrid w:val="0"/>
      <w:color w:val="000000"/>
      <w:sz w:val="24"/>
      <w:szCs w:val="24"/>
    </w:rPr>
  </w:style>
  <w:style w:type="paragraph" w:customStyle="1" w:styleId="827">
    <w:name w:val="样式 标题 3H3 + 黑色1"/>
    <w:basedOn w:val="9"/>
    <w:link w:val="826"/>
    <w:qFormat/>
    <w:uiPriority w:val="0"/>
    <w:pPr>
      <w:keepNext w:val="0"/>
      <w:keepLines w:val="0"/>
      <w:adjustRightInd w:val="0"/>
      <w:snapToGrid w:val="0"/>
      <w:spacing w:before="0" w:after="0" w:line="460" w:lineRule="exact"/>
      <w:ind w:left="720" w:hanging="720"/>
      <w:jc w:val="left"/>
    </w:pPr>
    <w:rPr>
      <w:rFonts w:ascii="Calibri" w:hAnsi="Calibri"/>
      <w:bCs w:val="0"/>
      <w:snapToGrid w:val="0"/>
      <w:color w:val="000000"/>
      <w:kern w:val="0"/>
      <w:sz w:val="24"/>
      <w:szCs w:val="24"/>
    </w:rPr>
  </w:style>
  <w:style w:type="paragraph" w:customStyle="1" w:styleId="828">
    <w:name w:val="正文缩进1"/>
    <w:qFormat/>
    <w:uiPriority w:val="0"/>
    <w:pPr>
      <w:snapToGrid w:val="0"/>
      <w:spacing w:line="440" w:lineRule="exact"/>
      <w:ind w:firstLine="480"/>
      <w:jc w:val="both"/>
    </w:pPr>
    <w:rPr>
      <w:rFonts w:ascii="宋体" w:hAnsi="Times New Roman" w:eastAsia="宋体" w:cs="Times New Roman"/>
      <w:spacing w:val="6"/>
      <w:kern w:val="24"/>
      <w:sz w:val="24"/>
      <w:lang w:val="en-US" w:eastAsia="zh-CN" w:bidi="ar-SA"/>
    </w:rPr>
  </w:style>
  <w:style w:type="character" w:customStyle="1" w:styleId="829">
    <w:name w:val="段落 Char1 Char Char Char Char Char Char Char"/>
    <w:link w:val="830"/>
    <w:qFormat/>
    <w:locked/>
    <w:uiPriority w:val="0"/>
    <w:rPr>
      <w:color w:val="000000"/>
      <w:kern w:val="24"/>
      <w:sz w:val="24"/>
      <w:szCs w:val="24"/>
    </w:rPr>
  </w:style>
  <w:style w:type="paragraph" w:customStyle="1" w:styleId="830">
    <w:name w:val="段落 Char1 Char Char Char Char Char Char"/>
    <w:basedOn w:val="1"/>
    <w:link w:val="829"/>
    <w:qFormat/>
    <w:uiPriority w:val="0"/>
    <w:pPr>
      <w:tabs>
        <w:tab w:val="left" w:pos="1021"/>
      </w:tabs>
      <w:spacing w:line="324" w:lineRule="auto"/>
      <w:ind w:firstLine="480" w:firstLineChars="200"/>
    </w:pPr>
    <w:rPr>
      <w:rFonts w:ascii="Calibri" w:hAnsi="Calibri"/>
      <w:color w:val="000000"/>
      <w:kern w:val="24"/>
      <w:sz w:val="24"/>
      <w:szCs w:val="24"/>
    </w:rPr>
  </w:style>
  <w:style w:type="paragraph" w:customStyle="1" w:styleId="831">
    <w:name w:val="Char Char1 Char"/>
    <w:basedOn w:val="1"/>
    <w:qFormat/>
    <w:uiPriority w:val="0"/>
    <w:rPr>
      <w:rFonts w:ascii="宋体" w:hAnsi="宋体" w:cs="Courier New"/>
      <w:sz w:val="32"/>
      <w:szCs w:val="32"/>
    </w:rPr>
  </w:style>
  <w:style w:type="paragraph" w:customStyle="1" w:styleId="832">
    <w:name w:val="正文000000"/>
    <w:basedOn w:val="1"/>
    <w:next w:val="1"/>
    <w:semiHidden/>
    <w:qFormat/>
    <w:uiPriority w:val="0"/>
    <w:pPr>
      <w:adjustRightInd w:val="0"/>
      <w:snapToGrid w:val="0"/>
      <w:spacing w:line="360" w:lineRule="auto"/>
      <w:ind w:firstLine="200" w:firstLineChars="200"/>
    </w:pPr>
    <w:rPr>
      <w:rFonts w:ascii="宋体" w:hAnsi="宋体" w:cs="宋体"/>
      <w:sz w:val="24"/>
      <w:szCs w:val="18"/>
    </w:rPr>
  </w:style>
  <w:style w:type="character" w:customStyle="1" w:styleId="833">
    <w:name w:val="标题四 Char"/>
    <w:link w:val="834"/>
    <w:qFormat/>
    <w:locked/>
    <w:uiPriority w:val="0"/>
    <w:rPr>
      <w:b/>
      <w:caps/>
      <w:snapToGrid w:val="0"/>
      <w:kern w:val="16"/>
      <w:sz w:val="24"/>
      <w:szCs w:val="24"/>
    </w:rPr>
  </w:style>
  <w:style w:type="paragraph" w:customStyle="1" w:styleId="834">
    <w:name w:val="标题四"/>
    <w:basedOn w:val="345"/>
    <w:next w:val="345"/>
    <w:link w:val="833"/>
    <w:qFormat/>
    <w:uiPriority w:val="0"/>
    <w:pPr>
      <w:spacing w:line="480" w:lineRule="exact"/>
      <w:ind w:firstLine="200" w:firstLineChars="200"/>
      <w:outlineLvl w:val="3"/>
    </w:pPr>
    <w:rPr>
      <w:rFonts w:ascii="Calibri" w:hAnsi="Calibri"/>
      <w:b/>
      <w:caps/>
      <w:snapToGrid w:val="0"/>
      <w:kern w:val="16"/>
      <w:szCs w:val="24"/>
    </w:rPr>
  </w:style>
  <w:style w:type="paragraph" w:customStyle="1" w:styleId="835">
    <w:name w:val="样式 样式 正文文本缩进 2 + 首行缩进:  2 字符 + 行距: 1.5 倍行距"/>
    <w:basedOn w:val="1"/>
    <w:qFormat/>
    <w:uiPriority w:val="0"/>
    <w:pPr>
      <w:snapToGrid w:val="0"/>
      <w:jc w:val="center"/>
    </w:pPr>
    <w:rPr>
      <w:sz w:val="24"/>
      <w:szCs w:val="24"/>
    </w:rPr>
  </w:style>
  <w:style w:type="paragraph" w:customStyle="1" w:styleId="836">
    <w:name w:val="111正文"/>
    <w:basedOn w:val="1"/>
    <w:qFormat/>
    <w:uiPriority w:val="0"/>
    <w:pPr>
      <w:tabs>
        <w:tab w:val="left" w:pos="600"/>
      </w:tabs>
      <w:spacing w:line="360" w:lineRule="auto"/>
      <w:ind w:firstLine="200"/>
    </w:pPr>
    <w:rPr>
      <w:rFonts w:ascii="Calibri" w:hAnsi="Calibri" w:cs="Calibri"/>
      <w:color w:val="000000"/>
      <w:sz w:val="24"/>
    </w:rPr>
  </w:style>
  <w:style w:type="paragraph" w:customStyle="1" w:styleId="837">
    <w:name w:val="样式 正文 +"/>
    <w:basedOn w:val="1"/>
    <w:qFormat/>
    <w:uiPriority w:val="0"/>
    <w:pPr>
      <w:spacing w:line="360" w:lineRule="auto"/>
      <w:ind w:firstLine="480"/>
    </w:pPr>
    <w:rPr>
      <w:rFonts w:cs="宋体"/>
      <w:color w:val="000000"/>
      <w:sz w:val="24"/>
      <w:szCs w:val="20"/>
    </w:rPr>
  </w:style>
  <w:style w:type="paragraph" w:customStyle="1" w:styleId="838">
    <w:name w:val="样式5 正文"/>
    <w:basedOn w:val="1"/>
    <w:qFormat/>
    <w:uiPriority w:val="0"/>
    <w:pPr>
      <w:spacing w:line="600" w:lineRule="exact"/>
      <w:ind w:firstLine="600"/>
    </w:pPr>
    <w:rPr>
      <w:rFonts w:ascii="仿宋_GB2312" w:hAnsi="仿宋_GB2312" w:eastAsia="仿宋" w:cs="仿宋"/>
      <w:color w:val="000000"/>
      <w:sz w:val="30"/>
      <w:szCs w:val="24"/>
    </w:rPr>
  </w:style>
  <w:style w:type="paragraph" w:customStyle="1" w:styleId="839">
    <w:name w:val="标题 1x"/>
    <w:next w:val="99"/>
    <w:qFormat/>
    <w:uiPriority w:val="0"/>
    <w:pPr>
      <w:spacing w:before="50" w:line="360" w:lineRule="auto"/>
      <w:outlineLvl w:val="0"/>
    </w:pPr>
    <w:rPr>
      <w:rFonts w:ascii="Times New Roman" w:hAnsi="Times New Roman" w:eastAsia="黑体" w:cs="宋体"/>
      <w:color w:val="000000"/>
      <w:sz w:val="32"/>
      <w:lang w:val="en-US" w:eastAsia="zh-CN" w:bidi="ar-SA"/>
    </w:rPr>
  </w:style>
  <w:style w:type="paragraph" w:customStyle="1" w:styleId="840">
    <w:name w:val="Char Char Char Char Char2 Char"/>
    <w:basedOn w:val="1"/>
    <w:qFormat/>
    <w:uiPriority w:val="0"/>
    <w:pPr>
      <w:spacing w:line="360" w:lineRule="auto"/>
      <w:ind w:firstLine="200"/>
    </w:pPr>
    <w:rPr>
      <w:rFonts w:ascii="宋体" w:hAnsi="宋体" w:cs="宋体"/>
      <w:color w:val="000000"/>
      <w:sz w:val="24"/>
      <w:szCs w:val="26"/>
    </w:rPr>
  </w:style>
  <w:style w:type="paragraph" w:customStyle="1" w:styleId="841">
    <w:name w:val="Body Text 2*"/>
    <w:basedOn w:val="1"/>
    <w:qFormat/>
    <w:uiPriority w:val="0"/>
    <w:pPr>
      <w:spacing w:line="240" w:lineRule="atLeast"/>
      <w:jc w:val="center"/>
    </w:pPr>
    <w:rPr>
      <w:rFonts w:ascii="宋体" w:hAnsi="宋体"/>
      <w:color w:val="000000"/>
      <w:kern w:val="0"/>
      <w:sz w:val="24"/>
      <w:szCs w:val="20"/>
    </w:rPr>
  </w:style>
  <w:style w:type="paragraph" w:customStyle="1" w:styleId="842">
    <w:name w:val="样式 五号 居中 行距: 固定值 20 磅"/>
    <w:basedOn w:val="1"/>
    <w:qFormat/>
    <w:uiPriority w:val="0"/>
    <w:pPr>
      <w:spacing w:line="400" w:lineRule="exact"/>
      <w:jc w:val="center"/>
    </w:pPr>
    <w:rPr>
      <w:rFonts w:cs="宋体"/>
      <w:color w:val="000000"/>
      <w:szCs w:val="20"/>
    </w:rPr>
  </w:style>
  <w:style w:type="paragraph" w:customStyle="1" w:styleId="843">
    <w:name w:val="正文-使用"/>
    <w:basedOn w:val="1"/>
    <w:qFormat/>
    <w:uiPriority w:val="0"/>
    <w:pPr>
      <w:spacing w:line="360" w:lineRule="auto"/>
      <w:ind w:firstLine="482"/>
    </w:pPr>
    <w:rPr>
      <w:color w:val="000000"/>
      <w:sz w:val="24"/>
      <w:szCs w:val="20"/>
    </w:rPr>
  </w:style>
  <w:style w:type="paragraph" w:customStyle="1" w:styleId="844">
    <w:name w:val="目录1"/>
    <w:basedOn w:val="51"/>
    <w:qFormat/>
    <w:uiPriority w:val="0"/>
    <w:pPr>
      <w:tabs>
        <w:tab w:val="right" w:leader="dot" w:pos="8296"/>
        <w:tab w:val="right" w:leader="dot" w:pos="8778"/>
        <w:tab w:val="clear" w:pos="8777"/>
      </w:tabs>
    </w:pPr>
    <w:rPr>
      <w:rFonts w:cs="Calibri"/>
      <w:b/>
      <w:smallCaps w:val="0"/>
      <w:color w:val="000000"/>
      <w:sz w:val="32"/>
      <w:szCs w:val="32"/>
    </w:rPr>
  </w:style>
  <w:style w:type="paragraph" w:customStyle="1" w:styleId="845">
    <w:name w:val="正文样式1"/>
    <w:basedOn w:val="1"/>
    <w:qFormat/>
    <w:uiPriority w:val="0"/>
    <w:pPr>
      <w:widowControl/>
      <w:spacing w:line="480" w:lineRule="atLeast"/>
      <w:ind w:firstLine="567"/>
      <w:jc w:val="left"/>
    </w:pPr>
    <w:rPr>
      <w:rFonts w:ascii="Calibri" w:hAnsi="Calibri" w:eastAsia="仿宋" w:cs="Calibri"/>
      <w:color w:val="000000"/>
      <w:kern w:val="0"/>
      <w:sz w:val="28"/>
      <w:szCs w:val="20"/>
      <w:lang w:eastAsia="en-US" w:bidi="en-US"/>
    </w:rPr>
  </w:style>
  <w:style w:type="paragraph" w:customStyle="1" w:styleId="846">
    <w:name w:val="样式 样式 样式 样式8 + (中文) 黑体 居中 段前: 7.8 磅 行距: 单倍行距 + 段前: 0.5 行 + 段前: 0..."/>
    <w:basedOn w:val="1"/>
    <w:qFormat/>
    <w:uiPriority w:val="0"/>
    <w:pPr>
      <w:spacing w:before="120"/>
      <w:jc w:val="center"/>
    </w:pPr>
    <w:rPr>
      <w:rFonts w:eastAsia="黑体" w:cs="宋体"/>
      <w:color w:val="000000"/>
      <w:sz w:val="24"/>
      <w:szCs w:val="24"/>
    </w:rPr>
  </w:style>
  <w:style w:type="paragraph" w:customStyle="1" w:styleId="847">
    <w:name w:val="样式 五号 居中 左侧:  0.85 厘米 行距: 固定值 20 磅"/>
    <w:basedOn w:val="1"/>
    <w:qFormat/>
    <w:uiPriority w:val="0"/>
    <w:pPr>
      <w:spacing w:line="400" w:lineRule="exact"/>
      <w:ind w:left="482"/>
      <w:jc w:val="center"/>
    </w:pPr>
    <w:rPr>
      <w:rFonts w:cs="宋体"/>
      <w:color w:val="000000"/>
      <w:szCs w:val="20"/>
    </w:rPr>
  </w:style>
  <w:style w:type="paragraph" w:customStyle="1" w:styleId="848">
    <w:name w:val="样式 样式24 + 段前: 0.5 行1"/>
    <w:basedOn w:val="1"/>
    <w:qFormat/>
    <w:uiPriority w:val="0"/>
    <w:pPr>
      <w:spacing w:before="50" w:line="360" w:lineRule="auto"/>
      <w:outlineLvl w:val="2"/>
    </w:pPr>
    <w:rPr>
      <w:rFonts w:eastAsia="黑体" w:cs="宋体"/>
      <w:color w:val="000000"/>
      <w:sz w:val="24"/>
      <w:szCs w:val="20"/>
    </w:rPr>
  </w:style>
  <w:style w:type="paragraph" w:customStyle="1" w:styleId="849">
    <w:name w:val="样式 (中文) 黑体 小四 黑色 段前: 6 磅 行距: 1.5 倍行距"/>
    <w:basedOn w:val="1"/>
    <w:qFormat/>
    <w:uiPriority w:val="0"/>
    <w:pPr>
      <w:spacing w:before="120" w:line="360" w:lineRule="auto"/>
    </w:pPr>
    <w:rPr>
      <w:rFonts w:eastAsia="黑体" w:cs="宋体"/>
      <w:color w:val="000000"/>
      <w:sz w:val="24"/>
      <w:szCs w:val="20"/>
    </w:rPr>
  </w:style>
  <w:style w:type="paragraph" w:customStyle="1" w:styleId="850">
    <w:name w:val="表格题注"/>
    <w:basedOn w:val="21"/>
    <w:qFormat/>
    <w:uiPriority w:val="0"/>
    <w:pPr>
      <w:spacing w:before="50"/>
      <w:ind w:firstLine="200"/>
      <w:jc w:val="both"/>
    </w:pPr>
    <w:rPr>
      <w:rFonts w:ascii="Times New Roman" w:hAnsi="Times New Roman" w:eastAsia="宋体" w:cs="宋体"/>
      <w:b/>
      <w:color w:val="000000"/>
      <w:sz w:val="24"/>
    </w:rPr>
  </w:style>
  <w:style w:type="paragraph" w:customStyle="1" w:styleId="851">
    <w:name w:val="表头1"/>
    <w:basedOn w:val="1"/>
    <w:qFormat/>
    <w:uiPriority w:val="0"/>
    <w:pPr>
      <w:spacing w:before="50" w:line="360" w:lineRule="auto"/>
      <w:jc w:val="center"/>
    </w:pPr>
    <w:rPr>
      <w:b/>
      <w:color w:val="000000"/>
      <w:sz w:val="24"/>
      <w:szCs w:val="24"/>
    </w:rPr>
  </w:style>
  <w:style w:type="paragraph" w:customStyle="1" w:styleId="852">
    <w:name w:val="样式 样式8 + 首行缩进:  2 字符"/>
    <w:basedOn w:val="304"/>
    <w:qFormat/>
    <w:uiPriority w:val="0"/>
    <w:pPr>
      <w:autoSpaceDE/>
      <w:autoSpaceDN/>
      <w:adjustRightInd/>
      <w:ind w:firstLine="0" w:firstLineChars="0"/>
    </w:pPr>
    <w:rPr>
      <w:rFonts w:cs="宋体"/>
      <w:color w:val="000000"/>
      <w:kern w:val="2"/>
      <w:szCs w:val="20"/>
    </w:rPr>
  </w:style>
  <w:style w:type="paragraph" w:customStyle="1" w:styleId="853">
    <w:name w:val="文"/>
    <w:basedOn w:val="1"/>
    <w:qFormat/>
    <w:uiPriority w:val="0"/>
    <w:pPr>
      <w:spacing w:line="360" w:lineRule="auto"/>
      <w:ind w:firstLine="480"/>
    </w:pPr>
    <w:rPr>
      <w:color w:val="000000"/>
      <w:sz w:val="24"/>
      <w:szCs w:val="24"/>
    </w:rPr>
  </w:style>
  <w:style w:type="paragraph" w:customStyle="1" w:styleId="854">
    <w:name w:val="默认段落字体 Para Char Char Char Char Char Char Char Char Char Char Char Char Char"/>
    <w:basedOn w:val="1"/>
    <w:qFormat/>
    <w:uiPriority w:val="0"/>
    <w:rPr>
      <w:color w:val="000000"/>
      <w:sz w:val="24"/>
      <w:szCs w:val="24"/>
    </w:rPr>
  </w:style>
  <w:style w:type="paragraph" w:customStyle="1" w:styleId="855">
    <w:name w:val="样式 样式23 +"/>
    <w:basedOn w:val="1"/>
    <w:qFormat/>
    <w:uiPriority w:val="0"/>
    <w:pPr>
      <w:spacing w:before="50" w:line="360" w:lineRule="auto"/>
    </w:pPr>
    <w:rPr>
      <w:rFonts w:eastAsia="黑体" w:cs="宋体"/>
      <w:color w:val="000000"/>
      <w:kern w:val="0"/>
      <w:sz w:val="24"/>
      <w:szCs w:val="20"/>
    </w:rPr>
  </w:style>
  <w:style w:type="paragraph" w:customStyle="1" w:styleId="856">
    <w:name w:val="样式 13 磅 行距: 固定值 23 磅"/>
    <w:basedOn w:val="1"/>
    <w:qFormat/>
    <w:uiPriority w:val="0"/>
    <w:pPr>
      <w:spacing w:line="460" w:lineRule="exact"/>
      <w:ind w:firstLine="520"/>
    </w:pPr>
    <w:rPr>
      <w:color w:val="000000"/>
      <w:sz w:val="26"/>
      <w:szCs w:val="20"/>
    </w:rPr>
  </w:style>
  <w:style w:type="paragraph" w:customStyle="1" w:styleId="857">
    <w:name w:val="11表内字"/>
    <w:basedOn w:val="1"/>
    <w:qFormat/>
    <w:uiPriority w:val="0"/>
    <w:pPr>
      <w:jc w:val="center"/>
    </w:pPr>
    <w:rPr>
      <w:color w:val="000000"/>
      <w:szCs w:val="20"/>
    </w:rPr>
  </w:style>
  <w:style w:type="paragraph" w:customStyle="1" w:styleId="858">
    <w:name w:val="gb231225verdana2"/>
    <w:basedOn w:val="1"/>
    <w:qFormat/>
    <w:uiPriority w:val="0"/>
    <w:pPr>
      <w:widowControl/>
      <w:spacing w:before="100" w:beforeAutospacing="1" w:after="100" w:afterAutospacing="1"/>
      <w:ind w:firstLine="200"/>
      <w:jc w:val="left"/>
    </w:pPr>
    <w:rPr>
      <w:rFonts w:ascii="宋体" w:hAnsi="宋体" w:cs="宋体"/>
      <w:color w:val="000000"/>
      <w:kern w:val="0"/>
      <w:sz w:val="24"/>
      <w:szCs w:val="24"/>
    </w:rPr>
  </w:style>
  <w:style w:type="paragraph" w:customStyle="1" w:styleId="859">
    <w:name w:val="表头行H"/>
    <w:basedOn w:val="1"/>
    <w:qFormat/>
    <w:uiPriority w:val="0"/>
    <w:pPr>
      <w:jc w:val="center"/>
    </w:pPr>
    <w:rPr>
      <w:rFonts w:ascii="Calibri" w:hAnsi="Calibri" w:cs="Calibri"/>
      <w:b/>
      <w:color w:val="000000"/>
      <w:szCs w:val="21"/>
    </w:rPr>
  </w:style>
  <w:style w:type="paragraph" w:customStyle="1" w:styleId="860">
    <w:name w:val="Char Char1 Char Char1"/>
    <w:basedOn w:val="1"/>
    <w:qFormat/>
    <w:uiPriority w:val="0"/>
    <w:rPr>
      <w:color w:val="000000"/>
      <w:szCs w:val="21"/>
    </w:rPr>
  </w:style>
  <w:style w:type="paragraph" w:customStyle="1" w:styleId="861">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862">
    <w:name w:val="表格s"/>
    <w:basedOn w:val="1"/>
    <w:qFormat/>
    <w:uiPriority w:val="0"/>
    <w:pPr>
      <w:spacing w:line="400" w:lineRule="exact"/>
      <w:jc w:val="center"/>
    </w:pPr>
    <w:rPr>
      <w:color w:val="000000"/>
      <w:szCs w:val="21"/>
    </w:rPr>
  </w:style>
  <w:style w:type="paragraph" w:customStyle="1" w:styleId="863">
    <w:name w:val="Normal+2"/>
    <w:basedOn w:val="183"/>
    <w:next w:val="183"/>
    <w:qFormat/>
    <w:uiPriority w:val="0"/>
    <w:pPr>
      <w:autoSpaceDE/>
      <w:autoSpaceDN/>
      <w:adjustRightInd/>
    </w:pPr>
    <w:rPr>
      <w:rFonts w:ascii="宋体" w:hAnsi="宋体" w:eastAsia="宋体" w:cs="Times New Roman"/>
    </w:rPr>
  </w:style>
  <w:style w:type="paragraph" w:customStyle="1" w:styleId="864">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865">
    <w:name w:val="表格内容1"/>
    <w:basedOn w:val="1"/>
    <w:qFormat/>
    <w:uiPriority w:val="0"/>
    <w:pPr>
      <w:spacing w:line="240" w:lineRule="atLeast"/>
      <w:jc w:val="center"/>
    </w:pPr>
    <w:rPr>
      <w:color w:val="000000"/>
      <w:kern w:val="0"/>
      <w:szCs w:val="24"/>
    </w:rPr>
  </w:style>
  <w:style w:type="paragraph" w:customStyle="1" w:styleId="866">
    <w:name w:val="样式 标题 3标题 3x + 段前: 0.5 行"/>
    <w:basedOn w:val="9"/>
    <w:qFormat/>
    <w:uiPriority w:val="0"/>
    <w:pPr>
      <w:spacing w:before="120" w:after="0" w:line="360" w:lineRule="auto"/>
    </w:pPr>
    <w:rPr>
      <w:rFonts w:eastAsia="黑体" w:cs="宋体"/>
      <w:b w:val="0"/>
      <w:bCs w:val="0"/>
      <w:color w:val="000000"/>
      <w:sz w:val="24"/>
      <w:szCs w:val="20"/>
    </w:rPr>
  </w:style>
  <w:style w:type="paragraph" w:customStyle="1" w:styleId="867">
    <w:name w:val="样式 样式 样式24 + 段前: 0.5 行 + 段前: 0.5 行"/>
    <w:basedOn w:val="1"/>
    <w:qFormat/>
    <w:uiPriority w:val="0"/>
    <w:pPr>
      <w:spacing w:before="50" w:line="360" w:lineRule="auto"/>
    </w:pPr>
    <w:rPr>
      <w:rFonts w:eastAsia="黑体" w:cs="宋体"/>
      <w:color w:val="000000"/>
      <w:sz w:val="24"/>
      <w:szCs w:val="20"/>
    </w:rPr>
  </w:style>
  <w:style w:type="paragraph" w:customStyle="1" w:styleId="868">
    <w:name w:val="列出段落1"/>
    <w:basedOn w:val="1"/>
    <w:qFormat/>
    <w:uiPriority w:val="0"/>
    <w:pPr>
      <w:ind w:firstLine="420" w:firstLineChars="200"/>
    </w:pPr>
    <w:rPr>
      <w:szCs w:val="20"/>
    </w:rPr>
  </w:style>
  <w:style w:type="paragraph" w:customStyle="1" w:styleId="869">
    <w:name w:val="Char Char Char Char Char Char1 Char Char Char Char1"/>
    <w:basedOn w:val="1"/>
    <w:qFormat/>
    <w:uiPriority w:val="0"/>
    <w:pPr>
      <w:widowControl/>
      <w:spacing w:after="160" w:line="240" w:lineRule="exact"/>
      <w:jc w:val="left"/>
    </w:pPr>
    <w:rPr>
      <w:rFonts w:ascii="宋体" w:hAnsi="宋体" w:cs="宋体"/>
      <w:kern w:val="0"/>
      <w:sz w:val="24"/>
      <w:szCs w:val="24"/>
    </w:rPr>
  </w:style>
  <w:style w:type="paragraph" w:customStyle="1" w:styleId="870">
    <w:name w:val="(文字) (文字)"/>
    <w:basedOn w:val="1"/>
    <w:qFormat/>
    <w:uiPriority w:val="0"/>
    <w:rPr>
      <w:szCs w:val="20"/>
    </w:rPr>
  </w:style>
  <w:style w:type="paragraph" w:customStyle="1" w:styleId="871">
    <w:name w:val="reader-word-layer reader-word-s14-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72">
    <w:name w:val="样式 首行缩进:  2 字符 段前: 0.5 行 段后: 0.5 行"/>
    <w:basedOn w:val="1"/>
    <w:qFormat/>
    <w:uiPriority w:val="0"/>
    <w:pPr>
      <w:spacing w:line="500" w:lineRule="exact"/>
      <w:ind w:firstLine="200" w:firstLineChars="200"/>
    </w:pPr>
    <w:rPr>
      <w:rFonts w:cs="宋体"/>
      <w:sz w:val="24"/>
      <w:szCs w:val="20"/>
    </w:rPr>
  </w:style>
  <w:style w:type="character" w:customStyle="1" w:styleId="873">
    <w:name w:val="正文小四首缩1.3行距 Char"/>
    <w:link w:val="874"/>
    <w:qFormat/>
    <w:locked/>
    <w:uiPriority w:val="0"/>
    <w:rPr>
      <w:kern w:val="2"/>
      <w:sz w:val="24"/>
      <w:szCs w:val="24"/>
      <w:lang w:val="zh-CN" w:eastAsia="zh-CN"/>
    </w:rPr>
  </w:style>
  <w:style w:type="paragraph" w:customStyle="1" w:styleId="874">
    <w:name w:val="正文小四首缩1.3行距"/>
    <w:basedOn w:val="1"/>
    <w:link w:val="873"/>
    <w:qFormat/>
    <w:uiPriority w:val="0"/>
    <w:pPr>
      <w:spacing w:line="312" w:lineRule="auto"/>
      <w:ind w:firstLine="420" w:firstLineChars="200"/>
    </w:pPr>
    <w:rPr>
      <w:rFonts w:ascii="Calibri" w:hAnsi="Calibri"/>
      <w:sz w:val="24"/>
      <w:szCs w:val="24"/>
      <w:lang w:val="zh-CN"/>
    </w:rPr>
  </w:style>
  <w:style w:type="paragraph" w:customStyle="1" w:styleId="875">
    <w:name w:val="样式 标题 3三级标题标题3H3h33rd level第二层条ReHead 3 WSA标题03三级标题 3..."/>
    <w:basedOn w:val="9"/>
    <w:qFormat/>
    <w:uiPriority w:val="0"/>
    <w:pPr>
      <w:spacing w:before="0" w:after="0" w:line="240" w:lineRule="auto"/>
      <w:ind w:firstLine="562"/>
    </w:pPr>
    <w:rPr>
      <w:rFonts w:cs="宋体"/>
      <w:sz w:val="28"/>
      <w:szCs w:val="20"/>
    </w:rPr>
  </w:style>
  <w:style w:type="character" w:customStyle="1" w:styleId="876">
    <w:name w:val="批注框文本 Char1"/>
    <w:semiHidden/>
    <w:qFormat/>
    <w:uiPriority w:val="0"/>
    <w:rPr>
      <w:rFonts w:ascii="Calibri" w:hAnsi="Calibri"/>
      <w:kern w:val="2"/>
      <w:sz w:val="18"/>
      <w:szCs w:val="18"/>
    </w:rPr>
  </w:style>
  <w:style w:type="character" w:customStyle="1" w:styleId="877">
    <w:name w:val="文档结构图 Char1"/>
    <w:semiHidden/>
    <w:qFormat/>
    <w:uiPriority w:val="0"/>
    <w:rPr>
      <w:rFonts w:ascii="宋体" w:hAnsi="Calibri"/>
      <w:kern w:val="2"/>
      <w:sz w:val="18"/>
      <w:szCs w:val="18"/>
    </w:rPr>
  </w:style>
  <w:style w:type="character" w:customStyle="1" w:styleId="878">
    <w:name w:val="标题 Char1"/>
    <w:qFormat/>
    <w:uiPriority w:val="0"/>
    <w:rPr>
      <w:rFonts w:ascii="Cambria" w:hAnsi="Cambria" w:cs="Times New Roman"/>
      <w:b/>
      <w:bCs/>
      <w:kern w:val="2"/>
      <w:sz w:val="32"/>
      <w:szCs w:val="32"/>
    </w:rPr>
  </w:style>
  <w:style w:type="character" w:customStyle="1" w:styleId="879">
    <w:name w:val="正文文本 2 Char1"/>
    <w:semiHidden/>
    <w:qFormat/>
    <w:uiPriority w:val="0"/>
    <w:rPr>
      <w:rFonts w:ascii="Calibri" w:hAnsi="Calibri"/>
      <w:kern w:val="2"/>
      <w:sz w:val="21"/>
      <w:szCs w:val="22"/>
    </w:rPr>
  </w:style>
  <w:style w:type="character" w:customStyle="1" w:styleId="880">
    <w:name w:val="日期 Char1"/>
    <w:semiHidden/>
    <w:qFormat/>
    <w:uiPriority w:val="0"/>
    <w:rPr>
      <w:rFonts w:ascii="Calibri" w:hAnsi="Calibri"/>
      <w:kern w:val="2"/>
      <w:sz w:val="21"/>
      <w:szCs w:val="22"/>
    </w:rPr>
  </w:style>
  <w:style w:type="character" w:customStyle="1" w:styleId="881">
    <w:name w:val="css-text3"/>
    <w:basedOn w:val="75"/>
    <w:qFormat/>
    <w:uiPriority w:val="0"/>
  </w:style>
  <w:style w:type="character" w:customStyle="1" w:styleId="882">
    <w:name w:val="注释标题 字符"/>
    <w:qFormat/>
    <w:uiPriority w:val="0"/>
    <w:rPr>
      <w:rFonts w:ascii="Times New Roman" w:hAnsi="Times New Roman"/>
      <w:kern w:val="2"/>
      <w:sz w:val="21"/>
      <w:szCs w:val="22"/>
    </w:rPr>
  </w:style>
  <w:style w:type="character" w:customStyle="1" w:styleId="883">
    <w:name w:val="注释标题 Char1"/>
    <w:qFormat/>
    <w:uiPriority w:val="0"/>
    <w:rPr>
      <w:kern w:val="2"/>
      <w:sz w:val="21"/>
      <w:szCs w:val="24"/>
    </w:rPr>
  </w:style>
  <w:style w:type="character" w:customStyle="1" w:styleId="884">
    <w:name w:val="样式 四号"/>
    <w:qFormat/>
    <w:uiPriority w:val="0"/>
    <w:rPr>
      <w:sz w:val="24"/>
    </w:rPr>
  </w:style>
  <w:style w:type="character" w:customStyle="1" w:styleId="885">
    <w:name w:val="b1"/>
    <w:qFormat/>
    <w:uiPriority w:val="0"/>
    <w:rPr>
      <w:sz w:val="12"/>
      <w:szCs w:val="12"/>
      <w:u w:val="none"/>
    </w:rPr>
  </w:style>
  <w:style w:type="character" w:customStyle="1" w:styleId="886">
    <w:name w:val="text11"/>
    <w:basedOn w:val="75"/>
    <w:qFormat/>
    <w:uiPriority w:val="0"/>
  </w:style>
  <w:style w:type="character" w:customStyle="1" w:styleId="887">
    <w:name w:val="明显引用 Char1"/>
    <w:qFormat/>
    <w:uiPriority w:val="0"/>
    <w:rPr>
      <w:rFonts w:hint="default" w:ascii="Times New Roman" w:hAnsi="Times New Roman" w:eastAsia="宋体" w:cs="Times New Roman"/>
      <w:b/>
      <w:i/>
      <w:color w:val="4F81BD"/>
      <w:kern w:val="2"/>
    </w:rPr>
  </w:style>
  <w:style w:type="character" w:customStyle="1" w:styleId="888">
    <w:name w:val="引用 Char1"/>
    <w:qFormat/>
    <w:uiPriority w:val="0"/>
    <w:rPr>
      <w:rFonts w:ascii="Calibri" w:hAnsi="Calibri"/>
      <w:i/>
      <w:iCs/>
      <w:color w:val="000000"/>
      <w:kern w:val="2"/>
      <w:sz w:val="21"/>
      <w:szCs w:val="22"/>
    </w:rPr>
  </w:style>
  <w:style w:type="character" w:customStyle="1" w:styleId="889">
    <w:name w:val="副标题 Char1"/>
    <w:qFormat/>
    <w:uiPriority w:val="0"/>
    <w:rPr>
      <w:rFonts w:ascii="Cambria" w:hAnsi="Cambria" w:cs="Times New Roman"/>
      <w:b/>
      <w:bCs/>
      <w:kern w:val="28"/>
      <w:sz w:val="32"/>
      <w:szCs w:val="32"/>
    </w:rPr>
  </w:style>
  <w:style w:type="character" w:customStyle="1" w:styleId="890">
    <w:name w:val="批注主题 Char1"/>
    <w:semiHidden/>
    <w:qFormat/>
    <w:uiPriority w:val="0"/>
    <w:rPr>
      <w:rFonts w:ascii="Calibri" w:hAnsi="Calibri"/>
      <w:b/>
      <w:bCs/>
      <w:kern w:val="2"/>
      <w:sz w:val="21"/>
      <w:szCs w:val="22"/>
    </w:rPr>
  </w:style>
  <w:style w:type="character" w:customStyle="1" w:styleId="891">
    <w:name w:val="tit1"/>
    <w:qFormat/>
    <w:uiPriority w:val="0"/>
    <w:rPr>
      <w:rFonts w:hint="default" w:ascii="ˎ̥" w:hAnsi="ˎ̥"/>
      <w:b/>
      <w:bCs/>
      <w:color w:val="585858"/>
      <w:sz w:val="24"/>
      <w:szCs w:val="24"/>
    </w:rPr>
  </w:style>
  <w:style w:type="character" w:customStyle="1" w:styleId="892">
    <w:name w:val="content"/>
    <w:basedOn w:val="75"/>
    <w:qFormat/>
    <w:uiPriority w:val="0"/>
  </w:style>
  <w:style w:type="character" w:customStyle="1" w:styleId="893">
    <w:name w:val="neirong"/>
    <w:basedOn w:val="75"/>
    <w:qFormat/>
    <w:uiPriority w:val="0"/>
  </w:style>
  <w:style w:type="character" w:customStyle="1" w:styleId="894">
    <w:name w:val="headline-content2"/>
    <w:basedOn w:val="75"/>
    <w:qFormat/>
    <w:uiPriority w:val="0"/>
  </w:style>
  <w:style w:type="character" w:customStyle="1" w:styleId="895">
    <w:name w:val="text_edit editable-title"/>
    <w:basedOn w:val="75"/>
    <w:qFormat/>
    <w:uiPriority w:val="0"/>
  </w:style>
  <w:style w:type="character" w:customStyle="1" w:styleId="896">
    <w:name w:val="f_12"/>
    <w:basedOn w:val="75"/>
    <w:qFormat/>
    <w:uiPriority w:val="0"/>
  </w:style>
  <w:style w:type="character" w:customStyle="1" w:styleId="897">
    <w:name w:val="style161"/>
    <w:qFormat/>
    <w:uiPriority w:val="0"/>
    <w:rPr>
      <w:color w:val="000000"/>
      <w:sz w:val="21"/>
      <w:szCs w:val="21"/>
    </w:rPr>
  </w:style>
  <w:style w:type="character" w:customStyle="1" w:styleId="898">
    <w:name w:val="z1"/>
    <w:qFormat/>
    <w:uiPriority w:val="0"/>
    <w:rPr>
      <w:sz w:val="18"/>
      <w:szCs w:val="18"/>
    </w:rPr>
  </w:style>
  <w:style w:type="character" w:customStyle="1" w:styleId="899">
    <w:name w:val="fontb1"/>
    <w:qFormat/>
    <w:uiPriority w:val="0"/>
    <w:rPr>
      <w:rFonts w:hint="default" w:ascii="Arial" w:hAnsi="Arial" w:cs="Arial"/>
      <w:sz w:val="18"/>
      <w:szCs w:val="18"/>
    </w:rPr>
  </w:style>
  <w:style w:type="character" w:customStyle="1" w:styleId="900">
    <w:name w:val="unnamed31"/>
    <w:qFormat/>
    <w:uiPriority w:val="0"/>
    <w:rPr>
      <w:rFonts w:hint="eastAsia" w:ascii="宋体" w:hAnsi="宋体" w:eastAsia="宋体"/>
      <w:spacing w:val="300"/>
      <w:sz w:val="18"/>
      <w:szCs w:val="18"/>
    </w:rPr>
  </w:style>
  <w:style w:type="character" w:customStyle="1" w:styleId="901">
    <w:name w:val="e91"/>
    <w:qFormat/>
    <w:uiPriority w:val="0"/>
    <w:rPr>
      <w:rFonts w:hint="default" w:ascii="Arial" w:hAnsi="Arial" w:cs="Arial"/>
      <w:sz w:val="21"/>
      <w:szCs w:val="21"/>
    </w:rPr>
  </w:style>
  <w:style w:type="character" w:customStyle="1" w:styleId="902">
    <w:name w:val="l17-z105"/>
    <w:basedOn w:val="75"/>
    <w:qFormat/>
    <w:uiPriority w:val="0"/>
  </w:style>
  <w:style w:type="character" w:customStyle="1" w:styleId="903">
    <w:name w:val="big21"/>
    <w:qFormat/>
    <w:uiPriority w:val="0"/>
    <w:rPr>
      <w:sz w:val="21"/>
      <w:szCs w:val="21"/>
    </w:rPr>
  </w:style>
  <w:style w:type="character" w:customStyle="1" w:styleId="904">
    <w:name w:val="word2"/>
    <w:basedOn w:val="75"/>
    <w:qFormat/>
    <w:uiPriority w:val="0"/>
  </w:style>
  <w:style w:type="character" w:customStyle="1" w:styleId="905">
    <w:name w:val="text"/>
    <w:basedOn w:val="75"/>
    <w:qFormat/>
    <w:uiPriority w:val="0"/>
  </w:style>
  <w:style w:type="character" w:customStyle="1" w:styleId="906">
    <w:name w:val="reflink plainlinksneverexpand"/>
    <w:basedOn w:val="75"/>
    <w:qFormat/>
    <w:uiPriority w:val="0"/>
  </w:style>
  <w:style w:type="character" w:customStyle="1" w:styleId="907">
    <w:name w:val="Char Char Char Char Char Char Char Char Char Char Char Char"/>
    <w:qFormat/>
    <w:uiPriority w:val="0"/>
    <w:rPr>
      <w:rFonts w:hint="eastAsia" w:ascii="宋体" w:hAnsi="宋体" w:eastAsia="宋体"/>
      <w:kern w:val="2"/>
      <w:sz w:val="21"/>
      <w:lang w:val="en-US" w:eastAsia="zh-CN" w:bidi="ar-SA"/>
    </w:rPr>
  </w:style>
  <w:style w:type="character" w:customStyle="1" w:styleId="908">
    <w:name w:val="Char Char3"/>
    <w:qFormat/>
    <w:locked/>
    <w:uiPriority w:val="0"/>
    <w:rPr>
      <w:rFonts w:hint="eastAsia" w:ascii="宋体" w:hAnsi="Courier New" w:eastAsia="宋体"/>
      <w:kern w:val="2"/>
      <w:sz w:val="21"/>
      <w:lang w:val="en-US" w:eastAsia="zh-CN" w:bidi="ar-SA"/>
    </w:rPr>
  </w:style>
  <w:style w:type="character" w:customStyle="1" w:styleId="909">
    <w:name w:val="14p2"/>
    <w:qFormat/>
    <w:uiPriority w:val="0"/>
    <w:rPr>
      <w:color w:val="3366CC"/>
      <w:spacing w:val="375"/>
      <w:sz w:val="21"/>
      <w:szCs w:val="21"/>
    </w:rPr>
  </w:style>
  <w:style w:type="character" w:customStyle="1" w:styleId="910">
    <w:name w:val="p1051"/>
    <w:qFormat/>
    <w:uiPriority w:val="0"/>
    <w:rPr>
      <w:sz w:val="21"/>
    </w:rPr>
  </w:style>
  <w:style w:type="character" w:customStyle="1" w:styleId="911">
    <w:name w:val="fsize1"/>
    <w:qFormat/>
    <w:uiPriority w:val="0"/>
    <w:rPr>
      <w:sz w:val="21"/>
      <w:szCs w:val="21"/>
    </w:rPr>
  </w:style>
  <w:style w:type="character" w:customStyle="1" w:styleId="912">
    <w:name w:val="t_tag"/>
    <w:basedOn w:val="75"/>
    <w:qFormat/>
    <w:uiPriority w:val="0"/>
  </w:style>
  <w:style w:type="character" w:customStyle="1" w:styleId="913">
    <w:name w:val="条标题1.1.1 Char Char"/>
    <w:qFormat/>
    <w:uiPriority w:val="0"/>
    <w:rPr>
      <w:rFonts w:hint="eastAsia" w:ascii="宋体" w:hAnsi="Arial Black" w:eastAsia="宋体"/>
      <w:sz w:val="24"/>
      <w:lang w:val="en-US" w:eastAsia="zh-CN" w:bidi="ar-SA"/>
    </w:rPr>
  </w:style>
  <w:style w:type="character" w:customStyle="1" w:styleId="914">
    <w:name w:val="postkeywords"/>
    <w:basedOn w:val="75"/>
    <w:qFormat/>
    <w:uiPriority w:val="0"/>
  </w:style>
  <w:style w:type="character" w:customStyle="1" w:styleId="915">
    <w:name w:val="我的样式（正文） Char Char"/>
    <w:qFormat/>
    <w:uiPriority w:val="0"/>
    <w:rPr>
      <w:rFonts w:hint="eastAsia" w:ascii="宋体" w:hAnsi="华文楷体" w:eastAsia="宋体"/>
      <w:kern w:val="2"/>
      <w:sz w:val="24"/>
      <w:szCs w:val="24"/>
      <w:lang w:val="en-US" w:eastAsia="zh-CN"/>
    </w:rPr>
  </w:style>
  <w:style w:type="character" w:customStyle="1" w:styleId="916">
    <w:name w:val="电子邮件签名 字符"/>
    <w:qFormat/>
    <w:uiPriority w:val="0"/>
    <w:rPr>
      <w:rFonts w:ascii="Times New Roman" w:hAnsi="Times New Roman"/>
      <w:kern w:val="2"/>
      <w:sz w:val="21"/>
      <w:szCs w:val="22"/>
    </w:rPr>
  </w:style>
  <w:style w:type="character" w:customStyle="1" w:styleId="917">
    <w:name w:val="电子邮件签名 Char1"/>
    <w:qFormat/>
    <w:uiPriority w:val="0"/>
    <w:rPr>
      <w:kern w:val="2"/>
      <w:sz w:val="21"/>
      <w:szCs w:val="24"/>
    </w:rPr>
  </w:style>
  <w:style w:type="character" w:customStyle="1" w:styleId="918">
    <w:name w:val="Char Char2"/>
    <w:qFormat/>
    <w:uiPriority w:val="0"/>
    <w:rPr>
      <w:rFonts w:hint="eastAsia" w:ascii="宋体" w:hAnsi="Courier New" w:eastAsia="宋体"/>
      <w:kern w:val="2"/>
      <w:sz w:val="21"/>
      <w:lang w:val="en-US" w:eastAsia="zh-CN" w:bidi="ar-SA"/>
    </w:rPr>
  </w:style>
  <w:style w:type="character" w:customStyle="1" w:styleId="919">
    <w:name w:val="style21"/>
    <w:qFormat/>
    <w:uiPriority w:val="0"/>
    <w:rPr>
      <w:color w:val="000000"/>
      <w:sz w:val="18"/>
      <w:szCs w:val="18"/>
    </w:rPr>
  </w:style>
  <w:style w:type="character" w:customStyle="1" w:styleId="920">
    <w:name w:val="g1"/>
    <w:qFormat/>
    <w:uiPriority w:val="0"/>
    <w:rPr>
      <w:sz w:val="24"/>
      <w:szCs w:val="24"/>
    </w:rPr>
  </w:style>
  <w:style w:type="character" w:customStyle="1" w:styleId="921">
    <w:name w:val="ul sep fc04 selected js-fcurrent fc05"/>
    <w:basedOn w:val="75"/>
    <w:qFormat/>
    <w:uiPriority w:val="0"/>
  </w:style>
  <w:style w:type="character" w:customStyle="1" w:styleId="922">
    <w:name w:val="table"/>
    <w:basedOn w:val="75"/>
    <w:qFormat/>
    <w:uiPriority w:val="0"/>
  </w:style>
  <w:style w:type="character" w:customStyle="1" w:styleId="923">
    <w:name w:val="Char Char"/>
    <w:qFormat/>
    <w:uiPriority w:val="0"/>
    <w:rPr>
      <w:rFonts w:hint="eastAsia" w:ascii="宋体" w:hAnsi="Courier New" w:eastAsia="宋体"/>
      <w:kern w:val="2"/>
      <w:sz w:val="21"/>
      <w:lang w:val="en-US" w:eastAsia="zh-CN" w:bidi="ar-SA"/>
    </w:rPr>
  </w:style>
  <w:style w:type="character" w:customStyle="1" w:styleId="924">
    <w:name w:val="javascript1"/>
    <w:qFormat/>
    <w:uiPriority w:val="0"/>
    <w:rPr>
      <w:rFonts w:hint="default" w:ascii="Tahoma" w:hAnsi="Tahoma" w:cs="Tahoma"/>
      <w:sz w:val="18"/>
      <w:szCs w:val="18"/>
    </w:rPr>
  </w:style>
  <w:style w:type="character" w:customStyle="1" w:styleId="925">
    <w:name w:val="p14b1"/>
    <w:qFormat/>
    <w:uiPriority w:val="0"/>
    <w:rPr>
      <w:rFonts w:hint="eastAsia" w:ascii="宋体" w:hAnsi="宋体" w:eastAsia="宋体"/>
      <w:color w:val="000000"/>
      <w:sz w:val="21"/>
      <w:szCs w:val="21"/>
    </w:rPr>
  </w:style>
  <w:style w:type="character" w:customStyle="1" w:styleId="926">
    <w:name w:val="style11"/>
    <w:qFormat/>
    <w:uiPriority w:val="0"/>
    <w:rPr>
      <w:color w:val="FF0000"/>
    </w:rPr>
  </w:style>
  <w:style w:type="character" w:customStyle="1" w:styleId="927">
    <w:name w:val="content1"/>
    <w:qFormat/>
    <w:uiPriority w:val="0"/>
    <w:rPr>
      <w:color w:val="000000"/>
      <w:sz w:val="21"/>
      <w:szCs w:val="21"/>
    </w:rPr>
  </w:style>
  <w:style w:type="character" w:customStyle="1" w:styleId="928">
    <w:name w:val="t31"/>
    <w:qFormat/>
    <w:uiPriority w:val="0"/>
    <w:rPr>
      <w:color w:val="000000"/>
      <w:sz w:val="20"/>
      <w:szCs w:val="20"/>
    </w:rPr>
  </w:style>
  <w:style w:type="character" w:customStyle="1" w:styleId="929">
    <w:name w:val="样式 标题 2 + (西文) 宋体 四号 Char"/>
    <w:qFormat/>
    <w:uiPriority w:val="0"/>
    <w:rPr>
      <w:rFonts w:hint="eastAsia" w:ascii="宋体" w:hAnsi="宋体" w:eastAsia="黑体"/>
      <w:b/>
      <w:bCs/>
      <w:kern w:val="2"/>
      <w:sz w:val="28"/>
      <w:szCs w:val="32"/>
      <w:lang w:val="en-US" w:eastAsia="zh-CN" w:bidi="ar-SA"/>
    </w:rPr>
  </w:style>
  <w:style w:type="character" w:customStyle="1" w:styleId="930">
    <w:name w:val="f41"/>
    <w:qFormat/>
    <w:uiPriority w:val="0"/>
    <w:rPr>
      <w:rFonts w:hint="eastAsia" w:ascii="宋体" w:hAnsi="宋体" w:eastAsia="宋体"/>
      <w:color w:val="000000"/>
      <w:sz w:val="18"/>
      <w:szCs w:val="18"/>
    </w:rPr>
  </w:style>
  <w:style w:type="character" w:customStyle="1" w:styleId="931">
    <w:name w:val="f21"/>
    <w:qFormat/>
    <w:uiPriority w:val="0"/>
    <w:rPr>
      <w:rFonts w:hint="eastAsia" w:ascii="宋体" w:hAnsi="宋体" w:eastAsia="宋体"/>
      <w:sz w:val="21"/>
      <w:szCs w:val="21"/>
    </w:rPr>
  </w:style>
  <w:style w:type="character" w:customStyle="1" w:styleId="932">
    <w:name w:val="zw1"/>
    <w:qFormat/>
    <w:uiPriority w:val="0"/>
    <w:rPr>
      <w:rFonts w:hint="eastAsia" w:ascii="宋体" w:hAnsi="宋体" w:eastAsia="宋体"/>
      <w:sz w:val="22"/>
      <w:szCs w:val="22"/>
    </w:rPr>
  </w:style>
  <w:style w:type="character" w:customStyle="1" w:styleId="933">
    <w:name w:val="称呼 字符"/>
    <w:qFormat/>
    <w:uiPriority w:val="0"/>
    <w:rPr>
      <w:rFonts w:ascii="Times New Roman" w:hAnsi="Times New Roman"/>
      <w:kern w:val="2"/>
      <w:sz w:val="21"/>
      <w:szCs w:val="22"/>
    </w:rPr>
  </w:style>
  <w:style w:type="character" w:customStyle="1" w:styleId="934">
    <w:name w:val="称呼 Char1"/>
    <w:qFormat/>
    <w:uiPriority w:val="0"/>
    <w:rPr>
      <w:kern w:val="2"/>
      <w:sz w:val="21"/>
      <w:szCs w:val="24"/>
    </w:rPr>
  </w:style>
  <w:style w:type="character" w:customStyle="1" w:styleId="935">
    <w:name w:val="结束语 字符"/>
    <w:qFormat/>
    <w:uiPriority w:val="0"/>
    <w:rPr>
      <w:rFonts w:ascii="Times New Roman" w:hAnsi="Times New Roman"/>
      <w:kern w:val="2"/>
      <w:sz w:val="21"/>
      <w:szCs w:val="22"/>
    </w:rPr>
  </w:style>
  <w:style w:type="character" w:customStyle="1" w:styleId="936">
    <w:name w:val="结束语 Char1"/>
    <w:qFormat/>
    <w:uiPriority w:val="0"/>
    <w:rPr>
      <w:kern w:val="2"/>
      <w:sz w:val="21"/>
      <w:szCs w:val="24"/>
    </w:rPr>
  </w:style>
  <w:style w:type="character" w:customStyle="1" w:styleId="937">
    <w:name w:val="bt11"/>
    <w:qFormat/>
    <w:uiPriority w:val="0"/>
    <w:rPr>
      <w:rFonts w:hint="eastAsia" w:ascii="黑体" w:hAnsi="黑体" w:eastAsia="黑体"/>
      <w:color w:val="000000"/>
      <w:sz w:val="28"/>
      <w:szCs w:val="28"/>
    </w:rPr>
  </w:style>
  <w:style w:type="character" w:customStyle="1" w:styleId="938">
    <w:name w:val="bt21"/>
    <w:qFormat/>
    <w:uiPriority w:val="0"/>
    <w:rPr>
      <w:rFonts w:hint="eastAsia" w:ascii="黑体" w:hAnsi="黑体" w:eastAsia="黑体"/>
      <w:sz w:val="24"/>
      <w:szCs w:val="24"/>
    </w:rPr>
  </w:style>
  <w:style w:type="character" w:customStyle="1" w:styleId="939">
    <w:name w:val="style91"/>
    <w:qFormat/>
    <w:uiPriority w:val="0"/>
    <w:rPr>
      <w:color w:val="333333"/>
      <w:sz w:val="18"/>
      <w:szCs w:val="18"/>
    </w:rPr>
  </w:style>
  <w:style w:type="character" w:customStyle="1" w:styleId="940">
    <w:name w:val="biaoti-61"/>
    <w:qFormat/>
    <w:uiPriority w:val="0"/>
    <w:rPr>
      <w:b/>
      <w:bCs/>
      <w:color w:val="CC0000"/>
      <w:sz w:val="30"/>
      <w:szCs w:val="30"/>
    </w:rPr>
  </w:style>
  <w:style w:type="character" w:customStyle="1" w:styleId="941">
    <w:name w:val="菲薄1 Char"/>
    <w:qFormat/>
    <w:uiPriority w:val="0"/>
    <w:rPr>
      <w:rFonts w:hint="eastAsia" w:ascii="宋体" w:hAnsi="宋体" w:eastAsia="宋体"/>
      <w:kern w:val="2"/>
      <w:sz w:val="28"/>
      <w:szCs w:val="28"/>
      <w:lang w:val="en-US" w:eastAsia="zh-CN" w:bidi="ar-SA"/>
    </w:rPr>
  </w:style>
  <w:style w:type="character" w:customStyle="1" w:styleId="942">
    <w:name w:val="zhw1"/>
    <w:basedOn w:val="75"/>
    <w:qFormat/>
    <w:uiPriority w:val="0"/>
  </w:style>
  <w:style w:type="character" w:customStyle="1" w:styleId="943">
    <w:name w:val="3zw1"/>
    <w:basedOn w:val="75"/>
    <w:qFormat/>
    <w:uiPriority w:val="0"/>
  </w:style>
  <w:style w:type="character" w:customStyle="1" w:styleId="944">
    <w:name w:val="标题1.1.1.1.1.1 Char Char"/>
    <w:qFormat/>
    <w:uiPriority w:val="0"/>
    <w:rPr>
      <w:rFonts w:hint="eastAsia" w:ascii="宋体" w:hAnsi="宋体" w:eastAsia="宋体" w:cs="宋体"/>
      <w:sz w:val="28"/>
      <w:szCs w:val="28"/>
    </w:rPr>
  </w:style>
  <w:style w:type="character" w:customStyle="1" w:styleId="945">
    <w:name w:val="Char Char13"/>
    <w:qFormat/>
    <w:uiPriority w:val="0"/>
    <w:rPr>
      <w:rFonts w:hint="eastAsia" w:ascii="宋体" w:hAnsi="宋体" w:eastAsia="宋体"/>
      <w:kern w:val="2"/>
      <w:sz w:val="18"/>
      <w:szCs w:val="18"/>
      <w:lang w:val="en-US" w:eastAsia="zh-CN" w:bidi="ar-SA"/>
    </w:rPr>
  </w:style>
  <w:style w:type="paragraph" w:customStyle="1" w:styleId="946">
    <w:name w:val="z-窗体底端1"/>
    <w:basedOn w:val="1"/>
    <w:next w:val="1"/>
    <w:link w:val="948"/>
    <w:unhideWhenUsed/>
    <w:qFormat/>
    <w:uiPriority w:val="0"/>
    <w:pPr>
      <w:pBdr>
        <w:top w:val="single" w:color="auto" w:sz="6" w:space="1"/>
      </w:pBdr>
      <w:jc w:val="center"/>
    </w:pPr>
    <w:rPr>
      <w:rFonts w:ascii="Arial" w:hAnsi="Arial" w:cs="Arial"/>
      <w:vanish/>
      <w:sz w:val="16"/>
      <w:szCs w:val="16"/>
    </w:rPr>
  </w:style>
  <w:style w:type="character" w:customStyle="1" w:styleId="947">
    <w:name w:val="z-窗体底端 字符"/>
    <w:qFormat/>
    <w:uiPriority w:val="0"/>
    <w:rPr>
      <w:rFonts w:ascii="Arial" w:hAnsi="Arial" w:cs="Arial"/>
      <w:vanish/>
      <w:kern w:val="2"/>
      <w:sz w:val="16"/>
      <w:szCs w:val="16"/>
    </w:rPr>
  </w:style>
  <w:style w:type="character" w:customStyle="1" w:styleId="948">
    <w:name w:val="z-窗体底端 字符1"/>
    <w:link w:val="946"/>
    <w:qFormat/>
    <w:uiPriority w:val="0"/>
    <w:rPr>
      <w:rFonts w:ascii="Arial" w:hAnsi="Arial" w:cs="Arial"/>
      <w:vanish/>
      <w:kern w:val="2"/>
      <w:sz w:val="16"/>
      <w:szCs w:val="16"/>
    </w:rPr>
  </w:style>
  <w:style w:type="paragraph" w:customStyle="1" w:styleId="949">
    <w:name w:val="z-窗体顶端1"/>
    <w:basedOn w:val="1"/>
    <w:next w:val="1"/>
    <w:link w:val="951"/>
    <w:unhideWhenUsed/>
    <w:qFormat/>
    <w:uiPriority w:val="0"/>
    <w:pPr>
      <w:pBdr>
        <w:bottom w:val="single" w:color="auto" w:sz="6" w:space="1"/>
      </w:pBdr>
      <w:jc w:val="center"/>
    </w:pPr>
    <w:rPr>
      <w:rFonts w:ascii="Arial" w:hAnsi="Arial" w:cs="Arial"/>
      <w:vanish/>
      <w:sz w:val="16"/>
      <w:szCs w:val="16"/>
    </w:rPr>
  </w:style>
  <w:style w:type="character" w:customStyle="1" w:styleId="950">
    <w:name w:val="z-窗体顶端 字符"/>
    <w:qFormat/>
    <w:uiPriority w:val="0"/>
    <w:rPr>
      <w:rFonts w:ascii="Arial" w:hAnsi="Arial" w:cs="Arial"/>
      <w:vanish/>
      <w:kern w:val="2"/>
      <w:sz w:val="16"/>
      <w:szCs w:val="16"/>
    </w:rPr>
  </w:style>
  <w:style w:type="character" w:customStyle="1" w:styleId="951">
    <w:name w:val="z-窗体顶端 字符1"/>
    <w:link w:val="949"/>
    <w:qFormat/>
    <w:uiPriority w:val="0"/>
    <w:rPr>
      <w:rFonts w:ascii="Arial" w:hAnsi="Arial" w:cs="Arial"/>
      <w:vanish/>
      <w:kern w:val="2"/>
      <w:sz w:val="16"/>
      <w:szCs w:val="16"/>
    </w:rPr>
  </w:style>
  <w:style w:type="character" w:customStyle="1" w:styleId="952">
    <w:name w:val="td3"/>
    <w:basedOn w:val="75"/>
    <w:qFormat/>
    <w:uiPriority w:val="0"/>
  </w:style>
  <w:style w:type="character" w:customStyle="1" w:styleId="953">
    <w:name w:val="样式 (符号) 宋体 四号 黑色"/>
    <w:qFormat/>
    <w:uiPriority w:val="0"/>
    <w:rPr>
      <w:color w:val="000000"/>
      <w:sz w:val="24"/>
    </w:rPr>
  </w:style>
  <w:style w:type="character" w:customStyle="1" w:styleId="954">
    <w:name w:val="样式 宋体 小三"/>
    <w:qFormat/>
    <w:uiPriority w:val="0"/>
    <w:rPr>
      <w:rFonts w:hint="eastAsia" w:ascii="宋体" w:hAnsi="宋体" w:eastAsia="宋体"/>
      <w:spacing w:val="4"/>
      <w:sz w:val="24"/>
    </w:rPr>
  </w:style>
  <w:style w:type="character" w:customStyle="1" w:styleId="955">
    <w:name w:val="Char Char18"/>
    <w:qFormat/>
    <w:uiPriority w:val="0"/>
    <w:rPr>
      <w:rFonts w:hint="eastAsia" w:ascii="宋体" w:hAnsi="宋体" w:eastAsia="宋体"/>
      <w:b/>
      <w:sz w:val="32"/>
      <w:szCs w:val="32"/>
      <w:lang w:val="en-US" w:eastAsia="zh-CN" w:bidi="ar-SA"/>
    </w:rPr>
  </w:style>
  <w:style w:type="character" w:customStyle="1" w:styleId="956">
    <w:name w:val="Char Char15"/>
    <w:qFormat/>
    <w:uiPriority w:val="0"/>
    <w:rPr>
      <w:rFonts w:hint="eastAsia" w:ascii="宋体" w:hAnsi="宋体" w:eastAsia="宋体"/>
      <w:b/>
      <w:bCs/>
      <w:kern w:val="2"/>
      <w:sz w:val="24"/>
      <w:szCs w:val="28"/>
      <w:lang w:val="en-US" w:eastAsia="zh-CN" w:bidi="ar-SA"/>
    </w:rPr>
  </w:style>
  <w:style w:type="character" w:customStyle="1" w:styleId="957">
    <w:name w:val="Char Char Char Char Char Char Char Char"/>
    <w:qFormat/>
    <w:uiPriority w:val="0"/>
    <w:rPr>
      <w:rFonts w:hint="eastAsia" w:ascii="宋体" w:hAnsi="宋体" w:eastAsia="宋体"/>
      <w:kern w:val="2"/>
      <w:sz w:val="24"/>
      <w:szCs w:val="24"/>
      <w:lang w:val="en-US" w:eastAsia="zh-CN" w:bidi="ar-SA"/>
    </w:rPr>
  </w:style>
  <w:style w:type="character" w:customStyle="1" w:styleId="958">
    <w:name w:val="qqq1"/>
    <w:qFormat/>
    <w:uiPriority w:val="0"/>
    <w:rPr>
      <w:color w:val="527594"/>
      <w:sz w:val="20"/>
      <w:szCs w:val="20"/>
    </w:rPr>
  </w:style>
  <w:style w:type="character" w:customStyle="1" w:styleId="959">
    <w:name w:val="页眉2 Char Char"/>
    <w:qFormat/>
    <w:uiPriority w:val="0"/>
    <w:rPr>
      <w:rFonts w:hint="default" w:ascii="Plotter" w:hAnsi="Plotter" w:eastAsia="宋体"/>
      <w:kern w:val="2"/>
      <w:sz w:val="18"/>
      <w:szCs w:val="18"/>
      <w:lang w:val="en-US" w:eastAsia="zh-CN" w:bidi="ar-SA"/>
    </w:rPr>
  </w:style>
  <w:style w:type="character" w:customStyle="1" w:styleId="960">
    <w:name w:val="首行缩进 Char Char"/>
    <w:qFormat/>
    <w:uiPriority w:val="0"/>
    <w:rPr>
      <w:rFonts w:hint="eastAsia" w:ascii="宋体" w:hAnsi="宋体" w:eastAsia="宋体" w:cs="宋体"/>
      <w:color w:val="000000"/>
      <w:sz w:val="18"/>
      <w:szCs w:val="18"/>
      <w:lang w:val="en-US" w:eastAsia="zh-CN" w:bidi="ar-SA"/>
    </w:rPr>
  </w:style>
  <w:style w:type="character" w:customStyle="1" w:styleId="961">
    <w:name w:val="hottext1"/>
    <w:basedOn w:val="75"/>
    <w:qFormat/>
    <w:uiPriority w:val="0"/>
  </w:style>
  <w:style w:type="character" w:customStyle="1" w:styleId="962">
    <w:name w:val="font31"/>
    <w:qFormat/>
    <w:uiPriority w:val="0"/>
    <w:rPr>
      <w:rFonts w:hint="eastAsia" w:ascii="宋体" w:hAnsi="宋体" w:eastAsia="宋体"/>
      <w:color w:val="000000"/>
      <w:sz w:val="24"/>
      <w:u w:val="none"/>
      <w:vertAlign w:val="subscript"/>
    </w:rPr>
  </w:style>
  <w:style w:type="character" w:customStyle="1" w:styleId="963">
    <w:name w:val="font61"/>
    <w:qFormat/>
    <w:uiPriority w:val="0"/>
    <w:rPr>
      <w:rFonts w:hint="default" w:ascii="Times New Roman" w:hAnsi="Times New Roman" w:cs="Times New Roman"/>
      <w:color w:val="000000"/>
      <w:sz w:val="24"/>
      <w:u w:val="none"/>
    </w:rPr>
  </w:style>
  <w:style w:type="character" w:customStyle="1" w:styleId="964">
    <w:name w:val="small14"/>
    <w:basedOn w:val="75"/>
    <w:qFormat/>
    <w:uiPriority w:val="0"/>
  </w:style>
  <w:style w:type="character" w:customStyle="1" w:styleId="965">
    <w:name w:val="font51"/>
    <w:qFormat/>
    <w:uiPriority w:val="0"/>
    <w:rPr>
      <w:rFonts w:hint="eastAsia" w:ascii="宋体" w:hAnsi="宋体" w:eastAsia="宋体"/>
      <w:color w:val="000000"/>
      <w:sz w:val="24"/>
      <w:u w:val="none"/>
    </w:rPr>
  </w:style>
  <w:style w:type="character" w:customStyle="1" w:styleId="966">
    <w:name w:val="font71"/>
    <w:qFormat/>
    <w:uiPriority w:val="0"/>
    <w:rPr>
      <w:rFonts w:hint="eastAsia" w:ascii="宋体" w:hAnsi="宋体" w:eastAsia="宋体"/>
      <w:color w:val="000000"/>
      <w:sz w:val="24"/>
      <w:u w:val="none"/>
      <w:vertAlign w:val="superscript"/>
    </w:rPr>
  </w:style>
  <w:style w:type="character" w:customStyle="1" w:styleId="967">
    <w:name w:val="zw2"/>
    <w:qFormat/>
    <w:uiPriority w:val="0"/>
    <w:rPr>
      <w:rFonts w:hint="default" w:ascii="Arial" w:hAnsi="Arial" w:cs="Arial"/>
      <w:dstrike/>
      <w:color w:val="000000"/>
      <w:sz w:val="18"/>
    </w:rPr>
  </w:style>
  <w:style w:type="character" w:customStyle="1" w:styleId="968">
    <w:name w:val="tit2"/>
    <w:qFormat/>
    <w:uiPriority w:val="0"/>
    <w:rPr>
      <w:b/>
      <w:sz w:val="48"/>
    </w:rPr>
  </w:style>
  <w:style w:type="character" w:customStyle="1" w:styleId="969">
    <w:name w:val="脚注文本 字符"/>
    <w:qFormat/>
    <w:uiPriority w:val="0"/>
    <w:rPr>
      <w:rFonts w:ascii="Times New Roman" w:hAnsi="Times New Roman"/>
      <w:kern w:val="2"/>
      <w:sz w:val="18"/>
      <w:szCs w:val="18"/>
    </w:rPr>
  </w:style>
  <w:style w:type="character" w:customStyle="1" w:styleId="970">
    <w:name w:val="脚注文本 Char1"/>
    <w:qFormat/>
    <w:uiPriority w:val="0"/>
    <w:rPr>
      <w:kern w:val="2"/>
      <w:sz w:val="18"/>
      <w:szCs w:val="18"/>
    </w:rPr>
  </w:style>
  <w:style w:type="character" w:customStyle="1" w:styleId="971">
    <w:name w:val="apple-style-span"/>
    <w:basedOn w:val="75"/>
    <w:qFormat/>
    <w:uiPriority w:val="0"/>
  </w:style>
  <w:style w:type="character" w:customStyle="1" w:styleId="972">
    <w:name w:val="正文5号 Char Char"/>
    <w:qFormat/>
    <w:uiPriority w:val="0"/>
    <w:rPr>
      <w:rFonts w:hint="eastAsia" w:ascii="宋体" w:hAnsi="宋体" w:eastAsia="宋体"/>
      <w:kern w:val="2"/>
      <w:sz w:val="21"/>
      <w:lang w:val="en-US" w:eastAsia="zh-CN" w:bidi="ar-SA"/>
    </w:rPr>
  </w:style>
  <w:style w:type="character" w:customStyle="1" w:styleId="973">
    <w:name w:val="Char Char121"/>
    <w:qFormat/>
    <w:uiPriority w:val="0"/>
    <w:rPr>
      <w:rFonts w:hint="eastAsia" w:ascii="宋体" w:hAnsi="宋体" w:eastAsia="宋体"/>
      <w:kern w:val="2"/>
      <w:sz w:val="21"/>
      <w:lang w:val="en-US" w:eastAsia="zh-CN" w:bidi="ar-SA"/>
    </w:rPr>
  </w:style>
  <w:style w:type="character" w:customStyle="1" w:styleId="974">
    <w:name w:val="Char Char Char Char Char1"/>
    <w:qFormat/>
    <w:uiPriority w:val="0"/>
    <w:rPr>
      <w:rFonts w:hint="eastAsia" w:ascii="仿宋_GB2312" w:hAnsi="仿宋_GB2312" w:eastAsia="仿宋_GB2312"/>
      <w:kern w:val="2"/>
      <w:sz w:val="21"/>
      <w:szCs w:val="24"/>
    </w:rPr>
  </w:style>
  <w:style w:type="character" w:customStyle="1" w:styleId="975">
    <w:name w:val="Char Char7"/>
    <w:qFormat/>
    <w:uiPriority w:val="0"/>
    <w:rPr>
      <w:rFonts w:hint="eastAsia" w:ascii="宋体" w:hAnsi="宋体" w:eastAsia="宋体"/>
      <w:kern w:val="2"/>
      <w:sz w:val="18"/>
      <w:szCs w:val="18"/>
      <w:lang w:val="en-US" w:eastAsia="zh-CN" w:bidi="ar-SA"/>
    </w:rPr>
  </w:style>
  <w:style w:type="character" w:customStyle="1" w:styleId="976">
    <w:name w:val="表头行H Char"/>
    <w:qFormat/>
    <w:uiPriority w:val="0"/>
    <w:rPr>
      <w:b/>
      <w:kern w:val="2"/>
      <w:sz w:val="21"/>
      <w:szCs w:val="21"/>
    </w:rPr>
  </w:style>
  <w:style w:type="character" w:customStyle="1" w:styleId="977">
    <w:name w:val="yb1"/>
    <w:qFormat/>
    <w:uiPriority w:val="0"/>
    <w:rPr>
      <w:rFonts w:hint="default" w:ascii="ˎ̥" w:hAnsi="ˎ̥"/>
      <w:color w:val="000000"/>
      <w:sz w:val="20"/>
      <w:szCs w:val="20"/>
    </w:rPr>
  </w:style>
  <w:style w:type="character" w:customStyle="1" w:styleId="978">
    <w:name w:val="postcolor1"/>
    <w:qFormat/>
    <w:uiPriority w:val="0"/>
    <w:rPr>
      <w:sz w:val="18"/>
      <w:szCs w:val="18"/>
    </w:rPr>
  </w:style>
  <w:style w:type="character" w:customStyle="1" w:styleId="979">
    <w:name w:val="Char Char61"/>
    <w:qFormat/>
    <w:uiPriority w:val="0"/>
    <w:rPr>
      <w:rFonts w:hint="default" w:ascii="Times New Roman" w:hAnsi="Times New Roman" w:eastAsia="宋体" w:cs="Times New Roman"/>
      <w:sz w:val="18"/>
      <w:szCs w:val="18"/>
    </w:rPr>
  </w:style>
  <w:style w:type="character" w:customStyle="1" w:styleId="980">
    <w:name w:val="H1 Char Char"/>
    <w:qFormat/>
    <w:uiPriority w:val="0"/>
    <w:rPr>
      <w:rFonts w:hint="eastAsia" w:ascii="宋体" w:hAnsi="宋体" w:eastAsia="宋体"/>
      <w:b/>
      <w:kern w:val="2"/>
      <w:sz w:val="44"/>
      <w:szCs w:val="44"/>
      <w:lang w:val="en-US" w:eastAsia="zh-CN" w:bidi="ar-SA"/>
    </w:rPr>
  </w:style>
  <w:style w:type="character" w:customStyle="1" w:styleId="981">
    <w:name w:val="样式 仿宋_GB2312 小三 加粗 黑色1"/>
    <w:qFormat/>
    <w:uiPriority w:val="0"/>
    <w:rPr>
      <w:rFonts w:hint="eastAsia" w:ascii="仿宋_GB2312" w:hAnsi="仿宋_GB2312" w:eastAsia="仿宋"/>
      <w:color w:val="000000"/>
      <w:kern w:val="2"/>
      <w:sz w:val="30"/>
      <w:lang w:val="en-US" w:eastAsia="zh-CN" w:bidi="ar-SA"/>
    </w:rPr>
  </w:style>
  <w:style w:type="character" w:customStyle="1" w:styleId="982">
    <w:name w:val="样式 样式23 + Char"/>
    <w:qFormat/>
    <w:uiPriority w:val="0"/>
    <w:rPr>
      <w:rFonts w:hint="default" w:ascii="Times New Roman" w:hAnsi="Times New Roman" w:eastAsia="黑体" w:cs="宋体"/>
      <w:sz w:val="24"/>
    </w:rPr>
  </w:style>
  <w:style w:type="character" w:customStyle="1" w:styleId="983">
    <w:name w:val="样式7 Char"/>
    <w:qFormat/>
    <w:uiPriority w:val="0"/>
    <w:rPr>
      <w:rFonts w:hint="eastAsia" w:ascii="黑体" w:hAnsi="黑体" w:eastAsia="黑体"/>
      <w:kern w:val="2"/>
      <w:sz w:val="24"/>
      <w:szCs w:val="24"/>
    </w:rPr>
  </w:style>
  <w:style w:type="character" w:customStyle="1" w:styleId="984">
    <w:name w:val="style151"/>
    <w:qFormat/>
    <w:uiPriority w:val="0"/>
    <w:rPr>
      <w:sz w:val="18"/>
      <w:szCs w:val="18"/>
    </w:rPr>
  </w:style>
  <w:style w:type="character" w:customStyle="1" w:styleId="985">
    <w:name w:val="Char Char51"/>
    <w:qFormat/>
    <w:uiPriority w:val="0"/>
    <w:rPr>
      <w:rFonts w:hint="eastAsia" w:ascii="宋体" w:hAnsi="宋体" w:eastAsia="宋体"/>
      <w:kern w:val="2"/>
      <w:sz w:val="18"/>
      <w:szCs w:val="18"/>
      <w:lang w:val="en-US" w:eastAsia="zh-CN" w:bidi="ar-SA"/>
    </w:rPr>
  </w:style>
  <w:style w:type="character" w:customStyle="1" w:styleId="986">
    <w:name w:val="页眉1 Char2"/>
    <w:qFormat/>
    <w:uiPriority w:val="0"/>
    <w:rPr>
      <w:rFonts w:hint="eastAsia" w:ascii="宋体" w:hAnsi="宋体" w:eastAsia="宋体"/>
      <w:kern w:val="2"/>
      <w:sz w:val="18"/>
      <w:szCs w:val="18"/>
      <w:lang w:val="en-US" w:eastAsia="zh-CN" w:bidi="ar-SA"/>
    </w:rPr>
  </w:style>
  <w:style w:type="character" w:customStyle="1" w:styleId="987">
    <w:name w:val="样式 正文 +2"/>
    <w:qFormat/>
    <w:uiPriority w:val="0"/>
    <w:rPr>
      <w:rFonts w:hint="eastAsia" w:ascii="宋体" w:hAnsi="宋体" w:eastAsia="宋体"/>
      <w:kern w:val="0"/>
      <w:sz w:val="24"/>
    </w:rPr>
  </w:style>
  <w:style w:type="character" w:customStyle="1" w:styleId="988">
    <w:name w:val="日期 Char2"/>
    <w:semiHidden/>
    <w:qFormat/>
    <w:locked/>
    <w:uiPriority w:val="0"/>
    <w:rPr>
      <w:rFonts w:hint="default" w:ascii="Times New Roman" w:hAnsi="Times New Roman" w:cs="Times New Roman"/>
      <w:kern w:val="2"/>
      <w:sz w:val="21"/>
      <w:szCs w:val="24"/>
    </w:rPr>
  </w:style>
  <w:style w:type="character" w:customStyle="1" w:styleId="989">
    <w:name w:val="批注文字 Char2"/>
    <w:semiHidden/>
    <w:qFormat/>
    <w:locked/>
    <w:uiPriority w:val="0"/>
    <w:rPr>
      <w:rFonts w:hint="default" w:ascii="Times New Roman" w:hAnsi="Times New Roman" w:cs="Times New Roman"/>
      <w:kern w:val="2"/>
      <w:sz w:val="21"/>
      <w:szCs w:val="22"/>
    </w:rPr>
  </w:style>
  <w:style w:type="character" w:customStyle="1" w:styleId="990">
    <w:name w:val="批注主题 Char2"/>
    <w:semiHidden/>
    <w:qFormat/>
    <w:locked/>
    <w:uiPriority w:val="0"/>
    <w:rPr>
      <w:rFonts w:hint="default" w:ascii="Times New Roman" w:hAnsi="Times New Roman" w:cs="Times New Roman"/>
      <w:b/>
      <w:bCs/>
      <w:kern w:val="2"/>
      <w:sz w:val="21"/>
      <w:szCs w:val="22"/>
    </w:rPr>
  </w:style>
  <w:style w:type="character" w:customStyle="1" w:styleId="991">
    <w:name w:val="称呼 Char2"/>
    <w:semiHidden/>
    <w:qFormat/>
    <w:locked/>
    <w:uiPriority w:val="0"/>
    <w:rPr>
      <w:rFonts w:hint="eastAsia" w:ascii="宋体" w:hAnsi="华文细黑" w:eastAsia="宋体"/>
      <w:kern w:val="2"/>
      <w:sz w:val="24"/>
      <w:szCs w:val="24"/>
    </w:rPr>
  </w:style>
  <w:style w:type="character" w:customStyle="1" w:styleId="992">
    <w:name w:val="正文文本缩进 3 Char2"/>
    <w:semiHidden/>
    <w:qFormat/>
    <w:locked/>
    <w:uiPriority w:val="0"/>
    <w:rPr>
      <w:rFonts w:hint="default" w:ascii="Times New Roman" w:hAnsi="Times New Roman" w:cs="Times New Roman"/>
      <w:kern w:val="2"/>
      <w:sz w:val="16"/>
      <w:szCs w:val="16"/>
    </w:rPr>
  </w:style>
  <w:style w:type="character" w:customStyle="1" w:styleId="993">
    <w:name w:val="正文文本缩进 2 Char2"/>
    <w:semiHidden/>
    <w:qFormat/>
    <w:locked/>
    <w:uiPriority w:val="0"/>
    <w:rPr>
      <w:rFonts w:hint="eastAsia" w:ascii="楷体_GB2312" w:hAnsi="Times New Roman" w:eastAsia="楷体_GB2312"/>
      <w:kern w:val="2"/>
      <w:sz w:val="24"/>
      <w:szCs w:val="24"/>
    </w:rPr>
  </w:style>
  <w:style w:type="character" w:customStyle="1" w:styleId="994">
    <w:name w:val="正文文本 3 Char2"/>
    <w:semiHidden/>
    <w:qFormat/>
    <w:locked/>
    <w:uiPriority w:val="0"/>
    <w:rPr>
      <w:rFonts w:hint="default" w:ascii="Times New Roman" w:hAnsi="Times New Roman" w:cs="Times New Roman"/>
      <w:kern w:val="2"/>
      <w:sz w:val="24"/>
    </w:rPr>
  </w:style>
  <w:style w:type="character" w:customStyle="1" w:styleId="995">
    <w:name w:val="正文文本缩进 Char2"/>
    <w:semiHidden/>
    <w:qFormat/>
    <w:locked/>
    <w:uiPriority w:val="0"/>
    <w:rPr>
      <w:rFonts w:hint="default" w:ascii="Times New Roman" w:hAnsi="Times New Roman" w:cs="Times New Roman"/>
      <w:kern w:val="2"/>
      <w:sz w:val="21"/>
      <w:szCs w:val="22"/>
    </w:rPr>
  </w:style>
  <w:style w:type="character" w:customStyle="1" w:styleId="996">
    <w:name w:val="正文首行缩进 2 Char2"/>
    <w:qFormat/>
    <w:locked/>
    <w:uiPriority w:val="0"/>
    <w:rPr>
      <w:rFonts w:hint="default" w:ascii="Times New Roman" w:hAnsi="Times New Roman" w:cs="Times New Roman"/>
      <w:kern w:val="2"/>
      <w:sz w:val="21"/>
      <w:szCs w:val="24"/>
    </w:rPr>
  </w:style>
  <w:style w:type="character" w:customStyle="1" w:styleId="997">
    <w:name w:val="正文文本 2 Char2"/>
    <w:semiHidden/>
    <w:qFormat/>
    <w:locked/>
    <w:uiPriority w:val="0"/>
    <w:rPr>
      <w:rFonts w:hint="default" w:ascii="Times New Roman" w:hAnsi="Times New Roman" w:eastAsia="楷体_GB2312" w:cs="Times New Roman"/>
      <w:kern w:val="2"/>
      <w:sz w:val="28"/>
      <w:szCs w:val="24"/>
    </w:rPr>
  </w:style>
  <w:style w:type="character" w:customStyle="1" w:styleId="998">
    <w:name w:val="批注框文本 Char2"/>
    <w:semiHidden/>
    <w:qFormat/>
    <w:locked/>
    <w:uiPriority w:val="0"/>
    <w:rPr>
      <w:rFonts w:hint="default" w:ascii="Times New Roman" w:hAnsi="Times New Roman" w:cs="Times New Roman"/>
      <w:kern w:val="2"/>
      <w:sz w:val="18"/>
      <w:szCs w:val="18"/>
    </w:rPr>
  </w:style>
  <w:style w:type="character" w:customStyle="1" w:styleId="999">
    <w:name w:val="正文首行缩进 Char2"/>
    <w:semiHidden/>
    <w:qFormat/>
    <w:locked/>
    <w:uiPriority w:val="0"/>
    <w:rPr>
      <w:kern w:val="2"/>
      <w:sz w:val="21"/>
      <w:szCs w:val="24"/>
    </w:rPr>
  </w:style>
  <w:style w:type="character" w:customStyle="1" w:styleId="1000">
    <w:name w:val="文档结构图 Char2"/>
    <w:semiHidden/>
    <w:qFormat/>
    <w:locked/>
    <w:uiPriority w:val="0"/>
    <w:rPr>
      <w:rFonts w:hint="eastAsia" w:ascii="宋体" w:hAnsi="Times New Roman" w:eastAsia="宋体"/>
      <w:kern w:val="2"/>
      <w:sz w:val="18"/>
      <w:szCs w:val="18"/>
    </w:rPr>
  </w:style>
  <w:style w:type="character" w:customStyle="1" w:styleId="1001">
    <w:name w:val="副标题 Char2"/>
    <w:qFormat/>
    <w:locked/>
    <w:uiPriority w:val="0"/>
    <w:rPr>
      <w:rFonts w:hint="default" w:ascii="Cambria" w:hAnsi="Cambria"/>
      <w:b/>
      <w:bCs/>
      <w:kern w:val="28"/>
      <w:sz w:val="32"/>
      <w:szCs w:val="32"/>
    </w:rPr>
  </w:style>
  <w:style w:type="character" w:customStyle="1" w:styleId="1002">
    <w:name w:val="HTML 预设格式 Char1"/>
    <w:semiHidden/>
    <w:qFormat/>
    <w:locked/>
    <w:uiPriority w:val="0"/>
    <w:rPr>
      <w:rFonts w:hint="default" w:ascii="Courier New" w:hAnsi="Courier New" w:cs="Courier New"/>
      <w:kern w:val="2"/>
    </w:rPr>
  </w:style>
  <w:style w:type="character" w:customStyle="1" w:styleId="1003">
    <w:name w:val="引用 Char2"/>
    <w:qFormat/>
    <w:locked/>
    <w:uiPriority w:val="0"/>
    <w:rPr>
      <w:rFonts w:hint="default" w:ascii="Times New Roman" w:hAnsi="Times New Roman" w:cs="Times New Roman"/>
      <w:i/>
      <w:iCs/>
      <w:color w:val="000000"/>
      <w:kern w:val="2"/>
      <w:sz w:val="21"/>
      <w:szCs w:val="22"/>
    </w:rPr>
  </w:style>
  <w:style w:type="character" w:customStyle="1" w:styleId="1004">
    <w:name w:val="z-窗体顶端 Char1"/>
    <w:semiHidden/>
    <w:qFormat/>
    <w:locked/>
    <w:uiPriority w:val="0"/>
    <w:rPr>
      <w:rFonts w:hint="default" w:ascii="Arial" w:hAnsi="Arial" w:cs="Arial"/>
      <w:vanish/>
      <w:kern w:val="2"/>
      <w:sz w:val="16"/>
      <w:szCs w:val="16"/>
    </w:rPr>
  </w:style>
  <w:style w:type="character" w:customStyle="1" w:styleId="1005">
    <w:name w:val="明显引用 Char2"/>
    <w:qFormat/>
    <w:locked/>
    <w:uiPriority w:val="0"/>
    <w:rPr>
      <w:rFonts w:hint="default" w:ascii="Times New Roman" w:hAnsi="Times New Roman" w:cs="Times New Roman"/>
      <w:b/>
      <w:bCs/>
      <w:i/>
      <w:iCs/>
      <w:color w:val="4F81BD"/>
      <w:kern w:val="2"/>
      <w:sz w:val="21"/>
      <w:szCs w:val="22"/>
    </w:rPr>
  </w:style>
  <w:style w:type="character" w:customStyle="1" w:styleId="1006">
    <w:name w:val="z-窗体底端 Char1"/>
    <w:semiHidden/>
    <w:qFormat/>
    <w:locked/>
    <w:uiPriority w:val="0"/>
    <w:rPr>
      <w:rFonts w:hint="default" w:ascii="Arial" w:hAnsi="Arial" w:cs="Arial"/>
      <w:vanish/>
      <w:kern w:val="2"/>
      <w:sz w:val="16"/>
      <w:szCs w:val="16"/>
    </w:rPr>
  </w:style>
  <w:style w:type="table" w:customStyle="1" w:styleId="1007">
    <w:name w:val="网格型 61"/>
    <w:basedOn w:val="59"/>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blStylePr w:type="firstRow">
      <w:rPr>
        <w:b/>
        <w:b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rPr>
        <w:b/>
        <w:bCs/>
      </w:rPr>
      <w:tcPr>
        <w:tcBorders>
          <w:tl2br w:val="nil"/>
          <w:tr2bl w:val="nil"/>
        </w:tcBorders>
      </w:tcPr>
    </w:tblStylePr>
    <w:tblStylePr w:type="nwCell">
      <w:tcPr>
        <w:tcBorders>
          <w:tl2br w:val="single" w:color="000000" w:sz="6" w:space="0"/>
          <w:tr2bl w:val="nil"/>
        </w:tcBorders>
      </w:tcPr>
    </w:tblStylePr>
  </w:style>
  <w:style w:type="table" w:customStyle="1" w:styleId="1008">
    <w:name w:val="网格型刘1"/>
    <w:basedOn w:val="5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1"/>
    <w:basedOn w:val="59"/>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10">
    <w:name w:val="网格型2"/>
    <w:basedOn w:val="59"/>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11">
    <w:name w:val="网格型3"/>
    <w:basedOn w:val="59"/>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012">
    <w:name w:val="表格04"/>
    <w:basedOn w:val="470"/>
    <w:qFormat/>
    <w:uiPriority w:val="0"/>
    <w:pPr>
      <w:snapToGrid w:val="0"/>
      <w:spacing w:line="360" w:lineRule="exact"/>
    </w:pPr>
  </w:style>
  <w:style w:type="paragraph" w:customStyle="1" w:styleId="1013">
    <w:name w:val="环表头"/>
    <w:basedOn w:val="514"/>
    <w:next w:val="1"/>
    <w:qFormat/>
    <w:uiPriority w:val="0"/>
    <w:pPr>
      <w:tabs>
        <w:tab w:val="left" w:pos="283"/>
        <w:tab w:val="clear" w:pos="5094"/>
      </w:tabs>
      <w:spacing w:beforeLines="20"/>
      <w:ind w:firstLine="420" w:firstLineChars="175"/>
    </w:pPr>
  </w:style>
  <w:style w:type="character" w:customStyle="1" w:styleId="1014">
    <w:name w:val="Char Char261"/>
    <w:qFormat/>
    <w:uiPriority w:val="0"/>
    <w:rPr>
      <w:rFonts w:hint="eastAsia" w:ascii="宋体" w:hAnsi="宋体" w:eastAsia="宋体"/>
      <w:b/>
      <w:bCs/>
      <w:kern w:val="2"/>
      <w:sz w:val="32"/>
      <w:szCs w:val="32"/>
      <w:lang w:val="en-US" w:eastAsia="zh-CN" w:bidi="ar-SA"/>
    </w:rPr>
  </w:style>
  <w:style w:type="character" w:customStyle="1" w:styleId="1015">
    <w:name w:val="Char Char81"/>
    <w:qFormat/>
    <w:uiPriority w:val="0"/>
    <w:rPr>
      <w:rFonts w:hint="eastAsia" w:ascii="宋体" w:hAnsi="宋体" w:eastAsia="宋体"/>
      <w:kern w:val="2"/>
      <w:sz w:val="16"/>
      <w:szCs w:val="16"/>
      <w:lang w:val="en-US" w:eastAsia="zh-CN" w:bidi="ar-SA"/>
    </w:rPr>
  </w:style>
  <w:style w:type="paragraph" w:customStyle="1" w:styleId="1016">
    <w:name w:val="zzh正文"/>
    <w:basedOn w:val="1"/>
    <w:qFormat/>
    <w:uiPriority w:val="0"/>
    <w:pPr>
      <w:spacing w:line="480" w:lineRule="exact"/>
      <w:ind w:firstLine="480" w:firstLineChars="200"/>
    </w:pPr>
    <w:rPr>
      <w:sz w:val="24"/>
      <w:szCs w:val="24"/>
    </w:rPr>
  </w:style>
  <w:style w:type="paragraph" w:customStyle="1" w:styleId="1017">
    <w:name w:val="_Style 25"/>
    <w:basedOn w:val="1"/>
    <w:qFormat/>
    <w:uiPriority w:val="0"/>
    <w:rPr>
      <w:szCs w:val="24"/>
    </w:rPr>
  </w:style>
  <w:style w:type="table" w:customStyle="1" w:styleId="1018">
    <w:name w:val="Table Normal"/>
    <w:semiHidden/>
    <w:qFormat/>
    <w:uiPriority w:val="0"/>
    <w:pPr>
      <w:widowControl w:val="0"/>
    </w:pPr>
    <w:rPr>
      <w:rFonts w:eastAsia="Times New Roman"/>
      <w:sz w:val="22"/>
      <w:szCs w:val="22"/>
      <w:lang w:eastAsia="en-US"/>
    </w:rPr>
    <w:tblPr>
      <w:tblCellMar>
        <w:top w:w="0" w:type="dxa"/>
        <w:left w:w="0" w:type="dxa"/>
        <w:bottom w:w="0" w:type="dxa"/>
        <w:right w:w="0" w:type="dxa"/>
      </w:tblCellMar>
    </w:tblPr>
  </w:style>
  <w:style w:type="table" w:customStyle="1" w:styleId="1019">
    <w:name w:val="网格型4"/>
    <w:basedOn w:val="5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0">
    <w:name w:val="网格型5"/>
    <w:basedOn w:val="5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1">
    <w:name w:val="网格型6"/>
    <w:basedOn w:val="5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22">
    <w:name w:val="正文hks Char Char1"/>
    <w:qFormat/>
    <w:uiPriority w:val="0"/>
    <w:rPr>
      <w:kern w:val="24"/>
      <w:sz w:val="24"/>
      <w:szCs w:val="24"/>
      <w:lang w:bidi="he-IL"/>
    </w:rPr>
  </w:style>
  <w:style w:type="paragraph" w:customStyle="1" w:styleId="1023">
    <w:name w:val="表内格式"/>
    <w:basedOn w:val="1"/>
    <w:qFormat/>
    <w:uiPriority w:val="0"/>
    <w:pPr>
      <w:tabs>
        <w:tab w:val="left" w:pos="0"/>
      </w:tabs>
      <w:adjustRightInd w:val="0"/>
      <w:snapToGrid w:val="0"/>
      <w:jc w:val="center"/>
    </w:pPr>
    <w:rPr>
      <w:kern w:val="0"/>
      <w:sz w:val="18"/>
      <w:szCs w:val="24"/>
    </w:rPr>
  </w:style>
  <w:style w:type="table" w:customStyle="1" w:styleId="1024">
    <w:name w:val="Table Normal1"/>
    <w:semiHidden/>
    <w:unhideWhenUsed/>
    <w:qFormat/>
    <w:uiPriority w:val="0"/>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1025">
    <w:name w:val="列表段落11"/>
    <w:basedOn w:val="1"/>
    <w:qFormat/>
    <w:uiPriority w:val="0"/>
    <w:pPr>
      <w:autoSpaceDE w:val="0"/>
      <w:autoSpaceDN w:val="0"/>
      <w:ind w:left="1284" w:hanging="771"/>
      <w:jc w:val="left"/>
    </w:pPr>
    <w:rPr>
      <w:rFonts w:ascii="宋体" w:hAnsi="宋体" w:cs="宋体"/>
      <w:kern w:val="0"/>
      <w:sz w:val="22"/>
      <w:lang w:eastAsia="en-US"/>
    </w:rPr>
  </w:style>
  <w:style w:type="table" w:customStyle="1" w:styleId="1026">
    <w:name w:val="Table Normal2"/>
    <w:semiHidden/>
    <w:unhideWhenUsed/>
    <w:qFormat/>
    <w:uiPriority w:val="0"/>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027">
    <w:name w:val="Table Normal3"/>
    <w:semiHidden/>
    <w:unhideWhenUsed/>
    <w:qFormat/>
    <w:uiPriority w:val="0"/>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028">
    <w:name w:val="Table Normal4"/>
    <w:semiHidden/>
    <w:unhideWhenUsed/>
    <w:qFormat/>
    <w:uiPriority w:val="0"/>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029">
    <w:name w:val="Table Normal5"/>
    <w:semiHidden/>
    <w:unhideWhenUsed/>
    <w:qFormat/>
    <w:uiPriority w:val="0"/>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030">
    <w:name w:val="Table Normal6"/>
    <w:semiHidden/>
    <w:unhideWhenUsed/>
    <w:qFormat/>
    <w:uiPriority w:val="0"/>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031">
    <w:name w:val="Table Normal7"/>
    <w:semiHidden/>
    <w:unhideWhenUsed/>
    <w:qFormat/>
    <w:uiPriority w:val="0"/>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032">
    <w:name w:val="Table Normal8"/>
    <w:semiHidden/>
    <w:unhideWhenUsed/>
    <w:qFormat/>
    <w:uiPriority w:val="0"/>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033">
    <w:name w:val="Table Normal9"/>
    <w:semiHidden/>
    <w:unhideWhenUsed/>
    <w:qFormat/>
    <w:uiPriority w:val="0"/>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034">
    <w:name w:val="Table Normal10"/>
    <w:semiHidden/>
    <w:unhideWhenUsed/>
    <w:qFormat/>
    <w:uiPriority w:val="0"/>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035">
    <w:name w:val="Table Normal11"/>
    <w:semiHidden/>
    <w:unhideWhenUsed/>
    <w:qFormat/>
    <w:uiPriority w:val="0"/>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1036">
    <w:name w:val="表标题 Char Char"/>
    <w:qFormat/>
    <w:uiPriority w:val="0"/>
    <w:rPr>
      <w:b/>
      <w:kern w:val="2"/>
      <w:sz w:val="24"/>
    </w:rPr>
  </w:style>
  <w:style w:type="character" w:customStyle="1" w:styleId="1037">
    <w:name w:val="表格内容下标 Char"/>
    <w:link w:val="1038"/>
    <w:qFormat/>
    <w:uiPriority w:val="0"/>
    <w:rPr>
      <w:vertAlign w:val="subscript"/>
    </w:rPr>
  </w:style>
  <w:style w:type="paragraph" w:customStyle="1" w:styleId="1038">
    <w:name w:val="表格内容下标"/>
    <w:basedOn w:val="127"/>
    <w:next w:val="127"/>
    <w:link w:val="1037"/>
    <w:qFormat/>
    <w:uiPriority w:val="0"/>
    <w:pPr>
      <w:overflowPunct w:val="0"/>
      <w:textAlignment w:val="baseline"/>
    </w:pPr>
    <w:rPr>
      <w:rFonts w:ascii="Calibri" w:hAnsi="Calibri" w:eastAsia="宋体"/>
      <w:sz w:val="20"/>
      <w:vertAlign w:val="subscript"/>
    </w:rPr>
  </w:style>
  <w:style w:type="character" w:customStyle="1" w:styleId="1039">
    <w:name w:val="表格内容上标 Char"/>
    <w:link w:val="1040"/>
    <w:qFormat/>
    <w:uiPriority w:val="0"/>
    <w:rPr>
      <w:vertAlign w:val="superscript"/>
    </w:rPr>
  </w:style>
  <w:style w:type="paragraph" w:customStyle="1" w:styleId="1040">
    <w:name w:val="表格内容上标"/>
    <w:basedOn w:val="127"/>
    <w:next w:val="127"/>
    <w:link w:val="1039"/>
    <w:qFormat/>
    <w:uiPriority w:val="0"/>
    <w:pPr>
      <w:overflowPunct w:val="0"/>
      <w:textAlignment w:val="baseline"/>
    </w:pPr>
    <w:rPr>
      <w:rFonts w:ascii="Calibri" w:hAnsi="Calibri" w:eastAsia="宋体"/>
      <w:sz w:val="20"/>
      <w:vertAlign w:val="superscript"/>
    </w:rPr>
  </w:style>
  <w:style w:type="character" w:customStyle="1" w:styleId="1041">
    <w:name w:val="middle1"/>
    <w:qFormat/>
    <w:uiPriority w:val="0"/>
    <w:rPr>
      <w:rFonts w:hint="eastAsia" w:ascii="宋体" w:hAnsi="宋体" w:eastAsia="宋体"/>
      <w:sz w:val="24"/>
      <w:szCs w:val="24"/>
    </w:rPr>
  </w:style>
  <w:style w:type="table" w:customStyle="1" w:styleId="1042">
    <w:name w:val="网格型模版22"/>
    <w:basedOn w:val="59"/>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43">
    <w:name w:val="正文上标 Char"/>
    <w:link w:val="1044"/>
    <w:qFormat/>
    <w:uiPriority w:val="0"/>
    <w:rPr>
      <w:vertAlign w:val="superscript"/>
    </w:rPr>
  </w:style>
  <w:style w:type="paragraph" w:customStyle="1" w:styleId="1044">
    <w:name w:val="正文上标"/>
    <w:basedOn w:val="1"/>
    <w:next w:val="1"/>
    <w:link w:val="1043"/>
    <w:qFormat/>
    <w:uiPriority w:val="0"/>
    <w:pPr>
      <w:snapToGrid w:val="0"/>
      <w:spacing w:line="360" w:lineRule="auto"/>
      <w:ind w:firstLine="400" w:firstLineChars="200"/>
    </w:pPr>
    <w:rPr>
      <w:rFonts w:ascii="Calibri" w:hAnsi="Calibri"/>
      <w:kern w:val="0"/>
      <w:sz w:val="20"/>
      <w:szCs w:val="20"/>
      <w:vertAlign w:val="superscript"/>
    </w:rPr>
  </w:style>
  <w:style w:type="character" w:customStyle="1" w:styleId="1045">
    <w:name w:val="正文下标 Char"/>
    <w:link w:val="1046"/>
    <w:qFormat/>
    <w:uiPriority w:val="0"/>
    <w:rPr>
      <w:vertAlign w:val="subscript"/>
    </w:rPr>
  </w:style>
  <w:style w:type="paragraph" w:customStyle="1" w:styleId="1046">
    <w:name w:val="正文下标"/>
    <w:basedOn w:val="1"/>
    <w:next w:val="1"/>
    <w:link w:val="1045"/>
    <w:qFormat/>
    <w:uiPriority w:val="0"/>
    <w:pPr>
      <w:snapToGrid w:val="0"/>
      <w:spacing w:line="360" w:lineRule="auto"/>
      <w:ind w:firstLine="400" w:firstLineChars="200"/>
    </w:pPr>
    <w:rPr>
      <w:rFonts w:ascii="Calibri" w:hAnsi="Calibri"/>
      <w:kern w:val="0"/>
      <w:sz w:val="20"/>
      <w:szCs w:val="20"/>
      <w:vertAlign w:val="subscript"/>
    </w:rPr>
  </w:style>
  <w:style w:type="character" w:customStyle="1" w:styleId="1047">
    <w:name w:val="批注文字 字符1"/>
    <w:qFormat/>
    <w:uiPriority w:val="0"/>
    <w:rPr>
      <w:rFonts w:eastAsia="宋体"/>
      <w:kern w:val="2"/>
      <w:sz w:val="21"/>
      <w:szCs w:val="24"/>
      <w:lang w:val="zh-CN" w:eastAsia="zh-CN" w:bidi="ar-SA"/>
    </w:rPr>
  </w:style>
  <w:style w:type="paragraph" w:customStyle="1" w:styleId="1048">
    <w:name w:val="9"/>
    <w:basedOn w:val="3"/>
    <w:next w:val="1"/>
    <w:unhideWhenUsed/>
    <w:qFormat/>
    <w:uiPriority w:val="0"/>
    <w:pPr>
      <w:ind w:firstLine="420" w:firstLineChars="200"/>
    </w:pPr>
    <w:rPr>
      <w:rFonts w:ascii="宋体" w:hAnsi="Calibri"/>
      <w:color w:val="000000"/>
      <w:kern w:val="0"/>
      <w:sz w:val="24"/>
      <w:szCs w:val="20"/>
      <w:lang w:val="en-US"/>
    </w:rPr>
  </w:style>
  <w:style w:type="character" w:customStyle="1" w:styleId="1049">
    <w:name w:val="正文文本缩进 3 字符1"/>
    <w:semiHidden/>
    <w:qFormat/>
    <w:uiPriority w:val="0"/>
    <w:rPr>
      <w:kern w:val="2"/>
      <w:sz w:val="16"/>
      <w:szCs w:val="16"/>
    </w:rPr>
  </w:style>
  <w:style w:type="character" w:customStyle="1" w:styleId="1050">
    <w:name w:val="正文缩进 字符"/>
    <w:qFormat/>
    <w:uiPriority w:val="99"/>
    <w:rPr>
      <w:kern w:val="2"/>
      <w:sz w:val="24"/>
      <w:szCs w:val="22"/>
    </w:rPr>
  </w:style>
  <w:style w:type="character" w:customStyle="1" w:styleId="1051">
    <w:name w:val="纯文本 字符1"/>
    <w:qFormat/>
    <w:uiPriority w:val="0"/>
    <w:rPr>
      <w:rFonts w:ascii="等线" w:hAnsi="Courier New" w:eastAsia="等线" w:cs="Courier New"/>
      <w:kern w:val="2"/>
      <w:sz w:val="24"/>
      <w:szCs w:val="22"/>
    </w:rPr>
  </w:style>
  <w:style w:type="character" w:customStyle="1" w:styleId="1052">
    <w:name w:val="正文文本缩进 2 字符1"/>
    <w:semiHidden/>
    <w:qFormat/>
    <w:uiPriority w:val="0"/>
    <w:rPr>
      <w:kern w:val="2"/>
      <w:sz w:val="24"/>
      <w:szCs w:val="22"/>
    </w:rPr>
  </w:style>
  <w:style w:type="character" w:customStyle="1" w:styleId="1053">
    <w:name w:val="正文文本 3 字符1"/>
    <w:semiHidden/>
    <w:qFormat/>
    <w:uiPriority w:val="0"/>
    <w:rPr>
      <w:kern w:val="2"/>
      <w:sz w:val="16"/>
      <w:szCs w:val="16"/>
    </w:rPr>
  </w:style>
  <w:style w:type="character" w:customStyle="1" w:styleId="1054">
    <w:name w:val="TOC 3 字符"/>
    <w:qFormat/>
    <w:uiPriority w:val="0"/>
    <w:rPr>
      <w:rFonts w:ascii="Calibri" w:hAnsi="Calibri"/>
      <w:i/>
      <w:iCs/>
      <w:color w:val="000000"/>
      <w:kern w:val="2"/>
      <w:lang w:val="zh-CN" w:eastAsia="zh-CN"/>
    </w:rPr>
  </w:style>
  <w:style w:type="character" w:customStyle="1" w:styleId="1055">
    <w:name w:val="题注 字符"/>
    <w:qFormat/>
    <w:locked/>
    <w:uiPriority w:val="99"/>
    <w:rPr>
      <w:rFonts w:ascii="Arial" w:hAnsi="Arial" w:eastAsia="黑体"/>
      <w:kern w:val="2"/>
    </w:rPr>
  </w:style>
  <w:style w:type="character" w:customStyle="1" w:styleId="1056">
    <w:name w:val="签名 字符1"/>
    <w:semiHidden/>
    <w:qFormat/>
    <w:uiPriority w:val="0"/>
    <w:rPr>
      <w:kern w:val="2"/>
      <w:sz w:val="24"/>
      <w:szCs w:val="22"/>
    </w:rPr>
  </w:style>
  <w:style w:type="character" w:customStyle="1" w:styleId="1057">
    <w:name w:val="标题 字符1"/>
    <w:qFormat/>
    <w:uiPriority w:val="0"/>
    <w:rPr>
      <w:rFonts w:ascii="等线 Light" w:hAnsi="等线 Light" w:eastAsia="等线 Light" w:cs="Times New Roman"/>
      <w:b/>
      <w:bCs/>
      <w:kern w:val="2"/>
      <w:sz w:val="32"/>
      <w:szCs w:val="32"/>
    </w:rPr>
  </w:style>
  <w:style w:type="character" w:customStyle="1" w:styleId="1058">
    <w:name w:val="注释标题 字符1"/>
    <w:semiHidden/>
    <w:qFormat/>
    <w:uiPriority w:val="0"/>
    <w:rPr>
      <w:kern w:val="2"/>
      <w:sz w:val="24"/>
      <w:szCs w:val="22"/>
    </w:rPr>
  </w:style>
  <w:style w:type="character" w:customStyle="1" w:styleId="1059">
    <w:name w:val="副标题 字符1"/>
    <w:qFormat/>
    <w:uiPriority w:val="0"/>
    <w:rPr>
      <w:rFonts w:ascii="等线" w:hAnsi="等线" w:eastAsia="等线" w:cs="Times New Roman"/>
      <w:b/>
      <w:bCs/>
      <w:kern w:val="28"/>
      <w:sz w:val="32"/>
      <w:szCs w:val="32"/>
    </w:rPr>
  </w:style>
  <w:style w:type="character" w:customStyle="1" w:styleId="1060">
    <w:name w:val="电子邮件签名 字符1"/>
    <w:semiHidden/>
    <w:qFormat/>
    <w:uiPriority w:val="0"/>
    <w:rPr>
      <w:kern w:val="2"/>
      <w:sz w:val="24"/>
      <w:szCs w:val="22"/>
    </w:rPr>
  </w:style>
  <w:style w:type="character" w:customStyle="1" w:styleId="1061">
    <w:name w:val="称呼 字符1"/>
    <w:semiHidden/>
    <w:qFormat/>
    <w:uiPriority w:val="0"/>
    <w:rPr>
      <w:kern w:val="2"/>
      <w:sz w:val="24"/>
      <w:szCs w:val="22"/>
    </w:rPr>
  </w:style>
  <w:style w:type="character" w:customStyle="1" w:styleId="1062">
    <w:name w:val="结束语 字符1"/>
    <w:semiHidden/>
    <w:qFormat/>
    <w:uiPriority w:val="0"/>
    <w:rPr>
      <w:kern w:val="2"/>
      <w:sz w:val="24"/>
      <w:szCs w:val="22"/>
    </w:rPr>
  </w:style>
  <w:style w:type="character" w:customStyle="1" w:styleId="1063">
    <w:name w:val="脚注文本 字符1"/>
    <w:semiHidden/>
    <w:qFormat/>
    <w:uiPriority w:val="0"/>
    <w:rPr>
      <w:kern w:val="2"/>
      <w:sz w:val="18"/>
      <w:szCs w:val="18"/>
    </w:rPr>
  </w:style>
  <w:style w:type="character" w:customStyle="1" w:styleId="1064">
    <w:name w:val="文本 Char"/>
    <w:link w:val="1065"/>
    <w:qFormat/>
    <w:uiPriority w:val="0"/>
    <w:rPr>
      <w:rFonts w:ascii="宋体" w:hAnsi="宋体"/>
      <w:spacing w:val="-10"/>
      <w:kern w:val="2"/>
      <w:sz w:val="24"/>
      <w:lang w:val="en-GB"/>
    </w:rPr>
  </w:style>
  <w:style w:type="paragraph" w:customStyle="1" w:styleId="1065">
    <w:name w:val="文本"/>
    <w:basedOn w:val="1"/>
    <w:link w:val="1064"/>
    <w:qFormat/>
    <w:uiPriority w:val="0"/>
    <w:pPr>
      <w:snapToGrid w:val="0"/>
      <w:spacing w:line="360" w:lineRule="auto"/>
      <w:ind w:left="882" w:leftChars="420" w:firstLine="400" w:firstLineChars="200"/>
    </w:pPr>
    <w:rPr>
      <w:rFonts w:ascii="宋体" w:hAnsi="宋体"/>
      <w:spacing w:val="-10"/>
      <w:sz w:val="24"/>
      <w:szCs w:val="20"/>
      <w:lang w:val="en-GB"/>
    </w:rPr>
  </w:style>
  <w:style w:type="character" w:customStyle="1" w:styleId="1066">
    <w:name w:val="流程文字 Char"/>
    <w:link w:val="284"/>
    <w:qFormat/>
    <w:uiPriority w:val="0"/>
    <w:rPr>
      <w:rFonts w:ascii="Times New Roman" w:hAnsi="Times New Roman" w:eastAsia="仿宋_GB2312"/>
      <w:kern w:val="2"/>
      <w:sz w:val="21"/>
      <w:lang w:val="zh-CN" w:eastAsia="zh-CN"/>
    </w:rPr>
  </w:style>
  <w:style w:type="character" w:customStyle="1" w:styleId="1067">
    <w:name w:val="页眉 Char"/>
    <w:qFormat/>
    <w:uiPriority w:val="0"/>
    <w:rPr>
      <w:rFonts w:ascii="Times New Roman" w:hAnsi="Times New Roman" w:eastAsia="宋体"/>
      <w:sz w:val="18"/>
      <w:szCs w:val="18"/>
    </w:rPr>
  </w:style>
  <w:style w:type="character" w:customStyle="1" w:styleId="1068">
    <w:name w:val="书正文 Char"/>
    <w:link w:val="1069"/>
    <w:qFormat/>
    <w:uiPriority w:val="0"/>
    <w:rPr>
      <w:rFonts w:ascii="Tahoma" w:hAnsi="Tahoma"/>
      <w:sz w:val="24"/>
    </w:rPr>
  </w:style>
  <w:style w:type="paragraph" w:customStyle="1" w:styleId="1069">
    <w:name w:val="书正文"/>
    <w:basedOn w:val="1"/>
    <w:link w:val="1068"/>
    <w:qFormat/>
    <w:uiPriority w:val="0"/>
    <w:pPr>
      <w:adjustRightInd w:val="0"/>
      <w:snapToGrid w:val="0"/>
      <w:spacing w:line="520" w:lineRule="exact"/>
      <w:ind w:firstLine="200" w:firstLineChars="200"/>
      <w:textAlignment w:val="baseline"/>
    </w:pPr>
    <w:rPr>
      <w:rFonts w:ascii="Tahoma" w:hAnsi="Tahoma"/>
      <w:kern w:val="0"/>
      <w:sz w:val="24"/>
      <w:szCs w:val="20"/>
    </w:rPr>
  </w:style>
  <w:style w:type="character" w:customStyle="1" w:styleId="1070">
    <w:name w:val="font01"/>
    <w:qFormat/>
    <w:uiPriority w:val="0"/>
    <w:rPr>
      <w:rFonts w:hint="eastAsia" w:ascii="宋体" w:hAnsi="宋体" w:eastAsia="宋体" w:cs="宋体"/>
      <w:color w:val="000000"/>
      <w:kern w:val="2"/>
      <w:sz w:val="21"/>
      <w:szCs w:val="21"/>
      <w:u w:val="none"/>
    </w:rPr>
  </w:style>
  <w:style w:type="character" w:customStyle="1" w:styleId="1071">
    <w:name w:val="注释标题 Char2"/>
    <w:semiHidden/>
    <w:qFormat/>
    <w:uiPriority w:val="0"/>
    <w:rPr>
      <w:rFonts w:ascii="宋体" w:hAnsi="宋体" w:cs="宋体"/>
      <w:szCs w:val="21"/>
    </w:rPr>
  </w:style>
  <w:style w:type="character" w:customStyle="1" w:styleId="1072">
    <w:name w:val="TOC 2 字符"/>
    <w:link w:val="51"/>
    <w:qFormat/>
    <w:uiPriority w:val="39"/>
    <w:rPr>
      <w:rFonts w:ascii="Times New Roman" w:hAnsi="Times New Roman"/>
      <w:smallCaps/>
      <w:kern w:val="2"/>
      <w:sz w:val="24"/>
      <w:szCs w:val="24"/>
      <w:lang w:val="zh-CN" w:eastAsia="zh-CN"/>
    </w:rPr>
  </w:style>
  <w:style w:type="paragraph" w:customStyle="1" w:styleId="1073">
    <w:name w:val="表中文字"/>
    <w:basedOn w:val="1"/>
    <w:qFormat/>
    <w:uiPriority w:val="0"/>
    <w:pPr>
      <w:snapToGrid w:val="0"/>
      <w:jc w:val="center"/>
    </w:pPr>
    <w:rPr>
      <w:szCs w:val="18"/>
    </w:rPr>
  </w:style>
  <w:style w:type="paragraph" w:customStyle="1" w:styleId="1074">
    <w:name w:val="书表格"/>
    <w:basedOn w:val="1"/>
    <w:next w:val="1069"/>
    <w:qFormat/>
    <w:uiPriority w:val="0"/>
    <w:pPr>
      <w:autoSpaceDE w:val="0"/>
      <w:autoSpaceDN w:val="0"/>
      <w:adjustRightInd w:val="0"/>
      <w:snapToGrid w:val="0"/>
      <w:spacing w:line="360" w:lineRule="auto"/>
      <w:ind w:firstLine="400" w:firstLineChars="200"/>
      <w:jc w:val="center"/>
      <w:textAlignment w:val="bottom"/>
    </w:pPr>
    <w:rPr>
      <w:kern w:val="0"/>
      <w:sz w:val="24"/>
      <w:szCs w:val="20"/>
    </w:rPr>
  </w:style>
  <w:style w:type="paragraph" w:customStyle="1" w:styleId="1075">
    <w:name w:val="书图表标题"/>
    <w:basedOn w:val="1"/>
    <w:next w:val="1074"/>
    <w:qFormat/>
    <w:uiPriority w:val="0"/>
    <w:pPr>
      <w:snapToGrid w:val="0"/>
      <w:spacing w:line="520" w:lineRule="exact"/>
      <w:ind w:firstLine="400" w:firstLineChars="200"/>
      <w:jc w:val="center"/>
    </w:pPr>
    <w:rPr>
      <w:rFonts w:eastAsia="黑体"/>
      <w:sz w:val="24"/>
    </w:rPr>
  </w:style>
  <w:style w:type="table" w:customStyle="1" w:styleId="1076">
    <w:name w:val="表格主题3"/>
    <w:basedOn w:val="5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7">
    <w:name w:val="表格主题2"/>
    <w:basedOn w:val="5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8">
    <w:name w:val="网格型模版28"/>
    <w:basedOn w:val="59"/>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9">
    <w:name w:val="斜头13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80">
    <w:name w:val="网格型13"/>
    <w:basedOn w:val="59"/>
    <w:qFormat/>
    <w:uiPriority w:val="0"/>
    <w:pPr>
      <w:widowControl w:val="0"/>
      <w:autoSpaceDE w:val="0"/>
      <w:autoSpaceDN w:val="0"/>
      <w:adjustRightInd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1">
    <w:name w:val="斜头112"/>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82">
    <w:name w:val="斜头151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83">
    <w:name w:val="表格格式——kerlin1"/>
    <w:basedOn w:val="5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4">
    <w:name w:val="斜头1312"/>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85">
    <w:name w:val="网格型 512"/>
    <w:basedOn w:val="59"/>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86">
    <w:name w:val="何黎的表格样式"/>
    <w:basedOn w:val="59"/>
    <w:qFormat/>
    <w:uiPriority w:val="0"/>
    <w:rPr>
      <w:kern w:val="2"/>
      <w:sz w:val="21"/>
      <w:szCs w:val="22"/>
    </w:rPr>
  </w:style>
  <w:style w:type="table" w:customStyle="1" w:styleId="1087">
    <w:name w:val="表格格式——kerlin2"/>
    <w:basedOn w:val="5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8">
    <w:name w:val="斜头12"/>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89">
    <w:name w:val="斜头3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90">
    <w:name w:val="表格样式11"/>
    <w:basedOn w:val="60"/>
    <w:qFormat/>
    <w:uiPriority w:val="0"/>
    <w:pPr>
      <w:widowControl w:val="0"/>
      <w:spacing w:line="360" w:lineRule="exact"/>
      <w:jc w:val="center"/>
    </w:pPr>
    <w:tblPr>
      <w:tblBorders>
        <w:top w:val="single" w:color="auto" w:sz="12" w:space="0"/>
        <w:left w:val="single" w:color="auto" w:sz="12" w:space="0"/>
        <w:bottom w:val="single" w:color="auto" w:sz="12" w:space="0"/>
        <w:right w:val="single" w:color="auto" w:sz="12" w:space="0"/>
      </w:tblBorders>
    </w:tblPr>
  </w:style>
  <w:style w:type="table" w:customStyle="1" w:styleId="1091">
    <w:name w:val="网格型 12"/>
    <w:basedOn w:val="59"/>
    <w:qFormat/>
    <w:uiPriority w:val="0"/>
    <w:pPr>
      <w:widowControl w:val="0"/>
      <w:adjustRightInd w:val="0"/>
      <w:spacing w:line="48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92">
    <w:name w:val="报告书样式1"/>
    <w:basedOn w:val="60"/>
    <w:qFormat/>
    <w:uiPriority w:val="0"/>
    <w:pPr>
      <w:widowControl w:val="0"/>
      <w:spacing w:line="360" w:lineRule="auto"/>
      <w:jc w:val="center"/>
    </w:pPr>
    <w:rPr>
      <w:sz w:val="21"/>
    </w:rPr>
    <w:tblPr>
      <w:tblBorders>
        <w:top w:val="single" w:color="auto" w:sz="12" w:space="0"/>
        <w:left w:val="single" w:color="auto" w:sz="12" w:space="0"/>
        <w:bottom w:val="single" w:color="auto" w:sz="12" w:space="0"/>
        <w:right w:val="single" w:color="auto" w:sz="12" w:space="0"/>
      </w:tblBorders>
    </w:tblPr>
    <w:tcPr>
      <w:vAlign w:val="center"/>
    </w:tcPr>
  </w:style>
  <w:style w:type="table" w:customStyle="1" w:styleId="1093">
    <w:name w:val="斜头23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94">
    <w:name w:val="斜头122"/>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95">
    <w:name w:val="斜头22"/>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96">
    <w:name w:val="表格样式112"/>
    <w:basedOn w:val="60"/>
    <w:qFormat/>
    <w:uiPriority w:val="0"/>
    <w:pPr>
      <w:widowControl w:val="0"/>
      <w:spacing w:line="360" w:lineRule="exact"/>
      <w:jc w:val="both"/>
    </w:pPr>
    <w:rPr>
      <w:sz w:val="21"/>
      <w:szCs w:val="21"/>
    </w:rPr>
  </w:style>
  <w:style w:type="table" w:customStyle="1" w:styleId="1097">
    <w:name w:val="网格型模版6"/>
    <w:basedOn w:val="5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8">
    <w:name w:val="网格型模版32"/>
    <w:basedOn w:val="59"/>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9">
    <w:name w:val="斜头32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00">
    <w:name w:val="表格样式1002"/>
    <w:basedOn w:val="59"/>
    <w:semiHidden/>
    <w:qFormat/>
    <w:uiPriority w:val="0"/>
    <w:pPr>
      <w:widowControl w:val="0"/>
      <w:overflowPunct w:val="0"/>
      <w:topLinePunct/>
      <w:autoSpaceDE w:val="0"/>
      <w:autoSpaceDN w:val="0"/>
      <w:adjustRightInd w:val="0"/>
      <w:snapToGrid w:val="0"/>
      <w:spacing w:line="400" w:lineRule="exact"/>
      <w:jc w:val="center"/>
    </w:pPr>
    <w:rPr>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1101">
    <w:name w:val="表格样式13"/>
    <w:basedOn w:val="60"/>
    <w:qFormat/>
    <w:uiPriority w:val="0"/>
    <w:pPr>
      <w:widowControl w:val="0"/>
      <w:spacing w:line="360" w:lineRule="exact"/>
      <w:jc w:val="both"/>
    </w:pPr>
    <w:rPr>
      <w:sz w:val="21"/>
      <w:szCs w:val="21"/>
    </w:rPr>
    <w:tblPr>
      <w:tblBorders>
        <w:top w:val="single" w:color="auto" w:sz="12" w:space="0"/>
        <w:left w:val="single" w:color="auto" w:sz="12" w:space="0"/>
        <w:bottom w:val="single" w:color="auto" w:sz="12" w:space="0"/>
        <w:right w:val="single" w:color="auto" w:sz="12" w:space="0"/>
      </w:tblBorders>
    </w:tblPr>
  </w:style>
  <w:style w:type="table" w:customStyle="1" w:styleId="1102">
    <w:name w:val="斜头21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03">
    <w:name w:val="斜头412"/>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04">
    <w:name w:val="普通表格11"/>
    <w:semiHidden/>
    <w:qFormat/>
    <w:uiPriority w:val="0"/>
    <w:rPr>
      <w:rFonts w:eastAsia="Times New Roman"/>
      <w:kern w:val="2"/>
      <w:sz w:val="21"/>
      <w:szCs w:val="22"/>
    </w:rPr>
    <w:tblPr>
      <w:tblCellMar>
        <w:top w:w="0" w:type="dxa"/>
        <w:left w:w="108" w:type="dxa"/>
        <w:bottom w:w="0" w:type="dxa"/>
        <w:right w:w="108" w:type="dxa"/>
      </w:tblCellMar>
    </w:tblPr>
  </w:style>
  <w:style w:type="table" w:customStyle="1" w:styleId="1105">
    <w:name w:val="斜头131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06">
    <w:name w:val="斜头4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07">
    <w:name w:val="斜头141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08">
    <w:name w:val="表格样式18"/>
    <w:basedOn w:val="60"/>
    <w:qFormat/>
    <w:uiPriority w:val="0"/>
    <w:pPr>
      <w:widowControl w:val="0"/>
      <w:spacing w:line="360" w:lineRule="exact"/>
      <w:jc w:val="both"/>
    </w:pPr>
    <w:rPr>
      <w:sz w:val="21"/>
      <w:szCs w:val="21"/>
    </w:rPr>
    <w:tblPr>
      <w:tblBorders>
        <w:top w:val="single" w:color="auto" w:sz="12" w:space="0"/>
        <w:left w:val="single" w:color="auto" w:sz="12" w:space="0"/>
        <w:bottom w:val="single" w:color="auto" w:sz="12" w:space="0"/>
        <w:right w:val="single" w:color="auto" w:sz="12" w:space="0"/>
      </w:tblBorders>
    </w:tblPr>
  </w:style>
  <w:style w:type="table" w:customStyle="1" w:styleId="1109">
    <w:name w:val="简明型 11"/>
    <w:basedOn w:val="59"/>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110">
    <w:name w:val="斜头511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11">
    <w:name w:val="古典型 11"/>
    <w:basedOn w:val="59"/>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112">
    <w:name w:val="网格型7"/>
    <w:basedOn w:val="5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3">
    <w:name w:val="斜头142"/>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14">
    <w:name w:val="网格型模版11"/>
    <w:basedOn w:val="59"/>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5">
    <w:name w:val="表格主题4"/>
    <w:basedOn w:val="5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6">
    <w:name w:val="表格样式151"/>
    <w:basedOn w:val="60"/>
    <w:qFormat/>
    <w:uiPriority w:val="0"/>
    <w:pPr>
      <w:widowControl w:val="0"/>
      <w:spacing w:line="360" w:lineRule="exact"/>
      <w:jc w:val="center"/>
    </w:pPr>
    <w:tblPr>
      <w:tblBorders>
        <w:top w:val="single" w:color="auto" w:sz="12" w:space="0"/>
        <w:left w:val="single" w:color="auto" w:sz="12" w:space="0"/>
        <w:bottom w:val="single" w:color="auto" w:sz="12" w:space="0"/>
        <w:right w:val="single" w:color="auto" w:sz="12" w:space="0"/>
      </w:tblBorders>
    </w:tblPr>
  </w:style>
  <w:style w:type="table" w:customStyle="1" w:styleId="1117">
    <w:name w:val="网格型模版16"/>
    <w:basedOn w:val="59"/>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8">
    <w:name w:val="斜头6"/>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19">
    <w:name w:val="斜头1113"/>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20">
    <w:name w:val="斜头24"/>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21">
    <w:name w:val="斜头31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22">
    <w:name w:val="斜头311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23">
    <w:name w:val="斜头15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24">
    <w:name w:val="斜头42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25">
    <w:name w:val="网格型 51"/>
    <w:basedOn w:val="59"/>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26">
    <w:name w:val="斜头4"/>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27">
    <w:name w:val="毛的表格"/>
    <w:basedOn w:val="59"/>
    <w:qFormat/>
    <w:uiPriority w:val="0"/>
    <w:pPr>
      <w:jc w:val="center"/>
    </w:pPr>
    <w:rPr>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1128">
    <w:name w:val="斜头1112"/>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29">
    <w:name w:val="表格样式114"/>
    <w:basedOn w:val="60"/>
    <w:qFormat/>
    <w:uiPriority w:val="0"/>
    <w:pPr>
      <w:widowControl w:val="0"/>
      <w:spacing w:line="360" w:lineRule="exact"/>
      <w:jc w:val="center"/>
    </w:pPr>
    <w:tblPr>
      <w:tblBorders>
        <w:top w:val="single" w:color="auto" w:sz="12" w:space="0"/>
        <w:left w:val="single" w:color="auto" w:sz="12" w:space="0"/>
        <w:bottom w:val="single" w:color="auto" w:sz="12" w:space="0"/>
        <w:right w:val="single" w:color="auto" w:sz="12" w:space="0"/>
      </w:tblBorders>
    </w:tblPr>
  </w:style>
  <w:style w:type="table" w:customStyle="1" w:styleId="1130">
    <w:name w:val="斜头1121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31">
    <w:name w:val="网格型刘9"/>
    <w:basedOn w:val="59"/>
    <w:qFormat/>
    <w:uiPriority w:val="0"/>
    <w:pPr>
      <w:widowControl w:val="0"/>
      <w:spacing w:line="0" w:lineRule="atLeast"/>
      <w:jc w:val="center"/>
    </w:pPr>
    <w:tblP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left w:w="28" w:type="dxa"/>
        <w:right w:w="28" w:type="dxa"/>
      </w:tblCellMar>
    </w:tblPr>
    <w:tcPr>
      <w:vAlign w:val="center"/>
    </w:tcPr>
  </w:style>
  <w:style w:type="table" w:customStyle="1" w:styleId="1132">
    <w:name w:val="斜头312"/>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33">
    <w:name w:val="斜头32"/>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34">
    <w:name w:val="网格型模版4"/>
    <w:basedOn w:val="59"/>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5">
    <w:name w:val="表格样式1003"/>
    <w:basedOn w:val="60"/>
    <w:qFormat/>
    <w:uiPriority w:val="0"/>
    <w:pPr>
      <w:widowControl w:val="0"/>
      <w:overflowPunct w:val="0"/>
      <w:topLinePunct/>
      <w:autoSpaceDE w:val="0"/>
      <w:autoSpaceDN w:val="0"/>
      <w:adjustRightInd w:val="0"/>
      <w:snapToGrid w:val="0"/>
      <w:spacing w:line="400" w:lineRule="exact"/>
      <w:jc w:val="center"/>
    </w:pPr>
    <w:rPr>
      <w:sz w:val="21"/>
    </w:rPr>
    <w:tcPr>
      <w:vAlign w:val="center"/>
    </w:tcPr>
  </w:style>
  <w:style w:type="table" w:customStyle="1" w:styleId="1136">
    <w:name w:val="周1"/>
    <w:basedOn w:val="60"/>
    <w:qFormat/>
    <w:uiPriority w:val="0"/>
    <w:pPr>
      <w:widowControl w:val="0"/>
      <w:spacing w:line="360" w:lineRule="exact"/>
      <w:jc w:val="both"/>
    </w:pPr>
    <w:rPr>
      <w:rFonts w:eastAsia="Times New Roman"/>
      <w:sz w:val="21"/>
    </w:rPr>
  </w:style>
  <w:style w:type="table" w:customStyle="1" w:styleId="1137">
    <w:name w:val="网格型-无边竖线1"/>
    <w:basedOn w:val="59"/>
    <w:qFormat/>
    <w:uiPriority w:val="0"/>
    <w:rPr>
      <w:rFonts w:ascii="Wingdings" w:hAnsi="Wingding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38">
    <w:name w:val="网格型模版34"/>
    <w:basedOn w:val="59"/>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9">
    <w:name w:val="网格型 13"/>
    <w:basedOn w:val="59"/>
    <w:qFormat/>
    <w:uiPriority w:val="0"/>
    <w:pPr>
      <w:widowControl w:val="0"/>
      <w:spacing w:line="48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40">
    <w:name w:val="zhou自定义"/>
    <w:basedOn w:val="60"/>
    <w:qFormat/>
    <w:uiPriority w:val="0"/>
    <w:pPr>
      <w:widowControl w:val="0"/>
      <w:spacing w:line="360" w:lineRule="exact"/>
      <w:jc w:val="center"/>
    </w:pPr>
    <w:rPr>
      <w:rFonts w:eastAsia="Times New Roman"/>
      <w:sz w:val="21"/>
    </w:rPr>
  </w:style>
  <w:style w:type="table" w:customStyle="1" w:styleId="1141">
    <w:name w:val="网格型模版35"/>
    <w:basedOn w:val="59"/>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2">
    <w:name w:val="斜头61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43">
    <w:name w:val="报告书样式"/>
    <w:basedOn w:val="60"/>
    <w:qFormat/>
    <w:uiPriority w:val="0"/>
    <w:pPr>
      <w:widowControl w:val="0"/>
      <w:spacing w:line="360" w:lineRule="auto"/>
      <w:jc w:val="center"/>
    </w:pPr>
    <w:rPr>
      <w:sz w:val="21"/>
    </w:rPr>
    <w:tblPr>
      <w:tblBorders>
        <w:top w:val="single" w:color="auto" w:sz="12" w:space="0"/>
        <w:left w:val="single" w:color="auto" w:sz="12" w:space="0"/>
        <w:bottom w:val="single" w:color="auto" w:sz="12" w:space="0"/>
        <w:right w:val="single" w:color="auto" w:sz="12" w:space="0"/>
      </w:tblBorders>
    </w:tblPr>
    <w:tcPr>
      <w:vAlign w:val="center"/>
    </w:tcPr>
  </w:style>
  <w:style w:type="table" w:customStyle="1" w:styleId="1144">
    <w:name w:val="斜头211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45">
    <w:name w:val="斜头14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46">
    <w:name w:val="斜头53"/>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47">
    <w:name w:val="典雅型1"/>
    <w:basedOn w:val="59"/>
    <w:qFormat/>
    <w:uiPriority w:val="0"/>
    <w:pPr>
      <w:widowControl w:val="0"/>
      <w:spacing w:line="480" w:lineRule="exact"/>
      <w:ind w:firstLine="200" w:firstLineChars="200"/>
      <w:jc w:val="both"/>
    </w:pPr>
    <w:rPr>
      <w:rFonts w:ascii="ˎ̥" w:hAnsi="ˎ̥" w:eastAsia="FLGPEK+TimesNewRoman,Italic" w:cs="ˎ̥"/>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148">
    <w:name w:val="表格样式12"/>
    <w:basedOn w:val="60"/>
    <w:qFormat/>
    <w:uiPriority w:val="0"/>
    <w:pPr>
      <w:widowControl w:val="0"/>
      <w:spacing w:line="360" w:lineRule="exact"/>
      <w:jc w:val="both"/>
    </w:pPr>
    <w:rPr>
      <w:sz w:val="21"/>
      <w:szCs w:val="21"/>
    </w:rPr>
  </w:style>
  <w:style w:type="table" w:customStyle="1" w:styleId="1149">
    <w:name w:val="斜头152"/>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50">
    <w:name w:val="斜头12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51">
    <w:name w:val="斜头121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52">
    <w:name w:val="网格型 513"/>
    <w:basedOn w:val="59"/>
    <w:qFormat/>
    <w:uiPriority w:val="0"/>
    <w:pPr>
      <w:widowControl w:val="0"/>
      <w:spacing w:line="480" w:lineRule="exact"/>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53">
    <w:name w:val="网格型模版14"/>
    <w:basedOn w:val="59"/>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4">
    <w:name w:val="网格型 52"/>
    <w:basedOn w:val="59"/>
    <w:qFormat/>
    <w:uiPriority w:val="0"/>
    <w:pPr>
      <w:widowControl w:val="0"/>
      <w:spacing w:line="480" w:lineRule="exact"/>
      <w:ind w:firstLine="200" w:firstLineChars="200"/>
      <w:jc w:val="both"/>
    </w:pPr>
    <w:rPr>
      <w:kern w:val="2"/>
      <w:sz w:val="21"/>
      <w:szCs w:val="22"/>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55">
    <w:name w:val="网格型模版24"/>
    <w:basedOn w:val="59"/>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6">
    <w:name w:val="网格型模版2"/>
    <w:basedOn w:val="59"/>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7">
    <w:name w:val="斜头142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58">
    <w:name w:val="斜头5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59">
    <w:name w:val="网格型模版31"/>
    <w:basedOn w:val="59"/>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0">
    <w:name w:val="表格样式191"/>
    <w:basedOn w:val="60"/>
    <w:qFormat/>
    <w:uiPriority w:val="0"/>
    <w:pPr>
      <w:widowControl w:val="0"/>
      <w:spacing w:line="360" w:lineRule="exact"/>
      <w:jc w:val="both"/>
    </w:pPr>
    <w:rPr>
      <w:sz w:val="21"/>
      <w:szCs w:val="21"/>
    </w:rPr>
    <w:tblPr>
      <w:tblBorders>
        <w:top w:val="single" w:color="auto" w:sz="12" w:space="0"/>
        <w:left w:val="single" w:color="auto" w:sz="12" w:space="0"/>
        <w:bottom w:val="single" w:color="auto" w:sz="12" w:space="0"/>
        <w:right w:val="single" w:color="auto" w:sz="12" w:space="0"/>
      </w:tblBorders>
    </w:tblPr>
  </w:style>
  <w:style w:type="table" w:customStyle="1" w:styleId="1161">
    <w:name w:val="斜头122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62">
    <w:name w:val="斜头33"/>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63">
    <w:name w:val="网格型模版13"/>
    <w:basedOn w:val="59"/>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4">
    <w:name w:val="斜头114"/>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65">
    <w:name w:val="表格样式17"/>
    <w:basedOn w:val="60"/>
    <w:qFormat/>
    <w:uiPriority w:val="0"/>
    <w:pPr>
      <w:widowControl w:val="0"/>
      <w:spacing w:line="360" w:lineRule="exact"/>
      <w:jc w:val="both"/>
    </w:pPr>
    <w:rPr>
      <w:sz w:val="21"/>
      <w:szCs w:val="21"/>
    </w:rPr>
    <w:tblPr>
      <w:tblBorders>
        <w:top w:val="single" w:color="auto" w:sz="12" w:space="0"/>
        <w:left w:val="single" w:color="auto" w:sz="12" w:space="0"/>
        <w:bottom w:val="single" w:color="auto" w:sz="12" w:space="0"/>
        <w:right w:val="single" w:color="auto" w:sz="12" w:space="0"/>
      </w:tblBorders>
    </w:tblPr>
  </w:style>
  <w:style w:type="table" w:customStyle="1" w:styleId="1166">
    <w:name w:val="表格主题1"/>
    <w:basedOn w:val="5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7">
    <w:name w:val="表格样式1001"/>
    <w:basedOn w:val="60"/>
    <w:qFormat/>
    <w:uiPriority w:val="0"/>
    <w:pPr>
      <w:widowControl w:val="0"/>
      <w:overflowPunct w:val="0"/>
      <w:topLinePunct/>
      <w:autoSpaceDE w:val="0"/>
      <w:autoSpaceDN w:val="0"/>
      <w:adjustRightInd w:val="0"/>
      <w:snapToGrid w:val="0"/>
      <w:spacing w:line="400" w:lineRule="exact"/>
      <w:jc w:val="center"/>
    </w:pPr>
    <w:rPr>
      <w:sz w:val="21"/>
    </w:rPr>
    <w:tcPr>
      <w:vAlign w:val="center"/>
    </w:tcPr>
  </w:style>
  <w:style w:type="table" w:customStyle="1" w:styleId="1168">
    <w:name w:val="网格型模版27"/>
    <w:basedOn w:val="59"/>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9">
    <w:name w:val="斜头7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70">
    <w:name w:val="网格型 55"/>
    <w:basedOn w:val="59"/>
    <w:qFormat/>
    <w:uiPriority w:val="0"/>
    <w:pPr>
      <w:widowControl w:val="0"/>
      <w:spacing w:line="520" w:lineRule="exact"/>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71">
    <w:name w:val="斜头11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72">
    <w:name w:val="斜头2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73">
    <w:name w:val="斜头6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74">
    <w:name w:val="网格型模版33"/>
    <w:basedOn w:val="59"/>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5">
    <w:name w:val="斜头14"/>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76">
    <w:name w:val="网格型模版51"/>
    <w:basedOn w:val="59"/>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7">
    <w:name w:val="斜头43"/>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78">
    <w:name w:val="网格型模版5"/>
    <w:basedOn w:val="5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9">
    <w:name w:val="表格样式181"/>
    <w:basedOn w:val="60"/>
    <w:qFormat/>
    <w:uiPriority w:val="0"/>
    <w:pPr>
      <w:widowControl w:val="0"/>
      <w:spacing w:line="360" w:lineRule="exact"/>
      <w:jc w:val="both"/>
    </w:pPr>
    <w:rPr>
      <w:sz w:val="21"/>
      <w:szCs w:val="21"/>
    </w:rPr>
    <w:tblPr>
      <w:tblBorders>
        <w:top w:val="single" w:color="auto" w:sz="12" w:space="0"/>
        <w:left w:val="single" w:color="auto" w:sz="12" w:space="0"/>
        <w:bottom w:val="single" w:color="auto" w:sz="12" w:space="0"/>
        <w:right w:val="single" w:color="auto" w:sz="12" w:space="0"/>
      </w:tblBorders>
    </w:tblPr>
  </w:style>
  <w:style w:type="table" w:customStyle="1" w:styleId="1180">
    <w:name w:val="表格样式110"/>
    <w:basedOn w:val="60"/>
    <w:qFormat/>
    <w:uiPriority w:val="0"/>
    <w:pPr>
      <w:widowControl w:val="0"/>
      <w:spacing w:line="360" w:lineRule="exact"/>
      <w:jc w:val="center"/>
    </w:pPr>
    <w:tblPr>
      <w:tblBorders>
        <w:top w:val="single" w:color="auto" w:sz="12" w:space="0"/>
        <w:left w:val="single" w:color="auto" w:sz="12" w:space="0"/>
        <w:bottom w:val="single" w:color="auto" w:sz="12" w:space="0"/>
        <w:right w:val="single" w:color="auto" w:sz="12" w:space="0"/>
      </w:tblBorders>
    </w:tblPr>
  </w:style>
  <w:style w:type="table" w:customStyle="1" w:styleId="1181">
    <w:name w:val="网格型12"/>
    <w:basedOn w:val="59"/>
    <w:semiHidden/>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2">
    <w:name w:val="斜头52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83">
    <w:name w:val="斜头42"/>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84">
    <w:name w:val="斜头113"/>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85">
    <w:name w:val="斜头1212"/>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86">
    <w:name w:val="网格型17"/>
    <w:basedOn w:val="59"/>
    <w:semiHidden/>
    <w:qFormat/>
    <w:uiPriority w:val="0"/>
    <w:pPr>
      <w:widowControl w:val="0"/>
      <w:overflowPunct w:val="0"/>
      <w:topLinePunct/>
      <w:autoSpaceDE w:val="0"/>
      <w:autoSpaceDN w:val="0"/>
      <w:adjustRightInd w:val="0"/>
      <w:snapToGrid w:val="0"/>
      <w:spacing w:line="4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7">
    <w:name w:val="表格样式171"/>
    <w:basedOn w:val="60"/>
    <w:qFormat/>
    <w:uiPriority w:val="0"/>
    <w:pPr>
      <w:widowControl w:val="0"/>
      <w:spacing w:line="360" w:lineRule="exact"/>
      <w:jc w:val="both"/>
    </w:pPr>
    <w:rPr>
      <w:sz w:val="21"/>
      <w:szCs w:val="21"/>
    </w:rPr>
    <w:tblPr>
      <w:tblBorders>
        <w:top w:val="single" w:color="auto" w:sz="12" w:space="0"/>
        <w:left w:val="single" w:color="auto" w:sz="12" w:space="0"/>
        <w:bottom w:val="single" w:color="auto" w:sz="12" w:space="0"/>
        <w:right w:val="single" w:color="auto" w:sz="12" w:space="0"/>
      </w:tblBorders>
    </w:tblPr>
  </w:style>
  <w:style w:type="table" w:customStyle="1" w:styleId="1188">
    <w:name w:val="网格型8"/>
    <w:basedOn w:val="5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9">
    <w:name w:val="斜头132"/>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90">
    <w:name w:val="斜头11112"/>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91">
    <w:name w:val="斜头51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92">
    <w:name w:val="斜头1412"/>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93">
    <w:name w:val="清单表 2 - 着色 31"/>
    <w:basedOn w:val="59"/>
    <w:qFormat/>
    <w:uiPriority w:val="0"/>
    <w:tblPr>
      <w:tblBorders>
        <w:top w:val="single" w:color="C9C9C9" w:sz="4" w:space="0"/>
        <w:bottom w:val="single" w:color="C9C9C9" w:sz="4" w:space="0"/>
        <w:insideH w:val="single" w:color="C9C9C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194">
    <w:name w:val="网格型11"/>
    <w:basedOn w:val="5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5">
    <w:name w:val="网格型142"/>
    <w:basedOn w:val="59"/>
    <w:qFormat/>
    <w:uiPriority w:val="0"/>
    <w:pPr>
      <w:widowControl w:val="0"/>
      <w:autoSpaceDE w:val="0"/>
      <w:autoSpaceDN w:val="0"/>
      <w:adjustRightInd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6">
    <w:name w:val="网格型31"/>
    <w:basedOn w:val="5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7">
    <w:name w:val="网格型141"/>
    <w:basedOn w:val="59"/>
    <w:qFormat/>
    <w:uiPriority w:val="0"/>
    <w:pPr>
      <w:widowControl w:val="0"/>
      <w:autoSpaceDE w:val="0"/>
      <w:autoSpaceDN w:val="0"/>
      <w:adjustRightInd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8">
    <w:name w:val="网格型模版21"/>
    <w:basedOn w:val="59"/>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9">
    <w:name w:val="斜头7"/>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00">
    <w:name w:val="斜头143"/>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01">
    <w:name w:val="斜头1211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02">
    <w:name w:val="表格样式16"/>
    <w:basedOn w:val="60"/>
    <w:qFormat/>
    <w:uiPriority w:val="0"/>
    <w:pPr>
      <w:widowControl w:val="0"/>
      <w:spacing w:line="360" w:lineRule="exact"/>
      <w:jc w:val="both"/>
    </w:pPr>
    <w:tblPr>
      <w:tblBorders>
        <w:top w:val="single" w:color="auto" w:sz="12" w:space="0"/>
        <w:left w:val="single" w:color="auto" w:sz="12" w:space="0"/>
        <w:bottom w:val="single" w:color="auto" w:sz="12" w:space="0"/>
        <w:right w:val="single" w:color="auto" w:sz="12" w:space="0"/>
      </w:tblBorders>
    </w:tblPr>
  </w:style>
  <w:style w:type="table" w:customStyle="1" w:styleId="1203">
    <w:name w:val="斜头1311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04">
    <w:name w:val="表格样式161"/>
    <w:basedOn w:val="60"/>
    <w:qFormat/>
    <w:uiPriority w:val="0"/>
    <w:pPr>
      <w:widowControl w:val="0"/>
      <w:spacing w:line="360" w:lineRule="exact"/>
      <w:jc w:val="both"/>
    </w:pPr>
    <w:tblPr>
      <w:tblBorders>
        <w:top w:val="single" w:color="auto" w:sz="12" w:space="0"/>
        <w:left w:val="single" w:color="auto" w:sz="12" w:space="0"/>
        <w:bottom w:val="single" w:color="auto" w:sz="12" w:space="0"/>
        <w:right w:val="single" w:color="auto" w:sz="12" w:space="0"/>
      </w:tblBorders>
    </w:tblPr>
  </w:style>
  <w:style w:type="table" w:customStyle="1" w:styleId="1205">
    <w:name w:val="古典型 12"/>
    <w:basedOn w:val="59"/>
    <w:qFormat/>
    <w:uiPriority w:val="0"/>
    <w:pPr>
      <w:widowControl w:val="0"/>
      <w:jc w:val="both"/>
    </w:pPr>
    <w:rPr>
      <w:sz w:val="21"/>
    </w:rPr>
    <w:tblPr>
      <w:tblBorders>
        <w:top w:val="single" w:color="000000" w:sz="12" w:space="0"/>
        <w:bottom w:val="single" w:color="000000" w:sz="12" w:space="0"/>
        <w:insideH w:val="single" w:color="auto" w:sz="4" w:space="0"/>
        <w:insideV w:val="single" w:color="auto" w:sz="4"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206">
    <w:name w:val="表格样式19"/>
    <w:basedOn w:val="60"/>
    <w:qFormat/>
    <w:uiPriority w:val="0"/>
    <w:pPr>
      <w:widowControl w:val="0"/>
      <w:spacing w:line="360" w:lineRule="exact"/>
      <w:jc w:val="both"/>
    </w:pPr>
    <w:rPr>
      <w:sz w:val="21"/>
      <w:szCs w:val="21"/>
    </w:rPr>
    <w:tblPr>
      <w:tblBorders>
        <w:top w:val="single" w:color="auto" w:sz="12" w:space="0"/>
        <w:left w:val="single" w:color="auto" w:sz="12" w:space="0"/>
        <w:bottom w:val="single" w:color="auto" w:sz="12" w:space="0"/>
        <w:right w:val="single" w:color="auto" w:sz="12" w:space="0"/>
      </w:tblBorders>
    </w:tblPr>
  </w:style>
  <w:style w:type="table" w:customStyle="1" w:styleId="1207">
    <w:name w:val="斜头111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08">
    <w:name w:val="表格样式142"/>
    <w:basedOn w:val="60"/>
    <w:qFormat/>
    <w:uiPriority w:val="0"/>
    <w:pPr>
      <w:widowControl w:val="0"/>
      <w:spacing w:line="360" w:lineRule="exact"/>
      <w:jc w:val="center"/>
    </w:pPr>
    <w:tblPr>
      <w:tblBorders>
        <w:top w:val="single" w:color="auto" w:sz="12" w:space="0"/>
        <w:left w:val="single" w:color="auto" w:sz="12" w:space="0"/>
        <w:bottom w:val="single" w:color="auto" w:sz="12" w:space="0"/>
        <w:right w:val="single" w:color="auto" w:sz="12" w:space="0"/>
      </w:tblBorders>
    </w:tblPr>
  </w:style>
  <w:style w:type="table" w:customStyle="1" w:styleId="1209">
    <w:name w:val="网格型模版12"/>
    <w:basedOn w:val="59"/>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0">
    <w:name w:val="斜头2"/>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11">
    <w:name w:val="简明型 12"/>
    <w:basedOn w:val="59"/>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212">
    <w:name w:val="表格样式777"/>
    <w:basedOn w:val="60"/>
    <w:qFormat/>
    <w:uiPriority w:val="0"/>
    <w:pPr>
      <w:widowControl w:val="0"/>
      <w:jc w:val="both"/>
    </w:p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style>
  <w:style w:type="table" w:customStyle="1" w:styleId="1213">
    <w:name w:val="表格样式141"/>
    <w:basedOn w:val="60"/>
    <w:qFormat/>
    <w:uiPriority w:val="0"/>
    <w:pPr>
      <w:widowControl w:val="0"/>
      <w:spacing w:line="360" w:lineRule="exact"/>
      <w:jc w:val="both"/>
    </w:pPr>
    <w:rPr>
      <w:sz w:val="21"/>
      <w:szCs w:val="21"/>
    </w:rPr>
  </w:style>
  <w:style w:type="table" w:customStyle="1" w:styleId="1214">
    <w:name w:val="斜头2112"/>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15">
    <w:name w:val="网格型模版1"/>
    <w:basedOn w:val="59"/>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6">
    <w:name w:val="斜头132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17">
    <w:name w:val="斜头212"/>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18">
    <w:name w:val="斜头16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19">
    <w:name w:val="斜头1112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20">
    <w:name w:val="表格样式113"/>
    <w:basedOn w:val="60"/>
    <w:qFormat/>
    <w:uiPriority w:val="0"/>
    <w:pPr>
      <w:widowControl w:val="0"/>
      <w:spacing w:line="360" w:lineRule="exact"/>
      <w:jc w:val="both"/>
    </w:pPr>
  </w:style>
  <w:style w:type="table" w:customStyle="1" w:styleId="1221">
    <w:name w:val="斜头5"/>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22">
    <w:name w:val="网格型21"/>
    <w:basedOn w:val="59"/>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3">
    <w:name w:val="网格型14"/>
    <w:basedOn w:val="59"/>
    <w:semiHidden/>
    <w:qFormat/>
    <w:uiPriority w:val="0"/>
    <w:pPr>
      <w:widowControl w:val="0"/>
      <w:overflowPunct w:val="0"/>
      <w:topLinePunct/>
      <w:autoSpaceDE w:val="0"/>
      <w:autoSpaceDN w:val="0"/>
      <w:adjustRightInd w:val="0"/>
      <w:snapToGrid w:val="0"/>
      <w:spacing w:line="4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4">
    <w:name w:val="网格型模版23"/>
    <w:basedOn w:val="59"/>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5">
    <w:name w:val="斜头3"/>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26">
    <w:name w:val="表格样式7771"/>
    <w:basedOn w:val="60"/>
    <w:qFormat/>
    <w:uiPriority w:val="0"/>
    <w:pPr>
      <w:widowControl w:val="0"/>
      <w:jc w:val="both"/>
    </w:pPr>
    <w:rPr>
      <w:rFonts w:ascii="Wingdings" w:hAnsi="Wingdings"/>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style>
  <w:style w:type="table" w:customStyle="1" w:styleId="1227">
    <w:name w:val="斜头15"/>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28">
    <w:name w:val="环评表格"/>
    <w:basedOn w:val="59"/>
    <w:qFormat/>
    <w:uiPriority w:val="0"/>
    <w:pPr>
      <w:snapToGrid w:val="0"/>
      <w:spacing w:line="240" w:lineRule="atLeast"/>
      <w:jc w:val="center"/>
    </w:p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1229">
    <w:name w:val="斜头113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30">
    <w:name w:val="网格型模版7"/>
    <w:basedOn w:val="5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1">
    <w:name w:val="斜头512"/>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32">
    <w:name w:val="网格型15"/>
    <w:basedOn w:val="59"/>
    <w:qFormat/>
    <w:uiPriority w:val="0"/>
    <w:pPr>
      <w:widowControl w:val="0"/>
      <w:autoSpaceDE w:val="0"/>
      <w:autoSpaceDN w:val="0"/>
      <w:adjustRightInd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3">
    <w:name w:val="网格型 54"/>
    <w:basedOn w:val="59"/>
    <w:qFormat/>
    <w:uiPriority w:val="0"/>
    <w:pPr>
      <w:widowControl w:val="0"/>
      <w:spacing w:line="520" w:lineRule="exact"/>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34">
    <w:name w:val="斜头11111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35">
    <w:name w:val="斜头411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36">
    <w:name w:val="斜头213"/>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37">
    <w:name w:val="网格型模版26"/>
    <w:basedOn w:val="59"/>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8">
    <w:name w:val="斜头1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39">
    <w:name w:val="斜头133"/>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40">
    <w:name w:val="表格样式100"/>
    <w:basedOn w:val="60"/>
    <w:qFormat/>
    <w:uiPriority w:val="0"/>
    <w:pPr>
      <w:widowControl w:val="0"/>
      <w:overflowPunct w:val="0"/>
      <w:topLinePunct/>
      <w:autoSpaceDE w:val="0"/>
      <w:autoSpaceDN w:val="0"/>
      <w:adjustRightInd w:val="0"/>
      <w:snapToGrid w:val="0"/>
      <w:spacing w:line="400" w:lineRule="exact"/>
      <w:jc w:val="center"/>
    </w:pPr>
    <w:rPr>
      <w:sz w:val="21"/>
    </w:rPr>
  </w:style>
  <w:style w:type="table" w:customStyle="1" w:styleId="1241">
    <w:name w:val="斜头41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42">
    <w:name w:val="斜头112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43">
    <w:name w:val="斜头62"/>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44">
    <w:name w:val="斜头212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45">
    <w:name w:val="网格型 511"/>
    <w:basedOn w:val="59"/>
    <w:qFormat/>
    <w:uiPriority w:val="0"/>
    <w:pPr>
      <w:widowControl w:val="0"/>
      <w:spacing w:line="480" w:lineRule="exact"/>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46">
    <w:name w:val="斜头23"/>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47">
    <w:name w:val="何黎的表格样式1"/>
    <w:basedOn w:val="59"/>
    <w:qFormat/>
    <w:uiPriority w:val="0"/>
    <w:pPr>
      <w:snapToGrid w:val="0"/>
    </w:pPr>
    <w:rPr>
      <w:kern w:val="2"/>
      <w:sz w:val="21"/>
      <w:szCs w:val="22"/>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tcMar>
        <w:top w:w="57" w:type="dxa"/>
        <w:bottom w:w="57" w:type="dxa"/>
      </w:tcMar>
      <w:vAlign w:val="center"/>
    </w:tcPr>
  </w:style>
  <w:style w:type="table" w:customStyle="1" w:styleId="1248">
    <w:name w:val="斜头1122"/>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49">
    <w:name w:val="表格样式14"/>
    <w:basedOn w:val="60"/>
    <w:qFormat/>
    <w:uiPriority w:val="0"/>
    <w:pPr>
      <w:widowControl w:val="0"/>
      <w:spacing w:line="360" w:lineRule="exact"/>
      <w:jc w:val="center"/>
    </w:pPr>
    <w:tblPr>
      <w:tblBorders>
        <w:top w:val="single" w:color="auto" w:sz="12" w:space="0"/>
        <w:left w:val="single" w:color="auto" w:sz="12" w:space="0"/>
        <w:bottom w:val="single" w:color="auto" w:sz="12" w:space="0"/>
        <w:right w:val="single" w:color="auto" w:sz="12" w:space="0"/>
      </w:tblBorders>
    </w:tblPr>
  </w:style>
  <w:style w:type="table" w:customStyle="1" w:styleId="1250">
    <w:name w:val="斜头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51">
    <w:name w:val="网格型模版25"/>
    <w:basedOn w:val="59"/>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2">
    <w:name w:val="斜头16"/>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53">
    <w:name w:val="斜头1411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54">
    <w:name w:val="斜头17"/>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55">
    <w:name w:val="yj网格2"/>
    <w:basedOn w:val="59"/>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6">
    <w:name w:val="yj网格1"/>
    <w:basedOn w:val="59"/>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7">
    <w:name w:val="网格型模版3"/>
    <w:basedOn w:val="5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8">
    <w:name w:val="斜头221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59">
    <w:name w:val="斜头2111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60">
    <w:name w:val="斜头"/>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61">
    <w:name w:val="网格型模版211"/>
    <w:basedOn w:val="5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2">
    <w:name w:val="表格样式131"/>
    <w:basedOn w:val="60"/>
    <w:qFormat/>
    <w:uiPriority w:val="0"/>
    <w:pPr>
      <w:widowControl w:val="0"/>
      <w:spacing w:line="360" w:lineRule="exact"/>
      <w:jc w:val="both"/>
    </w:pPr>
    <w:rPr>
      <w:sz w:val="21"/>
      <w:szCs w:val="21"/>
    </w:rPr>
    <w:tblPr>
      <w:tblBorders>
        <w:top w:val="single" w:color="auto" w:sz="12" w:space="0"/>
        <w:left w:val="single" w:color="auto" w:sz="12" w:space="0"/>
        <w:bottom w:val="single" w:color="auto" w:sz="12" w:space="0"/>
        <w:right w:val="single" w:color="auto" w:sz="12" w:space="0"/>
      </w:tblBorders>
    </w:tblPr>
  </w:style>
  <w:style w:type="table" w:customStyle="1" w:styleId="1263">
    <w:name w:val="网格型 11"/>
    <w:basedOn w:val="59"/>
    <w:qFormat/>
    <w:uiPriority w:val="0"/>
    <w:pPr>
      <w:widowControl w:val="0"/>
      <w:spacing w:line="48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64">
    <w:name w:val="报告表格式"/>
    <w:basedOn w:val="60"/>
    <w:qFormat/>
    <w:uiPriority w:val="0"/>
    <w:pPr>
      <w:widowControl w:val="0"/>
      <w:spacing w:line="360" w:lineRule="exact"/>
      <w:jc w:val="center"/>
    </w:pPr>
    <w:rPr>
      <w:sz w:val="21"/>
    </w:rPr>
    <w:tblPr>
      <w:jc w:val="center"/>
      <w:tblBorders>
        <w:top w:val="single" w:color="auto" w:sz="6" w:space="0"/>
        <w:bottom w:val="single" w:color="auto" w:sz="6" w:space="0"/>
        <w:insideH w:val="single" w:color="auto" w:sz="6" w:space="0"/>
        <w:insideV w:val="single" w:color="auto" w:sz="6" w:space="0"/>
      </w:tblBorders>
    </w:tblPr>
    <w:trPr>
      <w:jc w:val="center"/>
    </w:trPr>
    <w:tcPr>
      <w:vAlign w:val="center"/>
    </w:tcPr>
  </w:style>
  <w:style w:type="table" w:customStyle="1" w:styleId="1265">
    <w:name w:val="专业网格1"/>
    <w:basedOn w:val="5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6">
    <w:name w:val="表格样式111"/>
    <w:basedOn w:val="60"/>
    <w:qFormat/>
    <w:uiPriority w:val="0"/>
    <w:pPr>
      <w:widowControl w:val="0"/>
      <w:spacing w:line="360" w:lineRule="exact"/>
      <w:jc w:val="both"/>
    </w:pPr>
    <w:rPr>
      <w:sz w:val="21"/>
      <w:szCs w:val="21"/>
    </w:rPr>
  </w:style>
  <w:style w:type="table" w:customStyle="1" w:styleId="1267">
    <w:name w:val="网格型模版15"/>
    <w:basedOn w:val="59"/>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8">
    <w:name w:val="斜头8"/>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69">
    <w:name w:val="斜头1111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70">
    <w:name w:val="网格型 56"/>
    <w:basedOn w:val="59"/>
    <w:qFormat/>
    <w:uiPriority w:val="0"/>
    <w:pPr>
      <w:widowControl w:val="0"/>
      <w:spacing w:line="520" w:lineRule="exact"/>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71">
    <w:name w:val="斜头222"/>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72">
    <w:name w:val="网格型模版8"/>
    <w:basedOn w:val="5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3">
    <w:name w:val="表格样式15"/>
    <w:basedOn w:val="60"/>
    <w:qFormat/>
    <w:uiPriority w:val="0"/>
    <w:pPr>
      <w:widowControl w:val="0"/>
      <w:spacing w:line="360" w:lineRule="exact"/>
      <w:jc w:val="center"/>
    </w:pPr>
    <w:tblPr>
      <w:tblBorders>
        <w:top w:val="single" w:color="auto" w:sz="12" w:space="0"/>
        <w:left w:val="single" w:color="auto" w:sz="12" w:space="0"/>
        <w:bottom w:val="single" w:color="auto" w:sz="12" w:space="0"/>
        <w:right w:val="single" w:color="auto" w:sz="12" w:space="0"/>
      </w:tblBorders>
    </w:tblPr>
  </w:style>
  <w:style w:type="table" w:customStyle="1" w:styleId="1274">
    <w:name w:val="表格格式——kerlin3"/>
    <w:basedOn w:val="5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5">
    <w:name w:val="普通表格1"/>
    <w:semiHidden/>
    <w:qFormat/>
    <w:uiPriority w:val="0"/>
    <w:rPr>
      <w:rFonts w:ascii="ˎ̥" w:hAnsi="ˎ̥" w:eastAsia="ˎ̥" w:cs="ˎ̥"/>
      <w:kern w:val="2"/>
      <w:sz w:val="21"/>
      <w:szCs w:val="22"/>
    </w:rPr>
    <w:tblPr>
      <w:tblCellMar>
        <w:top w:w="0" w:type="dxa"/>
        <w:left w:w="108" w:type="dxa"/>
        <w:bottom w:w="0" w:type="dxa"/>
        <w:right w:w="108" w:type="dxa"/>
      </w:tblCellMar>
    </w:tblPr>
  </w:style>
  <w:style w:type="table" w:customStyle="1" w:styleId="1276">
    <w:name w:val="斜头13"/>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77">
    <w:name w:val="网格型模版36"/>
    <w:basedOn w:val="59"/>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8">
    <w:name w:val="网格型16"/>
    <w:basedOn w:val="59"/>
    <w:semiHidden/>
    <w:qFormat/>
    <w:uiPriority w:val="0"/>
    <w:pPr>
      <w:widowControl w:val="0"/>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9">
    <w:name w:val="网格型刘91"/>
    <w:basedOn w:val="59"/>
    <w:qFormat/>
    <w:uiPriority w:val="0"/>
    <w:pPr>
      <w:widowControl w:val="0"/>
      <w:spacing w:line="0" w:lineRule="atLeast"/>
      <w:jc w:val="center"/>
    </w:pPr>
    <w:tblP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left w:w="28" w:type="dxa"/>
        <w:right w:w="28" w:type="dxa"/>
      </w:tblCellMar>
    </w:tblPr>
    <w:tcPr>
      <w:vAlign w:val="center"/>
    </w:tcPr>
  </w:style>
  <w:style w:type="table" w:customStyle="1" w:styleId="1280">
    <w:name w:val="网格型 53"/>
    <w:basedOn w:val="59"/>
    <w:qFormat/>
    <w:uiPriority w:val="0"/>
    <w:pPr>
      <w:widowControl w:val="0"/>
      <w:spacing w:line="480" w:lineRule="exact"/>
      <w:ind w:firstLine="200" w:firstLineChars="200"/>
      <w:jc w:val="both"/>
    </w:pPr>
    <w:rPr>
      <w:kern w:val="2"/>
      <w:sz w:val="21"/>
      <w:szCs w:val="22"/>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81">
    <w:name w:val="斜头52"/>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82">
    <w:name w:val="斜头123"/>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83">
    <w:name w:val="斜头221"/>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character" w:customStyle="1" w:styleId="1284">
    <w:name w:val="正文5号 Char1"/>
    <w:qFormat/>
    <w:uiPriority w:val="0"/>
  </w:style>
  <w:style w:type="paragraph" w:customStyle="1" w:styleId="1285">
    <w:name w:val="样式 正文文本缩进 + 行距: 1.5 倍行距"/>
    <w:basedOn w:val="1"/>
    <w:qFormat/>
    <w:uiPriority w:val="0"/>
    <w:pPr>
      <w:spacing w:after="120" w:line="360" w:lineRule="auto"/>
      <w:ind w:left="90" w:leftChars="32" w:firstLine="560" w:firstLineChars="200"/>
    </w:pPr>
    <w:rPr>
      <w:rFonts w:ascii="Calibri" w:hAnsi="Calibri" w:cs="宋体"/>
      <w:sz w:val="24"/>
      <w:szCs w:val="24"/>
    </w:rPr>
  </w:style>
  <w:style w:type="character" w:customStyle="1" w:styleId="1286">
    <w:name w:val="普通(网站) Char1"/>
    <w:qFormat/>
    <w:locked/>
    <w:uiPriority w:val="0"/>
    <w:rPr>
      <w:rFonts w:cs="Calibri"/>
      <w:b/>
      <w:bCs/>
      <w:i/>
      <w:iCs/>
      <w:color w:val="4F81BD"/>
      <w:kern w:val="2"/>
      <w:sz w:val="21"/>
      <w:szCs w:val="22"/>
      <w:lang w:val="zh-CN" w:eastAsia="zh-CN"/>
    </w:rPr>
  </w:style>
  <w:style w:type="character" w:customStyle="1" w:styleId="1287">
    <w:name w:val="doc-header-title"/>
    <w:basedOn w:val="75"/>
    <w:qFormat/>
    <w:uiPriority w:val="0"/>
  </w:style>
  <w:style w:type="table" w:customStyle="1" w:styleId="1288">
    <w:name w:val="网格型 62"/>
    <w:basedOn w:val="59"/>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89">
    <w:name w:val="网格型 71"/>
    <w:basedOn w:val="5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90">
    <w:name w:val="专业型1"/>
    <w:basedOn w:val="59"/>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1291">
    <w:name w:val="网格型 611"/>
    <w:basedOn w:val="59"/>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character" w:customStyle="1" w:styleId="1292">
    <w:name w:val="标题 3 字符1"/>
    <w:qFormat/>
    <w:uiPriority w:val="0"/>
    <w:rPr>
      <w:rFonts w:eastAsia="宋体"/>
      <w:b/>
      <w:bCs/>
      <w:kern w:val="2"/>
      <w:sz w:val="32"/>
      <w:szCs w:val="32"/>
      <w:lang w:val="en-US" w:eastAsia="zh-CN" w:bidi="ar-SA"/>
    </w:rPr>
  </w:style>
  <w:style w:type="character" w:customStyle="1" w:styleId="1293">
    <w:name w:val="fontstyle31"/>
    <w:qFormat/>
    <w:uiPriority w:val="0"/>
    <w:rPr>
      <w:rFonts w:hint="default" w:ascii="TimesNewRomanPSMT" w:hAnsi="TimesNewRomanPSMT"/>
      <w:color w:val="000000"/>
      <w:sz w:val="24"/>
      <w:szCs w:val="24"/>
    </w:rPr>
  </w:style>
  <w:style w:type="table" w:customStyle="1" w:styleId="1294">
    <w:name w:val="网格型9"/>
    <w:basedOn w:val="5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5">
    <w:name w:val="表格样式hks1"/>
    <w:basedOn w:val="59"/>
    <w:qFormat/>
    <w:uiPriority w:val="99"/>
    <w:pPr>
      <w:spacing w:line="240" w:lineRule="exact"/>
      <w:jc w:val="center"/>
    </w:pPr>
    <w:rPr>
      <w:sz w:val="21"/>
    </w:rPr>
    <w:tblPr>
      <w:jc w:val="center"/>
      <w:tblBorders>
        <w:top w:val="single" w:color="auto" w:sz="12" w:space="0"/>
        <w:bottom w:val="single" w:color="auto" w:sz="12" w:space="0"/>
        <w:insideH w:val="single" w:color="auto" w:sz="4" w:space="0"/>
        <w:insideV w:val="single" w:color="auto" w:sz="4" w:space="0"/>
      </w:tblBorders>
      <w:tblCellMar>
        <w:top w:w="28" w:type="dxa"/>
        <w:bottom w:w="28" w:type="dxa"/>
      </w:tblCellMar>
    </w:tblPr>
    <w:trPr>
      <w:jc w:val="center"/>
    </w:trPr>
    <w:tcPr>
      <w:vAlign w:val="center"/>
    </w:tcPr>
  </w:style>
  <w:style w:type="character" w:customStyle="1" w:styleId="1296">
    <w:name w:val="fontstyle41"/>
    <w:qFormat/>
    <w:uiPriority w:val="0"/>
    <w:rPr>
      <w:rFonts w:hint="default" w:ascii="TimesNewRomanPS-BoldMT" w:hAnsi="TimesNewRomanPS-BoldMT"/>
      <w:b/>
      <w:bCs/>
      <w:color w:val="000000"/>
      <w:sz w:val="24"/>
      <w:szCs w:val="24"/>
    </w:rPr>
  </w:style>
  <w:style w:type="paragraph" w:customStyle="1" w:styleId="1297">
    <w:name w:val="真表"/>
    <w:basedOn w:val="6"/>
    <w:next w:val="1"/>
    <w:qFormat/>
    <w:uiPriority w:val="0"/>
    <w:pPr>
      <w:adjustRightInd w:val="0"/>
      <w:snapToGrid w:val="0"/>
      <w:spacing w:line="240" w:lineRule="auto"/>
      <w:ind w:firstLine="0" w:firstLineChars="0"/>
      <w:jc w:val="center"/>
      <w:textAlignment w:val="baseline"/>
    </w:pPr>
    <w:rPr>
      <w:sz w:val="21"/>
      <w:szCs w:val="20"/>
    </w:rPr>
  </w:style>
  <w:style w:type="character" w:customStyle="1" w:styleId="1298">
    <w:name w:val="报告书正文 Char1"/>
    <w:qFormat/>
    <w:uiPriority w:val="0"/>
    <w:rPr>
      <w:sz w:val="24"/>
      <w:lang w:val="zh-CN"/>
    </w:rPr>
  </w:style>
  <w:style w:type="paragraph" w:customStyle="1" w:styleId="1299">
    <w:name w:val="1表格"/>
    <w:basedOn w:val="1"/>
    <w:qFormat/>
    <w:uiPriority w:val="99"/>
    <w:pPr>
      <w:snapToGrid w:val="0"/>
      <w:jc w:val="center"/>
      <w:outlineLvl w:val="4"/>
    </w:pPr>
    <w:rPr>
      <w:rFonts w:ascii="宋体" w:hAnsi="宋体" w:cs="宋体"/>
      <w:spacing w:val="4"/>
      <w:szCs w:val="21"/>
      <w:u w:color="FFFFFF"/>
    </w:rPr>
  </w:style>
  <w:style w:type="paragraph" w:customStyle="1" w:styleId="1300">
    <w:name w:val="真·表"/>
    <w:basedOn w:val="1"/>
    <w:qFormat/>
    <w:uiPriority w:val="0"/>
    <w:pPr>
      <w:adjustRightInd w:val="0"/>
      <w:snapToGrid w:val="0"/>
      <w:jc w:val="center"/>
    </w:pPr>
    <w:rPr>
      <w:szCs w:val="30"/>
    </w:rPr>
  </w:style>
  <w:style w:type="character" w:customStyle="1" w:styleId="1301">
    <w:name w:val="未处理的提及1"/>
    <w:semiHidden/>
    <w:unhideWhenUsed/>
    <w:qFormat/>
    <w:uiPriority w:val="99"/>
    <w:rPr>
      <w:color w:val="605E5C"/>
      <w:shd w:val="clear" w:color="auto" w:fill="E1DFDD"/>
    </w:rPr>
  </w:style>
  <w:style w:type="character" w:customStyle="1" w:styleId="1302">
    <w:name w:val="批注框文本 Char"/>
    <w:qFormat/>
    <w:uiPriority w:val="0"/>
    <w:rPr>
      <w:rFonts w:ascii="Times New Roman" w:hAnsi="Times New Roman" w:eastAsia="宋体" w:cs="Times New Roman"/>
      <w:sz w:val="18"/>
      <w:szCs w:val="18"/>
    </w:rPr>
  </w:style>
  <w:style w:type="paragraph" w:customStyle="1" w:styleId="1303">
    <w:name w:val="样式 正文文本缩进 + 行距: 固定值 24 磅2"/>
    <w:basedOn w:val="3"/>
    <w:qFormat/>
    <w:uiPriority w:val="0"/>
    <w:pPr>
      <w:spacing w:after="0" w:line="480" w:lineRule="exact"/>
      <w:ind w:left="-59" w:leftChars="-28" w:firstLine="560" w:firstLineChars="200"/>
    </w:pPr>
    <w:rPr>
      <w:rFonts w:ascii="宋体" w:hAnsi="宋体" w:cs="宋体"/>
      <w:sz w:val="24"/>
      <w:szCs w:val="20"/>
      <w:lang w:val="en-US"/>
    </w:rPr>
  </w:style>
  <w:style w:type="paragraph" w:customStyle="1" w:styleId="1304">
    <w:name w:val="p1"/>
    <w:basedOn w:val="1"/>
    <w:qFormat/>
    <w:uiPriority w:val="0"/>
    <w:pPr>
      <w:widowControl/>
      <w:spacing w:before="100" w:beforeAutospacing="1" w:after="100" w:afterAutospacing="1"/>
      <w:jc w:val="left"/>
    </w:pPr>
    <w:rPr>
      <w:rFonts w:ascii="宋体" w:hAnsi="宋体" w:cs="宋体"/>
      <w:color w:val="000000"/>
      <w:kern w:val="0"/>
      <w:sz w:val="20"/>
      <w:szCs w:val="20"/>
    </w:rPr>
  </w:style>
  <w:style w:type="character" w:customStyle="1" w:styleId="1305">
    <w:name w:val="文本正文 Char Char"/>
    <w:qFormat/>
    <w:uiPriority w:val="0"/>
    <w:rPr>
      <w:rFonts w:eastAsia="宋体"/>
      <w:kern w:val="2"/>
      <w:sz w:val="24"/>
      <w:szCs w:val="24"/>
      <w:lang w:val="en-US" w:eastAsia="zh-CN" w:bidi="ar-SA"/>
    </w:rPr>
  </w:style>
  <w:style w:type="character" w:customStyle="1" w:styleId="1306">
    <w:name w:val="书籍标题2"/>
    <w:qFormat/>
    <w:uiPriority w:val="33"/>
    <w:rPr>
      <w:b/>
      <w:bCs/>
      <w:smallCaps/>
      <w:spacing w:val="5"/>
    </w:rPr>
  </w:style>
  <w:style w:type="character" w:customStyle="1" w:styleId="1307">
    <w:name w:val="明显参考2"/>
    <w:qFormat/>
    <w:uiPriority w:val="32"/>
    <w:rPr>
      <w:b/>
      <w:bCs/>
      <w:smallCaps/>
      <w:color w:val="C0504D"/>
      <w:spacing w:val="5"/>
      <w:u w:val="single"/>
    </w:rPr>
  </w:style>
  <w:style w:type="character" w:customStyle="1" w:styleId="1308">
    <w:name w:val="不明显参考2"/>
    <w:qFormat/>
    <w:uiPriority w:val="31"/>
    <w:rPr>
      <w:smallCaps/>
      <w:color w:val="C0504D"/>
      <w:u w:val="single"/>
    </w:rPr>
  </w:style>
  <w:style w:type="character" w:customStyle="1" w:styleId="1309">
    <w:name w:val="明显强调2"/>
    <w:qFormat/>
    <w:uiPriority w:val="21"/>
    <w:rPr>
      <w:b/>
      <w:bCs/>
      <w:i/>
      <w:iCs/>
      <w:color w:val="4F81BD"/>
    </w:rPr>
  </w:style>
  <w:style w:type="character" w:customStyle="1" w:styleId="1310">
    <w:name w:val="不明显强调2"/>
    <w:qFormat/>
    <w:uiPriority w:val="19"/>
    <w:rPr>
      <w:i/>
      <w:iCs/>
      <w:color w:val="808080"/>
    </w:rPr>
  </w:style>
  <w:style w:type="character" w:customStyle="1" w:styleId="1311">
    <w:name w:val="标题 3 Char1"/>
    <w:qFormat/>
    <w:uiPriority w:val="9"/>
    <w:rPr>
      <w:rFonts w:ascii="Times New Roman" w:hAnsi="Times New Roman"/>
      <w:b/>
      <w:bCs/>
      <w:kern w:val="2"/>
      <w:sz w:val="32"/>
      <w:szCs w:val="32"/>
    </w:rPr>
  </w:style>
  <w:style w:type="character" w:customStyle="1" w:styleId="1312">
    <w:name w:val="正文缩进 Char2"/>
    <w:qFormat/>
    <w:uiPriority w:val="0"/>
    <w:rPr>
      <w:rFonts w:ascii="Times New Roman" w:hAnsi="Times New Roman"/>
      <w:kern w:val="2"/>
      <w:sz w:val="21"/>
      <w:szCs w:val="24"/>
    </w:rPr>
  </w:style>
  <w:style w:type="paragraph" w:customStyle="1" w:styleId="1313">
    <w:name w:val="TOC 标题2"/>
    <w:basedOn w:val="7"/>
    <w:next w:val="1"/>
    <w:qFormat/>
    <w:uiPriority w:val="39"/>
    <w:pPr>
      <w:widowControl/>
      <w:spacing w:before="480" w:beforeLines="0" w:line="276" w:lineRule="auto"/>
      <w:jc w:val="left"/>
      <w:outlineLvl w:val="9"/>
    </w:pPr>
    <w:rPr>
      <w:rFonts w:ascii="Cambria" w:hAnsi="Cambria"/>
      <w:color w:val="365F91"/>
      <w:kern w:val="0"/>
      <w:sz w:val="28"/>
      <w:szCs w:val="28"/>
      <w:lang w:val="zh-CN"/>
    </w:rPr>
  </w:style>
  <w:style w:type="paragraph" w:customStyle="1" w:styleId="1314">
    <w:name w:val="z-窗体底端2"/>
    <w:basedOn w:val="1"/>
    <w:next w:val="1"/>
    <w:link w:val="1315"/>
    <w:unhideWhenUsed/>
    <w:qFormat/>
    <w:uiPriority w:val="0"/>
    <w:pPr>
      <w:pBdr>
        <w:top w:val="single" w:color="auto" w:sz="6" w:space="1"/>
      </w:pBdr>
      <w:jc w:val="center"/>
    </w:pPr>
    <w:rPr>
      <w:rFonts w:ascii="Arial" w:hAnsi="Arial" w:cs="Arial"/>
      <w:vanish/>
      <w:sz w:val="16"/>
      <w:szCs w:val="16"/>
    </w:rPr>
  </w:style>
  <w:style w:type="character" w:customStyle="1" w:styleId="1315">
    <w:name w:val="z-窗体底端 字符2"/>
    <w:link w:val="1314"/>
    <w:qFormat/>
    <w:uiPriority w:val="0"/>
    <w:rPr>
      <w:rFonts w:ascii="Arial" w:hAnsi="Arial" w:cs="Arial"/>
      <w:vanish/>
      <w:kern w:val="2"/>
      <w:sz w:val="16"/>
      <w:szCs w:val="16"/>
    </w:rPr>
  </w:style>
  <w:style w:type="paragraph" w:customStyle="1" w:styleId="1316">
    <w:name w:val="z-窗体顶端2"/>
    <w:basedOn w:val="1"/>
    <w:next w:val="1"/>
    <w:link w:val="1317"/>
    <w:unhideWhenUsed/>
    <w:qFormat/>
    <w:uiPriority w:val="0"/>
    <w:pPr>
      <w:pBdr>
        <w:bottom w:val="single" w:color="auto" w:sz="6" w:space="1"/>
      </w:pBdr>
      <w:jc w:val="center"/>
    </w:pPr>
    <w:rPr>
      <w:rFonts w:ascii="Arial" w:hAnsi="Arial" w:cs="Arial"/>
      <w:vanish/>
      <w:sz w:val="16"/>
      <w:szCs w:val="16"/>
    </w:rPr>
  </w:style>
  <w:style w:type="character" w:customStyle="1" w:styleId="1317">
    <w:name w:val="z-窗体顶端 字符2"/>
    <w:link w:val="1316"/>
    <w:qFormat/>
    <w:uiPriority w:val="0"/>
    <w:rPr>
      <w:rFonts w:ascii="Arial" w:hAnsi="Arial" w:cs="Arial"/>
      <w:vanish/>
      <w:kern w:val="2"/>
      <w:sz w:val="16"/>
      <w:szCs w:val="16"/>
    </w:rPr>
  </w:style>
  <w:style w:type="character" w:customStyle="1" w:styleId="1318">
    <w:name w:val="正文文本缩进 字符1"/>
    <w:qFormat/>
    <w:uiPriority w:val="0"/>
    <w:rPr>
      <w:kern w:val="2"/>
      <w:sz w:val="21"/>
      <w:szCs w:val="24"/>
    </w:rPr>
  </w:style>
  <w:style w:type="paragraph" w:customStyle="1" w:styleId="1319">
    <w:name w:val="列出段落11"/>
    <w:basedOn w:val="1"/>
    <w:qFormat/>
    <w:uiPriority w:val="34"/>
    <w:pPr>
      <w:ind w:firstLine="420" w:firstLineChars="200"/>
    </w:pPr>
    <w:rPr>
      <w:rFonts w:ascii="Calibri" w:hAnsi="Calibri"/>
    </w:rPr>
  </w:style>
  <w:style w:type="paragraph" w:customStyle="1" w:styleId="1320">
    <w:name w:val="t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321">
    <w:name w:val="表格样式"/>
    <w:basedOn w:val="1"/>
    <w:qFormat/>
    <w:uiPriority w:val="0"/>
    <w:pPr>
      <w:adjustRightInd w:val="0"/>
      <w:snapToGrid w:val="0"/>
      <w:spacing w:line="360" w:lineRule="exact"/>
      <w:jc w:val="center"/>
    </w:pPr>
    <w:rPr>
      <w:color w:val="000000"/>
      <w:szCs w:val="21"/>
    </w:rPr>
  </w:style>
  <w:style w:type="paragraph" w:customStyle="1" w:styleId="1322">
    <w:name w:val="样式 样式 样式 样式 小四 左 首行缩进:  2 字符 + 首行缩进:  2 字符 Char + 右  0 字符1 + 首行缩...3"/>
    <w:basedOn w:val="1"/>
    <w:qFormat/>
    <w:uiPriority w:val="0"/>
    <w:pPr>
      <w:adjustRightInd w:val="0"/>
      <w:spacing w:line="360" w:lineRule="auto"/>
      <w:ind w:firstLine="480" w:firstLineChars="200"/>
      <w:jc w:val="left"/>
      <w:textAlignment w:val="baseline"/>
    </w:pPr>
    <w:rPr>
      <w:rFonts w:cs="宋体"/>
      <w:szCs w:val="20"/>
    </w:rPr>
  </w:style>
  <w:style w:type="paragraph" w:customStyle="1" w:styleId="1323">
    <w:name w:val="h"/>
    <w:basedOn w:val="1"/>
    <w:qFormat/>
    <w:uiPriority w:val="0"/>
    <w:pPr>
      <w:spacing w:before="60"/>
      <w:ind w:firstLine="482"/>
    </w:pPr>
    <w:rPr>
      <w:rFonts w:ascii="Arial" w:hAnsi="Arial" w:eastAsia="仿宋_GB2312"/>
      <w:kern w:val="0"/>
      <w:sz w:val="24"/>
      <w:szCs w:val="20"/>
    </w:rPr>
  </w:style>
  <w:style w:type="paragraph" w:customStyle="1" w:styleId="1324">
    <w:name w:val="格"/>
    <w:basedOn w:val="1"/>
    <w:qFormat/>
    <w:uiPriority w:val="0"/>
    <w:pPr>
      <w:widowControl/>
      <w:jc w:val="center"/>
    </w:pPr>
    <w:rPr>
      <w:bCs/>
      <w:snapToGrid w:val="0"/>
      <w:kern w:val="0"/>
      <w:sz w:val="24"/>
    </w:rPr>
  </w:style>
  <w:style w:type="paragraph" w:customStyle="1" w:styleId="1325">
    <w:name w:val="表格内文"/>
    <w:basedOn w:val="1"/>
    <w:qFormat/>
    <w:uiPriority w:val="0"/>
    <w:pPr>
      <w:overflowPunct w:val="0"/>
      <w:adjustRightInd w:val="0"/>
      <w:snapToGrid w:val="0"/>
      <w:spacing w:beforeLines="0" w:afterLines="0" w:line="312" w:lineRule="exact"/>
      <w:jc w:val="center"/>
      <w:outlineLvl w:val="2"/>
    </w:pPr>
    <w:rPr>
      <w:rFonts w:hint="eastAsia" w:ascii="仿宋" w:hAnsi="仿宋" w:eastAsia="仿宋" w:cs="仿宋"/>
      <w:sz w:val="21"/>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9" Type="http://schemas.openxmlformats.org/officeDocument/2006/relationships/fontTable" Target="fontTable.xml"/><Relationship Id="rId68" Type="http://schemas.openxmlformats.org/officeDocument/2006/relationships/customXml" Target="../customXml/item2.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27.png"/><Relationship Id="rId64" Type="http://schemas.openxmlformats.org/officeDocument/2006/relationships/image" Target="media/image26.png"/><Relationship Id="rId63" Type="http://schemas.openxmlformats.org/officeDocument/2006/relationships/image" Target="media/image25.png"/><Relationship Id="rId62" Type="http://schemas.openxmlformats.org/officeDocument/2006/relationships/image" Target="media/image24.png"/><Relationship Id="rId61" Type="http://schemas.openxmlformats.org/officeDocument/2006/relationships/image" Target="media/image23.png"/><Relationship Id="rId60" Type="http://schemas.openxmlformats.org/officeDocument/2006/relationships/image" Target="media/image22.png"/><Relationship Id="rId6" Type="http://schemas.openxmlformats.org/officeDocument/2006/relationships/footer" Target="footer2.xml"/><Relationship Id="rId59" Type="http://schemas.openxmlformats.org/officeDocument/2006/relationships/image" Target="media/image21.emf"/><Relationship Id="rId58" Type="http://schemas.openxmlformats.org/officeDocument/2006/relationships/image" Target="media/image20.emf"/><Relationship Id="rId57" Type="http://schemas.openxmlformats.org/officeDocument/2006/relationships/image" Target="media/image19.emf"/><Relationship Id="rId56" Type="http://schemas.openxmlformats.org/officeDocument/2006/relationships/image" Target="media/image18.emf"/><Relationship Id="rId55" Type="http://schemas.openxmlformats.org/officeDocument/2006/relationships/image" Target="media/image17.png"/><Relationship Id="rId54" Type="http://schemas.openxmlformats.org/officeDocument/2006/relationships/image" Target="media/image16.png"/><Relationship Id="rId53" Type="http://schemas.openxmlformats.org/officeDocument/2006/relationships/image" Target="media/image15.png"/><Relationship Id="rId52" Type="http://schemas.openxmlformats.org/officeDocument/2006/relationships/image" Target="media/image14.wmf"/><Relationship Id="rId51" Type="http://schemas.openxmlformats.org/officeDocument/2006/relationships/oleObject" Target="embeddings/oleObject9.bin"/><Relationship Id="rId50" Type="http://schemas.openxmlformats.org/officeDocument/2006/relationships/image" Target="media/image13.png"/><Relationship Id="rId5" Type="http://schemas.openxmlformats.org/officeDocument/2006/relationships/footer" Target="footer1.xml"/><Relationship Id="rId49" Type="http://schemas.openxmlformats.org/officeDocument/2006/relationships/image" Target="media/image12.png"/><Relationship Id="rId48" Type="http://schemas.openxmlformats.org/officeDocument/2006/relationships/image" Target="media/image11.png"/><Relationship Id="rId47" Type="http://schemas.openxmlformats.org/officeDocument/2006/relationships/image" Target="media/image10.png"/><Relationship Id="rId46" Type="http://schemas.openxmlformats.org/officeDocument/2006/relationships/image" Target="media/image9.png"/><Relationship Id="rId45" Type="http://schemas.openxmlformats.org/officeDocument/2006/relationships/image" Target="media/image8.emf"/><Relationship Id="rId44" Type="http://schemas.openxmlformats.org/officeDocument/2006/relationships/oleObject" Target="embeddings/oleObject8.bin"/><Relationship Id="rId43" Type="http://schemas.openxmlformats.org/officeDocument/2006/relationships/image" Target="media/image7.emf"/><Relationship Id="rId42" Type="http://schemas.openxmlformats.org/officeDocument/2006/relationships/oleObject" Target="embeddings/oleObject7.bin"/><Relationship Id="rId41" Type="http://schemas.openxmlformats.org/officeDocument/2006/relationships/image" Target="media/image6.emf"/><Relationship Id="rId40" Type="http://schemas.openxmlformats.org/officeDocument/2006/relationships/oleObject" Target="embeddings/oleObject6.bin"/><Relationship Id="rId4" Type="http://schemas.openxmlformats.org/officeDocument/2006/relationships/header" Target="header2.xml"/><Relationship Id="rId39" Type="http://schemas.openxmlformats.org/officeDocument/2006/relationships/image" Target="media/image5.emf"/><Relationship Id="rId38" Type="http://schemas.openxmlformats.org/officeDocument/2006/relationships/oleObject" Target="embeddings/oleObject5.bin"/><Relationship Id="rId37" Type="http://schemas.openxmlformats.org/officeDocument/2006/relationships/image" Target="media/image4.emf"/><Relationship Id="rId36" Type="http://schemas.openxmlformats.org/officeDocument/2006/relationships/oleObject" Target="embeddings/oleObject4.bin"/><Relationship Id="rId35" Type="http://schemas.openxmlformats.org/officeDocument/2006/relationships/image" Target="media/image3.emf"/><Relationship Id="rId34" Type="http://schemas.openxmlformats.org/officeDocument/2006/relationships/oleObject" Target="embeddings/oleObject3.bin"/><Relationship Id="rId33" Type="http://schemas.openxmlformats.org/officeDocument/2006/relationships/image" Target="media/image2.emf"/><Relationship Id="rId32" Type="http://schemas.openxmlformats.org/officeDocument/2006/relationships/oleObject" Target="embeddings/oleObject2.bin"/><Relationship Id="rId31" Type="http://schemas.openxmlformats.org/officeDocument/2006/relationships/image" Target="media/image1.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header" Target="header24.xml"/><Relationship Id="rId27" Type="http://schemas.openxmlformats.org/officeDocument/2006/relationships/header" Target="header23.xml"/><Relationship Id="rId26" Type="http://schemas.openxmlformats.org/officeDocument/2006/relationships/header" Target="header22.xml"/><Relationship Id="rId25" Type="http://schemas.openxmlformats.org/officeDocument/2006/relationships/header" Target="header21.xml"/><Relationship Id="rId24" Type="http://schemas.openxmlformats.org/officeDocument/2006/relationships/header" Target="header20.xml"/><Relationship Id="rId23" Type="http://schemas.openxmlformats.org/officeDocument/2006/relationships/header" Target="header19.xml"/><Relationship Id="rId22" Type="http://schemas.openxmlformats.org/officeDocument/2006/relationships/header" Target="header18.xml"/><Relationship Id="rId21" Type="http://schemas.openxmlformats.org/officeDocument/2006/relationships/header" Target="header17.xml"/><Relationship Id="rId20" Type="http://schemas.openxmlformats.org/officeDocument/2006/relationships/header" Target="header16.xml"/><Relationship Id="rId2" Type="http://schemas.openxmlformats.org/officeDocument/2006/relationships/settings" Target="settings.xml"/><Relationship Id="rId19" Type="http://schemas.openxmlformats.org/officeDocument/2006/relationships/header" Target="header15.xml"/><Relationship Id="rId18" Type="http://schemas.openxmlformats.org/officeDocument/2006/relationships/header" Target="header14.xml"/><Relationship Id="rId17" Type="http://schemas.openxmlformats.org/officeDocument/2006/relationships/header" Target="header13.xml"/><Relationship Id="rId16" Type="http://schemas.openxmlformats.org/officeDocument/2006/relationships/header" Target="header12.xml"/><Relationship Id="rId15" Type="http://schemas.openxmlformats.org/officeDocument/2006/relationships/header" Target="header11.xml"/><Relationship Id="rId14" Type="http://schemas.openxmlformats.org/officeDocument/2006/relationships/header" Target="header10.xml"/><Relationship Id="rId13" Type="http://schemas.openxmlformats.org/officeDocument/2006/relationships/header" Target="header9.xml"/><Relationship Id="rId12" Type="http://schemas.openxmlformats.org/officeDocument/2006/relationships/header" Target="header8.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542FA8-173D-4459-BD41-25C0FEFE56D7}">
  <ds:schemaRefs/>
</ds:datastoreItem>
</file>

<file path=docProps/app.xml><?xml version="1.0" encoding="utf-8"?>
<Properties xmlns="http://schemas.openxmlformats.org/officeDocument/2006/extended-properties" xmlns:vt="http://schemas.openxmlformats.org/officeDocument/2006/docPropsVTypes">
  <Template>Normal.dotm</Template>
  <Pages>193</Pages>
  <Words>123336</Words>
  <Characters>144991</Characters>
  <Lines>1123</Lines>
  <Paragraphs>316</Paragraphs>
  <TotalTime>56</TotalTime>
  <ScaleCrop>false</ScaleCrop>
  <LinksUpToDate>false</LinksUpToDate>
  <CharactersWithSpaces>146164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2016-03-21T07:43:00Z</dcterms:created>
  <dc:creator>ZZSYC</dc:creator>
  <cp:lastModifiedBy>乐兮妈</cp:lastModifiedBy>
  <cp:lastPrinted>2022-07-19T00:48:00Z</cp:lastPrinted>
  <dcterms:modified xsi:type="dcterms:W3CDTF">2023-02-16T00:56:13Z</dcterms:modified>
  <cp:revision>538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8D0F189F634541918372CFB1CEC5B62E</vt:lpwstr>
  </property>
</Properties>
</file>