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jc w:val="center"/>
        <w:rPr>
          <w:rFonts w:hint="eastAsia" w:ascii="Times New Roman" w:hAnsi="Times New Roman" w:eastAsia="楷体" w:cs="Times New Roman"/>
          <w:w w:val="97"/>
          <w:sz w:val="32"/>
          <w:szCs w:val="28"/>
        </w:rPr>
      </w:pPr>
    </w:p>
    <w:p>
      <w:pPr>
        <w:keepNext w:val="0"/>
        <w:keepLines w:val="0"/>
        <w:pageBreakBefore w:val="0"/>
        <w:widowControl w:val="0"/>
        <w:kinsoku/>
        <w:wordWrap/>
        <w:overflowPunct/>
        <w:topLinePunct w:val="0"/>
        <w:autoSpaceDE/>
        <w:autoSpaceDN/>
        <w:bidi w:val="0"/>
        <w:spacing w:line="580" w:lineRule="exact"/>
        <w:jc w:val="center"/>
        <w:rPr>
          <w:rFonts w:hint="eastAsia" w:ascii="Times New Roman" w:hAnsi="Times New Roman" w:eastAsia="楷体" w:cs="Times New Roman"/>
          <w:w w:val="97"/>
          <w:sz w:val="32"/>
          <w:szCs w:val="28"/>
        </w:rPr>
      </w:pPr>
    </w:p>
    <w:p>
      <w:pPr>
        <w:keepNext w:val="0"/>
        <w:keepLines w:val="0"/>
        <w:pageBreakBefore w:val="0"/>
        <w:widowControl w:val="0"/>
        <w:kinsoku/>
        <w:wordWrap/>
        <w:overflowPunct/>
        <w:topLinePunct w:val="0"/>
        <w:autoSpaceDE/>
        <w:autoSpaceDN/>
        <w:bidi w:val="0"/>
        <w:spacing w:line="580" w:lineRule="exact"/>
        <w:jc w:val="center"/>
        <w:rPr>
          <w:rFonts w:hint="eastAsia" w:ascii="Times New Roman" w:hAnsi="Times New Roman" w:eastAsia="楷体" w:cs="Times New Roman"/>
          <w:w w:val="97"/>
          <w:sz w:val="32"/>
          <w:szCs w:val="28"/>
        </w:rPr>
      </w:pPr>
    </w:p>
    <w:p>
      <w:pPr>
        <w:keepNext w:val="0"/>
        <w:keepLines w:val="0"/>
        <w:pageBreakBefore w:val="0"/>
        <w:widowControl w:val="0"/>
        <w:kinsoku/>
        <w:wordWrap/>
        <w:overflowPunct/>
        <w:topLinePunct w:val="0"/>
        <w:autoSpaceDE/>
        <w:autoSpaceDN/>
        <w:bidi w:val="0"/>
        <w:spacing w:line="580" w:lineRule="exact"/>
        <w:jc w:val="center"/>
        <w:rPr>
          <w:rFonts w:hint="eastAsia" w:ascii="Times New Roman" w:hAnsi="Times New Roman" w:eastAsia="楷体" w:cs="Times New Roman"/>
          <w:w w:val="97"/>
          <w:sz w:val="32"/>
          <w:szCs w:val="28"/>
        </w:rPr>
      </w:pPr>
    </w:p>
    <w:p>
      <w:pPr>
        <w:keepNext w:val="0"/>
        <w:keepLines w:val="0"/>
        <w:pageBreakBefore w:val="0"/>
        <w:widowControl w:val="0"/>
        <w:kinsoku/>
        <w:wordWrap/>
        <w:overflowPunct/>
        <w:topLinePunct w:val="0"/>
        <w:autoSpaceDE/>
        <w:autoSpaceDN/>
        <w:bidi w:val="0"/>
        <w:spacing w:line="580" w:lineRule="exact"/>
        <w:jc w:val="center"/>
        <w:rPr>
          <w:rFonts w:hint="eastAsia" w:ascii="Times New Roman" w:hAnsi="Times New Roman" w:eastAsia="楷体" w:cs="Times New Roman"/>
          <w:w w:val="97"/>
          <w:sz w:val="32"/>
          <w:szCs w:val="28"/>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w w:val="97"/>
          <w:sz w:val="32"/>
          <w:szCs w:val="28"/>
        </w:rPr>
      </w:pPr>
      <w:r>
        <w:rPr>
          <w:rFonts w:hint="eastAsia" w:ascii="Times New Roman" w:hAnsi="Times New Roman" w:eastAsia="楷体" w:cs="Times New Roman"/>
          <w:w w:val="97"/>
          <w:sz w:val="32"/>
          <w:szCs w:val="28"/>
        </w:rPr>
        <w:t>枣环许可字</w:t>
      </w:r>
      <w:r>
        <w:rPr>
          <w:rFonts w:hint="eastAsia" w:ascii="Times New Roman" w:hAnsi="Times New Roman" w:eastAsia="楷体" w:cs="Times New Roman"/>
          <w:w w:val="97"/>
          <w:sz w:val="32"/>
          <w:szCs w:val="28"/>
          <w:lang w:eastAsia="zh-CN"/>
        </w:rPr>
        <w:t>〔</w:t>
      </w:r>
      <w:r>
        <w:rPr>
          <w:rFonts w:hint="eastAsia" w:ascii="Times New Roman" w:hAnsi="Times New Roman" w:eastAsia="楷体" w:cs="Times New Roman"/>
          <w:w w:val="97"/>
          <w:sz w:val="32"/>
          <w:szCs w:val="28"/>
          <w:lang w:val="en-US" w:eastAsia="zh-CN"/>
        </w:rPr>
        <w:t>2023</w:t>
      </w:r>
      <w:r>
        <w:rPr>
          <w:rFonts w:hint="eastAsia" w:ascii="Times New Roman" w:hAnsi="Times New Roman" w:eastAsia="楷体" w:cs="Times New Roman"/>
          <w:w w:val="97"/>
          <w:sz w:val="32"/>
          <w:szCs w:val="28"/>
          <w:lang w:eastAsia="zh-CN"/>
        </w:rPr>
        <w:t>〕</w:t>
      </w:r>
      <w:r>
        <w:rPr>
          <w:rFonts w:hint="eastAsia" w:ascii="Times New Roman" w:hAnsi="Times New Roman" w:eastAsia="楷体" w:cs="Times New Roman"/>
          <w:w w:val="97"/>
          <w:sz w:val="32"/>
          <w:szCs w:val="28"/>
          <w:lang w:val="en-US" w:eastAsia="zh-CN"/>
        </w:rPr>
        <w:t>25</w:t>
      </w:r>
      <w:r>
        <w:rPr>
          <w:rFonts w:hint="eastAsia" w:ascii="Times New Roman" w:hAnsi="Times New Roman" w:eastAsia="楷体" w:cs="Times New Roman"/>
          <w:w w:val="97"/>
          <w:sz w:val="32"/>
          <w:szCs w:val="28"/>
        </w:rPr>
        <w:t>号</w:t>
      </w:r>
    </w:p>
    <w:p>
      <w:pPr>
        <w:spacing w:line="580" w:lineRule="exact"/>
      </w:pPr>
    </w:p>
    <w:p>
      <w:pPr>
        <w:pStyle w:val="2"/>
      </w:pPr>
    </w:p>
    <w:p>
      <w:pPr>
        <w:spacing w:line="58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枣庄市生态环境局</w:t>
      </w:r>
    </w:p>
    <w:p>
      <w:pPr>
        <w:spacing w:line="58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关于山东三维重工有限公司三维国际高端</w:t>
      </w:r>
    </w:p>
    <w:p>
      <w:pPr>
        <w:spacing w:line="58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装备制造产业园项目环境影响报告书的批复</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山东三维重工有限公司：</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你公司报送的《山东三维重工有限公司三维国际高端装备制造产业园项目环境影响报告书》收悉。经研究，批复如下：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该项目属于新建，位于滕州市东沙河街道智能制造产业园内。主要建设内容为：太阳能发电跟踪系统机加工车间；非标装备机加工车间；非标装备涂装车间；绿色装配式建筑材料涂装车间；绿色装配式建筑材料机加工车间；油性漆及稀释剂库房、水性漆库房、钢板型材原料储存、产品储存等储运工程，公用工程、环保工程等。项目总投资200000万元，其中环保投资</w:t>
      </w: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万元，占总投资的0.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面落实报告书提出的各项生态保护和污染防治措施后，对环境的不利影响可得到控制和缓解，我局从环保角度原则同意你公司按照报告书中所列建设项目的性质、规模、地点、环境保护措施等内容进行建设和运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二、工程设计、建设和运行管理中应重点做好以下工作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加强施工环境管理。严格制定扬尘防治方案，落实六个“百分之百”要求，施工现场按要求安装视频监控、β射线扬尘在线监测设备。生产废水收集沉淀后，回用于道路洒水和车辆清洗。禁止夜间高噪声施工。建筑垃圾要严格实行定点堆放，并及时清运处理。施工完成后尽快按厂区绿化方案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建设期间严格落实安全生产要求，严禁违规作业。</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严格落实大气治理措施。</w:t>
      </w:r>
    </w:p>
    <w:p>
      <w:pPr>
        <w:spacing w:line="58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抛丸、绿色装配机加工焊接工段、喷砂工段颗粒物废气经收集后进入布袋除尘器处理，分别由15m排气筒(DA001-DA005)有组织排放。颗粒物排放浓度满足《区域性大气污染物综合排放标准》（DB37/2376-2019）表1重点控制区标准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喷漆(底漆、面漆)经处理后，由15m排气筒排放。1#、2#喷漆房(底漆、面漆）产生的颗粒物、VOCs废气处理后由15m排气筒(DA006)排放。3#</w:t>
      </w:r>
      <w:r>
        <w:rPr>
          <w:rFonts w:hint="eastAsia" w:ascii="Times New Roman" w:hAnsi="Times New Roman" w:eastAsia="仿宋_GB2312" w:cs="Times New Roman"/>
          <w:color w:val="000000"/>
          <w:sz w:val="32"/>
          <w:szCs w:val="32"/>
          <w:highlight w:val="none"/>
          <w:lang w:eastAsia="zh-CN"/>
        </w:rPr>
        <w:t>喷漆房及烘干工序废气</w:t>
      </w:r>
      <w:r>
        <w:rPr>
          <w:rFonts w:hint="eastAsia" w:ascii="仿宋_GB2312" w:hAnsi="仿宋_GB2312" w:eastAsia="仿宋_GB2312" w:cs="仿宋_GB2312"/>
          <w:color w:val="000000"/>
          <w:sz w:val="32"/>
          <w:szCs w:val="32"/>
        </w:rPr>
        <w:t>处理后由15m排气筒(DA007)排放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#喷漆房及</w:t>
      </w:r>
      <w:r>
        <w:rPr>
          <w:rFonts w:hint="eastAsia" w:ascii="仿宋_GB2312" w:hAnsi="仿宋_GB2312" w:eastAsia="仿宋_GB2312" w:cs="仿宋_GB2312"/>
          <w:color w:val="000000"/>
          <w:sz w:val="32"/>
          <w:szCs w:val="32"/>
          <w:lang w:eastAsia="zh-CN"/>
        </w:rPr>
        <w:t>晾</w:t>
      </w:r>
      <w:r>
        <w:rPr>
          <w:rFonts w:hint="eastAsia" w:ascii="仿宋_GB2312" w:hAnsi="仿宋_GB2312" w:eastAsia="仿宋_GB2312" w:cs="仿宋_GB2312"/>
          <w:color w:val="000000"/>
          <w:sz w:val="32"/>
          <w:szCs w:val="32"/>
        </w:rPr>
        <w:t>干工序产生</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废气处理后由15m排气筒(DA008)排放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外排废气中颗粒物满足《区域性大气污染物综合排放标准》（DB37/2376-2019）表1重点控制区大气污染物排放浓度限值，VOCs、二甲苯排放速率、排放浓度满足《挥发性有机物排放标准第5部分：表面涂装行业》（DB37/2801.5-2018）表2中标准要求。</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报告书提出无组织排放措施。加强绿色装配式建筑材料机加工切割废气以及非标设备机加工切割、焊接废气收集处理后。颗粒物厂界无组织排放浓度须达到《大气污染物综合排放标准》(GB16297-1996)表2无组织排放监控浓度限值；VOCs无组织排放浓度须达到《挥发性有机物无组织排放控制标准》（GB37822-2019）表A.1厂区内VOCs无组织排放限值及《挥发性有机物排放标准第5部分：表面涂装行业》（DB37/2801.5-2018）表</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排放限值要求。</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（三）加强水污染防治措施。实行雨污分流，</w:t>
      </w:r>
      <w:r>
        <w:rPr>
          <w:rFonts w:hint="eastAsia" w:ascii="仿宋_GB2312" w:hAnsi="仿宋_GB2312" w:eastAsia="仿宋_GB2312" w:cs="仿宋_GB2312"/>
          <w:color w:val="000000"/>
          <w:sz w:val="32"/>
          <w:szCs w:val="32"/>
          <w:lang w:eastAsia="zh-CN"/>
        </w:rPr>
        <w:t>项目无生产废水排放，</w:t>
      </w:r>
      <w:r>
        <w:rPr>
          <w:rFonts w:hint="eastAsia" w:ascii="仿宋_GB2312" w:hAnsi="仿宋_GB2312" w:eastAsia="仿宋_GB2312" w:cs="仿宋_GB2312"/>
          <w:color w:val="000000"/>
          <w:sz w:val="32"/>
          <w:szCs w:val="32"/>
        </w:rPr>
        <w:t>生活污水一起经市政管网排入国电银河水务（滕州）有限公司处理。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（四）加强土壤和地下水保护。按照“源头控制、分区防治、污染监控、应急响应”相结合的原则，加强污染防控，强化厂区生产车间、危废间、事故水池等区域地面防渗</w:t>
      </w:r>
      <w:r>
        <w:rPr>
          <w:rStyle w:val="37"/>
          <w:rFonts w:hint="eastAsia" w:ascii="仿宋" w:hAnsi="仿宋" w:eastAsia="仿宋"/>
          <w:color w:val="000000"/>
          <w:sz w:val="32"/>
          <w:szCs w:val="32"/>
        </w:rPr>
        <w:t>，确保事故废水应急及时收集处理。加强地下水监控监测，严格按报告书要求设置监测井。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（五）强化噪声污染防治。优化厂区平面布置，</w:t>
      </w:r>
      <w:r>
        <w:rPr>
          <w:rFonts w:hint="default" w:ascii="仿宋_GB2312" w:hAnsi="仿宋_GB2312" w:eastAsia="仿宋_GB2312" w:cs="仿宋_GB2312"/>
          <w:sz w:val="32"/>
          <w:szCs w:val="32"/>
          <w:highlight w:val="none"/>
          <w:lang w:val="en-US" w:eastAsia="zh-CN"/>
        </w:rPr>
        <w:t>剪板机、数控机床、切割机、锯床、各类焊机等生产设备及风机、空压机、水泵等，</w:t>
      </w:r>
      <w:r>
        <w:rPr>
          <w:rFonts w:hint="eastAsia" w:ascii="仿宋_GB2312" w:hAnsi="仿宋_GB2312" w:eastAsia="仿宋_GB2312" w:cs="仿宋_GB2312"/>
          <w:sz w:val="32"/>
          <w:szCs w:val="32"/>
        </w:rPr>
        <w:t>采取选用低噪声设备、减振、隔声、消声等降噪措施，有效降低对周边敏感点影响，厂界噪声须符合《工业企业厂界环境噪声排放标准》（</w:t>
      </w:r>
      <w:r>
        <w:rPr>
          <w:rFonts w:ascii="仿宋_GB2312" w:hAnsi="仿宋_GB2312" w:eastAsia="仿宋_GB2312" w:cs="仿宋_GB2312"/>
          <w:sz w:val="32"/>
          <w:szCs w:val="32"/>
        </w:rPr>
        <w:t>GB12348-2008</w:t>
      </w:r>
      <w:r>
        <w:rPr>
          <w:rFonts w:hint="eastAsia" w:ascii="仿宋_GB2312" w:hAnsi="仿宋_GB2312" w:eastAsia="仿宋_GB2312" w:cs="仿宋_GB2312"/>
          <w:sz w:val="32"/>
          <w:szCs w:val="32"/>
        </w:rPr>
        <w:t>）中的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类标准要求。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（六）严格落实厂区各类固体废物的收集、处置和综合利用措施。下脚料、废布袋、</w:t>
      </w:r>
      <w:r>
        <w:rPr>
          <w:rFonts w:hint="eastAsia" w:ascii="仿宋_GB2312" w:hAnsi="仿宋_GB2312" w:eastAsia="仿宋_GB2312" w:cs="仿宋_GB2312"/>
          <w:sz w:val="32"/>
          <w:szCs w:val="32"/>
          <w:lang w:eastAsia="zh-CN"/>
        </w:rPr>
        <w:t>废钢丸、废钢砂、废包装、焊接</w:t>
      </w:r>
      <w:r>
        <w:rPr>
          <w:rFonts w:hint="eastAsia" w:ascii="仿宋_GB2312" w:hAnsi="仿宋_GB2312" w:eastAsia="仿宋_GB2312" w:cs="仿宋_GB2312"/>
          <w:sz w:val="32"/>
          <w:szCs w:val="32"/>
        </w:rPr>
        <w:t>工序产生的焊丝、除尘器收集的粉尘外卖物资回收公司。机加工过程中产生的废润滑油、喷漆工序产生的废涂料桶、设备维护过程中产生的废弃的含油抹布、劳保用品、喷漆工序产生的漆渣、废过滤棉、废活性炭、废催化剂暂存于危废暂存间，委托有资质单位处置。生活垃圾由环卫部门负责清运。一般固废的贮存和处置按照《一般工业固体废物贮存、处置场污染控制标准》(GB18599-2020)；危险废物贮存和处置须符合《危险废物贮存污染控制标准》(GB1</w:t>
      </w:r>
      <w:r>
        <w:rPr>
          <w:rFonts w:ascii="仿宋_GB2312" w:hAnsi="仿宋_GB2312" w:eastAsia="仿宋_GB2312" w:cs="仿宋_GB2312"/>
          <w:sz w:val="32"/>
          <w:szCs w:val="32"/>
        </w:rPr>
        <w:t>8</w:t>
      </w:r>
      <w:r>
        <w:rPr>
          <w:rFonts w:ascii="仿宋_GB2312" w:hAnsi="仿宋_GB2312" w:eastAsia="仿宋_GB2312" w:cs="仿宋_GB2312"/>
          <w:color w:val="000000"/>
          <w:sz w:val="32"/>
          <w:szCs w:val="32"/>
        </w:rPr>
        <w:t>597-2001)</w:t>
      </w:r>
      <w:r>
        <w:rPr>
          <w:rFonts w:hint="eastAsia" w:ascii="仿宋_GB2312" w:hAnsi="仿宋_GB2312" w:eastAsia="仿宋_GB2312" w:cs="仿宋_GB2312"/>
          <w:color w:val="000000"/>
          <w:sz w:val="32"/>
          <w:szCs w:val="32"/>
        </w:rPr>
        <w:t>及修改单等要求。</w:t>
      </w:r>
    </w:p>
    <w:p>
      <w:pPr>
        <w:spacing w:line="580" w:lineRule="exact"/>
        <w:ind w:firstLine="640" w:firstLineChars="200"/>
        <w:rPr>
          <w:rStyle w:val="37"/>
          <w:rFonts w:hint="eastAsia" w:ascii="仿宋_GB2312" w:hAnsi="仿宋_GB2312" w:eastAsia="仿宋_GB2312"/>
          <w:color w:val="000000"/>
          <w:sz w:val="32"/>
          <w:szCs w:val="32"/>
        </w:rPr>
      </w:pPr>
      <w:r>
        <w:rPr>
          <w:rFonts w:hint="eastAsia" w:ascii="仿宋_GB2312" w:hAnsi="仿宋_GB2312" w:eastAsia="仿宋_GB2312" w:cs="仿宋_GB2312"/>
          <w:sz w:val="32"/>
          <w:szCs w:val="32"/>
        </w:rPr>
        <w:t>（七）</w:t>
      </w:r>
      <w:r>
        <w:rPr>
          <w:rStyle w:val="37"/>
          <w:rFonts w:hint="eastAsia" w:ascii="仿宋" w:hAnsi="仿宋" w:eastAsia="仿宋" w:cs="仿宋"/>
          <w:bCs/>
          <w:sz w:val="32"/>
          <w:szCs w:val="32"/>
        </w:rPr>
        <w:t>健全环境管理体系</w:t>
      </w:r>
      <w:r>
        <w:rPr>
          <w:rStyle w:val="37"/>
          <w:rFonts w:hint="eastAsia" w:ascii="仿宋" w:hAnsi="仿宋" w:eastAsia="仿宋"/>
          <w:color w:val="000000"/>
          <w:sz w:val="32"/>
          <w:szCs w:val="32"/>
        </w:rPr>
        <w:t>。</w:t>
      </w:r>
      <w:r>
        <w:rPr>
          <w:rStyle w:val="37"/>
          <w:rFonts w:hint="eastAsia" w:ascii="仿宋_GB2312" w:hAnsi="仿宋_GB2312" w:eastAsia="仿宋_GB2312"/>
          <w:color w:val="000000"/>
          <w:sz w:val="32"/>
          <w:szCs w:val="32"/>
        </w:rPr>
        <w:t>按要求设置规范的废气污染物排放口、监测口，并设立标志牌。严格落实环境管理及监测计划，环保设备安装“分表计电”智能控制系统，并与生态环境部门联网。按要求设置规范的采样平台和监测孔。</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（八）落实环境风险防范措施。</w:t>
      </w:r>
      <w:r>
        <w:rPr>
          <w:rStyle w:val="37"/>
          <w:rFonts w:hint="eastAsia" w:ascii="仿宋_GB2312" w:hAnsi="仿宋_GB2312" w:eastAsia="仿宋_GB2312"/>
          <w:color w:val="000000"/>
          <w:sz w:val="32"/>
          <w:szCs w:val="32"/>
        </w:rPr>
        <w:t>加强生产运行中的全程风险管理，</w:t>
      </w:r>
      <w:r>
        <w:rPr>
          <w:rFonts w:hint="eastAsia" w:ascii="仿宋_GB2312" w:hAnsi="仿宋_GB2312" w:eastAsia="仿宋_GB2312" w:cs="仿宋_GB2312"/>
          <w:sz w:val="32"/>
          <w:szCs w:val="32"/>
        </w:rPr>
        <w:t>环保治理设施纳入安全评价范围</w:t>
      </w:r>
      <w:r>
        <w:rPr>
          <w:rFonts w:hint="eastAsia" w:ascii="仿宋_GB2312" w:hAnsi="仿宋_GB2312" w:eastAsia="仿宋_GB2312" w:cs="仿宋_GB2312"/>
          <w:sz w:val="32"/>
          <w:szCs w:val="32"/>
          <w:lang w:eastAsia="zh-CN"/>
        </w:rPr>
        <w:t>。</w:t>
      </w:r>
      <w:r>
        <w:rPr>
          <w:rStyle w:val="37"/>
          <w:rFonts w:hint="eastAsia" w:ascii="仿宋_GB2312" w:hAnsi="仿宋_GB2312" w:eastAsia="仿宋_GB2312"/>
          <w:color w:val="000000"/>
          <w:sz w:val="32"/>
          <w:szCs w:val="32"/>
        </w:rPr>
        <w:t>建设相应的围堰、事故水池及相应配套导排系统等。健全完善防控体系，制定应急预案并与区域事故应急系统相协调，确保配备必要的应急设备设施并定期演练，切实加强事故应急处理及防范能力，确保环境安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（九）项目建成后，</w:t>
      </w:r>
      <w:r>
        <w:rPr>
          <w:rStyle w:val="37"/>
          <w:rFonts w:hint="eastAsia" w:ascii="仿宋_GB2312" w:hAnsi="仿宋_GB2312" w:eastAsia="仿宋_GB2312"/>
          <w:color w:val="000000"/>
          <w:sz w:val="32"/>
          <w:szCs w:val="32"/>
        </w:rPr>
        <w:t>颗粒物、二氧化硫、氮氧化物、VOCs总量指标控制在1.172t/a、0.01t/a、0.035t/a、1.712t/a以内。</w:t>
      </w:r>
    </w:p>
    <w:p>
      <w:pPr>
        <w:spacing w:line="580" w:lineRule="exact"/>
        <w:ind w:firstLine="640" w:firstLineChars="200"/>
        <w:rPr>
          <w:rStyle w:val="37"/>
          <w:rFonts w:ascii="仿宋_GB2312" w:hAnsi="仿宋_GB2312" w:eastAsia="仿宋_GB2312"/>
          <w:color w:val="000000"/>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color w:val="000000"/>
          <w:sz w:val="32"/>
          <w:szCs w:val="32"/>
        </w:rPr>
        <w:t>强化环境信息公开与公众参与机制。</w:t>
      </w:r>
      <w:r>
        <w:rPr>
          <w:rStyle w:val="37"/>
          <w:rFonts w:hint="eastAsia" w:ascii="仿宋_GB2312" w:hAnsi="仿宋_GB2312" w:eastAsia="仿宋_GB2312"/>
          <w:color w:val="000000"/>
          <w:sz w:val="32"/>
          <w:szCs w:val="32"/>
        </w:rPr>
        <w:t>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三、该项目建设必须严格执行环境保护设施与主体工程同时设计、同时施工、同时投产使用的环境保护“三同时”制度，落实各项环境保护措施。项目建成后，须按规定程序实施竣工环境保护验收。</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年项目才开工的，应当在开工前将环境影响报告书报批重新审核。如根据法律法规等相关规定需要进行更严格要求的，实行从严管理。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五、由枣庄市生态环境局</w:t>
      </w:r>
      <w:r>
        <w:rPr>
          <w:rFonts w:hint="eastAsia" w:ascii="仿宋_GB2312" w:hAnsi="仿宋_GB2312" w:eastAsia="仿宋_GB2312" w:cs="仿宋_GB2312"/>
          <w:color w:val="000000"/>
          <w:sz w:val="32"/>
          <w:szCs w:val="32"/>
          <w:lang w:eastAsia="zh-CN"/>
        </w:rPr>
        <w:t>滕州</w:t>
      </w:r>
      <w:r>
        <w:rPr>
          <w:rFonts w:hint="eastAsia" w:ascii="仿宋_GB2312" w:hAnsi="仿宋_GB2312" w:eastAsia="仿宋_GB2312" w:cs="仿宋_GB2312"/>
          <w:color w:val="000000"/>
          <w:sz w:val="32"/>
          <w:szCs w:val="32"/>
        </w:rPr>
        <w:t>分局和枣庄市生态环境保护综合执法支队负责该项目的“三同时”监督检查和日常管理工作。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六、你公司应在接到本批复后</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个工作日内，将本批复和批准后的环境影响报告书送至枣庄市生态环境局</w:t>
      </w:r>
      <w:r>
        <w:rPr>
          <w:rFonts w:hint="eastAsia" w:ascii="仿宋_GB2312" w:hAnsi="仿宋_GB2312" w:eastAsia="仿宋_GB2312" w:cs="仿宋_GB2312"/>
          <w:color w:val="000000"/>
          <w:sz w:val="32"/>
          <w:szCs w:val="32"/>
          <w:lang w:eastAsia="zh-CN"/>
        </w:rPr>
        <w:t>滕州</w:t>
      </w:r>
      <w:r>
        <w:rPr>
          <w:rFonts w:hint="eastAsia" w:ascii="仿宋_GB2312" w:hAnsi="仿宋_GB2312" w:eastAsia="仿宋_GB2312" w:cs="仿宋_GB2312"/>
          <w:color w:val="000000"/>
          <w:sz w:val="32"/>
          <w:szCs w:val="32"/>
        </w:rPr>
        <w:t>分局及枣庄市生态环境保护综合执法支队，并按规定接受各级生态环境部门的监督检查。</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pPr>
        <w:pStyle w:val="2"/>
        <w:rPr>
          <w:rFonts w:hint="eastAsia" w:ascii="仿宋_GB2312" w:hAnsi="仿宋_GB2312" w:eastAsia="仿宋_GB2312" w:cs="仿宋_GB2312"/>
          <w:color w:val="000000"/>
          <w:sz w:val="32"/>
          <w:szCs w:val="32"/>
        </w:rPr>
      </w:pPr>
    </w:p>
    <w:p/>
    <w:p/>
    <w:p>
      <w:pPr>
        <w:spacing w:line="580" w:lineRule="exact"/>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枣庄市生态环境局</w:t>
      </w:r>
    </w:p>
    <w:p>
      <w:pPr>
        <w:spacing w:line="580" w:lineRule="exact"/>
        <w:ind w:firstLine="5440" w:firstLineChars="1700"/>
        <w:rPr>
          <w:rFonts w:hint="eastAsia"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pStyle w:val="2"/>
        <w:ind w:left="0" w:leftChars="0" w:firstLine="0" w:firstLineChars="0"/>
      </w:pPr>
    </w:p>
    <w:p/>
    <w:p>
      <w:pPr>
        <w:pStyle w:val="2"/>
      </w:pPr>
    </w:p>
    <w:p/>
    <w:p>
      <w:pPr>
        <w:pStyle w:val="2"/>
      </w:pPr>
    </w:p>
    <w:p/>
    <w:p>
      <w:pPr>
        <w:pStyle w:val="2"/>
      </w:pPr>
    </w:p>
    <w:p/>
    <w:p>
      <w:pPr>
        <w:pStyle w:val="2"/>
      </w:pPr>
    </w:p>
    <w:p/>
    <w:p>
      <w:pPr>
        <w:pStyle w:val="2"/>
      </w:pPr>
    </w:p>
    <w:p/>
    <w:p>
      <w:pPr>
        <w:pStyle w:val="2"/>
      </w:pPr>
    </w:p>
    <w:p/>
    <w:p>
      <w:bookmarkStart w:id="0" w:name="_GoBack"/>
      <w:bookmarkEnd w:id="0"/>
    </w:p>
    <w:p>
      <w:pPr>
        <w:rPr>
          <w:rFonts w:hint="eastAsia" w:ascii="仿宋_GB2312" w:hAnsi="仿宋" w:eastAsia="仿宋_GB2312"/>
          <w:color w:val="000000"/>
          <w:sz w:val="28"/>
          <w:szCs w:val="28"/>
        </w:rPr>
      </w:pPr>
      <w:r>
        <w:rPr>
          <w:rFonts w:hint="eastAsia" w:ascii="仿宋_GB2312" w:hAnsi="仿宋" w:eastAsia="仿宋_GB2312"/>
          <w:color w:val="000000"/>
          <w:sz w:val="28"/>
          <w:szCs w:val="28"/>
        </w:rPr>
        <w:t>主题词：环境影响评价  报告</w:t>
      </w:r>
      <w:r>
        <w:rPr>
          <w:rFonts w:hint="eastAsia" w:ascii="仿宋_GB2312" w:hAnsi="仿宋" w:eastAsia="仿宋_GB2312"/>
          <w:color w:val="000000"/>
          <w:sz w:val="28"/>
          <w:szCs w:val="28"/>
          <w:lang w:eastAsia="zh-CN"/>
        </w:rPr>
        <w:t>书</w:t>
      </w:r>
      <w:r>
        <w:rPr>
          <w:rFonts w:hint="eastAsia" w:ascii="仿宋_GB2312" w:hAnsi="仿宋" w:eastAsia="仿宋_GB2312"/>
          <w:color w:val="000000"/>
          <w:sz w:val="28"/>
          <w:szCs w:val="28"/>
        </w:rPr>
        <w:t xml:space="preserve">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rPr>
                <w:rFonts w:hint="eastAsia" w:ascii="仿宋_GB2312" w:hAnsi="仿宋" w:eastAsia="仿宋_GB2312"/>
                <w:color w:val="000000"/>
                <w:sz w:val="28"/>
                <w:szCs w:val="28"/>
              </w:rPr>
            </w:pPr>
            <w:r>
              <w:rPr>
                <w:rFonts w:hint="eastAsia" w:ascii="仿宋_GB2312" w:hAnsi="仿宋" w:eastAsia="仿宋_GB2312"/>
                <w:color w:val="000000"/>
                <w:sz w:val="28"/>
                <w:szCs w:val="28"/>
              </w:rPr>
              <w:t>枣庄市生态环境局办公室                     202</w:t>
            </w: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11</w:t>
            </w:r>
            <w:r>
              <w:rPr>
                <w:rFonts w:hint="eastAsia" w:ascii="仿宋_GB2312" w:hAnsi="仿宋" w:eastAsia="仿宋_GB2312"/>
                <w:color w:val="000000"/>
                <w:sz w:val="28"/>
                <w:szCs w:val="28"/>
              </w:rPr>
              <w:t>日印发</w:t>
            </w:r>
          </w:p>
        </w:tc>
      </w:tr>
    </w:tbl>
    <w:p>
      <w:pPr>
        <w:rPr>
          <w:rFonts w:hint="eastAsia" w:ascii="仿宋_GB2312" w:hAnsi="仿宋" w:eastAsia="仿宋_GB2312"/>
          <w:color w:val="000000"/>
          <w:sz w:val="28"/>
          <w:szCs w:val="28"/>
        </w:rPr>
      </w:pPr>
      <w:r>
        <w:rPr>
          <w:rFonts w:hint="eastAsia" w:ascii="仿宋_GB2312" w:hAnsi="仿宋" w:eastAsia="仿宋_GB2312"/>
          <w:color w:val="000000"/>
          <w:sz w:val="18"/>
          <w:szCs w:val="18"/>
          <w:lang w:val="en"/>
        </w:rPr>
        <w:t>电子批复领取指南：http://sthjj.zaozhuang.gov.cn/sthjyw/hpsp/xmsp/202205/t20220531_1442654.html</w:t>
      </w:r>
    </w:p>
    <w:sectPr>
      <w:headerReference r:id="rId3" w:type="default"/>
      <w:footerReference r:id="rId4" w:type="default"/>
      <w:pgSz w:w="11906" w:h="16838"/>
      <w:pgMar w:top="1837" w:right="1588" w:bottom="1610" w:left="1588" w:header="851" w:footer="124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0NzA2OTM4ZTI5OGI0NzMxN2E0OTBlMDc0YjAzOTQifQ=="/>
  </w:docVars>
  <w:rsids>
    <w:rsidRoot w:val="32A65FC8"/>
    <w:rsid w:val="00000CD1"/>
    <w:rsid w:val="000D3A38"/>
    <w:rsid w:val="00207460"/>
    <w:rsid w:val="00247991"/>
    <w:rsid w:val="002A50A3"/>
    <w:rsid w:val="00332C88"/>
    <w:rsid w:val="0041300C"/>
    <w:rsid w:val="0041674E"/>
    <w:rsid w:val="00543561"/>
    <w:rsid w:val="00595422"/>
    <w:rsid w:val="00610B2B"/>
    <w:rsid w:val="006A7CFE"/>
    <w:rsid w:val="007279A9"/>
    <w:rsid w:val="00781199"/>
    <w:rsid w:val="007A5A2B"/>
    <w:rsid w:val="008532F3"/>
    <w:rsid w:val="00885723"/>
    <w:rsid w:val="00963662"/>
    <w:rsid w:val="00A44EE0"/>
    <w:rsid w:val="00A80B2F"/>
    <w:rsid w:val="00A97163"/>
    <w:rsid w:val="00AF7D12"/>
    <w:rsid w:val="00B3372F"/>
    <w:rsid w:val="00BF6E2C"/>
    <w:rsid w:val="00C00338"/>
    <w:rsid w:val="00CC362F"/>
    <w:rsid w:val="00DD257E"/>
    <w:rsid w:val="00E46788"/>
    <w:rsid w:val="00E60D16"/>
    <w:rsid w:val="00EB5705"/>
    <w:rsid w:val="00EC27C9"/>
    <w:rsid w:val="00ED4623"/>
    <w:rsid w:val="00F1437C"/>
    <w:rsid w:val="00F54EF8"/>
    <w:rsid w:val="00FE3A77"/>
    <w:rsid w:val="010A078D"/>
    <w:rsid w:val="01191B64"/>
    <w:rsid w:val="01256FAF"/>
    <w:rsid w:val="013B61AC"/>
    <w:rsid w:val="014E3A83"/>
    <w:rsid w:val="01A52B9E"/>
    <w:rsid w:val="01AB535B"/>
    <w:rsid w:val="01CF7E92"/>
    <w:rsid w:val="02060A6D"/>
    <w:rsid w:val="023704B1"/>
    <w:rsid w:val="02866093"/>
    <w:rsid w:val="02A90961"/>
    <w:rsid w:val="02C31F17"/>
    <w:rsid w:val="030A0A72"/>
    <w:rsid w:val="030E106D"/>
    <w:rsid w:val="034A0C43"/>
    <w:rsid w:val="03555800"/>
    <w:rsid w:val="03564296"/>
    <w:rsid w:val="03570EAD"/>
    <w:rsid w:val="03690F87"/>
    <w:rsid w:val="03AB38C6"/>
    <w:rsid w:val="047909FB"/>
    <w:rsid w:val="05DB66F5"/>
    <w:rsid w:val="068235E1"/>
    <w:rsid w:val="069475BB"/>
    <w:rsid w:val="07404B42"/>
    <w:rsid w:val="07B37298"/>
    <w:rsid w:val="07B96B7B"/>
    <w:rsid w:val="081E35C2"/>
    <w:rsid w:val="0826385C"/>
    <w:rsid w:val="08A16500"/>
    <w:rsid w:val="08BE1DD9"/>
    <w:rsid w:val="08CE639A"/>
    <w:rsid w:val="08D22B58"/>
    <w:rsid w:val="08EB71DA"/>
    <w:rsid w:val="095B77B6"/>
    <w:rsid w:val="098E235A"/>
    <w:rsid w:val="0A210042"/>
    <w:rsid w:val="0A267726"/>
    <w:rsid w:val="0A3F3630"/>
    <w:rsid w:val="0A4A2731"/>
    <w:rsid w:val="0A4F4FA5"/>
    <w:rsid w:val="0A517E52"/>
    <w:rsid w:val="0A5B60F6"/>
    <w:rsid w:val="0A6864A2"/>
    <w:rsid w:val="0A8E090E"/>
    <w:rsid w:val="0AC80989"/>
    <w:rsid w:val="0B4F04CE"/>
    <w:rsid w:val="0C145705"/>
    <w:rsid w:val="0C951FB4"/>
    <w:rsid w:val="0CAB008B"/>
    <w:rsid w:val="0D480407"/>
    <w:rsid w:val="0DBE03D4"/>
    <w:rsid w:val="0DD9207D"/>
    <w:rsid w:val="0E0C42A9"/>
    <w:rsid w:val="0E22761B"/>
    <w:rsid w:val="0EBF4030"/>
    <w:rsid w:val="0ED4346E"/>
    <w:rsid w:val="0F341AAC"/>
    <w:rsid w:val="0F987E37"/>
    <w:rsid w:val="0F9C5C0A"/>
    <w:rsid w:val="105F0062"/>
    <w:rsid w:val="10B82698"/>
    <w:rsid w:val="10B915FF"/>
    <w:rsid w:val="10C177D2"/>
    <w:rsid w:val="10D24846"/>
    <w:rsid w:val="10E403C6"/>
    <w:rsid w:val="10E828D4"/>
    <w:rsid w:val="10F53D6A"/>
    <w:rsid w:val="112C0111"/>
    <w:rsid w:val="1198193E"/>
    <w:rsid w:val="119A70F0"/>
    <w:rsid w:val="119B1CF6"/>
    <w:rsid w:val="120122A4"/>
    <w:rsid w:val="126260DE"/>
    <w:rsid w:val="12B229BE"/>
    <w:rsid w:val="135278BD"/>
    <w:rsid w:val="13575310"/>
    <w:rsid w:val="13606A9B"/>
    <w:rsid w:val="137409AD"/>
    <w:rsid w:val="141F294E"/>
    <w:rsid w:val="142C3751"/>
    <w:rsid w:val="14B367AF"/>
    <w:rsid w:val="14C20AE2"/>
    <w:rsid w:val="14F1302C"/>
    <w:rsid w:val="15011DED"/>
    <w:rsid w:val="152A362F"/>
    <w:rsid w:val="15886580"/>
    <w:rsid w:val="16096437"/>
    <w:rsid w:val="168D485C"/>
    <w:rsid w:val="16E95AB7"/>
    <w:rsid w:val="17B54B5C"/>
    <w:rsid w:val="17BD65AA"/>
    <w:rsid w:val="17E92EF4"/>
    <w:rsid w:val="17F6662C"/>
    <w:rsid w:val="17FD0CE6"/>
    <w:rsid w:val="189175E9"/>
    <w:rsid w:val="189F72BE"/>
    <w:rsid w:val="18E256D1"/>
    <w:rsid w:val="18FD7D6F"/>
    <w:rsid w:val="19113E90"/>
    <w:rsid w:val="19BC4D66"/>
    <w:rsid w:val="1AC74523"/>
    <w:rsid w:val="1B076474"/>
    <w:rsid w:val="1B2F2BFA"/>
    <w:rsid w:val="1B8A1E6B"/>
    <w:rsid w:val="1B9D655B"/>
    <w:rsid w:val="1BB15126"/>
    <w:rsid w:val="1BCB6512"/>
    <w:rsid w:val="1C254882"/>
    <w:rsid w:val="1C314946"/>
    <w:rsid w:val="1C425D01"/>
    <w:rsid w:val="1C4C4CE5"/>
    <w:rsid w:val="1D56032D"/>
    <w:rsid w:val="1D846222"/>
    <w:rsid w:val="1D9E5EF9"/>
    <w:rsid w:val="1DFC4A59"/>
    <w:rsid w:val="1E366D24"/>
    <w:rsid w:val="1EA53A22"/>
    <w:rsid w:val="1F3C7078"/>
    <w:rsid w:val="1F5931AB"/>
    <w:rsid w:val="1F686DF4"/>
    <w:rsid w:val="1F9828F5"/>
    <w:rsid w:val="1FB02625"/>
    <w:rsid w:val="208F1953"/>
    <w:rsid w:val="20B603FD"/>
    <w:rsid w:val="20C87D15"/>
    <w:rsid w:val="20FA3986"/>
    <w:rsid w:val="213D14E5"/>
    <w:rsid w:val="215332B8"/>
    <w:rsid w:val="2187585B"/>
    <w:rsid w:val="21A6217C"/>
    <w:rsid w:val="21D03C14"/>
    <w:rsid w:val="22523571"/>
    <w:rsid w:val="225F3AA1"/>
    <w:rsid w:val="228346CB"/>
    <w:rsid w:val="228A1E52"/>
    <w:rsid w:val="22F418A1"/>
    <w:rsid w:val="23266BC4"/>
    <w:rsid w:val="234E3C80"/>
    <w:rsid w:val="237304B8"/>
    <w:rsid w:val="238E73F3"/>
    <w:rsid w:val="239C10DB"/>
    <w:rsid w:val="23A11B2B"/>
    <w:rsid w:val="23BB1638"/>
    <w:rsid w:val="243857FD"/>
    <w:rsid w:val="24440CCE"/>
    <w:rsid w:val="24606379"/>
    <w:rsid w:val="24830DA0"/>
    <w:rsid w:val="24B87FBC"/>
    <w:rsid w:val="24F57407"/>
    <w:rsid w:val="25032176"/>
    <w:rsid w:val="25440F67"/>
    <w:rsid w:val="259A391D"/>
    <w:rsid w:val="25CE7808"/>
    <w:rsid w:val="25E31E66"/>
    <w:rsid w:val="26484690"/>
    <w:rsid w:val="26F34F7F"/>
    <w:rsid w:val="26F94B34"/>
    <w:rsid w:val="270D283D"/>
    <w:rsid w:val="27A02083"/>
    <w:rsid w:val="27B02FBD"/>
    <w:rsid w:val="289E3886"/>
    <w:rsid w:val="28D10CCC"/>
    <w:rsid w:val="28E86B31"/>
    <w:rsid w:val="28FD01A7"/>
    <w:rsid w:val="29520CA4"/>
    <w:rsid w:val="29746175"/>
    <w:rsid w:val="29A529F3"/>
    <w:rsid w:val="2A3C25D1"/>
    <w:rsid w:val="2A7431A6"/>
    <w:rsid w:val="2A805624"/>
    <w:rsid w:val="2AA46834"/>
    <w:rsid w:val="2AB64968"/>
    <w:rsid w:val="2B55003B"/>
    <w:rsid w:val="2C0716FA"/>
    <w:rsid w:val="2C3F5288"/>
    <w:rsid w:val="2C5D5807"/>
    <w:rsid w:val="2C7A419D"/>
    <w:rsid w:val="2C921B1D"/>
    <w:rsid w:val="2CB50EEC"/>
    <w:rsid w:val="2CF936BF"/>
    <w:rsid w:val="2D0A44CC"/>
    <w:rsid w:val="2D2A70E0"/>
    <w:rsid w:val="2D5E12BD"/>
    <w:rsid w:val="2DD422FD"/>
    <w:rsid w:val="2DE168A5"/>
    <w:rsid w:val="2DE21969"/>
    <w:rsid w:val="2DE722D1"/>
    <w:rsid w:val="2E1C45C8"/>
    <w:rsid w:val="2E967338"/>
    <w:rsid w:val="2EB62EEF"/>
    <w:rsid w:val="2EBF0167"/>
    <w:rsid w:val="2F155A89"/>
    <w:rsid w:val="2F931AE9"/>
    <w:rsid w:val="2FAC034D"/>
    <w:rsid w:val="2FB10B1B"/>
    <w:rsid w:val="2FB26F2D"/>
    <w:rsid w:val="2FD62EF1"/>
    <w:rsid w:val="2FE91085"/>
    <w:rsid w:val="30BD092C"/>
    <w:rsid w:val="329C4631"/>
    <w:rsid w:val="32A65FC8"/>
    <w:rsid w:val="32F438EC"/>
    <w:rsid w:val="32FE24EF"/>
    <w:rsid w:val="33270C79"/>
    <w:rsid w:val="332D1F26"/>
    <w:rsid w:val="336023F7"/>
    <w:rsid w:val="336A6EAA"/>
    <w:rsid w:val="33707300"/>
    <w:rsid w:val="33BC49F5"/>
    <w:rsid w:val="33C10977"/>
    <w:rsid w:val="33C55D00"/>
    <w:rsid w:val="33C77B8E"/>
    <w:rsid w:val="34695242"/>
    <w:rsid w:val="34B735B6"/>
    <w:rsid w:val="356A0381"/>
    <w:rsid w:val="35725BDD"/>
    <w:rsid w:val="3601040F"/>
    <w:rsid w:val="360828F2"/>
    <w:rsid w:val="3641343C"/>
    <w:rsid w:val="36645E28"/>
    <w:rsid w:val="36864274"/>
    <w:rsid w:val="3697113F"/>
    <w:rsid w:val="36B73F61"/>
    <w:rsid w:val="37871297"/>
    <w:rsid w:val="37A13208"/>
    <w:rsid w:val="37BF7C0C"/>
    <w:rsid w:val="386045CB"/>
    <w:rsid w:val="38892448"/>
    <w:rsid w:val="38F96371"/>
    <w:rsid w:val="39022BA6"/>
    <w:rsid w:val="3A040DDA"/>
    <w:rsid w:val="3A052C47"/>
    <w:rsid w:val="3A922221"/>
    <w:rsid w:val="3ACC65D2"/>
    <w:rsid w:val="3AD1146F"/>
    <w:rsid w:val="3AF7376F"/>
    <w:rsid w:val="3B053DD0"/>
    <w:rsid w:val="3B746315"/>
    <w:rsid w:val="3B793464"/>
    <w:rsid w:val="3B80455E"/>
    <w:rsid w:val="3BFB39C5"/>
    <w:rsid w:val="3C4F7A92"/>
    <w:rsid w:val="3C9C00E2"/>
    <w:rsid w:val="3CAD6178"/>
    <w:rsid w:val="3CB61618"/>
    <w:rsid w:val="3D4B26CA"/>
    <w:rsid w:val="3D623460"/>
    <w:rsid w:val="3DB943E7"/>
    <w:rsid w:val="3DF30A7B"/>
    <w:rsid w:val="3DFC5161"/>
    <w:rsid w:val="3DFFFDEA"/>
    <w:rsid w:val="3E1C3B69"/>
    <w:rsid w:val="3E584B3A"/>
    <w:rsid w:val="3E73586D"/>
    <w:rsid w:val="3EA87576"/>
    <w:rsid w:val="3F215A97"/>
    <w:rsid w:val="3F2B1868"/>
    <w:rsid w:val="3F2B5E73"/>
    <w:rsid w:val="3F3A0B8B"/>
    <w:rsid w:val="3F413C97"/>
    <w:rsid w:val="3F457D63"/>
    <w:rsid w:val="3F7056C2"/>
    <w:rsid w:val="3FDD7E23"/>
    <w:rsid w:val="4035436D"/>
    <w:rsid w:val="405917AC"/>
    <w:rsid w:val="407A2601"/>
    <w:rsid w:val="40A5681F"/>
    <w:rsid w:val="40B12383"/>
    <w:rsid w:val="40C115B3"/>
    <w:rsid w:val="41411894"/>
    <w:rsid w:val="417320D1"/>
    <w:rsid w:val="41BC2A03"/>
    <w:rsid w:val="41CB70B0"/>
    <w:rsid w:val="41D3389C"/>
    <w:rsid w:val="42093736"/>
    <w:rsid w:val="424E0B67"/>
    <w:rsid w:val="427C0FC3"/>
    <w:rsid w:val="42AE2F1A"/>
    <w:rsid w:val="42D22DF8"/>
    <w:rsid w:val="439E6277"/>
    <w:rsid w:val="43FA0E78"/>
    <w:rsid w:val="43FE3DF0"/>
    <w:rsid w:val="442065EB"/>
    <w:rsid w:val="44E27CF3"/>
    <w:rsid w:val="45256C59"/>
    <w:rsid w:val="454256D2"/>
    <w:rsid w:val="4573144D"/>
    <w:rsid w:val="4584368F"/>
    <w:rsid w:val="460657A3"/>
    <w:rsid w:val="461E333F"/>
    <w:rsid w:val="46843C64"/>
    <w:rsid w:val="46976B18"/>
    <w:rsid w:val="46D014B1"/>
    <w:rsid w:val="472A3098"/>
    <w:rsid w:val="473107F7"/>
    <w:rsid w:val="473166CE"/>
    <w:rsid w:val="478D6EBC"/>
    <w:rsid w:val="48D0048C"/>
    <w:rsid w:val="48F70394"/>
    <w:rsid w:val="490D189C"/>
    <w:rsid w:val="492F448A"/>
    <w:rsid w:val="497A3E26"/>
    <w:rsid w:val="49B06AFD"/>
    <w:rsid w:val="49B462CC"/>
    <w:rsid w:val="49CF6B9E"/>
    <w:rsid w:val="49F5724D"/>
    <w:rsid w:val="4A1250B2"/>
    <w:rsid w:val="4B5B7762"/>
    <w:rsid w:val="4BB937BC"/>
    <w:rsid w:val="4BC20D18"/>
    <w:rsid w:val="4BD04A0B"/>
    <w:rsid w:val="4BE62195"/>
    <w:rsid w:val="4BE72993"/>
    <w:rsid w:val="4BEA33F0"/>
    <w:rsid w:val="4C744434"/>
    <w:rsid w:val="4C784A1B"/>
    <w:rsid w:val="4DD03C5C"/>
    <w:rsid w:val="4DEC299C"/>
    <w:rsid w:val="4E372EB6"/>
    <w:rsid w:val="4EB94E6F"/>
    <w:rsid w:val="4EBC2593"/>
    <w:rsid w:val="4EF047CA"/>
    <w:rsid w:val="50323D5B"/>
    <w:rsid w:val="50837A03"/>
    <w:rsid w:val="510F238B"/>
    <w:rsid w:val="51466BC6"/>
    <w:rsid w:val="515B1A65"/>
    <w:rsid w:val="515B55F7"/>
    <w:rsid w:val="51AE6039"/>
    <w:rsid w:val="51F11816"/>
    <w:rsid w:val="51F50EDB"/>
    <w:rsid w:val="52062C64"/>
    <w:rsid w:val="5207312A"/>
    <w:rsid w:val="522A2FC5"/>
    <w:rsid w:val="526A5EE5"/>
    <w:rsid w:val="52880007"/>
    <w:rsid w:val="52E2116F"/>
    <w:rsid w:val="530010D8"/>
    <w:rsid w:val="5399162D"/>
    <w:rsid w:val="539C060E"/>
    <w:rsid w:val="53A76615"/>
    <w:rsid w:val="53E33C3B"/>
    <w:rsid w:val="53F1733B"/>
    <w:rsid w:val="54001A60"/>
    <w:rsid w:val="545911F1"/>
    <w:rsid w:val="54C6451C"/>
    <w:rsid w:val="55031F12"/>
    <w:rsid w:val="55CA13D9"/>
    <w:rsid w:val="55CF0A9C"/>
    <w:rsid w:val="55DA4767"/>
    <w:rsid w:val="55F310F1"/>
    <w:rsid w:val="569C157A"/>
    <w:rsid w:val="56B74B6F"/>
    <w:rsid w:val="56D91010"/>
    <w:rsid w:val="56DE2FF6"/>
    <w:rsid w:val="572F13B8"/>
    <w:rsid w:val="579057EF"/>
    <w:rsid w:val="57AD0597"/>
    <w:rsid w:val="57E75A74"/>
    <w:rsid w:val="5826630A"/>
    <w:rsid w:val="58F1028E"/>
    <w:rsid w:val="58FC4F43"/>
    <w:rsid w:val="5969224D"/>
    <w:rsid w:val="59CF658F"/>
    <w:rsid w:val="59E72905"/>
    <w:rsid w:val="5A2120FA"/>
    <w:rsid w:val="5AAF10AD"/>
    <w:rsid w:val="5AD872C0"/>
    <w:rsid w:val="5B2707F8"/>
    <w:rsid w:val="5B287EFE"/>
    <w:rsid w:val="5B455075"/>
    <w:rsid w:val="5BA07879"/>
    <w:rsid w:val="5BFEEED0"/>
    <w:rsid w:val="5C2B1FF7"/>
    <w:rsid w:val="5C5E5418"/>
    <w:rsid w:val="5C616192"/>
    <w:rsid w:val="5D2469E8"/>
    <w:rsid w:val="5D506FD0"/>
    <w:rsid w:val="5D7347A6"/>
    <w:rsid w:val="5DA702F1"/>
    <w:rsid w:val="5DD81DAB"/>
    <w:rsid w:val="5DFB2BFE"/>
    <w:rsid w:val="5E055F42"/>
    <w:rsid w:val="5ECD2F13"/>
    <w:rsid w:val="5F1A4547"/>
    <w:rsid w:val="5F6C681D"/>
    <w:rsid w:val="5F8140FE"/>
    <w:rsid w:val="60033FEE"/>
    <w:rsid w:val="60440355"/>
    <w:rsid w:val="60EF44AF"/>
    <w:rsid w:val="61072BD1"/>
    <w:rsid w:val="61283265"/>
    <w:rsid w:val="614C4DE1"/>
    <w:rsid w:val="615031FF"/>
    <w:rsid w:val="61EE0C09"/>
    <w:rsid w:val="623F1A36"/>
    <w:rsid w:val="62580345"/>
    <w:rsid w:val="62580E89"/>
    <w:rsid w:val="62F82619"/>
    <w:rsid w:val="62FB2E96"/>
    <w:rsid w:val="63580E1E"/>
    <w:rsid w:val="6358335F"/>
    <w:rsid w:val="635A5BDF"/>
    <w:rsid w:val="64364C59"/>
    <w:rsid w:val="6447734F"/>
    <w:rsid w:val="645D4EFC"/>
    <w:rsid w:val="64A215F3"/>
    <w:rsid w:val="64D13250"/>
    <w:rsid w:val="64F56302"/>
    <w:rsid w:val="652A177C"/>
    <w:rsid w:val="65B93DB5"/>
    <w:rsid w:val="65BF20E9"/>
    <w:rsid w:val="66131D30"/>
    <w:rsid w:val="666A79DC"/>
    <w:rsid w:val="667D1B6F"/>
    <w:rsid w:val="668F6CAC"/>
    <w:rsid w:val="66BF63B8"/>
    <w:rsid w:val="66F200DD"/>
    <w:rsid w:val="67114C48"/>
    <w:rsid w:val="68EB00B3"/>
    <w:rsid w:val="693E1DC2"/>
    <w:rsid w:val="69DD4BE3"/>
    <w:rsid w:val="69E74463"/>
    <w:rsid w:val="69F53BDE"/>
    <w:rsid w:val="6A1E344F"/>
    <w:rsid w:val="6A527A05"/>
    <w:rsid w:val="6A550003"/>
    <w:rsid w:val="6A777AAF"/>
    <w:rsid w:val="6A7843A8"/>
    <w:rsid w:val="6B1861B7"/>
    <w:rsid w:val="6B932D7C"/>
    <w:rsid w:val="6BA4053E"/>
    <w:rsid w:val="6BDA76E2"/>
    <w:rsid w:val="6C0B7255"/>
    <w:rsid w:val="6C17666E"/>
    <w:rsid w:val="6C384A25"/>
    <w:rsid w:val="6C6B2012"/>
    <w:rsid w:val="6C800C79"/>
    <w:rsid w:val="6CB32C22"/>
    <w:rsid w:val="6CF70457"/>
    <w:rsid w:val="6D2154CC"/>
    <w:rsid w:val="6D7A6531"/>
    <w:rsid w:val="6D9F3B28"/>
    <w:rsid w:val="6DA368FB"/>
    <w:rsid w:val="6DCF7C85"/>
    <w:rsid w:val="6E287EA4"/>
    <w:rsid w:val="6E4E250B"/>
    <w:rsid w:val="6EF91CA7"/>
    <w:rsid w:val="6F8847F3"/>
    <w:rsid w:val="6F885749"/>
    <w:rsid w:val="6FD67CB2"/>
    <w:rsid w:val="6FD73905"/>
    <w:rsid w:val="7036417C"/>
    <w:rsid w:val="70996316"/>
    <w:rsid w:val="70C50493"/>
    <w:rsid w:val="70D47882"/>
    <w:rsid w:val="70DC1555"/>
    <w:rsid w:val="70E021C1"/>
    <w:rsid w:val="70E0431B"/>
    <w:rsid w:val="71224AC2"/>
    <w:rsid w:val="71520A79"/>
    <w:rsid w:val="71AD0E51"/>
    <w:rsid w:val="71C77C4F"/>
    <w:rsid w:val="71FF3132"/>
    <w:rsid w:val="72DD1708"/>
    <w:rsid w:val="732105D8"/>
    <w:rsid w:val="73687E23"/>
    <w:rsid w:val="736B0A47"/>
    <w:rsid w:val="74673D7E"/>
    <w:rsid w:val="747343D2"/>
    <w:rsid w:val="748E5156"/>
    <w:rsid w:val="74BD462E"/>
    <w:rsid w:val="74EB6EE7"/>
    <w:rsid w:val="74F630C7"/>
    <w:rsid w:val="759C3885"/>
    <w:rsid w:val="75D15FEE"/>
    <w:rsid w:val="75E46D10"/>
    <w:rsid w:val="75EF612C"/>
    <w:rsid w:val="75F04FC4"/>
    <w:rsid w:val="75FE2320"/>
    <w:rsid w:val="760657C5"/>
    <w:rsid w:val="76185C74"/>
    <w:rsid w:val="7679038B"/>
    <w:rsid w:val="776374B8"/>
    <w:rsid w:val="779FAA6D"/>
    <w:rsid w:val="77E362C3"/>
    <w:rsid w:val="78012542"/>
    <w:rsid w:val="78466E7C"/>
    <w:rsid w:val="78466EF1"/>
    <w:rsid w:val="78B215F4"/>
    <w:rsid w:val="797F3D94"/>
    <w:rsid w:val="79875185"/>
    <w:rsid w:val="7AB126FB"/>
    <w:rsid w:val="7AF6C57D"/>
    <w:rsid w:val="7BAA07E9"/>
    <w:rsid w:val="7BDB32F2"/>
    <w:rsid w:val="7C0D251B"/>
    <w:rsid w:val="7C396181"/>
    <w:rsid w:val="7C8D6BB2"/>
    <w:rsid w:val="7C8F7DCA"/>
    <w:rsid w:val="7CC03CAC"/>
    <w:rsid w:val="7D1B2ED4"/>
    <w:rsid w:val="7D307705"/>
    <w:rsid w:val="7D71107E"/>
    <w:rsid w:val="7DA52AE4"/>
    <w:rsid w:val="7DA70F4C"/>
    <w:rsid w:val="7DCE0D7A"/>
    <w:rsid w:val="7EDE514A"/>
    <w:rsid w:val="7F202B61"/>
    <w:rsid w:val="7F276AF6"/>
    <w:rsid w:val="7F503B10"/>
    <w:rsid w:val="7F5A4A6C"/>
    <w:rsid w:val="7F78381E"/>
    <w:rsid w:val="7F796554"/>
    <w:rsid w:val="7FB27548"/>
    <w:rsid w:val="7FB8F3B2"/>
    <w:rsid w:val="7FEE79AC"/>
    <w:rsid w:val="9BBF8429"/>
    <w:rsid w:val="CDFFDF51"/>
    <w:rsid w:val="D6FFB682"/>
    <w:rsid w:val="DBFDE5C0"/>
    <w:rsid w:val="DF7D063C"/>
    <w:rsid w:val="E76A7A6C"/>
    <w:rsid w:val="EFF7C13E"/>
    <w:rsid w:val="F7CEDE5F"/>
    <w:rsid w:val="F9E885ED"/>
    <w:rsid w:val="FDEAF2FD"/>
    <w:rsid w:val="FE7F24AD"/>
    <w:rsid w:val="FFFC95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1"/>
    <w:qFormat/>
    <w:uiPriority w:val="99"/>
    <w:pPr>
      <w:spacing w:line="360" w:lineRule="auto"/>
      <w:ind w:firstLine="420"/>
    </w:pPr>
    <w:rPr>
      <w:szCs w:val="22"/>
    </w:rPr>
  </w:style>
  <w:style w:type="paragraph" w:styleId="3">
    <w:name w:val="Body Text Indent"/>
    <w:basedOn w:val="1"/>
    <w:next w:val="4"/>
    <w:link w:val="25"/>
    <w:qFormat/>
    <w:uiPriority w:val="99"/>
    <w:pPr>
      <w:spacing w:after="120"/>
      <w:ind w:left="420" w:leftChars="200"/>
    </w:pPr>
    <w:rPr>
      <w:rFonts w:ascii="Times New Roman" w:hAnsi="Times New Roman"/>
    </w:rPr>
  </w:style>
  <w:style w:type="paragraph" w:customStyle="1" w:styleId="4">
    <w:name w:val="样式 正文文本缩进 + 行距: 1.5 倍行距"/>
    <w:basedOn w:val="5"/>
    <w:next w:val="1"/>
    <w:qFormat/>
    <w:uiPriority w:val="99"/>
    <w:pPr>
      <w:spacing w:after="120"/>
      <w:ind w:left="90" w:leftChars="32" w:firstLine="560" w:firstLineChars="200"/>
    </w:pPr>
    <w:rPr>
      <w:rFonts w:cs="宋体"/>
      <w:sz w:val="24"/>
    </w:rPr>
  </w:style>
  <w:style w:type="paragraph" w:customStyle="1" w:styleId="5">
    <w:name w:val="Body Text Indent"/>
    <w:basedOn w:val="1"/>
    <w:next w:val="4"/>
    <w:qFormat/>
    <w:uiPriority w:val="0"/>
    <w:pPr>
      <w:spacing w:line="360" w:lineRule="auto"/>
      <w:ind w:firstLine="420"/>
    </w:pPr>
    <w:rPr>
      <w:rFonts w:ascii="Times New Roman" w:hAnsi="Times New Roman" w:eastAsia="宋体" w:cs="Times New Roman"/>
      <w:szCs w:val="20"/>
    </w:rPr>
  </w:style>
  <w:style w:type="paragraph" w:styleId="6">
    <w:name w:val="annotation text"/>
    <w:basedOn w:val="1"/>
    <w:link w:val="23"/>
    <w:semiHidden/>
    <w:qFormat/>
    <w:uiPriority w:val="99"/>
    <w:pPr>
      <w:jc w:val="left"/>
    </w:pPr>
  </w:style>
  <w:style w:type="paragraph" w:styleId="7">
    <w:name w:val="Body Text"/>
    <w:basedOn w:val="1"/>
    <w:link w:val="24"/>
    <w:qFormat/>
    <w:uiPriority w:val="99"/>
    <w:pPr>
      <w:spacing w:after="120"/>
    </w:pPr>
  </w:style>
  <w:style w:type="paragraph" w:styleId="8">
    <w:name w:val="Balloon Text"/>
    <w:basedOn w:val="1"/>
    <w:link w:val="26"/>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next w:val="11"/>
    <w:link w:val="22"/>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UserStyle_8"/>
    <w:basedOn w:val="12"/>
    <w:qFormat/>
    <w:uiPriority w:val="99"/>
    <w:pPr>
      <w:spacing w:line="240" w:lineRule="auto"/>
      <w:ind w:right="-140" w:rightChars="-50" w:firstLine="1653" w:firstLineChars="588"/>
    </w:pPr>
    <w:rPr>
      <w:b/>
      <w:bCs/>
    </w:rPr>
  </w:style>
  <w:style w:type="paragraph" w:customStyle="1" w:styleId="12">
    <w:name w:val="UserStyle_9"/>
    <w:basedOn w:val="1"/>
    <w:next w:val="1"/>
    <w:qFormat/>
    <w:uiPriority w:val="99"/>
    <w:pPr>
      <w:spacing w:line="480" w:lineRule="atLeast"/>
      <w:textAlignment w:val="baseline"/>
    </w:pPr>
    <w:rPr>
      <w:rFonts w:ascii="宋体" w:hAnsi="Tms Rmn"/>
      <w:kern w:val="0"/>
      <w:sz w:val="28"/>
      <w:szCs w:val="20"/>
    </w:rPr>
  </w:style>
  <w:style w:type="paragraph" w:styleId="13">
    <w:name w:val="Body Text Indent 3"/>
    <w:basedOn w:val="1"/>
    <w:link w:val="28"/>
    <w:qFormat/>
    <w:uiPriority w:val="99"/>
    <w:pPr>
      <w:spacing w:line="540" w:lineRule="exact"/>
      <w:ind w:firstLine="640" w:firstLineChars="200"/>
    </w:pPr>
    <w:rPr>
      <w:rFonts w:ascii="仿宋_GB2312" w:hAnsi="Times New Roman" w:eastAsia="仿宋_GB2312"/>
      <w:sz w:val="32"/>
    </w:rPr>
  </w:style>
  <w:style w:type="paragraph" w:styleId="14">
    <w:name w:val="annotation subject"/>
    <w:basedOn w:val="6"/>
    <w:next w:val="6"/>
    <w:link w:val="29"/>
    <w:qFormat/>
    <w:uiPriority w:val="99"/>
    <w:rPr>
      <w:b/>
      <w:bCs/>
    </w:rPr>
  </w:style>
  <w:style w:type="paragraph" w:styleId="15">
    <w:name w:val="Body Text First Indent"/>
    <w:basedOn w:val="7"/>
    <w:link w:val="30"/>
    <w:qFormat/>
    <w:uiPriority w:val="99"/>
    <w:pPr>
      <w:ind w:firstLine="420" w:firstLineChars="100"/>
    </w:pPr>
  </w:style>
  <w:style w:type="character" w:styleId="18">
    <w:name w:val="page number"/>
    <w:basedOn w:val="17"/>
    <w:qFormat/>
    <w:uiPriority w:val="99"/>
    <w:rPr>
      <w:rFonts w:cs="Times New Roman"/>
    </w:rPr>
  </w:style>
  <w:style w:type="character" w:styleId="19">
    <w:name w:val="annotation reference"/>
    <w:basedOn w:val="17"/>
    <w:qFormat/>
    <w:uiPriority w:val="99"/>
    <w:rPr>
      <w:rFonts w:cs="Times New Roman"/>
      <w:sz w:val="21"/>
      <w:szCs w:val="21"/>
    </w:rPr>
  </w:style>
  <w:style w:type="paragraph" w:customStyle="1" w:styleId="20">
    <w:name w:val="BodyText1I2"/>
    <w:basedOn w:val="21"/>
    <w:next w:val="1"/>
    <w:qFormat/>
    <w:uiPriority w:val="99"/>
    <w:pPr>
      <w:spacing w:after="120" w:line="240" w:lineRule="auto"/>
      <w:ind w:left="420" w:leftChars="200" w:firstLine="420" w:firstLineChars="200"/>
    </w:pPr>
    <w:rPr>
      <w:sz w:val="21"/>
    </w:rPr>
  </w:style>
  <w:style w:type="paragraph" w:customStyle="1" w:styleId="21">
    <w:name w:val="BodyTextIndent"/>
    <w:basedOn w:val="1"/>
    <w:next w:val="10"/>
    <w:qFormat/>
    <w:uiPriority w:val="99"/>
    <w:pPr>
      <w:spacing w:line="460" w:lineRule="atLeast"/>
      <w:ind w:firstLine="284"/>
      <w:textAlignment w:val="baseline"/>
    </w:pPr>
    <w:rPr>
      <w:spacing w:val="36"/>
      <w:sz w:val="24"/>
    </w:rPr>
  </w:style>
  <w:style w:type="character" w:customStyle="1" w:styleId="22">
    <w:name w:val="页眉 字符"/>
    <w:basedOn w:val="17"/>
    <w:link w:val="10"/>
    <w:semiHidden/>
    <w:qFormat/>
    <w:locked/>
    <w:uiPriority w:val="99"/>
    <w:rPr>
      <w:rFonts w:ascii="Calibri" w:hAnsi="Calibri" w:cs="Times New Roman"/>
      <w:sz w:val="18"/>
      <w:szCs w:val="18"/>
    </w:rPr>
  </w:style>
  <w:style w:type="character" w:customStyle="1" w:styleId="23">
    <w:name w:val="批注文字 字符"/>
    <w:basedOn w:val="17"/>
    <w:link w:val="6"/>
    <w:semiHidden/>
    <w:qFormat/>
    <w:locked/>
    <w:uiPriority w:val="99"/>
    <w:rPr>
      <w:rFonts w:ascii="Calibri" w:hAnsi="Calibri" w:eastAsia="宋体" w:cs="Times New Roman"/>
      <w:kern w:val="2"/>
      <w:sz w:val="24"/>
      <w:szCs w:val="24"/>
    </w:rPr>
  </w:style>
  <w:style w:type="character" w:customStyle="1" w:styleId="24">
    <w:name w:val="正文文本 字符"/>
    <w:basedOn w:val="17"/>
    <w:link w:val="7"/>
    <w:semiHidden/>
    <w:qFormat/>
    <w:locked/>
    <w:uiPriority w:val="99"/>
    <w:rPr>
      <w:rFonts w:ascii="Calibri" w:hAnsi="Calibri" w:cs="Times New Roman"/>
      <w:sz w:val="24"/>
      <w:szCs w:val="24"/>
    </w:rPr>
  </w:style>
  <w:style w:type="character" w:customStyle="1" w:styleId="25">
    <w:name w:val="正文文本缩进 字符"/>
    <w:basedOn w:val="17"/>
    <w:link w:val="3"/>
    <w:semiHidden/>
    <w:qFormat/>
    <w:locked/>
    <w:uiPriority w:val="99"/>
    <w:rPr>
      <w:rFonts w:ascii="Calibri" w:hAnsi="Calibri" w:cs="Times New Roman"/>
      <w:sz w:val="24"/>
      <w:szCs w:val="24"/>
    </w:rPr>
  </w:style>
  <w:style w:type="character" w:customStyle="1" w:styleId="26">
    <w:name w:val="批注框文本 字符"/>
    <w:basedOn w:val="17"/>
    <w:link w:val="8"/>
    <w:qFormat/>
    <w:locked/>
    <w:uiPriority w:val="99"/>
    <w:rPr>
      <w:rFonts w:ascii="Calibri" w:hAnsi="Calibri" w:eastAsia="宋体" w:cs="Times New Roman"/>
      <w:kern w:val="2"/>
      <w:sz w:val="18"/>
      <w:szCs w:val="18"/>
    </w:rPr>
  </w:style>
  <w:style w:type="character" w:customStyle="1" w:styleId="27">
    <w:name w:val="页脚 字符"/>
    <w:basedOn w:val="17"/>
    <w:link w:val="9"/>
    <w:semiHidden/>
    <w:qFormat/>
    <w:locked/>
    <w:uiPriority w:val="99"/>
    <w:rPr>
      <w:rFonts w:ascii="Calibri" w:hAnsi="Calibri" w:cs="Times New Roman"/>
      <w:sz w:val="18"/>
      <w:szCs w:val="18"/>
    </w:rPr>
  </w:style>
  <w:style w:type="character" w:customStyle="1" w:styleId="28">
    <w:name w:val="正文文本缩进 3 字符"/>
    <w:basedOn w:val="17"/>
    <w:link w:val="13"/>
    <w:semiHidden/>
    <w:qFormat/>
    <w:locked/>
    <w:uiPriority w:val="99"/>
    <w:rPr>
      <w:rFonts w:ascii="Calibri" w:hAnsi="Calibri" w:cs="Times New Roman"/>
      <w:sz w:val="16"/>
      <w:szCs w:val="16"/>
    </w:rPr>
  </w:style>
  <w:style w:type="character" w:customStyle="1" w:styleId="29">
    <w:name w:val="批注主题 字符"/>
    <w:basedOn w:val="23"/>
    <w:link w:val="14"/>
    <w:qFormat/>
    <w:locked/>
    <w:uiPriority w:val="99"/>
    <w:rPr>
      <w:rFonts w:ascii="Calibri" w:hAnsi="Calibri" w:eastAsia="宋体" w:cs="Times New Roman"/>
      <w:b/>
      <w:bCs/>
      <w:kern w:val="2"/>
      <w:sz w:val="24"/>
      <w:szCs w:val="24"/>
    </w:rPr>
  </w:style>
  <w:style w:type="character" w:customStyle="1" w:styleId="30">
    <w:name w:val="正文文本首行缩进 字符"/>
    <w:basedOn w:val="24"/>
    <w:link w:val="15"/>
    <w:semiHidden/>
    <w:qFormat/>
    <w:locked/>
    <w:uiPriority w:val="99"/>
    <w:rPr>
      <w:rFonts w:ascii="Calibri" w:hAnsi="Calibri" w:cs="Times New Roman"/>
      <w:sz w:val="24"/>
      <w:szCs w:val="24"/>
    </w:rPr>
  </w:style>
  <w:style w:type="character" w:customStyle="1" w:styleId="31">
    <w:name w:val="正文文本首行缩进 2 字符"/>
    <w:basedOn w:val="25"/>
    <w:link w:val="2"/>
    <w:semiHidden/>
    <w:qFormat/>
    <w:locked/>
    <w:uiPriority w:val="99"/>
    <w:rPr>
      <w:rFonts w:ascii="Calibri" w:hAnsi="Calibri" w:cs="Times New Roman"/>
      <w:sz w:val="24"/>
      <w:szCs w:val="24"/>
    </w:rPr>
  </w:style>
  <w:style w:type="paragraph" w:customStyle="1" w:styleId="32">
    <w:name w:val="样式5"/>
    <w:basedOn w:val="33"/>
    <w:qFormat/>
    <w:uiPriority w:val="99"/>
    <w:pPr>
      <w:adjustRightInd/>
      <w:spacing w:line="240" w:lineRule="auto"/>
      <w:ind w:right="-140" w:rightChars="-50" w:firstLine="1653" w:firstLineChars="588"/>
    </w:pPr>
    <w:rPr>
      <w:b/>
      <w:bCs/>
    </w:rPr>
  </w:style>
  <w:style w:type="paragraph" w:customStyle="1" w:styleId="33">
    <w:name w:val="正文1"/>
    <w:basedOn w:val="1"/>
    <w:next w:val="1"/>
    <w:qFormat/>
    <w:uiPriority w:val="99"/>
    <w:pPr>
      <w:adjustRightInd w:val="0"/>
      <w:spacing w:line="480" w:lineRule="atLeast"/>
      <w:textAlignment w:val="baseline"/>
    </w:pPr>
    <w:rPr>
      <w:rFonts w:ascii="宋体" w:hAnsi="Tms Rmn"/>
      <w:kern w:val="0"/>
      <w:sz w:val="28"/>
      <w:szCs w:val="20"/>
    </w:rPr>
  </w:style>
  <w:style w:type="paragraph" w:customStyle="1" w:styleId="34">
    <w:name w:val="正文文本缩进1"/>
    <w:basedOn w:val="1"/>
    <w:next w:val="4"/>
    <w:qFormat/>
    <w:uiPriority w:val="99"/>
    <w:pPr>
      <w:spacing w:line="360" w:lineRule="auto"/>
      <w:ind w:firstLine="420"/>
    </w:pPr>
    <w:rPr>
      <w:rFonts w:ascii="Times New Roman" w:hAnsi="Times New Roman"/>
      <w:szCs w:val="20"/>
    </w:rPr>
  </w:style>
  <w:style w:type="paragraph" w:customStyle="1" w:styleId="35">
    <w:name w:val="报告书正文样式1"/>
    <w:basedOn w:val="36"/>
    <w:qFormat/>
    <w:uiPriority w:val="99"/>
    <w:pPr>
      <w:spacing w:line="360" w:lineRule="auto"/>
    </w:pPr>
    <w:rPr>
      <w:rFonts w:ascii="Arial" w:hAnsi="Arial" w:cs="Arial"/>
      <w:szCs w:val="24"/>
    </w:rPr>
  </w:style>
  <w:style w:type="paragraph" w:customStyle="1" w:styleId="36">
    <w:name w:val="报告书正文"/>
    <w:basedOn w:val="1"/>
    <w:qFormat/>
    <w:uiPriority w:val="99"/>
    <w:pPr>
      <w:adjustRightInd w:val="0"/>
      <w:snapToGrid w:val="0"/>
      <w:spacing w:line="360" w:lineRule="atLeast"/>
      <w:ind w:firstLine="425"/>
      <w:textAlignment w:val="baseline"/>
    </w:pPr>
    <w:rPr>
      <w:rFonts w:ascii="Times New Roman" w:hAnsi="Times New Roman"/>
      <w:sz w:val="24"/>
      <w:szCs w:val="20"/>
    </w:rPr>
  </w:style>
  <w:style w:type="character" w:customStyle="1" w:styleId="37">
    <w:name w:val="NormalCharacter"/>
    <w:qFormat/>
    <w:uiPriority w:val="99"/>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2588</Words>
  <Characters>2893</Characters>
  <Lines>17</Lines>
  <Paragraphs>5</Paragraphs>
  <TotalTime>6</TotalTime>
  <ScaleCrop>false</ScaleCrop>
  <LinksUpToDate>false</LinksUpToDate>
  <CharactersWithSpaces>2931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2023-02-18T09:25:00Z</dcterms:created>
  <dc:creator>admin</dc:creator>
  <cp:lastModifiedBy>user</cp:lastModifiedBy>
  <cp:lastPrinted>2020-11-29T14:45:00Z</cp:lastPrinted>
  <dcterms:modified xsi:type="dcterms:W3CDTF">2023-04-11T15:46:40Z</dcterms:modified>
  <dc:title>山东省环境保护厅关于山东明科节能工程有限公司两河片区生物质热电联产项目环境影响报告书的批复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B12AAEE1AEE4417682221A8A2EF9F66F</vt:lpwstr>
  </property>
</Properties>
</file>