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bidi="ar-SA"/>
        </w:rPr>
      </w:pP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bidi="ar-SA"/>
        </w:rPr>
        <w:t>枣环许可字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eastAsia="zh-CN" w:bidi="ar-SA"/>
        </w:rPr>
        <w:t>〔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bidi="ar-SA"/>
        </w:rPr>
        <w:t>202</w:t>
      </w:r>
      <w:r>
        <w:rPr>
          <w:rFonts w:hint="eastAsia" w:ascii="Times New Roman" w:hAnsi="Times New Roman" w:eastAsia="楷体" w:cs="Times New Roman"/>
          <w:color w:val="auto"/>
          <w:w w:val="97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eastAsia="zh-CN" w:bidi="ar-SA"/>
        </w:rPr>
        <w:t>〕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val="en" w:eastAsia="zh-CN" w:bidi="ar-SA"/>
        </w:rPr>
        <w:t>27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bidi="ar-SA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640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枣庄市生态环境局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关于山东正鸿路桥工程有限公司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年产四十万立方米水稳拌合站项目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环境影响报告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山东正鸿路桥工程有限公司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你公司报送的《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山东正鸿路桥工程有限公司年产四十万立方米水稳拌合站项目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环境影响报告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》收悉。经研究，批复如下：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项目属于新建，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位于枣庄市薛城区沙沟镇北常村郯薛路惟实医药东220米路北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主要建设内容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为：外购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四十万立方米水稳拌合站生产线及配套设施设备、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钢结构厂房四千平方米，并配备地磅等辅助设施及储运、公用和环保工程。项目建成后年产四十万立方米水泥稳定土。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在全面落实环境影响报告表提出的各项生态保护和污染防治措施后，工程对环境的不利影响能够得到减缓和控制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从环境保护角度分析，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我局原则同意你公司报告表所列建设项目的地点、工艺、规模和环境保护对策措施。</w:t>
      </w:r>
    </w:p>
    <w:p>
      <w:pPr>
        <w:pStyle w:val="20"/>
        <w:keepNext w:val="0"/>
        <w:keepLines w:val="0"/>
        <w:pageBreakBefore w:val="0"/>
        <w:widowControl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项目设计、建设和运行管理中应重点做好以下工作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加强施工环境管理。严格制定扬尘防治方案，各类产尘物料须采取密闭、存储、围挡、覆盖等防尘措施。施工现场按要求落实清扫、洒水降尘各项措施。设置进出场车辆冲洗设备，设专人进行管理，保存视频监控资料。加强施工期噪声管理，合理安排施工时间，降低设备声级。施工过程中产生的建筑垃圾要严格实行定点堆放，并及时清运处理。加强施工污水的排放管理，严格落实生态环境及土壤保护措施。建设期间严格落实安全生产要求，严禁违规作业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项目在生产运营过程中，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不得自行生产石料（石子、石粉）等原材料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）强化大气污染防治措施。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筒仓呼吸孔粉尘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经“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滤芯除尘器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收尘处理后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通过15m高排气筒（DA001）排放。筛分粉尘经除尘处理后通过15m高排气筒（DA002）排放。污染物排放浓度须达到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《建材工业大气污染物排放标准》（DB37/2373-2018）中表2“其他建材、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重点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控制区”标准限值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严格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落实报告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无组织排放措施。</w:t>
      </w:r>
      <w:r>
        <w:rPr>
          <w:rFonts w:ascii="Times New Roman" w:hAnsi="Times New Roman" w:eastAsia="仿宋_GB2312"/>
          <w:color w:val="000000"/>
          <w:sz w:val="32"/>
          <w:szCs w:val="32"/>
        </w:rPr>
        <w:t>原料储存、</w:t>
      </w:r>
      <w:r>
        <w:rPr>
          <w:rFonts w:ascii="Times New Roman" w:hAnsi="Times New Roman" w:eastAsia="仿宋_GB2312"/>
          <w:sz w:val="32"/>
          <w:szCs w:val="32"/>
        </w:rPr>
        <w:t>装卸、投料、搅拌工序应在密闭设施内进行，形成负压空间。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合理布局原料堆存，严禁露天生产及堆存，物料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装卸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、上料、输送及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搅拌工序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须密闭作业。上料、输送通过封闭通道输送，装卸、投卸料口通过水喷淋设施降尘，须达到《建材工业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大气污染物排放标准》（ DB37/2373-2018）表3中“除水泥外的其他建材”无组织排放浓度限值要求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（四）严格落实水污染防治措施。按照“雨污分流、清污分流、污污分流”原则完善厂区排水系统。生活污水经化粪池处理后定期清运，不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外排。设备清洗用水经沉淀池处理后回用于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水稳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生产，不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）严格落实土壤和地下水污染防治措施。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以“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源头防控、分区防治、污染监控、应急响应”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原则进行地下水污染防治，</w:t>
      </w:r>
      <w:r>
        <w:rPr>
          <w:rStyle w:val="22"/>
          <w:rFonts w:hint="default" w:ascii="Times New Roman" w:hAnsi="Times New Roman" w:eastAsia="仿宋_GB2312" w:cs="Times New Roman"/>
          <w:color w:val="auto"/>
          <w:sz w:val="32"/>
          <w:szCs w:val="32"/>
        </w:rPr>
        <w:t>强化厂区防漏及事故废水应急收集处理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启动应急预案和应急措施，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应对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土壤或地下水污染。</w:t>
      </w:r>
    </w:p>
    <w:p>
      <w:pPr>
        <w:pStyle w:val="20"/>
        <w:keepNext w:val="0"/>
        <w:keepLines w:val="0"/>
        <w:pageBreakBefore w:val="0"/>
        <w:widowControl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）严格落实噪声污染防治措施。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合理布局，对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生产设备噪声源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采取隔音、减振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降噪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等措施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，加强对运输车辆和装卸过程的管理，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厂界噪声须符合《工业企业厂界环境噪声排放标准》(GB12348-2008)中的2类标准要求。 </w:t>
      </w:r>
    </w:p>
    <w:p>
      <w:pPr>
        <w:pStyle w:val="20"/>
        <w:keepNext w:val="0"/>
        <w:keepLines w:val="0"/>
        <w:pageBreakBefore w:val="0"/>
        <w:widowControl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）严格落实固体废物分类处置措施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筒仓滤芯除尘器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收集尘定期震动落回筒仓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收集后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作为原料回用于生产搅拌。沉淀池污泥经收集后定期外售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废滤芯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由厂家回收处置。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废机油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废机油桶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危险废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物分类暂存，委托有资质单位处置。生活垃圾委托环卫部门定期清运处置。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工业固体废物贮存场所等须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符合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《一般工业固体废物贮存和填埋污染控制标准》（GB18599-2020）要求。严格落实危险废物处置要求，危废暂存间须符合《危险废物贮存污染控制标准》(GB18597-2001)及修改单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《危险废物贮存污染控制标准》（GB18597-2023）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要求。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）强化污染源管理。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按照国家和地方有关规定，建设规范污染物排放口，并设立标志牌，标示治理工艺流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程图。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落实环评文件提出的环境管理及监测计划。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环保设备安装“分表计电”智能控制系统，并与生态环境部门联网。厂区下风向设置符合要求的PM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扬尘监测设备，确保设备正常运行和数据正常上传。参照《重污染天气重点行业移动源应急管理技术导则》建立门禁系统和电子台账，门禁系统监控数据按要求与生态环境部门联网。安装视频监控系统，监控范围包括储存、厂区道路、生产车间等地方，做到全覆盖、无盲区、全时段监控，且视频存储时间不得少于三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）强化环境风险防范和应急措施。强化环境风险防范和应急措施。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制定突发环境事件应急预案，配备必要的事故防范应急设施、设备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并演练，切实加强事故应急处理及防范能力，确保环境安全。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治理工程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应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符合安全生产、事故防范的相关规定。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）该项目运营后，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颗粒物排放量</w:t>
      </w:r>
      <w:r>
        <w:rPr>
          <w:rFonts w:hint="eastAsia" w:ascii="仿宋_GB2312" w:hAnsi="仿宋_GB2312" w:eastAsia="仿宋_GB2312" w:cs="仿宋_GB2312"/>
          <w:sz w:val="32"/>
          <w:szCs w:val="32"/>
        </w:rPr>
        <w:t>应控制在0.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132t/a</w:t>
      </w:r>
      <w:r>
        <w:rPr>
          <w:rFonts w:hint="eastAsia" w:ascii="仿宋_GB2312" w:hAnsi="仿宋_GB2312" w:eastAsia="仿宋_GB2312" w:cs="仿宋_GB2312"/>
          <w:sz w:val="32"/>
          <w:szCs w:val="32"/>
        </w:rPr>
        <w:t>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（</w:t>
      </w:r>
      <w:r>
        <w:rPr>
          <w:rFonts w:hint="eastAsia" w:eastAsia="仿宋_GB2312" w:cs="Times New Roman"/>
          <w:bCs/>
          <w:color w:val="auto"/>
          <w:sz w:val="32"/>
          <w:szCs w:val="32"/>
          <w:highlight w:val="none"/>
          <w:lang w:eastAsia="zh-CN"/>
        </w:rPr>
        <w:t>十一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强化环境信息公开与公众参与机制。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落实建设项目环评信息公开主体责任，在工程开工前、建设过程中、建成和投入生产或使用后，及时公开相关环境信息。建立完善的环境信息公开体系，定期发布企业环境信息，主动接受社会监督。加强与周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公众的沟通，及时解决公众提出的环境问题，满足公众合理的环境诉求。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三、你公司必须严格执行配套建设的环境保护设施与主体项目同时设计、同时施工、同时投入使用的“三同时”制度，落实各项环境保护措施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项目建成后，须按规定程序实施竣工环境保护验收</w:t>
      </w:r>
      <w:r>
        <w:rPr>
          <w:rFonts w:hint="eastAsia" w:ascii="仿宋_GB2312" w:hAnsi="仿宋_GB2312" w:eastAsia="仿宋_GB2312" w:cs="仿宋_GB2312"/>
          <w:sz w:val="32"/>
          <w:szCs w:val="32"/>
        </w:rPr>
        <w:t>（前述环保措施未落实前，不得通过验收和投入生产）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四、环境影响报告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经批准后，项目的性质、规模、地点、生产工艺或者防治污染、防止生态破坏的措施发生重大变动的，应当重新报批该项目的环境影响报告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。自环境影响报告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批复文件批准之日起，如超过5年项目才开工的，应当在开工前将环境影响报告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报批重新审核。如根据法律法规等相关规定需要进行更严格要求的，实行从严管理。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五、由枣庄市生态环境局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薛城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分局和枣庄市生态环境保护综合执法支队负责该项目的“三同时”监督检查和日常管理工作。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六、你公司应在接到本批复后10个工作日内，将批准后的环境影响报告书送枣庄市生态环境局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薛城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分局，并按规定接受各级生态环境部门的监督检查。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20" w:lineRule="exact"/>
        <w:ind w:left="0" w:leftChars="0" w:firstLine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七、如有符合《中华人民共和国行政许可法》第七十八条“行政许可申请人隐瞒有关情况或者提供虚假材料申请行政许可，行政机关应不予受理或者不予行政许可情形”或不符合相关法律法规规定要求的，本批复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自始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自然作废。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960" w:firstLineChars="155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枣庄市生态环境局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120" w:firstLineChars="16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440" w:lineRule="exact"/>
        <w:jc w:val="left"/>
        <w:outlineLvl w:val="0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主题词：环境影响评价  报告表  批复</w:t>
      </w:r>
    </w:p>
    <w:tbl>
      <w:tblPr>
        <w:tblStyle w:val="15"/>
        <w:tblW w:w="0" w:type="auto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0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440" w:lineRule="exact"/>
              <w:ind w:left="900" w:hanging="900" w:hangingChars="30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抄送：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  <w:lang w:eastAsia="zh-CN"/>
              </w:rPr>
              <w:t>薛城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分局、市生态环境保护综合执法支队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0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枣庄市生态环境局办公室                 2023年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日印发</w:t>
            </w:r>
          </w:p>
        </w:tc>
      </w:tr>
    </w:tbl>
    <w:p>
      <w:r>
        <w:rPr>
          <w:rFonts w:hint="eastAsia" w:ascii="仿宋_GB2312" w:hAnsi="仿宋" w:eastAsia="仿宋_GB2312"/>
          <w:color w:val="000000"/>
          <w:sz w:val="18"/>
          <w:szCs w:val="18"/>
          <w:lang w:val="en"/>
        </w:rPr>
        <w:t>电子批复领取指南：http://sthjj.zaozhuang.gov.cn/sthjyw/hpsp/xmsp/202205/t20220531_1442654.html</w:t>
      </w:r>
      <w:bookmarkStart w:id="0" w:name="_GoBack"/>
      <w:bookmarkEnd w:id="0"/>
    </w:p>
    <w:sectPr>
      <w:footerReference r:id="rId3" w:type="default"/>
      <w:pgSz w:w="11906" w:h="16838"/>
      <w:pgMar w:top="1814" w:right="1587" w:bottom="1587" w:left="1587" w:header="851" w:footer="124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GY3YTRiMDdlNWZjNTU4OTJjMjNkOWIwZDA3MzcifQ=="/>
  </w:docVars>
  <w:rsids>
    <w:rsidRoot w:val="390515EE"/>
    <w:rsid w:val="056A3A4A"/>
    <w:rsid w:val="18305C55"/>
    <w:rsid w:val="204F138A"/>
    <w:rsid w:val="390515EE"/>
    <w:rsid w:val="3D0B60D6"/>
    <w:rsid w:val="3FDBE626"/>
    <w:rsid w:val="4F6D6E7C"/>
    <w:rsid w:val="5A926EE1"/>
    <w:rsid w:val="5CCEED01"/>
    <w:rsid w:val="65AD393E"/>
    <w:rsid w:val="66BFAA00"/>
    <w:rsid w:val="6DB17130"/>
    <w:rsid w:val="6E2FC73B"/>
    <w:rsid w:val="6FEE53E1"/>
    <w:rsid w:val="70AC59E2"/>
    <w:rsid w:val="7DFF8207"/>
    <w:rsid w:val="7FFFACBC"/>
    <w:rsid w:val="9F7E514F"/>
    <w:rsid w:val="A7FF9C40"/>
    <w:rsid w:val="AED7FA22"/>
    <w:rsid w:val="B75F714B"/>
    <w:rsid w:val="DCDFBD30"/>
    <w:rsid w:val="E3EF716F"/>
    <w:rsid w:val="F163853C"/>
    <w:rsid w:val="FAFF2C52"/>
    <w:rsid w:val="FB581043"/>
    <w:rsid w:val="FD5BCC20"/>
    <w:rsid w:val="FFBB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行距: 1.5 倍行距"/>
    <w:basedOn w:val="5"/>
    <w:next w:val="1"/>
    <w:qFormat/>
    <w:uiPriority w:val="0"/>
    <w:pPr>
      <w:spacing w:after="120" w:afterLines="0"/>
      <w:ind w:left="90" w:leftChars="32" w:firstLine="560" w:firstLineChars="200"/>
    </w:pPr>
    <w:rPr>
      <w:rFonts w:cs="宋体"/>
      <w:sz w:val="24"/>
    </w:rPr>
  </w:style>
  <w:style w:type="paragraph" w:customStyle="1" w:styleId="5">
    <w:name w:val="Body Text Indent"/>
    <w:basedOn w:val="1"/>
    <w:next w:val="4"/>
    <w:qFormat/>
    <w:uiPriority w:val="0"/>
    <w:pPr>
      <w:spacing w:line="360" w:lineRule="auto"/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caption"/>
    <w:basedOn w:val="1"/>
    <w:next w:val="1"/>
    <w:qFormat/>
    <w:uiPriority w:val="0"/>
    <w:pPr>
      <w:keepNext/>
      <w:spacing w:before="152" w:after="160"/>
      <w:ind w:firstLine="240" w:firstLineChars="100"/>
      <w:jc w:val="center"/>
    </w:pPr>
    <w:rPr>
      <w:rFonts w:ascii="Arial" w:hAnsi="Arial" w:eastAsia="黑体" w:cs="Arial"/>
      <w:sz w:val="24"/>
      <w:u w:val="double"/>
    </w:rPr>
  </w:style>
  <w:style w:type="paragraph" w:styleId="7">
    <w:name w:val="annotation text"/>
    <w:basedOn w:val="1"/>
    <w:semiHidden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0"/>
    <w:pPr>
      <w:spacing w:after="120" w:afterLines="0"/>
    </w:pPr>
  </w:style>
  <w:style w:type="paragraph" w:customStyle="1" w:styleId="9">
    <w:name w:val="Date1"/>
    <w:basedOn w:val="1"/>
    <w:next w:val="1"/>
    <w:qFormat/>
    <w:uiPriority w:val="0"/>
    <w:rPr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UserStyle_8"/>
    <w:basedOn w:val="13"/>
    <w:qFormat/>
    <w:uiPriority w:val="0"/>
    <w:pPr>
      <w:spacing w:line="240" w:lineRule="auto"/>
      <w:ind w:right="-140" w:rightChars="-50" w:firstLine="1653" w:firstLineChars="588"/>
      <w:jc w:val="both"/>
      <w:textAlignment w:val="baseline"/>
    </w:pPr>
    <w:rPr>
      <w:rFonts w:ascii="宋体" w:hAnsi="Tms Rmn" w:cs="Times New Roman"/>
      <w:b/>
      <w:bCs/>
      <w:kern w:val="0"/>
      <w:sz w:val="28"/>
      <w:szCs w:val="20"/>
      <w:lang w:val="en-US" w:eastAsia="zh-CN" w:bidi="ar-SA"/>
    </w:rPr>
  </w:style>
  <w:style w:type="paragraph" w:customStyle="1" w:styleId="13">
    <w:name w:val="UserStyle_9"/>
    <w:basedOn w:val="1"/>
    <w:next w:val="1"/>
    <w:qFormat/>
    <w:uiPriority w:val="0"/>
    <w:pPr>
      <w:spacing w:line="480" w:lineRule="atLeast"/>
      <w:jc w:val="both"/>
      <w:textAlignment w:val="baseline"/>
    </w:pPr>
    <w:rPr>
      <w:rFonts w:ascii="宋体" w:hAnsi="Tms Rmn"/>
      <w:kern w:val="0"/>
      <w:sz w:val="28"/>
      <w:szCs w:val="20"/>
      <w:lang w:val="en-US" w:eastAsia="zh-CN" w:bidi="ar-SA"/>
    </w:rPr>
  </w:style>
  <w:style w:type="paragraph" w:styleId="14">
    <w:name w:val="Body Text First Indent"/>
    <w:basedOn w:val="8"/>
    <w:next w:val="1"/>
    <w:qFormat/>
    <w:uiPriority w:val="0"/>
    <w:pPr>
      <w:widowControl w:val="0"/>
      <w:snapToGrid/>
      <w:spacing w:before="0" w:after="120" w:line="240" w:lineRule="auto"/>
      <w:ind w:right="0" w:firstLine="420" w:firstLineChars="100"/>
    </w:pPr>
    <w:rPr>
      <w:rFonts w:ascii="Times New Roman" w:hAnsi="Times New Roman" w:eastAsia="宋体"/>
      <w:kern w:val="2"/>
      <w:sz w:val="21"/>
      <w:szCs w:val="24"/>
    </w:rPr>
  </w:style>
  <w:style w:type="character" w:styleId="17">
    <w:name w:val="page number"/>
    <w:qFormat/>
    <w:uiPriority w:val="0"/>
  </w:style>
  <w:style w:type="paragraph" w:customStyle="1" w:styleId="18">
    <w:name w:val="正文首行缩进 21"/>
    <w:basedOn w:val="19"/>
    <w:next w:val="1"/>
    <w:qFormat/>
    <w:uiPriority w:val="0"/>
    <w:pPr>
      <w:widowControl/>
      <w:ind w:firstLine="420" w:firstLineChars="200"/>
      <w:jc w:val="left"/>
    </w:pPr>
  </w:style>
  <w:style w:type="paragraph" w:customStyle="1" w:styleId="19">
    <w:name w:val="正文文本缩进1"/>
    <w:basedOn w:val="1"/>
    <w:next w:val="6"/>
    <w:qFormat/>
    <w:uiPriority w:val="0"/>
    <w:pPr>
      <w:spacing w:after="120"/>
      <w:ind w:left="420" w:leftChars="200"/>
    </w:pPr>
    <w:rPr>
      <w:rFonts w:hint="eastAsia"/>
    </w:rPr>
  </w:style>
  <w:style w:type="paragraph" w:customStyle="1" w:styleId="20">
    <w:name w:val="报告书正文样式1"/>
    <w:basedOn w:val="21"/>
    <w:qFormat/>
    <w:uiPriority w:val="0"/>
    <w:pPr>
      <w:spacing w:line="360" w:lineRule="auto"/>
    </w:pPr>
    <w:rPr>
      <w:rFonts w:ascii="Arial" w:hAnsi="Arial" w:cs="Arial"/>
      <w:szCs w:val="24"/>
    </w:rPr>
  </w:style>
  <w:style w:type="paragraph" w:customStyle="1" w:styleId="21">
    <w:name w:val="报告书正文"/>
    <w:basedOn w:val="1"/>
    <w:qFormat/>
    <w:uiPriority w:val="0"/>
    <w:pPr>
      <w:adjustRightInd w:val="0"/>
      <w:snapToGrid w:val="0"/>
      <w:spacing w:line="360" w:lineRule="atLeast"/>
      <w:ind w:firstLine="425"/>
      <w:textAlignment w:val="baseline"/>
    </w:pPr>
    <w:rPr>
      <w:rFonts w:ascii="Times New Roman" w:hAnsi="Times New Roman"/>
      <w:sz w:val="24"/>
      <w:szCs w:val="20"/>
    </w:rPr>
  </w:style>
  <w:style w:type="character" w:customStyle="1" w:styleId="22">
    <w:name w:val="NormalCharacter"/>
    <w:qFormat/>
    <w:uiPriority w:val="0"/>
    <w:rPr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2490</Words>
  <Characters>2598</Characters>
  <Lines>0</Lines>
  <Paragraphs>0</Paragraphs>
  <TotalTime>1</TotalTime>
  <ScaleCrop>false</ScaleCrop>
  <LinksUpToDate>false</LinksUpToDate>
  <CharactersWithSpaces>2636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2023-02-24T09:52:00Z</dcterms:created>
  <dc:creator>梁靚小靚</dc:creator>
  <cp:lastModifiedBy>user</cp:lastModifiedBy>
  <cp:lastPrinted>2023-04-21T14:56:56Z</cp:lastPrinted>
  <dcterms:modified xsi:type="dcterms:W3CDTF">2023-04-21T15:01:22Z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740C2FC19677492C81189B1992A53BFA_13</vt:lpwstr>
  </property>
</Properties>
</file>