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  <w:t>枣环许可字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eastAsia="zh-CN" w:bidi="ar-SA"/>
        </w:rPr>
        <w:t>〔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  <w:t>202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eastAsia="zh-CN" w:bidi="ar-SA"/>
        </w:rPr>
        <w:t>〕</w:t>
      </w:r>
      <w:r>
        <w:rPr>
          <w:rFonts w:hint="eastAsia" w:ascii="Times New Roman" w:hAnsi="Times New Roman" w:eastAsia="楷体" w:cs="Times New Roman"/>
          <w:color w:val="auto"/>
          <w:w w:val="97"/>
          <w:sz w:val="32"/>
          <w:szCs w:val="32"/>
          <w:highlight w:val="none"/>
          <w:lang w:val="en-US" w:eastAsia="zh-CN" w:bidi="ar-SA"/>
        </w:rPr>
        <w:t>25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  <w:t>号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62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滕州市新程建材有限公司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新建年产50万立方商品混凝土项目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instrText xml:space="preserve"> HYPERLINK "https://www.sohu.com/?strategyid=00001&amp;spm=smpc.content.content.1.1716256924725Ve7vIn7" \o "点击进入搜狐首页" \t "https://www.sohu.com/a/_blank" </w:instrText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fldChar w:fldCharType="end"/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仿宋_GB2312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滕州市新程建材有限公司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你公司报送的《滕州市新程建材有限公司新建年产50万立方商品混凝土项目环境影响报告表》收悉。经研究，批复如下：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项目属于新建，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位于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山东省枣庄市滕州市界河镇北界河村104国道西（界河鲁宏工业园区内）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项目建成后产能为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商品混凝土50万m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/a，产品密度为2.38t/m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，折合119万t/a。主要建设内容为：主体工程、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储运、公用工程及辅助生产设施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均依托现有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新建部分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环保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治理设施等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项目总投资为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2500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万元，环保投资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根据报告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结论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在全面落实环境影响报告表提出的各项生态保护和污染防治措施后，工程对环境的不利影响能够得到减缓和控制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从环境保护角度分析，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我局原则同意你公司报告表所列建设项目的地点、工艺、规模和环境保护对策措施。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项目设计、建设和运行管理中应重点做好以下工作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（一）强化大气污染防治措施。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ascii="Times New Roman" w:hAnsi="Times New Roman" w:eastAsia="仿宋_GB2312"/>
          <w:sz w:val="32"/>
        </w:rPr>
        <w:t>枣庄市《市直部门大气污染治理技术导则》</w:t>
      </w:r>
      <w:r>
        <w:rPr>
          <w:rFonts w:hint="eastAsia" w:ascii="Times New Roman" w:hAnsi="Times New Roman" w:eastAsia="仿宋_GB2312"/>
          <w:sz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枣环委办字〔2023〕1号）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</w:rPr>
        <w:t>等相关规定，落实扬尘治理措施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3#、4#生产线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废气经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一个袋式除尘器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处理后经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P1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排气筒（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15m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）排放。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9座储料筒仓经仓顶滤芯除尘器处理后通过顶部排气筒（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P2-P10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）有组织排放，筒仓排气口高度均为22m。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颗粒物有组织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排放浓度须达到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《建材工业大气污染物排放标准》（DB 37/2373—2018）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表2新建企业大气污染物水泥行业重点控制区排放限值要求。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严格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落实报告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提出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无组织排放措施。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条生产线投料及输送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过程中通过在集气罩四周加装软帘的方式，提高集气效率，车间全封闭并建有喷雾抑尘装置。骨料砂石由斜传送带输送至加料斗，加料斗配备小型袋式除尘器，搅拌主楼均进行全封闭，混合搅拌粉尘经袋式除尘器处理后在全封闭车间内无组织排放。料场上方设置有管道喷淋系统，对料场全覆盖洒水。对厂区内地面定期派专人进行路面清扫、洒水，运输车辆出厂前一律清洗轮胎，运输途中车辆不允许超载，降低车速，运输砂石料要用毡布加棚覆盖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项目厂界颗粒物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须执行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《建材工业大气污染物排放标准》（DB37/2373-2018）表3“除水泥外其他建材无组织排放”浓度限值要求。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（二）严格落实水污染防治措施。按照“雨污分流、清污分流、污污分流”原则完善厂区排水系统。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搅拌设备冲洗废水、洗罐车废水经“砂石分离+沉淀”处理后回用，车辆冲洗水经洗车台沉淀池沉淀处理后回用，生活污水经化粪池处理后由环卫部门定期清运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）严格落实土壤和地下水污染防治措施。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源头防控、分区防治、污染监控、应急响应”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原则进行地下水污染防治。</w:t>
      </w:r>
      <w:r>
        <w:rPr>
          <w:rStyle w:val="19"/>
          <w:rFonts w:hint="eastAsia" w:ascii="Times New Roman" w:hAnsi="Times New Roman" w:eastAsia="仿宋_GB2312" w:cs="仿宋_GB2312"/>
          <w:color w:val="auto"/>
          <w:sz w:val="32"/>
          <w:szCs w:val="32"/>
        </w:rPr>
        <w:t>强化厂区防渗，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生产车间、沉淀池落实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防渗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启动应急预案和应急措施，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应对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土壤或地下水污染。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）严格落实噪声污染防治措施。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搅拌机、水泵、风机噪声源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采取隔音、减振降噪等措施。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厂界噪声须符合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《工业企业厂界环境噪声排放标准》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2类功能区的要求。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严格落实固体废物分类处置措施。罐车清洗废水沉渣经砂石分离后全部回用于生产；除尘器收集粉尘全部回用于生产；混凝土废料用于厂区内道路修整；废旧布袋外售物资回收公司。设备维修保养均委托外部单位，厂内不储存机油和废机油以及油桶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生活垃圾委托环卫部门定期清运处置。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一般固废须参照《一般工业固体废物贮存和填埋污染控制标准》（GB18599-2020）防雨防渗相关要求。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）健全环境管理制度。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按照国家和地方有关规定，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eastAsia="zh-CN"/>
        </w:rPr>
        <w:t>规范废气治理设施标志牌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，标示治理工艺流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程图。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</w:rPr>
        <w:t>落实环评文件提出的环境管理及监测计划。环保设备安装“分表计电”智能控制系统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lang w:eastAsia="zh-CN"/>
        </w:rPr>
        <w:t>，并与生态环境部门联网。配置符合要求的β射线法PM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vertAlign w:val="subscript"/>
          <w:lang w:eastAsia="zh-CN"/>
        </w:rPr>
        <w:t>10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lang w:eastAsia="zh-CN"/>
        </w:rPr>
        <w:t>扬尘监测设备，确保设备正常运行和数据正常上传。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运输车辆须达到国五以上排放标准（或为新能源运输车），运输物料不得超出运输车辆封闭箱体。非道路移动机械全部达到国三及以上排放标准或使用新能源机械。</w:t>
      </w:r>
      <w:r>
        <w:rPr>
          <w:rFonts w:hint="eastAsia" w:ascii="Times New Roman" w:hAnsi="Times New Roman" w:eastAsia="仿宋_GB2312" w:cs="仿宋_GB2312"/>
          <w:bCs w:val="0"/>
          <w:color w:val="000000"/>
          <w:kern w:val="0"/>
          <w:sz w:val="32"/>
          <w:szCs w:val="32"/>
          <w:lang w:val="zh-CN"/>
        </w:rPr>
        <w:t>参照《重污染天气重点行业移动源应急管理技术指南》建立门禁系统和电子台账，门禁系统监控数据</w:t>
      </w:r>
      <w:r>
        <w:rPr>
          <w:rFonts w:hint="eastAsia" w:ascii="Times New Roman" w:hAnsi="Times New Roman" w:eastAsia="仿宋_GB2312" w:cs="仿宋_GB2312"/>
          <w:bCs w:val="0"/>
          <w:color w:val="000000"/>
          <w:kern w:val="0"/>
          <w:sz w:val="32"/>
          <w:szCs w:val="32"/>
          <w:highlight w:val="none"/>
          <w:lang w:val="zh-CN"/>
        </w:rPr>
        <w:t>按要求与生态环境部门联网</w:t>
      </w:r>
      <w:r>
        <w:rPr>
          <w:rFonts w:hint="eastAsia" w:ascii="Times New Roman" w:hAnsi="Times New Roman" w:eastAsia="仿宋_GB2312" w:cs="仿宋_GB2312"/>
          <w:bCs w:val="0"/>
          <w:color w:val="000000"/>
          <w:kern w:val="0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安装视频监控系统，监控范围包括储存、厂区道路、生产车间等地方，做到全覆盖、无盲区、全时段监控，且视频存储时间不得少于三个月。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）强化环境风险防范和应急措施。强化环境风险防范和应急措施。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制定突发环境事件应急预案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lang w:val="en-US" w:eastAsia="zh-CN"/>
        </w:rPr>
        <w:t>枣庄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市生态环境局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lang w:eastAsia="zh-CN"/>
        </w:rPr>
        <w:t>滕州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分局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lang w:val="en-US" w:eastAsia="zh-CN"/>
        </w:rPr>
        <w:t>备案。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</w:rPr>
        <w:t>配备必要的事故防范应急设施、设备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并演练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highlight w:val="none"/>
          <w:lang w:eastAsia="zh-CN"/>
        </w:rPr>
        <w:t>自觉履行安全生产法定职责，健全内部管理责任制度，严格依据标准规范建设环保设施和项目，符合安全生产、事故防范的相关规定。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该项目运营后，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新增颗粒物有组织排放总量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应控制在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0.478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t/a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以内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强化环境信息公开与公众参与机制。在项目运营过程中，按规定发布企业环境保护信息，自觉接受社会监督。建立畅通的公众参与渠道，加强宣传与沟通工作，及时解决公众反映的环境问题，满足公众合理的环境保护要求</w:t>
      </w:r>
      <w:r>
        <w:rPr>
          <w:rStyle w:val="19"/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三、你公司必须严格执行配套建设的环境保护设施与主体项目同时设计、同时施工、同时投入使用的“三同时”制度，落实各项环境保护措施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项目建成后，须按规定程序实施竣工环境保护验收。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四、环境影响报告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经批准后，项目的性质、规模、地点、生产工艺或者防治污染、防止生态破坏的措施发生重大变动的，应当重新报批该项目的环境影响报告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。自环境影响报告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批复文件批准之日起，如超过5年项目才开工的，应当在开工前将环境影响报告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报批重新审核。如根据法律法规等相关规定需要进行更严格要求的，实行从严管理。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五、由枣庄市生态环境保护综合执法支队和枣庄市生态环境局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滕州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分局负责该项目的“三同时”监督检查和日常管理工作。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六、你公司应在接到本批复后10个工作日内，将批准后的环境影响报告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送枣庄市生态环境局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滕州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分局，并按规定接受各级生态环境部门的监督检查。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七、如有符合《中华人民共和国行政许可法》第七十八条“行政许可申请人隐瞒有关情况或者提供虚假材料申请行政许可，行政机关应不予受理或者不予行政许可情形”或不符合相关法律法规规定要求的，本批复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自始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自然作废。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枣庄市生态环境局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主题词：环境影响评价  报告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批复</w:t>
      </w:r>
    </w:p>
    <w:tbl>
      <w:tblPr>
        <w:tblStyle w:val="12"/>
        <w:tblW w:w="898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8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抄送：枣庄市应急管理局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枣庄市生态环境局办公室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日印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" w:eastAsia="zh-CN"/>
        </w:rPr>
        <w:t>电子批复领取指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南：</w:t>
      </w:r>
      <w:r>
        <w:rPr>
          <w:rFonts w:hint="default" w:ascii="Times New Roman" w:hAnsi="Times New Roman" w:eastAsia="仿宋_GB2312" w:cs="Times New Roman"/>
          <w:sz w:val="21"/>
          <w:szCs w:val="21"/>
          <w:lang w:val="en" w:eastAsia="zh-CN"/>
        </w:rPr>
        <w:t>http://sthjj.zaozhuang.gov.cn/sthjyw/hpsp/xmsp/202205/t20220531_1442654.html</w:t>
      </w:r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zIwOTZhYmEyNjJkN2E5OGJlYmM2ODAyYWY3NjQifQ=="/>
    <w:docVar w:name="KSO_WPS_MARK_KEY" w:val="4ca284d7-89c1-4f22-9513-43414405fbef"/>
  </w:docVars>
  <w:rsids>
    <w:rsidRoot w:val="16FC0336"/>
    <w:rsid w:val="08BD6A93"/>
    <w:rsid w:val="09417F3D"/>
    <w:rsid w:val="096E162E"/>
    <w:rsid w:val="0987365F"/>
    <w:rsid w:val="0F8E6586"/>
    <w:rsid w:val="131B5AA1"/>
    <w:rsid w:val="15437FF9"/>
    <w:rsid w:val="16881796"/>
    <w:rsid w:val="16FC0336"/>
    <w:rsid w:val="1AD8571C"/>
    <w:rsid w:val="1C6E39C8"/>
    <w:rsid w:val="1CB533A4"/>
    <w:rsid w:val="1E57048B"/>
    <w:rsid w:val="2C9831C8"/>
    <w:rsid w:val="31466869"/>
    <w:rsid w:val="33680D19"/>
    <w:rsid w:val="36EC3A0F"/>
    <w:rsid w:val="37C33E1B"/>
    <w:rsid w:val="38D1110E"/>
    <w:rsid w:val="3B461FE6"/>
    <w:rsid w:val="3B5D6BB7"/>
    <w:rsid w:val="3B9528C7"/>
    <w:rsid w:val="41836186"/>
    <w:rsid w:val="47833F1C"/>
    <w:rsid w:val="48A44149"/>
    <w:rsid w:val="4A2E2104"/>
    <w:rsid w:val="4DA644C0"/>
    <w:rsid w:val="50CC248F"/>
    <w:rsid w:val="55B22F49"/>
    <w:rsid w:val="5CF6270D"/>
    <w:rsid w:val="686C1D5E"/>
    <w:rsid w:val="6D6B4986"/>
    <w:rsid w:val="78287F2B"/>
    <w:rsid w:val="7C386836"/>
    <w:rsid w:val="7E2B6198"/>
    <w:rsid w:val="7FD85EAB"/>
    <w:rsid w:val="7F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UserStyle_8"/>
    <w:basedOn w:val="6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6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 w:afterLines="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11">
    <w:name w:val="Body Text First Indent"/>
    <w:basedOn w:val="8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rFonts w:ascii="Times New Roman" w:hAnsi="Times New Roman" w:eastAsia="宋体"/>
      <w:kern w:val="2"/>
      <w:sz w:val="21"/>
      <w:szCs w:val="24"/>
    </w:rPr>
  </w:style>
  <w:style w:type="character" w:styleId="14">
    <w:name w:val="page number"/>
    <w:qFormat/>
    <w:uiPriority w:val="0"/>
  </w:style>
  <w:style w:type="paragraph" w:customStyle="1" w:styleId="15">
    <w:name w:val="样式5"/>
    <w:basedOn w:val="16"/>
    <w:qFormat/>
    <w:uiPriority w:val="0"/>
    <w:pPr>
      <w:adjustRightInd/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16">
    <w:name w:val="正文1"/>
    <w:basedOn w:val="1"/>
    <w:next w:val="1"/>
    <w:qFormat/>
    <w:uiPriority w:val="0"/>
    <w:pPr>
      <w:adjustRightInd w:val="0"/>
      <w:spacing w:line="480" w:lineRule="atLeast"/>
      <w:textAlignment w:val="baseline"/>
    </w:pPr>
    <w:rPr>
      <w:rFonts w:ascii="宋体" w:hAnsi="Tms Rmn"/>
      <w:kern w:val="0"/>
      <w:sz w:val="28"/>
      <w:szCs w:val="20"/>
    </w:rPr>
  </w:style>
  <w:style w:type="paragraph" w:customStyle="1" w:styleId="17">
    <w:name w:val="报告书正文样式1"/>
    <w:basedOn w:val="18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18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character" w:customStyle="1" w:styleId="19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20">
    <w:name w:val="正文x"/>
    <w:basedOn w:val="1"/>
    <w:qFormat/>
    <w:uiPriority w:val="99"/>
    <w:pPr>
      <w:spacing w:line="360" w:lineRule="auto"/>
      <w:ind w:firstLine="200" w:firstLineChars="200"/>
    </w:pPr>
    <w:rPr>
      <w:sz w:val="24"/>
    </w:rPr>
  </w:style>
  <w:style w:type="paragraph" w:customStyle="1" w:styleId="21">
    <w:name w:val="样式 正文文本缩进 + 行距: 1.5 倍行距"/>
    <w:basedOn w:val="22"/>
    <w:next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22">
    <w:name w:val="正文文本缩进1"/>
    <w:basedOn w:val="1"/>
    <w:next w:val="21"/>
    <w:qFormat/>
    <w:uiPriority w:val="0"/>
    <w:pPr>
      <w:spacing w:after="120"/>
      <w:ind w:left="420" w:left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2433</Words>
  <Characters>2604</Characters>
  <Lines>0</Lines>
  <Paragraphs>0</Paragraphs>
  <TotalTime>1</TotalTime>
  <ScaleCrop>false</ScaleCrop>
  <LinksUpToDate>false</LinksUpToDate>
  <CharactersWithSpaces>2639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2024-04-28T10:58:00Z</dcterms:created>
  <dc:creator>1</dc:creator>
  <cp:lastModifiedBy>user</cp:lastModifiedBy>
  <dcterms:modified xsi:type="dcterms:W3CDTF">2024-05-30T10:06:44Z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2B74BAE6BE1E4B3DAEE912534ACA4F20_11</vt:lpwstr>
  </property>
</Properties>
</file>