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65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楷体" w:cs="Times New Roman"/>
          <w:w w:val="97"/>
          <w:sz w:val="32"/>
          <w:szCs w:val="32"/>
        </w:rPr>
      </w:pPr>
    </w:p>
    <w:p w14:paraId="428B7D5D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w w:val="97"/>
          <w:kern w:val="2"/>
          <w:sz w:val="32"/>
          <w:szCs w:val="32"/>
          <w:lang w:val="en-US" w:eastAsia="zh-CN" w:bidi="ar-SA"/>
        </w:rPr>
        <w:t>枣环</w:t>
      </w:r>
      <w:r>
        <w:rPr>
          <w:rFonts w:hint="eastAsia" w:ascii="Times New Roman" w:hAnsi="Times New Roman" w:eastAsia="楷体" w:cs="Times New Roman"/>
          <w:w w:val="97"/>
          <w:kern w:val="2"/>
          <w:sz w:val="32"/>
          <w:szCs w:val="32"/>
          <w:lang w:val="en-US" w:eastAsia="zh-CN" w:bidi="ar-SA"/>
        </w:rPr>
        <w:t>许可</w:t>
      </w:r>
      <w:r>
        <w:rPr>
          <w:rFonts w:hint="default" w:ascii="Times New Roman" w:hAnsi="Times New Roman" w:eastAsia="楷体" w:cs="Times New Roman"/>
          <w:w w:val="97"/>
          <w:kern w:val="2"/>
          <w:sz w:val="32"/>
          <w:szCs w:val="32"/>
          <w:lang w:val="en-US" w:eastAsia="zh-CN" w:bidi="ar-SA"/>
        </w:rPr>
        <w:t>字〔202</w:t>
      </w:r>
      <w:r>
        <w:rPr>
          <w:rFonts w:hint="eastAsia" w:ascii="Times New Roman" w:hAnsi="Times New Roman" w:eastAsia="楷体" w:cs="Times New Roman"/>
          <w:w w:val="97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楷体" w:cs="Times New Roman"/>
          <w:w w:val="97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楷体" w:cs="Times New Roman"/>
          <w:w w:val="97"/>
          <w:kern w:val="2"/>
          <w:sz w:val="32"/>
          <w:szCs w:val="32"/>
          <w:lang w:val="en-US" w:eastAsia="zh-CN" w:bidi="ar-SA"/>
        </w:rPr>
        <w:t>45号</w:t>
      </w:r>
    </w:p>
    <w:p w14:paraId="55DF739E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620" w:lineRule="exact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ab/>
      </w:r>
    </w:p>
    <w:p w14:paraId="3EA67293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 w14:paraId="67C9D170">
      <w:pPr>
        <w:pStyle w:val="16"/>
        <w:keepNext w:val="0"/>
        <w:keepLines w:val="0"/>
        <w:pageBreakBefore w:val="0"/>
        <w:widowControl/>
        <w:tabs>
          <w:tab w:val="left" w:pos="7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枣庄市生态环境局</w:t>
      </w:r>
      <w:bookmarkStart w:id="0" w:name="_GoBack"/>
      <w:bookmarkEnd w:id="0"/>
    </w:p>
    <w:p w14:paraId="693C8E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滕州中联水泥有限公司一般固废综合</w:t>
      </w:r>
    </w:p>
    <w:p w14:paraId="1D8D87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利用技改项目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环境影响报告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的批复</w:t>
      </w:r>
    </w:p>
    <w:p w14:paraId="7FD7E3CF">
      <w:pPr>
        <w:pStyle w:val="28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14E84450">
      <w:pPr>
        <w:pStyle w:val="28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滕州中联水泥有限公司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： </w:t>
      </w:r>
    </w:p>
    <w:p w14:paraId="4C33ADCB">
      <w:pPr>
        <w:pStyle w:val="28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你公司报送的《滕州中联水泥有限公司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一般固废综合利用技改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项目环境影响报告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》收悉。经研究，批复如下：</w:t>
      </w:r>
    </w:p>
    <w:p w14:paraId="5C83E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项目属于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技改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，位于滕州市羊庄镇中顶山村（滕州中联水泥有限公司厂院内）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拟建项目不新增用地，依托滕州中联水泥有限公司现有4600t/d新型干法水泥熟料生产线，新建彩钢瓦堆棚800平方米，协同处置燃煤炉渣（气化渣）、氟化钙废渣等一般工业固体废物，不新增熟料、水泥产能。建成后燃煤炉渣（气化渣）、氟化钙废渣等一般固废处理规模为335t/d，年处理58000吨燃煤炉渣（气化渣）、9000吨氟化钙废渣。项目总投资45万元，其中环保投资2.7万元。</w:t>
      </w:r>
    </w:p>
    <w:p w14:paraId="757A0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根据报告表结论，在全面落实环境影响报告表提出的各项生态保护和污染防治措施后，工程对环境的不利影响能够得到减缓和控制。从环境保护角度分析，我局原则同意你公司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按照</w:t>
      </w:r>
      <w:r>
        <w:rPr>
          <w:rFonts w:ascii="Times New Roman" w:hAnsi="Times New Roman" w:eastAsia="仿宋_GB2312"/>
          <w:bCs/>
          <w:sz w:val="32"/>
          <w:szCs w:val="32"/>
        </w:rPr>
        <w:t>报告表所列建设项目的地点、工艺、规模和环境保护对策措施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建设和生产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2434E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二、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项目建设与运营管理中应重点做好以下工作：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</w:t>
      </w:r>
    </w:p>
    <w:p w14:paraId="08B960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加强施工环境管理。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合理安排施工时间，优化施工工艺，防止工程施工造成环境污染和生态破坏。强化施工期环境管理，合理处置施工垃圾及废水，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枣庄市生态环境保护委员会办公室关于印发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枣庄市市直部门大气污染治理技术导则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的通知》（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枣环委办字〔2023〕1号）要求，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采取有效措施降低施工期扬尘污染。</w:t>
      </w:r>
    </w:p>
    <w:p w14:paraId="3E97CF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严格执行《水泥窑协同处置固体废物环境保护技术规范》（HJ662-2013）要求，制定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燃煤炉渣（气化渣）、氟化钙废渣处置配伍方案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，严格执行物料入窑比例配置。</w:t>
      </w:r>
    </w:p>
    <w:p w14:paraId="43CA25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大气污染防治措施。水泥窑窑尾废气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依托现有“低氮燃烧+分级燃烧+精准SNCR+高效覆膜袋式除尘器”处理，经115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高排气筒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DA0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50）排放。窑头废气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依托现有“高效覆膜袋式除尘器”处理后，通过40m高烟囱（DA049）排放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。有组织HF，HCl，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汞及其化合物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铊、镉、铅、砷及其化合物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铍、铬、锡、锑、铜、钴、锰、镍、钒及其化合物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二噁英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类排放浓度执行《水泥窑协同处置固体废物污染控制标准》（GB30485-2013）表1中标准要求、《建材工业大气污染物排放标准》（DB37/2373-2018）表2重点控制区要求、《山东省水泥行业超低排放改造实施方案》中的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有组织颗粒物须执行《建材工业大气污染物排放标准》（DB37/2373-2018）表2重点控制区的要求。</w:t>
      </w:r>
    </w:p>
    <w:p w14:paraId="6B3DA0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落实报告表提出的无组织排放措施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。原料堆存、预处理和转运环节均采取密闭措施，形成负压空间。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各转载、下料口等产尘点应设置集气罩，并配套高效除尘设施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。运输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车辆采取遮盖措施，并按照规定路线、时间行驶，在运输过程中避免物料遗撒和泄漏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颗粒物、氨气执行《建材工业大气污染物排放标准》（DB37/2373-2018）表3限值要求。</w:t>
      </w:r>
    </w:p>
    <w:p w14:paraId="60F7BF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）严格落实水污染防治措施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按照“雨污分流、清污分流、污污分流”原则完善厂区排水系统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，不得新增污水排放。</w:t>
      </w:r>
    </w:p>
    <w:p w14:paraId="6CBBE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）严格落实噪声污染防治措施。通过合理布局，选用低噪声设备，减震及厂房隔音处理等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有效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措施后，厂界噪声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《工业企业厂界环境噪声排放标准》(GB12348-2008)中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类标准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365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严格落实土壤和地下水污染防治措施。以“源头防控、分区防治、污染监控、应急响应”为原则进行地下水污染防治，强化厂区防漏及事故废水应急收集处理。及时启动应急预案和应急措施，应对土壤或地下水污染。</w:t>
      </w:r>
    </w:p>
    <w:p w14:paraId="2316B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）严格落实固体废物分类处置措施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一般固体废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全部合理综合利用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回收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处置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一般固废贮存、处置执行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《中华人民共和国固体废物污染环境防治法》要求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燃煤炉渣（气化渣）、氟化钙废渣等一般固废运至储存库的预检区，待化验、验收合格后方能储存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危险废物的收集、贮存和转运环节严格落实《危险废物收集、贮存、运输技术规范》（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HJ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2025-2012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）及《危险废物贮存污染控制标准》（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GB18597-2023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并交由有资质的单位承运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7E9D5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）健全环境管理制度。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建设规范污染物排放口，并设立标志牌，标示治理工艺流程图。落实环评报告表提出的环境管理制度及监测计划。环保设备安装“分表计电”智能控制系统，并与生态环境部门联网。配置符合要求的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射线法PM10扬尘监测设备，确保设备正常运行和数据正常上传。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参照《重污染天气重点行业移动源应急管理技术导则》建立门禁系统和电子台账，门禁系统监控数据按要求与生态环境部门联网。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安装视频监控系统，监控范围包括储存、厂区道路、生产车间等地方，做到全覆盖、无盲区、全时段监控，且视频存储时间不得少于三个月。</w:t>
      </w:r>
    </w:p>
    <w:p w14:paraId="7C0182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水泥熟料重金属含量和可浸出重金属含量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根据《水泥窑协同处置固体废物技术规范》（GB30760-2014）相关要求定期检测，确保重金属限值满足相关要求。</w:t>
      </w:r>
    </w:p>
    <w:p w14:paraId="1FCC8D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）强化环境风险防范和应急措施。</w:t>
      </w:r>
      <w:r>
        <w:rPr>
          <w:rFonts w:hint="eastAsia" w:ascii="仿宋_GB2312" w:eastAsia="仿宋_GB2312"/>
          <w:bCs/>
          <w:sz w:val="32"/>
          <w:szCs w:val="32"/>
        </w:rPr>
        <w:t>结合项目实际情况修订突发环境事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</w:rPr>
        <w:t>应急预案，配备必要的事故防范应急设施、设备并定期演练，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切实加强事故应急处理及防范能力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履行安全生产法定职责，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对环保设施和项目开展安全风险辨识管理，健全内部管理责任制度，严格依据标准规范建设环保设施和项目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符合安全生产、事故防范的相关规定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02A989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十）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建成后，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不新增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颗粒物、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二氧化硫、氮氧化物的排放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“以新带老”削减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二氧化硫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0.54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t/a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F55B5A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强化环境信息公开与公众参与机制。</w:t>
      </w:r>
      <w:r>
        <w:rPr>
          <w:rFonts w:hint="eastAsia" w:ascii="仿宋_GB2312" w:eastAsia="仿宋_GB2312"/>
          <w:bCs/>
          <w:sz w:val="32"/>
          <w:szCs w:val="32"/>
        </w:rPr>
        <w:t>强化环境信息公开与公众参与机制。落实建设项目环评信息公开主体责任，建设过程中、建成和投入生产或使用后，及时公开相关环境信息。建立完善的环境信息公开体系，定期发布企业环境信息，自觉接受社会监督。加强与周围公众的沟通，及时解决公众提出的环境问题，满足公众合理的环境诉求。</w:t>
      </w:r>
    </w:p>
    <w:p w14:paraId="000E5F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三、</w:t>
      </w:r>
      <w:r>
        <w:rPr>
          <w:rFonts w:eastAsia="仿宋_GB2312"/>
          <w:color w:val="000000"/>
          <w:sz w:val="32"/>
          <w:szCs w:val="32"/>
        </w:rPr>
        <w:t>你公司必须严格执行配套建设的环境保护设施与主体项目同时设计、同时施工、同时投入使用的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“</w:t>
      </w:r>
      <w:r>
        <w:rPr>
          <w:rFonts w:eastAsia="仿宋_GB2312"/>
          <w:color w:val="000000"/>
          <w:sz w:val="32"/>
          <w:szCs w:val="32"/>
        </w:rPr>
        <w:t>三同时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eastAsia="仿宋_GB2312"/>
          <w:color w:val="000000"/>
          <w:sz w:val="32"/>
          <w:szCs w:val="32"/>
        </w:rPr>
        <w:t>制度。项目竣工后，须按规定程序进行竣工环境保护验收（前述环保措施未落实前，不得通过验收和投入生产）。</w:t>
      </w:r>
    </w:p>
    <w:p w14:paraId="4DA3BB1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四、环境影响报告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经批准后，项目的性质、规模、地点、生产工艺或者污染防治措施、防止生态破坏的措施发生重大变动的，应当重新报批该项目的环境影响报告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。自环境影响报告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批复文件批准之日起，如超过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年项目才开工的，应当在开工前将环境影响报告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报批重新审核。如根据法律法规等相关规定需要执行更严格要求的，实行从严管理。</w:t>
      </w:r>
    </w:p>
    <w:p w14:paraId="0FB27B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五、由枣庄市生态环境保护综合执法支队和枣庄市生态环境局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滕州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分局负责该项目的“三同时”监督检查和日常管理工作。</w:t>
      </w:r>
    </w:p>
    <w:p w14:paraId="4AEE7DB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六、你公司应在接到本批复后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个工作日内，将批准后的环境影响报告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送枣庄市生态环境局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滕州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分局，并按规定接受各级生态环境部门的监督检查。</w:t>
      </w:r>
    </w:p>
    <w:p w14:paraId="29BBAE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、如有符合《中华人民共和国行政许可法》第七十八条“行政许可申请人隐瞒有关情况或者提供虚假材料申请行政许可，行政机关应不予受理或者不予行政许可情形”或不符合相关法律法规规定要求的，本批复自始自然作废。</w:t>
      </w:r>
    </w:p>
    <w:p w14:paraId="1F989BDC">
      <w:pPr>
        <w:rPr>
          <w:rFonts w:hint="eastAsia"/>
          <w:lang w:val="en-US" w:eastAsia="zh-CN"/>
        </w:rPr>
      </w:pPr>
    </w:p>
    <w:p w14:paraId="4A15B7DA">
      <w:pPr>
        <w:pStyle w:val="2"/>
        <w:rPr>
          <w:rFonts w:hint="eastAsia"/>
          <w:lang w:val="en-US" w:eastAsia="zh-CN"/>
        </w:rPr>
      </w:pPr>
    </w:p>
    <w:p w14:paraId="19E9D4AF">
      <w:pPr>
        <w:pStyle w:val="7"/>
        <w:rPr>
          <w:rFonts w:hint="eastAsia"/>
          <w:lang w:val="en-US" w:eastAsia="zh-CN"/>
        </w:rPr>
      </w:pPr>
    </w:p>
    <w:p w14:paraId="037EC3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枣庄市生态环境局    </w:t>
      </w:r>
    </w:p>
    <w:p w14:paraId="5E730C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120" w:firstLineChars="1600"/>
        <w:jc w:val="righ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</w:p>
    <w:p w14:paraId="3013DF02"/>
    <w:p w14:paraId="4D0D1A27">
      <w:pPr>
        <w:pStyle w:val="7"/>
      </w:pPr>
    </w:p>
    <w:p w14:paraId="6EBFC06A">
      <w:pPr>
        <w:pStyle w:val="7"/>
      </w:pPr>
    </w:p>
    <w:p w14:paraId="7C80987A">
      <w:pPr>
        <w:pStyle w:val="7"/>
      </w:pPr>
    </w:p>
    <w:p w14:paraId="4E95F9B5">
      <w:pPr>
        <w:pStyle w:val="7"/>
      </w:pPr>
    </w:p>
    <w:p w14:paraId="5DDFAA24">
      <w:pPr>
        <w:pStyle w:val="7"/>
      </w:pPr>
    </w:p>
    <w:p w14:paraId="78CEC5B0">
      <w:pPr>
        <w:pStyle w:val="7"/>
      </w:pPr>
    </w:p>
    <w:p w14:paraId="752F99C5">
      <w:pPr>
        <w:pStyle w:val="7"/>
      </w:pPr>
    </w:p>
    <w:p w14:paraId="4CD899B8">
      <w:pPr>
        <w:pStyle w:val="7"/>
        <w:ind w:left="0" w:leftChars="0" w:firstLine="0" w:firstLineChars="0"/>
      </w:pPr>
    </w:p>
    <w:p w14:paraId="32BED4F5">
      <w:pPr>
        <w:pStyle w:val="7"/>
      </w:pPr>
    </w:p>
    <w:p w14:paraId="0F556671">
      <w:pPr>
        <w:pStyle w:val="7"/>
      </w:pPr>
    </w:p>
    <w:p w14:paraId="272A318A">
      <w:pPr>
        <w:pStyle w:val="7"/>
      </w:pPr>
    </w:p>
    <w:p w14:paraId="530743E3">
      <w:pPr>
        <w:pStyle w:val="7"/>
        <w:ind w:left="0" w:leftChars="0" w:firstLine="0" w:firstLineChars="0"/>
      </w:pPr>
    </w:p>
    <w:p w14:paraId="33BD7282">
      <w:pPr>
        <w:pStyle w:val="7"/>
      </w:pPr>
    </w:p>
    <w:tbl>
      <w:tblPr>
        <w:tblStyle w:val="18"/>
        <w:tblpPr w:leftFromText="180" w:rightFromText="180" w:vertAnchor="text" w:horzAnchor="page" w:tblpX="1730" w:tblpY="421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6071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919" w:type="dxa"/>
            <w:tcBorders>
              <w:left w:val="nil"/>
              <w:right w:val="nil"/>
            </w:tcBorders>
            <w:noWrap w:val="0"/>
            <w:vAlign w:val="center"/>
          </w:tcPr>
          <w:p w14:paraId="09B20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抄送：枣庄市应急管理局</w:t>
            </w:r>
          </w:p>
        </w:tc>
      </w:tr>
    </w:tbl>
    <w:p w14:paraId="2A883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主题词：环境影响评价  报告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批复</w:t>
      </w:r>
    </w:p>
    <w:p w14:paraId="420BF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枣庄市生态环境局办公室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日印发</w:t>
      </w:r>
    </w:p>
    <w:p w14:paraId="28213EAB">
      <w:pPr>
        <w:adjustRightInd w:val="0"/>
        <w:snapToGrid w:val="0"/>
        <w:spacing w:line="420" w:lineRule="exact"/>
        <w:jc w:val="both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" w:eastAsia="zh-CN"/>
        </w:rPr>
        <w:t>电子批复领取指南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  <w:lang w:val="en"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  <w:lang w:val="en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sz w:val="21"/>
          <w:szCs w:val="21"/>
          <w:lang w:val="en" w:eastAsia="zh-CN"/>
        </w:rPr>
        <w:instrText xml:space="preserve"> HYPERLINK "http://sthjj.zaozhuang.gov.cn/sthjyw/hpsp/xmsp/202205/t20220531_1442654.html" </w:instrTex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  <w:lang w:val="en" w:eastAsia="zh-CN"/>
        </w:rPr>
        <w:fldChar w:fldCharType="separate"/>
      </w:r>
      <w:r>
        <w:rPr>
          <w:rStyle w:val="21"/>
          <w:rFonts w:hint="default" w:ascii="Times New Roman" w:hAnsi="Times New Roman" w:eastAsia="仿宋" w:cs="Times New Roman"/>
          <w:color w:val="auto"/>
          <w:sz w:val="21"/>
          <w:szCs w:val="21"/>
          <w:lang w:val="en" w:eastAsia="zh-CN"/>
        </w:rPr>
        <w:t>http://sthjj.zaozhuang.gov.cn/sthjyw/hpsp/xmsp/202205/t20220531_1442654.html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  <w:lang w:val="en" w:eastAsia="zh-CN"/>
        </w:rPr>
        <w:fldChar w:fldCharType="end"/>
      </w:r>
    </w:p>
    <w:sectPr>
      <w:footerReference r:id="rId3" w:type="default"/>
      <w:pgSz w:w="11906" w:h="16838"/>
      <w:pgMar w:top="2154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7878B57-28DD-48C0-884E-CB45F5BFC4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5D5141D-4138-44B4-8054-4B2695DEE0FB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3" w:fontKey="{95A4C614-C702-400B-B832-DACE6F4521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4DCAE19-F277-46C5-9677-7ADCF3C75C0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237FF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69F93"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069F93">
                    <w:pPr>
                      <w:pStyle w:val="1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YzIwOTZhYmEyNjJkN2E5OGJlYmM2ODAyYWY3NjQifQ=="/>
  </w:docVars>
  <w:rsids>
    <w:rsidRoot w:val="390515EE"/>
    <w:rsid w:val="002410F1"/>
    <w:rsid w:val="003A4DB8"/>
    <w:rsid w:val="00887E11"/>
    <w:rsid w:val="01161381"/>
    <w:rsid w:val="012832B8"/>
    <w:rsid w:val="0167398B"/>
    <w:rsid w:val="016D50E6"/>
    <w:rsid w:val="024B7873"/>
    <w:rsid w:val="027F090F"/>
    <w:rsid w:val="03320CA7"/>
    <w:rsid w:val="03327FC8"/>
    <w:rsid w:val="037C5098"/>
    <w:rsid w:val="03D746CC"/>
    <w:rsid w:val="04074FB1"/>
    <w:rsid w:val="040F2FA9"/>
    <w:rsid w:val="043F474B"/>
    <w:rsid w:val="0560706F"/>
    <w:rsid w:val="06FC6923"/>
    <w:rsid w:val="07E86EA8"/>
    <w:rsid w:val="096D58B6"/>
    <w:rsid w:val="09975029"/>
    <w:rsid w:val="0A1C108A"/>
    <w:rsid w:val="0ADC2E77"/>
    <w:rsid w:val="0C8353F1"/>
    <w:rsid w:val="0D8E229F"/>
    <w:rsid w:val="0DA516C5"/>
    <w:rsid w:val="0DAB2E51"/>
    <w:rsid w:val="0E6F0323"/>
    <w:rsid w:val="0EA004DC"/>
    <w:rsid w:val="0F2B249C"/>
    <w:rsid w:val="0F582B65"/>
    <w:rsid w:val="10060813"/>
    <w:rsid w:val="106F63B8"/>
    <w:rsid w:val="10E2302E"/>
    <w:rsid w:val="12407B2D"/>
    <w:rsid w:val="133A2D8C"/>
    <w:rsid w:val="149F4194"/>
    <w:rsid w:val="15543DCE"/>
    <w:rsid w:val="15C57534"/>
    <w:rsid w:val="16A86180"/>
    <w:rsid w:val="16B234A2"/>
    <w:rsid w:val="16B72867"/>
    <w:rsid w:val="170B2BB3"/>
    <w:rsid w:val="17127A9D"/>
    <w:rsid w:val="17C70888"/>
    <w:rsid w:val="17D86F39"/>
    <w:rsid w:val="183C2926"/>
    <w:rsid w:val="18BA03EC"/>
    <w:rsid w:val="1912647A"/>
    <w:rsid w:val="19792055"/>
    <w:rsid w:val="1A0C7E93"/>
    <w:rsid w:val="1A352168"/>
    <w:rsid w:val="1B574618"/>
    <w:rsid w:val="1E0C793C"/>
    <w:rsid w:val="1E9B481C"/>
    <w:rsid w:val="1F2F1715"/>
    <w:rsid w:val="204F138A"/>
    <w:rsid w:val="21132D8F"/>
    <w:rsid w:val="21441995"/>
    <w:rsid w:val="21537630"/>
    <w:rsid w:val="23940C18"/>
    <w:rsid w:val="23AA1069"/>
    <w:rsid w:val="23DA5DE6"/>
    <w:rsid w:val="246A53BC"/>
    <w:rsid w:val="24B91EA0"/>
    <w:rsid w:val="254D1BE4"/>
    <w:rsid w:val="26C16D50"/>
    <w:rsid w:val="26C863CA"/>
    <w:rsid w:val="28B22E8E"/>
    <w:rsid w:val="2906380E"/>
    <w:rsid w:val="299B1B74"/>
    <w:rsid w:val="2B0032AF"/>
    <w:rsid w:val="2CF75313"/>
    <w:rsid w:val="2DAC07F4"/>
    <w:rsid w:val="2DAE64B5"/>
    <w:rsid w:val="2E6115DE"/>
    <w:rsid w:val="2E8B5D4E"/>
    <w:rsid w:val="2FEA73B1"/>
    <w:rsid w:val="30F229C1"/>
    <w:rsid w:val="311A5A74"/>
    <w:rsid w:val="31FA60E7"/>
    <w:rsid w:val="334E5EA9"/>
    <w:rsid w:val="339064C2"/>
    <w:rsid w:val="345710F9"/>
    <w:rsid w:val="37144DE7"/>
    <w:rsid w:val="373C4996"/>
    <w:rsid w:val="390515EE"/>
    <w:rsid w:val="3A3E0A25"/>
    <w:rsid w:val="3A9B7C26"/>
    <w:rsid w:val="3ACE7FFB"/>
    <w:rsid w:val="3B027CA5"/>
    <w:rsid w:val="3B497682"/>
    <w:rsid w:val="3BA858CA"/>
    <w:rsid w:val="3C2459F9"/>
    <w:rsid w:val="3C37397E"/>
    <w:rsid w:val="3D791D75"/>
    <w:rsid w:val="3F051B12"/>
    <w:rsid w:val="40122635"/>
    <w:rsid w:val="405014B2"/>
    <w:rsid w:val="415C2F96"/>
    <w:rsid w:val="41AD023F"/>
    <w:rsid w:val="41DB1250"/>
    <w:rsid w:val="41F8595E"/>
    <w:rsid w:val="422E5823"/>
    <w:rsid w:val="43C318BF"/>
    <w:rsid w:val="43FD725B"/>
    <w:rsid w:val="44507CD3"/>
    <w:rsid w:val="45120AE5"/>
    <w:rsid w:val="45533627"/>
    <w:rsid w:val="45966E3A"/>
    <w:rsid w:val="45A91659"/>
    <w:rsid w:val="45AD6A5F"/>
    <w:rsid w:val="45E5397D"/>
    <w:rsid w:val="463206CA"/>
    <w:rsid w:val="47C36A0E"/>
    <w:rsid w:val="48B0455C"/>
    <w:rsid w:val="48F549A5"/>
    <w:rsid w:val="49105C83"/>
    <w:rsid w:val="4A3E412A"/>
    <w:rsid w:val="4AC16991"/>
    <w:rsid w:val="4ACA1E61"/>
    <w:rsid w:val="4AF04227"/>
    <w:rsid w:val="4B850135"/>
    <w:rsid w:val="4B977DEB"/>
    <w:rsid w:val="4BD05255"/>
    <w:rsid w:val="4C331E97"/>
    <w:rsid w:val="4C46376A"/>
    <w:rsid w:val="4C465518"/>
    <w:rsid w:val="4C505F95"/>
    <w:rsid w:val="4D4B1038"/>
    <w:rsid w:val="4F6E725F"/>
    <w:rsid w:val="50175FC5"/>
    <w:rsid w:val="50795EBC"/>
    <w:rsid w:val="50964CC0"/>
    <w:rsid w:val="509E1DC6"/>
    <w:rsid w:val="5160707C"/>
    <w:rsid w:val="51676C37"/>
    <w:rsid w:val="51B178D7"/>
    <w:rsid w:val="51ED53F0"/>
    <w:rsid w:val="51FE74BA"/>
    <w:rsid w:val="53C438F2"/>
    <w:rsid w:val="547C241E"/>
    <w:rsid w:val="54D65651"/>
    <w:rsid w:val="54F2623D"/>
    <w:rsid w:val="5591373D"/>
    <w:rsid w:val="56116B96"/>
    <w:rsid w:val="56680EAC"/>
    <w:rsid w:val="57A53A3A"/>
    <w:rsid w:val="583B7EFB"/>
    <w:rsid w:val="585D2567"/>
    <w:rsid w:val="59B83EF9"/>
    <w:rsid w:val="5A025174"/>
    <w:rsid w:val="5ACB7C5C"/>
    <w:rsid w:val="5BEC62F7"/>
    <w:rsid w:val="5CAE15E3"/>
    <w:rsid w:val="5D9441D2"/>
    <w:rsid w:val="5DF254FF"/>
    <w:rsid w:val="5E5F0DE7"/>
    <w:rsid w:val="600A6B30"/>
    <w:rsid w:val="61AD1BC1"/>
    <w:rsid w:val="620F48D2"/>
    <w:rsid w:val="626F711E"/>
    <w:rsid w:val="62816E52"/>
    <w:rsid w:val="62A82630"/>
    <w:rsid w:val="630006BE"/>
    <w:rsid w:val="63DF02D4"/>
    <w:rsid w:val="64485E79"/>
    <w:rsid w:val="64CE2822"/>
    <w:rsid w:val="659D21F5"/>
    <w:rsid w:val="65C729A5"/>
    <w:rsid w:val="6764121C"/>
    <w:rsid w:val="679B2764"/>
    <w:rsid w:val="68B65AA7"/>
    <w:rsid w:val="68FB5B84"/>
    <w:rsid w:val="6B8A5576"/>
    <w:rsid w:val="6BEE5558"/>
    <w:rsid w:val="6D437B25"/>
    <w:rsid w:val="6D8F2D6B"/>
    <w:rsid w:val="6DAA54AF"/>
    <w:rsid w:val="6F742218"/>
    <w:rsid w:val="70497201"/>
    <w:rsid w:val="70EC24B1"/>
    <w:rsid w:val="714803EF"/>
    <w:rsid w:val="714D0F73"/>
    <w:rsid w:val="72457E9C"/>
    <w:rsid w:val="72BB015E"/>
    <w:rsid w:val="7356678C"/>
    <w:rsid w:val="73764714"/>
    <w:rsid w:val="743B50B2"/>
    <w:rsid w:val="748344DC"/>
    <w:rsid w:val="749D7B1B"/>
    <w:rsid w:val="74B861AA"/>
    <w:rsid w:val="75134281"/>
    <w:rsid w:val="75B94177"/>
    <w:rsid w:val="75EB40EE"/>
    <w:rsid w:val="76E64F59"/>
    <w:rsid w:val="78341EC3"/>
    <w:rsid w:val="786F17CF"/>
    <w:rsid w:val="79167E9C"/>
    <w:rsid w:val="79A731EA"/>
    <w:rsid w:val="79B63345"/>
    <w:rsid w:val="7A487219"/>
    <w:rsid w:val="7D3D00ED"/>
    <w:rsid w:val="9F6F1DBA"/>
    <w:rsid w:val="BF5E05AE"/>
    <w:rsid w:val="F57D0D25"/>
    <w:rsid w:val="F677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行距: 1.5 倍行距"/>
    <w:basedOn w:val="5"/>
    <w:next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  <w:sz w:val="24"/>
    </w:rPr>
  </w:style>
  <w:style w:type="paragraph" w:customStyle="1" w:styleId="5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caption"/>
    <w:basedOn w:val="1"/>
    <w:next w:val="1"/>
    <w:qFormat/>
    <w:uiPriority w:val="0"/>
    <w:pPr>
      <w:keepNext/>
      <w:spacing w:before="152" w:after="160"/>
      <w:ind w:firstLine="240" w:firstLineChars="100"/>
      <w:jc w:val="center"/>
    </w:pPr>
    <w:rPr>
      <w:rFonts w:ascii="Arial" w:hAnsi="Arial" w:eastAsia="黑体" w:cs="Arial"/>
      <w:sz w:val="24"/>
      <w:u w:val="double"/>
    </w:rPr>
  </w:style>
  <w:style w:type="paragraph" w:styleId="9">
    <w:name w:val="annotation text"/>
    <w:basedOn w:val="1"/>
    <w:semiHidden/>
    <w:qFormat/>
    <w:uiPriority w:val="0"/>
    <w:pPr>
      <w:jc w:val="left"/>
    </w:pPr>
  </w:style>
  <w:style w:type="paragraph" w:styleId="10">
    <w:name w:val="Body Text"/>
    <w:basedOn w:val="1"/>
    <w:next w:val="11"/>
    <w:qFormat/>
    <w:uiPriority w:val="0"/>
    <w:pPr>
      <w:spacing w:after="120" w:afterLines="0"/>
    </w:pPr>
  </w:style>
  <w:style w:type="paragraph" w:customStyle="1" w:styleId="11">
    <w:name w:val="Date1"/>
    <w:basedOn w:val="1"/>
    <w:next w:val="1"/>
    <w:qFormat/>
    <w:uiPriority w:val="0"/>
    <w:rPr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next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UserStyle_8"/>
    <w:basedOn w:val="15"/>
    <w:qFormat/>
    <w:uiPriority w:val="0"/>
    <w:pPr>
      <w:spacing w:line="240" w:lineRule="auto"/>
      <w:ind w:right="-140" w:rightChars="-50" w:firstLine="1653" w:firstLineChars="588"/>
      <w:jc w:val="both"/>
      <w:textAlignment w:val="baseline"/>
    </w:pPr>
    <w:rPr>
      <w:rFonts w:ascii="宋体" w:hAnsi="Tms Rmn" w:cs="Times New Roman"/>
      <w:b/>
      <w:bCs/>
      <w:kern w:val="0"/>
      <w:sz w:val="28"/>
      <w:szCs w:val="20"/>
      <w:lang w:val="en-US" w:eastAsia="zh-CN" w:bidi="ar-SA"/>
    </w:rPr>
  </w:style>
  <w:style w:type="paragraph" w:customStyle="1" w:styleId="15">
    <w:name w:val="UserStyle_9"/>
    <w:basedOn w:val="1"/>
    <w:next w:val="1"/>
    <w:qFormat/>
    <w:uiPriority w:val="0"/>
    <w:pPr>
      <w:spacing w:line="480" w:lineRule="atLeast"/>
      <w:jc w:val="both"/>
      <w:textAlignment w:val="baseline"/>
    </w:pPr>
    <w:rPr>
      <w:rFonts w:ascii="宋体" w:hAnsi="Tms Rmn"/>
      <w:kern w:val="0"/>
      <w:sz w:val="28"/>
      <w:szCs w:val="20"/>
      <w:lang w:val="en-US" w:eastAsia="zh-CN" w:bidi="ar-SA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Cs w:val="21"/>
    </w:rPr>
  </w:style>
  <w:style w:type="paragraph" w:styleId="17">
    <w:name w:val="Body Text First Indent"/>
    <w:basedOn w:val="10"/>
    <w:next w:val="1"/>
    <w:qFormat/>
    <w:uiPriority w:val="0"/>
    <w:pPr>
      <w:widowControl w:val="0"/>
      <w:snapToGrid/>
      <w:spacing w:before="0" w:after="120" w:line="240" w:lineRule="auto"/>
      <w:ind w:right="0" w:firstLine="420" w:firstLineChars="100"/>
    </w:pPr>
    <w:rPr>
      <w:rFonts w:ascii="Times New Roman" w:hAnsi="Times New Roman" w:eastAsia="宋体"/>
      <w:kern w:val="2"/>
      <w:sz w:val="21"/>
      <w:szCs w:val="24"/>
    </w:rPr>
  </w:style>
  <w:style w:type="character" w:styleId="20">
    <w:name w:val="page number"/>
    <w:basedOn w:val="19"/>
    <w:qFormat/>
    <w:uiPriority w:val="0"/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qFormat/>
    <w:uiPriority w:val="0"/>
    <w:rPr>
      <w:sz w:val="21"/>
    </w:rPr>
  </w:style>
  <w:style w:type="paragraph" w:customStyle="1" w:styleId="23">
    <w:name w:val="Default"/>
    <w:basedOn w:val="24"/>
    <w:next w:val="25"/>
    <w:qFormat/>
    <w:uiPriority w:val="0"/>
    <w:pPr>
      <w:widowControl w:val="0"/>
      <w:autoSpaceDE w:val="0"/>
      <w:autoSpaceDN w:val="0"/>
      <w:adjustRightInd w:val="0"/>
    </w:pPr>
    <w:rPr>
      <w:rFonts w:ascii="方正仿宋_GB2312" w:hAnsi="Times New Roman" w:eastAsia="方正仿宋_GB2312" w:cs="方正仿宋_GB2312"/>
      <w:color w:val="000000"/>
      <w:sz w:val="24"/>
      <w:szCs w:val="24"/>
      <w:lang w:val="en-US" w:eastAsia="zh-CN" w:bidi="ar-SA"/>
    </w:rPr>
  </w:style>
  <w:style w:type="paragraph" w:customStyle="1" w:styleId="24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方正仿宋_GB2312" w:cs="Calibri"/>
      <w:b/>
      <w:kern w:val="2"/>
      <w:sz w:val="28"/>
      <w:szCs w:val="24"/>
      <w:lang w:val="en-US" w:eastAsia="zh-CN" w:bidi="ar-SA"/>
    </w:rPr>
  </w:style>
  <w:style w:type="paragraph" w:customStyle="1" w:styleId="25">
    <w:name w:val="样式35"/>
    <w:basedOn w:val="1"/>
    <w:next w:val="1"/>
    <w:qFormat/>
    <w:uiPriority w:val="0"/>
    <w:pPr>
      <w:spacing w:line="312" w:lineRule="auto"/>
      <w:ind w:firstLine="567"/>
    </w:pPr>
    <w:rPr>
      <w:rFonts w:ascii="宋体"/>
      <w:sz w:val="28"/>
    </w:rPr>
  </w:style>
  <w:style w:type="paragraph" w:customStyle="1" w:styleId="26">
    <w:name w:val="正文首行缩进 21"/>
    <w:basedOn w:val="27"/>
    <w:next w:val="1"/>
    <w:qFormat/>
    <w:uiPriority w:val="0"/>
    <w:pPr>
      <w:widowControl/>
      <w:ind w:firstLine="420" w:firstLineChars="200"/>
      <w:jc w:val="left"/>
    </w:pPr>
  </w:style>
  <w:style w:type="paragraph" w:customStyle="1" w:styleId="27">
    <w:name w:val="正文文本缩进1"/>
    <w:basedOn w:val="1"/>
    <w:next w:val="8"/>
    <w:qFormat/>
    <w:uiPriority w:val="0"/>
    <w:pPr>
      <w:spacing w:after="120"/>
      <w:ind w:left="420" w:leftChars="200"/>
    </w:pPr>
    <w:rPr>
      <w:rFonts w:hint="eastAsia"/>
    </w:rPr>
  </w:style>
  <w:style w:type="paragraph" w:customStyle="1" w:styleId="28">
    <w:name w:val="报告书正文样式1"/>
    <w:basedOn w:val="29"/>
    <w:qFormat/>
    <w:uiPriority w:val="0"/>
    <w:pPr>
      <w:spacing w:line="360" w:lineRule="auto"/>
    </w:pPr>
    <w:rPr>
      <w:rFonts w:ascii="Arial" w:hAnsi="Arial" w:cs="Arial"/>
      <w:szCs w:val="24"/>
    </w:rPr>
  </w:style>
  <w:style w:type="paragraph" w:customStyle="1" w:styleId="29">
    <w:name w:val="报告书正文"/>
    <w:basedOn w:val="1"/>
    <w:qFormat/>
    <w:uiPriority w:val="0"/>
    <w:pPr>
      <w:adjustRightInd w:val="0"/>
      <w:snapToGrid w:val="0"/>
      <w:spacing w:line="360" w:lineRule="atLeast"/>
      <w:ind w:firstLine="425"/>
      <w:textAlignment w:val="baseline"/>
    </w:pPr>
    <w:rPr>
      <w:rFonts w:ascii="Times New Roman" w:hAnsi="Times New Roman"/>
      <w:sz w:val="24"/>
      <w:szCs w:val="20"/>
    </w:rPr>
  </w:style>
  <w:style w:type="character" w:customStyle="1" w:styleId="30">
    <w:name w:val="NormalCharacter"/>
    <w:qFormat/>
    <w:uiPriority w:val="0"/>
    <w:rPr>
      <w:kern w:val="2"/>
      <w:sz w:val="32"/>
      <w:szCs w:val="32"/>
      <w:lang w:val="en-US" w:eastAsia="zh-CN" w:bidi="ar-SA"/>
    </w:rPr>
  </w:style>
  <w:style w:type="paragraph" w:customStyle="1" w:styleId="31">
    <w:name w:val="表内本"/>
    <w:basedOn w:val="1"/>
    <w:qFormat/>
    <w:uiPriority w:val="0"/>
    <w:pPr>
      <w:widowControl/>
      <w:adjustRightInd w:val="0"/>
      <w:spacing w:line="240" w:lineRule="atLeast"/>
      <w:jc w:val="center"/>
      <w:textAlignment w:val="baseline"/>
    </w:pPr>
    <w:rPr>
      <w:color w:val="000000"/>
      <w:kern w:val="0"/>
      <w:szCs w:val="21"/>
    </w:rPr>
  </w:style>
  <w:style w:type="paragraph" w:customStyle="1" w:styleId="32">
    <w:name w:val="li_正文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宋体" w:hAnsi="Calibri"/>
      <w:sz w:val="24"/>
      <w:szCs w:val="28"/>
    </w:rPr>
  </w:style>
  <w:style w:type="paragraph" w:customStyle="1" w:styleId="33">
    <w:name w:val="Char"/>
    <w:basedOn w:val="1"/>
    <w:qFormat/>
    <w:uiPriority w:val="0"/>
    <w:rPr>
      <w:rFonts w:ascii="Tahoma" w:hAnsi="Tahoma"/>
      <w:sz w:val="24"/>
    </w:rPr>
  </w:style>
  <w:style w:type="character" w:customStyle="1" w:styleId="34">
    <w:name w:val="fontstyle01"/>
    <w:qFormat/>
    <w:uiPriority w:val="0"/>
    <w:rPr>
      <w:rFonts w:ascii="华文中宋" w:hAnsi="华文中宋" w:eastAsia="华文中宋" w:cs="华文中宋"/>
      <w:color w:val="000000"/>
      <w:sz w:val="32"/>
      <w:szCs w:val="32"/>
    </w:rPr>
  </w:style>
  <w:style w:type="paragraph" w:customStyle="1" w:styleId="35">
    <w:name w:val="LL1860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ascii="Times New Roman" w:hAnsi="Times New Roman"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2704</Words>
  <Characters>2948</Characters>
  <Lines>0</Lines>
  <Paragraphs>0</Paragraphs>
  <TotalTime>2</TotalTime>
  <ScaleCrop>false</ScaleCrop>
  <LinksUpToDate>false</LinksUpToDate>
  <CharactersWithSpaces>2980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2023-02-24T01:52:00Z</dcterms:created>
  <dc:creator>梁靚小靚</dc:creator>
  <cp:lastModifiedBy>icy</cp:lastModifiedBy>
  <cp:lastPrinted>2024-04-11T01:38:00Z</cp:lastPrinted>
  <dcterms:modified xsi:type="dcterms:W3CDTF">2024-10-14T08:28:54Z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43D6EB2470A04C05AF5F4AE651BDD8E9</vt:lpwstr>
  </property>
</Properties>
</file>