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 w14:paraId="7C9CC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47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号</w:t>
      </w:r>
    </w:p>
    <w:p w14:paraId="7D09DD1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 w14:paraId="04255EC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 w14:paraId="7623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枣庄市生态环境局</w:t>
      </w:r>
    </w:p>
    <w:p w14:paraId="5A4FD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关于枣庄</w:t>
      </w:r>
      <w:r>
        <w:rPr>
          <w:rFonts w:hint="eastAsia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东恒建材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年产30万吨水稳拌合项目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环境影响报告</w:t>
      </w:r>
      <w:r>
        <w:rPr>
          <w:rFonts w:hint="eastAsia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表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的批复</w:t>
      </w:r>
    </w:p>
    <w:p w14:paraId="31FFB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auto"/>
        </w:rPr>
      </w:pPr>
    </w:p>
    <w:p w14:paraId="133C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枣庄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东恒建材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有限公司： </w:t>
      </w:r>
    </w:p>
    <w:p w14:paraId="3FDF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你公司报送的《枣庄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东恒建材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年产30万吨水稳拌合项目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环境影响报告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》收悉。经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研究，批复如下：</w:t>
      </w:r>
    </w:p>
    <w:p w14:paraId="751D951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项目属于新建，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山东省枣庄市台儿庄区马兰屯镇顿庄村西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马兰屯镇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工业集聚区内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项目建成后产能为年产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水稳料30万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。主要建设内容为：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主体工程（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生产车间1座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）、储运（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2座粉料筒仓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）、公用工程及环保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搅拌机、粉料筒仓、脉冲除尘器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等设备。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项目总投资260万元，其中环保投资30万元。</w:t>
      </w:r>
    </w:p>
    <w:p w14:paraId="337B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根据报告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结论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从环境保护角度分析，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我局原则同意你公司报告表所列建设项目的地点、工艺、规模和环境保护对策措施。</w:t>
      </w:r>
    </w:p>
    <w:p w14:paraId="3847C261">
      <w:pPr>
        <w:pStyle w:val="18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项目设计、建设和运行管理中应重点做好以下工作 </w:t>
      </w:r>
    </w:p>
    <w:p w14:paraId="0182DB68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（一）加强施工环境管理。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《山东省扬尘污染综合整治方案》（鲁环发〔2019〕112号）</w:t>
      </w:r>
      <w:r>
        <w:rPr>
          <w:rFonts w:ascii="Times New Roman" w:hAnsi="Times New Roman" w:eastAsia="仿宋_GB2312"/>
          <w:color w:val="auto"/>
          <w:sz w:val="32"/>
        </w:rPr>
        <w:t>《枣庄市市直部门大气污染治理技术导则》等文件要求，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严格制定扬尘防治方案，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落实扬尘治理措施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将扬尘影响降至最小。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生活污水和工程废水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经沉淀池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沉淀后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zh-CN"/>
        </w:rPr>
        <w:t>施工机械和车辆须</w:t>
      </w:r>
      <w:r>
        <w:rPr>
          <w:rFonts w:hint="default" w:ascii="Times New Roman" w:hAnsi="Times New Roman" w:eastAsia="仿宋_GB2312" w:cs="仿宋_GB2312"/>
          <w:bCs w:val="0"/>
          <w:sz w:val="32"/>
          <w:szCs w:val="32"/>
        </w:rPr>
        <w:t>执行环保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仿宋_GB2312"/>
          <w:bCs w:val="0"/>
          <w:sz w:val="32"/>
          <w:szCs w:val="32"/>
        </w:rPr>
        <w:t>及排放等要求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机械和车辆冲洗废水用容器收集或建小型隔油池进行处理。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加强施工期噪声管理，合理安排施工时间。施工过程中产生的建筑垃圾定点堆放，并及时清运处理。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建设期间严格落实安全生产要求，严禁违规作业。</w:t>
      </w:r>
    </w:p>
    <w:p w14:paraId="11B1C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（二）强化大气污染防治措施。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上料、搅拌工序废气经收集处理后通过15米高排气筒DA001排放。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颗粒物有组织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排放浓度须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《建材工业大气污染物排放标准》（DB 37/2373—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2018）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表2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其他建材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重点控制区排放限值要求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有组织颗粒物排放速率执行《大气污染物综合排放标准》（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GB16297-1996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。</w:t>
      </w:r>
    </w:p>
    <w:p w14:paraId="36165573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无组织排放措施。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砂石料卸料粉尘通过车间封闭、控制投料高度、喷雾抑尘等措施处理后在原料车间内无组织排放。粉料筒仓设置在全密闭车间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每套料仓顶部均配备滤芯除尘器，设备在全负压状态下运行，进料粉尘经处理后沉降回原料罐，未被处理颗粒物通过呼吸口无组织排放。物料投料输送、搅拌工序通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过密闭廊道内的皮带输送机输送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主要道路和搅拌区硬化，配备洒水车定期洒水抑尘；厂区设置洗车平台，对进出车辆进行清洗。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颗粒物无组织排放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须达到《建材工业大气污染物排放标准》（DB 37/2373—2018）表3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厂界无组织排放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浓度限值要求。</w:t>
      </w:r>
    </w:p>
    <w:p w14:paraId="7A3D97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严格落实水污染防治措施。按照“雨污分流、清污分流、污污分流”原则完善厂区排水系统。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生产混料用水全部进入产品；喷淋降尘用水全部蒸发损耗或进入产品中；搅拌设备冲洗废水、车辆冲洗水经沉淀处理后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回用，生产废水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外排。生活污水经化粪池处理后由环卫部门定期清运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386B51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（四）严格落实土壤和地下水污染防治措施。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按照“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源头防控、分区防治、污染监控、应急响应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原则进行地下水污染防治，</w:t>
      </w:r>
      <w:r>
        <w:rPr>
          <w:rStyle w:val="20"/>
          <w:rFonts w:hint="default" w:ascii="Times New Roman" w:hAnsi="Times New Roman" w:eastAsia="仿宋_GB2312" w:cs="Times New Roman"/>
          <w:color w:val="auto"/>
          <w:sz w:val="32"/>
          <w:szCs w:val="32"/>
        </w:rPr>
        <w:t>强化厂区</w:t>
      </w:r>
      <w:r>
        <w:rPr>
          <w:rStyle w:val="20"/>
          <w:rFonts w:hint="eastAsia" w:ascii="Times New Roman" w:hAnsi="Times New Roman" w:eastAsia="仿宋_GB2312" w:cs="Times New Roman"/>
          <w:color w:val="auto"/>
          <w:sz w:val="32"/>
          <w:szCs w:val="32"/>
        </w:rPr>
        <w:t>防渗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做好化粪池、沉淀池、危废间的重点防渗措施，杜绝污水及泄漏物料的跑、冒、滴、漏，并在日常管理中加强设施维护。及时启动应急预案和应急措施，应对土壤或地下水污染。</w:t>
      </w:r>
    </w:p>
    <w:p w14:paraId="06EC57C2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（五）严格落实噪声污染防治措施。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采用减振、厂房隔声、优化运输路线、进出车辆低速行驶等措施，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厂界噪声须符合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《工业企业厂界环境噪声排放标准》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2类功能区的要求。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</w:t>
      </w:r>
      <w:r>
        <w:rPr>
          <w:rFonts w:ascii="Times New Roman" w:hAnsi="Times New Roman" w:eastAsia="仿宋_GB2312" w:cs="仿宋_GB2312"/>
          <w:sz w:val="32"/>
          <w:szCs w:val="32"/>
        </w:rPr>
        <w:t>该项目200m范围内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ascii="Times New Roman" w:hAnsi="Times New Roman" w:eastAsia="仿宋_GB2312" w:cs="仿宋_GB2312"/>
          <w:sz w:val="32"/>
          <w:szCs w:val="32"/>
        </w:rPr>
        <w:t>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庄</w:t>
      </w:r>
      <w:r>
        <w:rPr>
          <w:rFonts w:ascii="Times New Roman" w:hAnsi="Times New Roman" w:eastAsia="仿宋_GB2312" w:cs="仿宋_GB2312"/>
          <w:sz w:val="32"/>
          <w:szCs w:val="32"/>
        </w:rPr>
        <w:t>村（距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</w:t>
      </w:r>
      <w:r>
        <w:rPr>
          <w:rFonts w:ascii="Times New Roman" w:hAnsi="Times New Roman" w:eastAsia="仿宋_GB2312" w:cs="仿宋_GB2312"/>
          <w:sz w:val="32"/>
          <w:szCs w:val="32"/>
        </w:rPr>
        <w:t>厂界1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仿宋_GB2312"/>
          <w:sz w:val="32"/>
          <w:szCs w:val="32"/>
        </w:rPr>
        <w:t>m）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实施噪声动态监测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根据结果采取噪声屏障等措施，</w:t>
      </w:r>
      <w:r>
        <w:rPr>
          <w:rFonts w:ascii="Times New Roman" w:hAnsi="Times New Roman" w:eastAsia="仿宋_GB2312" w:cs="仿宋_GB2312"/>
          <w:sz w:val="32"/>
          <w:szCs w:val="32"/>
        </w:rPr>
        <w:t>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庄</w:t>
      </w:r>
      <w:r>
        <w:rPr>
          <w:rFonts w:ascii="Times New Roman" w:hAnsi="Times New Roman" w:eastAsia="仿宋_GB2312" w:cs="仿宋_GB2312"/>
          <w:sz w:val="32"/>
          <w:szCs w:val="32"/>
        </w:rPr>
        <w:t>村声环境质量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须达到</w:t>
      </w:r>
      <w:r>
        <w:rPr>
          <w:rFonts w:ascii="Times New Roman" w:hAnsi="Times New Roman" w:eastAsia="仿宋_GB2312" w:cs="仿宋_GB2312"/>
          <w:sz w:val="32"/>
          <w:szCs w:val="32"/>
        </w:rPr>
        <w:t>《声环境质量标准》（GB3096-2008）的2类标准要求。</w:t>
      </w:r>
    </w:p>
    <w:p w14:paraId="504FB26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严格落实固体废物分类处置措施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除尘器收集粉尘、沉淀池沉渣清出后回用于生产。废除尘布袋、废滤芯及生活垃圾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环卫部门定期清运处置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。废矿物油与废油桶在危废间暂存后，定期委托有资质单位处置。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一般固体废物处置参照《中华人民共和国固体废物污染环境防治法》相关的要求；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危险废物的收集、贮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存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和转运环节严格按照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</w:rPr>
        <w:t>《危险废物收集、贮存、运输技术规范》（HJ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</w:rPr>
        <w:t>2025-2012）以及《危险废物贮存污染控制标准》（GB18597-2023）的相关要求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。</w:t>
      </w:r>
    </w:p>
    <w:p w14:paraId="48CD070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（七）健全环境管理制度。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按照国家和地方有关规定，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规范废气治理设施标志牌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，标示治理工艺流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程图。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</w:rPr>
        <w:t>落实环评文件提出的环境管理及监测计划。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排气筒设置永久性采样平台和监测孔。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</w:rPr>
        <w:t>环保设备安装“分表计电”智能控制系统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，并与生态环境部门联网。配置符合要求的β射线法PM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vertAlign w:val="subscript"/>
          <w:lang w:eastAsia="zh-CN"/>
        </w:rPr>
        <w:t>10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扬尘监测设备，确保设备正常运行和数据正常上传。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运输车辆须达到国五以上排放标准（或为新能源运输车），运输物料不得超出运输车辆封闭箱体。非道路移动机械全部达到国三及以上排放标准或使用新能源机械。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参照《重污染天气重点行业移动源应急管理技术指南》建立门禁系统和电子台账，门禁系统监控数据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highlight w:val="none"/>
          <w:lang w:val="zh-CN"/>
        </w:rPr>
        <w:t>按要求与生态环境部门联网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</w:p>
    <w:p w14:paraId="5C0BF0CE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）强化环境风险防范和应急措施。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强化环境风险防范和应急措施。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制定突发环境事件应急预案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枣庄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市生态环境局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台儿庄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分局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备案。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配备必要的事故防范应急设施、设备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并演练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highlight w:val="none"/>
          <w:lang w:eastAsia="zh-CN"/>
        </w:rPr>
        <w:t>自觉履行安全生产法定职责，健全内部管理责任制度，严格依据标准规范建设环保设施和项目，符合安全生产、事故防范的相关规定。</w:t>
      </w:r>
    </w:p>
    <w:p w14:paraId="34524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该项目运营后，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颗粒物有组织排放总量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应控制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0.049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t/a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0D44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</w:t>
      </w:r>
      <w:r>
        <w:rPr>
          <w:rStyle w:val="20"/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</w:t>
      </w:r>
    </w:p>
    <w:p w14:paraId="21BD063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三、你公司必须严格执行配套建设的环境保护设施与主体项目同时设计、同时施工、同时投入使用的“三同时”制度，落实各项环境保护措施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项目建成后，须按规定程序实施竣工环境保护验收。</w:t>
      </w:r>
    </w:p>
    <w:p w14:paraId="724DDFF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四、环境影响报告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经批准后，项目的性质、规模、地点、生产工艺或者防治污染、防止生态破坏的措施发生重大变动的，应当重新报批该项目的环境影响报告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。自环境影响报告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批复文件批准之日起，如超过5年项目才开工的，应当在开工前将环境影响报告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报批重新审核。如根据法律法规等相关规定需要进行更严格要求的，实行从严管理。 </w:t>
      </w:r>
    </w:p>
    <w:p w14:paraId="4E396B1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五、由枣庄市生态环境保护综合执法支队和枣庄市生态环境局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台儿庄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分局负责该项目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的“三同时”监督检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查和日常管理工作。 </w:t>
      </w:r>
    </w:p>
    <w:p w14:paraId="02BFF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六、你公司应在接到本批复后10个工作日内，将批准后的环境影响报告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送枣庄市生态环境局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台儿庄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分局，并按规定接受各级生态环境部门的监督检查。 </w:t>
      </w:r>
    </w:p>
    <w:p w14:paraId="331128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七、如有符合《中华人民共和国行政许可法》第七十八条“行政许可申请人隐瞒有关情况或者提供虚假材料申请行政许可，行政机关应不予受理或者不予行政许可情形”或不符合相关法律法规规定要求的，本批复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自始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自然作废。</w:t>
      </w:r>
    </w:p>
    <w:p w14:paraId="26EE2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33DC1DF"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ind w:left="0" w:leftChars="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5C944DA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left="0" w:leftChars="0"/>
        <w:rPr>
          <w:rFonts w:hint="eastAsia"/>
        </w:rPr>
      </w:pPr>
    </w:p>
    <w:p w14:paraId="222465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right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655E0B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28A95ED3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F1D4381">
      <w:pPr>
        <w:rPr>
          <w:rFonts w:hint="default"/>
          <w:lang w:val="en-US" w:eastAsia="zh-CN"/>
        </w:rPr>
      </w:pPr>
    </w:p>
    <w:p w14:paraId="0ECDF525">
      <w:pPr>
        <w:pStyle w:val="2"/>
        <w:rPr>
          <w:rFonts w:hint="default"/>
          <w:lang w:val="en-US" w:eastAsia="zh-CN"/>
        </w:rPr>
      </w:pPr>
    </w:p>
    <w:p w14:paraId="6BEDAA68">
      <w:pPr>
        <w:rPr>
          <w:rFonts w:hint="default"/>
          <w:lang w:val="en-US" w:eastAsia="zh-CN"/>
        </w:rPr>
      </w:pPr>
    </w:p>
    <w:p w14:paraId="295F7A4B">
      <w:pPr>
        <w:pStyle w:val="2"/>
        <w:rPr>
          <w:rFonts w:hint="default"/>
          <w:lang w:val="en-US" w:eastAsia="zh-CN"/>
        </w:rPr>
      </w:pPr>
    </w:p>
    <w:p w14:paraId="1D01D049">
      <w:pPr>
        <w:rPr>
          <w:rFonts w:hint="default"/>
          <w:lang w:val="en-US" w:eastAsia="zh-CN"/>
        </w:rPr>
      </w:pPr>
    </w:p>
    <w:p w14:paraId="77A75416">
      <w:pPr>
        <w:pStyle w:val="2"/>
        <w:rPr>
          <w:rFonts w:hint="default"/>
          <w:lang w:val="en-US" w:eastAsia="zh-CN"/>
        </w:rPr>
      </w:pPr>
    </w:p>
    <w:p w14:paraId="7DCE9E92">
      <w:pPr>
        <w:rPr>
          <w:rFonts w:hint="default"/>
          <w:lang w:val="en-US" w:eastAsia="zh-CN"/>
        </w:rPr>
      </w:pPr>
    </w:p>
    <w:p w14:paraId="5D39A208">
      <w:pPr>
        <w:pStyle w:val="2"/>
        <w:rPr>
          <w:rFonts w:hint="default"/>
          <w:lang w:val="en-US" w:eastAsia="zh-CN"/>
        </w:rPr>
      </w:pPr>
    </w:p>
    <w:p w14:paraId="0F849E68">
      <w:pPr>
        <w:rPr>
          <w:rFonts w:hint="default"/>
          <w:lang w:val="en-US" w:eastAsia="zh-CN"/>
        </w:rPr>
      </w:pPr>
    </w:p>
    <w:p w14:paraId="7D30C20F">
      <w:pPr>
        <w:pStyle w:val="2"/>
        <w:rPr>
          <w:rFonts w:hint="default"/>
          <w:lang w:val="en-US" w:eastAsia="zh-CN"/>
        </w:rPr>
      </w:pPr>
    </w:p>
    <w:p w14:paraId="60D1C5F7">
      <w:pPr>
        <w:rPr>
          <w:rFonts w:hint="default"/>
          <w:lang w:val="en-US" w:eastAsia="zh-CN"/>
        </w:rPr>
      </w:pPr>
    </w:p>
    <w:p w14:paraId="206041A1">
      <w:pPr>
        <w:pStyle w:val="2"/>
        <w:rPr>
          <w:rFonts w:hint="default"/>
          <w:lang w:val="en-US" w:eastAsia="zh-CN"/>
        </w:rPr>
      </w:pPr>
    </w:p>
    <w:p w14:paraId="3CB4EE43">
      <w:pPr>
        <w:rPr>
          <w:rFonts w:hint="default"/>
          <w:lang w:val="en-US" w:eastAsia="zh-CN"/>
        </w:rPr>
      </w:pPr>
    </w:p>
    <w:p w14:paraId="15DD4553">
      <w:pPr>
        <w:rPr>
          <w:rFonts w:hint="default"/>
          <w:lang w:val="en-US" w:eastAsia="zh-CN"/>
        </w:rPr>
      </w:pPr>
    </w:p>
    <w:p w14:paraId="635F2BFA">
      <w:pPr>
        <w:pStyle w:val="2"/>
        <w:rPr>
          <w:rFonts w:hint="default"/>
          <w:lang w:val="en-US" w:eastAsia="zh-CN"/>
        </w:rPr>
      </w:pPr>
    </w:p>
    <w:p w14:paraId="3949AC0E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 w14:paraId="54F31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批复</w:t>
      </w:r>
    </w:p>
    <w:tbl>
      <w:tblPr>
        <w:tblStyle w:val="14"/>
        <w:tblW w:w="898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3E61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0" w:type="dxa"/>
            <w:tcBorders>
              <w:left w:val="nil"/>
              <w:right w:val="nil"/>
            </w:tcBorders>
            <w:noWrap w:val="0"/>
            <w:vAlign w:val="center"/>
          </w:tcPr>
          <w:p w14:paraId="25BA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抄送：枣庄市应急管理局</w:t>
            </w:r>
          </w:p>
        </w:tc>
      </w:tr>
    </w:tbl>
    <w:p w14:paraId="6BED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枣庄市生态环境局办公室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日印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发</w:t>
      </w:r>
    </w:p>
    <w:p w14:paraId="71A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电子批复领取指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南：</w:t>
      </w: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http://sthjj.zaozhuang.gov.cn/sthjyw/hpsp/xmsp/202205/t20220531_1442654.html</w:t>
      </w: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E5387C-0BCB-4BA6-8E87-9444EF1A4F38}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D39002-35F4-49D6-A640-A547898CCC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481499-0707-43C2-A91D-F8357E9369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349F59-2F18-4C6D-883B-F119D6AC62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ECC3A00-EA24-4AAE-B03C-6C4C59FF1DD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B55E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7FB08"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7FB08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F4181"/>
    <w:multiLevelType w:val="singleLevel"/>
    <w:tmpl w:val="EFEF418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zIwOTZhYmEyNjJkN2E5OGJlYmM2ODAyYWY3NjQifQ=="/>
    <w:docVar w:name="KSO_WPS_MARK_KEY" w:val="4ca284d7-89c1-4f22-9513-43414405fbef"/>
  </w:docVars>
  <w:rsids>
    <w:rsidRoot w:val="16FC0336"/>
    <w:rsid w:val="00B22BA0"/>
    <w:rsid w:val="01E925F2"/>
    <w:rsid w:val="02111B48"/>
    <w:rsid w:val="03913E39"/>
    <w:rsid w:val="044004C3"/>
    <w:rsid w:val="04E377CC"/>
    <w:rsid w:val="05E337FC"/>
    <w:rsid w:val="07C01947"/>
    <w:rsid w:val="0B8D3582"/>
    <w:rsid w:val="0D222E5C"/>
    <w:rsid w:val="0E72571D"/>
    <w:rsid w:val="16976668"/>
    <w:rsid w:val="16FC0336"/>
    <w:rsid w:val="194F4FD8"/>
    <w:rsid w:val="19D379B8"/>
    <w:rsid w:val="1B000825"/>
    <w:rsid w:val="1BAD248A"/>
    <w:rsid w:val="1C6E39C8"/>
    <w:rsid w:val="1D954F84"/>
    <w:rsid w:val="1E430E84"/>
    <w:rsid w:val="1F6E3CDF"/>
    <w:rsid w:val="1F775289"/>
    <w:rsid w:val="2201708C"/>
    <w:rsid w:val="25E826D5"/>
    <w:rsid w:val="27AE00C1"/>
    <w:rsid w:val="2A467D32"/>
    <w:rsid w:val="2BF03F9A"/>
    <w:rsid w:val="2D2557A2"/>
    <w:rsid w:val="2D687FBF"/>
    <w:rsid w:val="2FD16AE1"/>
    <w:rsid w:val="32BF4B25"/>
    <w:rsid w:val="33C00B55"/>
    <w:rsid w:val="37AC319E"/>
    <w:rsid w:val="3B9B3C58"/>
    <w:rsid w:val="3F5D194E"/>
    <w:rsid w:val="451340A4"/>
    <w:rsid w:val="452A22D2"/>
    <w:rsid w:val="45A32E70"/>
    <w:rsid w:val="46040260"/>
    <w:rsid w:val="46D1677D"/>
    <w:rsid w:val="482F19AD"/>
    <w:rsid w:val="487C42CB"/>
    <w:rsid w:val="49227764"/>
    <w:rsid w:val="4B3A6FE7"/>
    <w:rsid w:val="4CC748AA"/>
    <w:rsid w:val="4D6F624E"/>
    <w:rsid w:val="51400088"/>
    <w:rsid w:val="527903F5"/>
    <w:rsid w:val="529E0AB5"/>
    <w:rsid w:val="54DF6509"/>
    <w:rsid w:val="55B22F49"/>
    <w:rsid w:val="59220336"/>
    <w:rsid w:val="59747B68"/>
    <w:rsid w:val="5A581F37"/>
    <w:rsid w:val="5B12712D"/>
    <w:rsid w:val="5DCF1811"/>
    <w:rsid w:val="648844C8"/>
    <w:rsid w:val="67C972D1"/>
    <w:rsid w:val="6CAD71C1"/>
    <w:rsid w:val="6DC742B3"/>
    <w:rsid w:val="6E9F2B3A"/>
    <w:rsid w:val="6EE113A4"/>
    <w:rsid w:val="6F885CC3"/>
    <w:rsid w:val="6FE84DDB"/>
    <w:rsid w:val="70090BB2"/>
    <w:rsid w:val="70F74EAF"/>
    <w:rsid w:val="713003C1"/>
    <w:rsid w:val="715B3690"/>
    <w:rsid w:val="719144D4"/>
    <w:rsid w:val="72851D51"/>
    <w:rsid w:val="7A6B08D3"/>
    <w:rsid w:val="7A7C2BB6"/>
    <w:rsid w:val="7F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 w:afterLines="0"/>
    </w:pPr>
  </w:style>
  <w:style w:type="paragraph" w:customStyle="1" w:styleId="9">
    <w:name w:val="Date1"/>
    <w:basedOn w:val="1"/>
    <w:next w:val="1"/>
    <w:qFormat/>
    <w:uiPriority w:val="0"/>
    <w:rPr>
      <w:sz w:val="21"/>
      <w:szCs w:val="20"/>
    </w:rPr>
  </w:style>
  <w:style w:type="paragraph" w:styleId="10">
    <w:name w:val="endnote text"/>
    <w:basedOn w:val="1"/>
    <w:qFormat/>
    <w:uiPriority w:val="0"/>
    <w:pPr>
      <w:snapToGrid w:val="0"/>
      <w:jc w:val="left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13">
    <w:name w:val="Body Text First Indent"/>
    <w:basedOn w:val="8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6">
    <w:name w:val="样式5"/>
    <w:basedOn w:val="8"/>
    <w:next w:val="10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17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18">
    <w:name w:val="报告书正文样式1"/>
    <w:basedOn w:val="19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9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21">
    <w:name w:val="正文x"/>
    <w:basedOn w:val="1"/>
    <w:qFormat/>
    <w:uiPriority w:val="99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2735</Words>
  <Characters>2919</Characters>
  <Lines>0</Lines>
  <Paragraphs>0</Paragraphs>
  <TotalTime>65</TotalTime>
  <ScaleCrop>false</ScaleCrop>
  <LinksUpToDate>false</LinksUpToDate>
  <CharactersWithSpaces>2958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2024-04-28T10:58:00Z</dcterms:created>
  <dc:creator>1</dc:creator>
  <cp:lastModifiedBy>icy</cp:lastModifiedBy>
  <cp:lastPrinted>2024-07-05T10:00:00Z</cp:lastPrinted>
  <dcterms:modified xsi:type="dcterms:W3CDTF">2024-11-01T02:14:02Z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EEDFA4B0C17E410F858B920BC8FD2965_13</vt:lpwstr>
  </property>
</Properties>
</file>