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楷体" w:cs="Times New Roman"/>
          <w:w w:val="97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bidi="ar-SA"/>
        </w:rPr>
      </w:pP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bidi="ar-SA"/>
        </w:rPr>
        <w:t>枣环许可字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eastAsia="zh-CN" w:bidi="ar-SA"/>
        </w:rPr>
        <w:t>〔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bidi="ar-SA"/>
        </w:rPr>
        <w:t>202</w:t>
      </w:r>
      <w:r>
        <w:rPr>
          <w:rFonts w:hint="eastAsia" w:ascii="Times New Roman" w:hAnsi="Times New Roman" w:eastAsia="楷体" w:cs="Times New Roman"/>
          <w:color w:val="auto"/>
          <w:w w:val="97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eastAsia="zh-CN" w:bidi="ar-SA"/>
        </w:rPr>
        <w:t>〕</w:t>
      </w:r>
      <w:r>
        <w:rPr>
          <w:rFonts w:hint="eastAsia" w:ascii="Times New Roman" w:hAnsi="Times New Roman" w:eastAsia="楷体" w:cs="Times New Roman"/>
          <w:color w:val="auto"/>
          <w:w w:val="97"/>
          <w:sz w:val="32"/>
          <w:szCs w:val="32"/>
          <w:lang w:val="en-US" w:eastAsia="zh-CN" w:bidi="ar-SA"/>
        </w:rPr>
        <w:t>11</w:t>
      </w:r>
      <w:r>
        <w:rPr>
          <w:rFonts w:hint="default" w:ascii="Times New Roman" w:hAnsi="Times New Roman" w:eastAsia="楷体" w:cs="Times New Roman"/>
          <w:color w:val="auto"/>
          <w:w w:val="97"/>
          <w:sz w:val="32"/>
          <w:szCs w:val="32"/>
          <w:lang w:bidi="ar-SA"/>
        </w:rPr>
        <w:t>号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62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80" w:lineRule="exact"/>
        <w:jc w:val="center"/>
        <w:rPr>
          <w:rFonts w:hint="default" w:ascii="Times New Roman" w:hAnsi="Times New Roman" w:eastAsia="仿宋" w:cs="Times New Roman"/>
          <w:b/>
          <w:bCs/>
          <w:color w:val="000000"/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枣庄市生态环境局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滕州市华闳北区纸业有限公司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年产2万吨特种纸项目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环境影响报告书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rPr>
          <w:rFonts w:hint="default" w:ascii="Times New Roman" w:hAnsi="Times New Roman" w:eastAsia="仿宋_GB2312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滕州市华闳北区纸业有限公司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你公司报送的《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滕州市华闳北区纸业有限公司年产2万吨特种纸项目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环境影响报告书》收悉。经研究，批复如下：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afterLines="0" w:line="560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项目属于新建，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位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滕州市级索工业园区姚庄村西北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600m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处。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项目建成后产能为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特种纸2万吨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/年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主要建设内容为：以商品浆、白纸边为主要原料的年产特种纸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万吨的生产线一条，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造纸车间、制浆车间、联合仓库、成品仓库并配套其他公辅设施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环保治理设施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。项目投资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10072.85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万元，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其中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环保投资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eastAsia" w:ascii="Times New Roman" w:hAnsi="Times New Roman" w:eastAsia="仿宋_GB2312"/>
          <w:bCs/>
          <w:color w:val="auto"/>
          <w:sz w:val="32"/>
          <w:szCs w:val="32"/>
          <w:lang w:val="en-US" w:eastAsia="zh-CN"/>
        </w:rPr>
        <w:t>根据报告书内容，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在全面落实报告书提出的各项生态保护、污染防治及环境风险防范措施后，项目建设带来的不利环境影响可以得到有效的减免。从生态环境部门职责角度，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我局原则同意环境影响报告书中所列建设项目的地点、工艺和拟采取的环境保护措施。</w:t>
      </w:r>
    </w:p>
    <w:p>
      <w:pPr>
        <w:pStyle w:val="16"/>
        <w:keepNext w:val="0"/>
        <w:keepLines w:val="0"/>
        <w:pageBreakBefore w:val="0"/>
        <w:widowControl w:val="0"/>
        <w:tabs>
          <w:tab w:val="left" w:pos="303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项目设计、建设和运行管理中应重点做好以下工作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（一）加强施工环境管理。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落实《关于印发山东省扬尘污染综合整治方案的通知》（鲁环发〔2019〕112号）和《枣庄市生态环境保护委员会办公室关于印发&lt;枣庄市市直部门大气污染治理技术导则（精简版）&gt;的通知》（枣环委办字〔2023〕1号）建筑工地扬尘治理要求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工地扬尘防控须达到六个“百分之百”要求：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采取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作业场地围挡、围护、运输车辆密闭并冲洗、道路洒水抑尘等措施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重污染天气时按要求停止土方等产尘环节施工作业。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使用符合尾气排放要求的运输车辆和施工机械。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结构阶段混凝土养护排水以及各种车辆冲洗水经沉淀池处理后回用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eastAsia="zh-CN"/>
        </w:rPr>
        <w:t>，按要求处理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施工生活污水。建筑垃圾定点堆放做好防雨防尘，按城市建设主管部门的规定，运到指定地点妥善处置。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lang w:val="en-US" w:eastAsia="zh-CN"/>
        </w:rPr>
        <w:t>22:00-6:00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禁止高噪声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  <w:u w:val="none"/>
          <w:lang w:val="en-US" w:eastAsia="zh-CN"/>
        </w:rPr>
        <w:t>设备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  <w:highlight w:val="none"/>
        </w:rPr>
        <w:t>施工。施工完成后，尽快按厂区绿化方案恢复植被。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highlight w:val="none"/>
        </w:rPr>
        <w:t>建设期间严格落实安全生产要求，严禁违规作业。</w:t>
      </w:r>
    </w:p>
    <w:p>
      <w:pPr>
        <w:widowControl/>
        <w:adjustRightInd w:val="0"/>
        <w:spacing w:afterLines="0" w:line="560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（二）强化大气污染防治措施。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应急备用锅炉配备低氮燃烧器，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锅炉燃烧产生的烟气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高排气筒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（DA001）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排放，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二氧化硫、氮氧化物、颗粒物、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烟气黑度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排放须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达到《锅炉大气污染物排放标准》（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DB37/2374-2018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重点控制区标准限值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污水处理站废气密闭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收集经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活性炭吸附装置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处理后由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排气筒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(DA002）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排放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有组织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NH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H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S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、臭气浓度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须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达到《恶臭污染物排放标准》（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GB14554-93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）表2排放限值要求。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left="0" w:leftChars="0"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落实报告书提出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无组织排放措施。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粉状物料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密封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包装，原料仓库采取密闭管理，白水收集回用及水处理设施加盖运行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界无组织颗粒物须达到《大气污染物综合排放标准》（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GB16297-1996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）表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无组织排放监控浓度限值要求，厂界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NH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vertAlign w:val="subscript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H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S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、臭气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浓度须达到《恶臭污染物排放标准》（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GB14554-93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）表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二级厂界标准值。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snapToGrid/>
        <w:spacing w:afterLines="0" w:line="560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严格落实水污染防治措施。按照“雨污分流、清污分流、污污分流”原则完善厂区排水系统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设白水回用系统，网部白水、网部成型及真空脱水滤出的白水全部回收到白水回用系统储存，白水塔顶部溢流部分用于配浆、冲浆、净化除渣系统用水和碳酸钙配浆用水等，底部白水用于水力碎浆机碎浆。白水净化系统产生的净化白水用于网部洗网及网部水针用水。未能回用部分、浆渣脱水废水、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生产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废水、生活污水、锅炉排污水、锅炉软化水制备废水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地面清洁废水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等全部收集后排入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厂区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 w:color="FFFFFF" w:themeColor="background1"/>
          <w:lang w:val="en-US" w:eastAsia="zh-CN"/>
        </w:rPr>
        <w:t>200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m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vertAlign w:val="superscript"/>
          <w:lang w:eastAsia="zh-CN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/d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污水处理站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达到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《污水综合排放标准》（GB8978-1996）三级及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级索镇污水处理厂进水水质要求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，排入新建级索镇污水处理厂处理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新建级索镇污水处理厂未正常投运前，本项目不得生产。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执行《制浆造纸工业水污染物排放标准》（GB3544-2008）废纸制浆企业单位产品基准排水量不高于20吨/吨（浆）。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（四）严格落实土壤和地下水污染防治措施。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源头防控、分区防治、污染监控、应急响应”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原则进行地下水污染防治，</w:t>
      </w:r>
      <w:r>
        <w:rPr>
          <w:rStyle w:val="18"/>
          <w:rFonts w:hint="default" w:ascii="Times New Roman" w:hAnsi="Times New Roman" w:eastAsia="仿宋_GB2312" w:cs="Times New Roman"/>
          <w:color w:val="auto"/>
          <w:sz w:val="32"/>
          <w:szCs w:val="32"/>
        </w:rPr>
        <w:t>强化厂区防漏及事故废水应急收集处理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及时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启动应急预案和应急措施，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应对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土壤或地下水污染。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（五）严格落实噪声污染防治措施。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主要噪声源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水力碎浆机、除砂机、磨浆机等生产设备及各种风机、泵类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采取隔音、减振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降噪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等措施。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确保厂界噪声满足《工业企业厂界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环境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噪声排放标准》（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GB12348-2008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类标准要求。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afterLines="0" w:line="560" w:lineRule="exact"/>
        <w:ind w:left="0" w:leftChars="0" w:firstLine="640" w:firstLineChars="2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（六）严格落实固体废物分类处置措施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浆渣、废网、废毛布、污水处理设施污泥、废活性炭暂存在一般固废暂存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场所，浆渣、污水处理设施污泥外送焚烧处理，废网、废毛布外委综合利用处理，废活性炭由厂家回收；废润滑油及包装桶、废液压油及包装桶等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危险废物分类暂存，委托有资质单位处置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生活垃圾委托环卫部门定期清运处置。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严格落实危险废物处置要求，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危险废物的收集、贮存和转运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须达到《危险废物收集、贮存、运输技术规范》（HJ2025-2012）以及《危险废物贮存污染控制标准》（GB18597-2023）的相关要求。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left="0" w:leftChars="0" w:firstLine="640" w:firstLineChars="200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（七）健全环境管理制度。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落实环评文件提出的环境管理及监测计划。按照国家有关规定设置规范的污染物排放口、贮存（处置）场并安装环保标志。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排气筒设置永久性采样平台和监测孔，废水排放口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安装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在线监测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地下水设置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个地下水监控井。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）强化环境风险防范和应急措施。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建立环境风险预警体系等事故风险事故防范措施，定期进行演练。建立大气环境风险防范体系，设置事故水排水管线和事故水池。编制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突发环境事件应急预案</w:t>
      </w:r>
      <w:r>
        <w:rPr>
          <w:rFonts w:hint="eastAsia" w:ascii="Times New Roman" w:hAnsi="Times New Roman" w:eastAsia="仿宋_GB2312" w:cs="Times New Roman"/>
          <w:bCs/>
          <w:color w:val="auto"/>
          <w:kern w:val="2"/>
          <w:sz w:val="32"/>
          <w:szCs w:val="32"/>
          <w:lang w:val="en-US" w:eastAsia="zh-CN" w:bidi="ar-SA"/>
        </w:rPr>
        <w:t>报枣庄市生态环境局滕州分局备案，并与园区联动，降低风险隐患和后果。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履行安全生产法定职责，对环保设施和项目开展安全风险辨识管理，健全内部管理责任制度，严格依据标准规范建设环保设施和项目，符合安全生产、事故防范的相关规定。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九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该项目运营后，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新增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SO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、NO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vertAlign w:val="subscript"/>
        </w:rPr>
        <w:t>X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、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颗粒物的有组织排放量分别控制在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0.17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t/a、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0.57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t/a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0.09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t/a</w:t>
      </w:r>
      <w:r>
        <w:rPr>
          <w:rFonts w:hint="eastAsia" w:ascii="Times New Roman" w:hAnsi="Times New Roman" w:eastAsia="仿宋_GB2312"/>
          <w:bCs/>
          <w:color w:val="auto"/>
          <w:sz w:val="32"/>
          <w:szCs w:val="32"/>
        </w:rPr>
        <w:t>以内。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）强化环境信息公开与公众参与机制。在项目运营过程中，按规定发布企业环境保护信息，自觉接受社会监督。建立畅通的公众参与渠道，加强宣传与沟通工作，及时解决公众反映的环境问题，满足公众合理的环境保护要求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三、你公司必须严格执行配套建设的环境保护设施与主体项目同时设计、同时施工、同时投入使用的“三同时”制度，落实各项环境保护措施。项目建成后，须按规定程序实施竣工环境保护验收（前述环保措施未落实前，不得通过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和投入运营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四、环境影响报告书经批准后，项目的性质、规模、地点、生产工艺或者防治污染、防止生态破坏的措施发生重大变动的，应当重新报批该项目的环境影响报告书。自环境影响报告书批复文件批准之日起，如超过5年项目才开工的，应当在开工前将环境影响报告书报批重新审核。如根据法律法规等相关规定需要进行更严格要求的，实行从严管理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五、由枣庄市生态环境保护综合执法支队和枣庄市生态环境局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滕州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分局负责该项目的“三同时”监督检查和日常管理工作。 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六、你公司应在接到本批复后10个工作日内，将批准后的环境影响报告书送枣庄市生态环境局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滕州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分局，并按规定接受各级生态环境部门的监督检查。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="0" w:afterLines="0" w:afterAutospacing="0" w:line="560" w:lineRule="exact"/>
        <w:ind w:left="0" w:leftChars="0" w:firstLine="640" w:firstLineChars="200"/>
        <w:jc w:val="left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七、如有符合《中华人民共和国行政许可法》第七十八条“行政许可申请人隐瞒有关情况或者提供虚假材料申请行政许可，行政机关应不予受理或者不予行政许可情形”或不符合相关法律法规规定要求的，本批复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自始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自然作废。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6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afterLines="0" w:line="560" w:lineRule="exact"/>
        <w:ind w:left="0" w:leftChars="0" w:firstLine="640" w:firstLineChars="2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枣庄市生态环境局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/>
        <w:spacing w:afterLines="0" w:line="560" w:lineRule="exact"/>
        <w:ind w:left="0" w:leftChars="0" w:firstLine="640" w:firstLineChars="200"/>
        <w:jc w:val="right"/>
        <w:rPr>
          <w:rFonts w:hint="default" w:ascii="Times New Roman" w:hAnsi="Times New Roman" w:eastAsia="仿宋_GB2312" w:cs="Times New Roman"/>
          <w:color w:val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</w:t>
      </w:r>
    </w:p>
    <w:p>
      <w:pPr>
        <w:rPr>
          <w:color w:val="auto"/>
        </w:rPr>
      </w:pPr>
    </w:p>
    <w:p/>
    <w:p/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主题词：环境影响评价  报告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批复</w:t>
      </w:r>
    </w:p>
    <w:tbl>
      <w:tblPr>
        <w:tblStyle w:val="14"/>
        <w:tblW w:w="8980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980" w:type="dxa"/>
            <w:tcBorders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0"/>
                <w:szCs w:val="30"/>
                <w:lang w:eastAsia="zh-CN"/>
              </w:rPr>
              <w:t>抄送：枣庄市应急管理局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枣庄市生态环境局办公室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日印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发</w:t>
      </w:r>
    </w:p>
    <w:p>
      <w:r>
        <w:rPr>
          <w:rFonts w:hint="default" w:ascii="Times New Roman" w:hAnsi="Times New Roman" w:eastAsia="仿宋_GB2312" w:cs="Times New Roman"/>
          <w:sz w:val="21"/>
          <w:szCs w:val="21"/>
          <w:lang w:val="en" w:eastAsia="zh-CN"/>
        </w:rPr>
        <w:t>电子批复领取指</w:t>
      </w:r>
      <w:r>
        <w:rPr>
          <w:rFonts w:hint="eastAsia" w:ascii="Times New Roman" w:hAnsi="Times New Roman" w:eastAsia="仿宋_GB2312" w:cs="Times New Roman"/>
          <w:sz w:val="21"/>
          <w:szCs w:val="21"/>
          <w:lang w:val="en-US" w:eastAsia="zh-CN"/>
        </w:rPr>
        <w:t>南：</w:t>
      </w:r>
      <w:r>
        <w:rPr>
          <w:rFonts w:hint="default" w:ascii="Times New Roman" w:hAnsi="Times New Roman" w:eastAsia="仿宋_GB2312" w:cs="Times New Roman"/>
          <w:sz w:val="21"/>
          <w:szCs w:val="21"/>
          <w:lang w:val="en" w:eastAsia="zh-CN"/>
        </w:rPr>
        <w:t>http://sthjj.zaozhuang.gov.cn/sthjyw/hpsp/xmsp/202205/t20220531_1442654.html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sectPr>
      <w:pgSz w:w="11906" w:h="16838"/>
      <w:pgMar w:top="2154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EFF" w:usb1="40007843" w:usb2="00000001" w:usb3="00000000" w:csb0="400001BF" w:csb1="DFF7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ms Rmn">
    <w:altName w:val="Segoe Print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E4BB5"/>
    <w:multiLevelType w:val="singleLevel"/>
    <w:tmpl w:val="AAEE4BB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16069"/>
    <w:rsid w:val="04D8694E"/>
    <w:rsid w:val="0AAA2F8D"/>
    <w:rsid w:val="0C2030B4"/>
    <w:rsid w:val="12B4789D"/>
    <w:rsid w:val="13CC6D21"/>
    <w:rsid w:val="180513B0"/>
    <w:rsid w:val="2897762F"/>
    <w:rsid w:val="2CB847EB"/>
    <w:rsid w:val="2FFE306F"/>
    <w:rsid w:val="3B4C2CCE"/>
    <w:rsid w:val="3C0417FB"/>
    <w:rsid w:val="3E583006"/>
    <w:rsid w:val="415B1EBD"/>
    <w:rsid w:val="41B11ADD"/>
    <w:rsid w:val="45F60406"/>
    <w:rsid w:val="48591D84"/>
    <w:rsid w:val="4C163313"/>
    <w:rsid w:val="4E6A1991"/>
    <w:rsid w:val="4F3F4153"/>
    <w:rsid w:val="516033A8"/>
    <w:rsid w:val="56096CE7"/>
    <w:rsid w:val="5A687C01"/>
    <w:rsid w:val="5E316028"/>
    <w:rsid w:val="672B59B3"/>
    <w:rsid w:val="67EB3C59"/>
    <w:rsid w:val="7C94690A"/>
    <w:rsid w:val="7D3F7ADF"/>
    <w:rsid w:val="7E1116B7"/>
    <w:rsid w:val="9F95BC50"/>
    <w:rsid w:val="DFBB5BD4"/>
    <w:rsid w:val="FD7F9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5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customStyle="1" w:styleId="5">
    <w:name w:val="样式 正文文本缩进 + 行距: 1.5 倍行距"/>
    <w:basedOn w:val="6"/>
    <w:next w:val="1"/>
    <w:qFormat/>
    <w:uiPriority w:val="0"/>
    <w:pPr>
      <w:spacing w:after="120" w:line="360" w:lineRule="auto"/>
      <w:ind w:left="90" w:leftChars="32" w:firstLine="560" w:firstLineChars="200"/>
    </w:pPr>
    <w:rPr>
      <w:rFonts w:cs="宋体"/>
      <w:sz w:val="24"/>
    </w:rPr>
  </w:style>
  <w:style w:type="paragraph" w:customStyle="1" w:styleId="6">
    <w:name w:val="正文文本缩进1"/>
    <w:basedOn w:val="7"/>
    <w:next w:val="5"/>
    <w:qFormat/>
    <w:uiPriority w:val="0"/>
    <w:pPr>
      <w:spacing w:after="120"/>
      <w:ind w:left="420" w:leftChars="200"/>
    </w:pPr>
    <w:rPr>
      <w:rFonts w:hint="eastAsia"/>
    </w:rPr>
  </w:style>
  <w:style w:type="paragraph" w:customStyle="1" w:styleId="7">
    <w:name w:val="正文1"/>
    <w:basedOn w:val="3"/>
    <w:next w:val="1"/>
    <w:qFormat/>
    <w:uiPriority w:val="0"/>
    <w:pPr>
      <w:spacing w:line="500" w:lineRule="exact"/>
      <w:ind w:firstLine="480" w:firstLineChars="200"/>
    </w:pPr>
    <w:rPr>
      <w:rFonts w:ascii="宋体" w:hAnsi="宋体" w:eastAsia="宋体" w:cs="Times New Roman"/>
      <w:sz w:val="24"/>
      <w:szCs w:val="20"/>
    </w:rPr>
  </w:style>
  <w:style w:type="paragraph" w:styleId="8">
    <w:name w:val="header"/>
    <w:basedOn w:val="1"/>
    <w:next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UserStyle_8"/>
    <w:basedOn w:val="10"/>
    <w:qFormat/>
    <w:uiPriority w:val="0"/>
    <w:pPr>
      <w:widowControl w:val="0"/>
      <w:spacing w:line="240" w:lineRule="auto"/>
      <w:ind w:right="-140" w:rightChars="-50" w:firstLine="1653" w:firstLineChars="588"/>
      <w:jc w:val="both"/>
      <w:textAlignment w:val="baseline"/>
    </w:pPr>
    <w:rPr>
      <w:rFonts w:ascii="宋体" w:hAnsi="Tms Rmn" w:eastAsia="宋体" w:cs="Times New Roman"/>
      <w:b/>
      <w:bCs/>
      <w:kern w:val="0"/>
      <w:sz w:val="28"/>
      <w:szCs w:val="20"/>
      <w:lang w:val="en-US" w:eastAsia="zh-CN" w:bidi="ar-SA"/>
    </w:rPr>
  </w:style>
  <w:style w:type="paragraph" w:customStyle="1" w:styleId="10">
    <w:name w:val="UserStyle_9"/>
    <w:next w:val="1"/>
    <w:qFormat/>
    <w:uiPriority w:val="0"/>
    <w:pPr>
      <w:widowControl w:val="0"/>
      <w:spacing w:line="480" w:lineRule="atLeast"/>
      <w:jc w:val="both"/>
      <w:textAlignment w:val="baseline"/>
    </w:pPr>
    <w:rPr>
      <w:rFonts w:ascii="宋体" w:hAnsi="Tms Rmn" w:eastAsia="宋体" w:cs="黑体"/>
      <w:kern w:val="0"/>
      <w:sz w:val="28"/>
      <w:szCs w:val="20"/>
      <w:lang w:val="en-US" w:eastAsia="zh-CN" w:bidi="ar-SA"/>
    </w:rPr>
  </w:style>
  <w:style w:type="paragraph" w:styleId="11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paragraph" w:styleId="12">
    <w:name w:val="Body Text First Indent"/>
    <w:basedOn w:val="3"/>
    <w:qFormat/>
    <w:uiPriority w:val="0"/>
    <w:pPr>
      <w:widowControl w:val="0"/>
      <w:snapToGrid/>
      <w:spacing w:before="0" w:after="120" w:line="240" w:lineRule="auto"/>
      <w:ind w:right="0" w:firstLine="420" w:firstLineChars="100"/>
    </w:pPr>
    <w:rPr>
      <w:rFonts w:ascii="Times New Roman" w:hAnsi="Times New Roman" w:eastAsia="宋体"/>
      <w:kern w:val="2"/>
      <w:sz w:val="21"/>
      <w:szCs w:val="24"/>
    </w:rPr>
  </w:style>
  <w:style w:type="paragraph" w:styleId="13">
    <w:name w:val="Body Text First Indent 2"/>
    <w:basedOn w:val="4"/>
    <w:next w:val="1"/>
    <w:qFormat/>
    <w:uiPriority w:val="0"/>
    <w:pPr>
      <w:ind w:firstLine="420"/>
    </w:pPr>
  </w:style>
  <w:style w:type="paragraph" w:customStyle="1" w:styleId="16">
    <w:name w:val="报告书正文样式1"/>
    <w:basedOn w:val="17"/>
    <w:qFormat/>
    <w:uiPriority w:val="0"/>
    <w:pPr>
      <w:spacing w:line="360" w:lineRule="auto"/>
    </w:pPr>
    <w:rPr>
      <w:rFonts w:ascii="Arial" w:hAnsi="Arial" w:cs="Arial"/>
      <w:szCs w:val="24"/>
    </w:rPr>
  </w:style>
  <w:style w:type="paragraph" w:customStyle="1" w:styleId="17">
    <w:name w:val="报告书正文"/>
    <w:basedOn w:val="1"/>
    <w:qFormat/>
    <w:uiPriority w:val="0"/>
    <w:pPr>
      <w:adjustRightInd w:val="0"/>
      <w:snapToGrid w:val="0"/>
      <w:spacing w:line="360" w:lineRule="atLeast"/>
      <w:ind w:firstLine="425"/>
      <w:textAlignment w:val="baseline"/>
    </w:pPr>
    <w:rPr>
      <w:rFonts w:ascii="Times New Roman" w:hAnsi="Times New Roman"/>
      <w:sz w:val="24"/>
      <w:szCs w:val="20"/>
    </w:rPr>
  </w:style>
  <w:style w:type="character" w:customStyle="1" w:styleId="18">
    <w:name w:val="NormalCharacter"/>
    <w:qFormat/>
    <w:uiPriority w:val="0"/>
    <w:rPr>
      <w:kern w:val="2"/>
      <w:sz w:val="32"/>
      <w:szCs w:val="32"/>
      <w:lang w:val="en-US" w:eastAsia="zh-CN" w:bidi="ar-SA"/>
    </w:rPr>
  </w:style>
  <w:style w:type="paragraph" w:customStyle="1" w:styleId="19">
    <w:name w:val="正文x"/>
    <w:basedOn w:val="1"/>
    <w:qFormat/>
    <w:uiPriority w:val="99"/>
    <w:pPr>
      <w:spacing w:line="360" w:lineRule="auto"/>
      <w:ind w:firstLine="20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2880</Words>
  <Characters>3144</Characters>
  <Lines>0</Lines>
  <Paragraphs>0</Paragraphs>
  <TotalTime>2</TotalTime>
  <ScaleCrop>false</ScaleCrop>
  <LinksUpToDate>false</LinksUpToDate>
  <CharactersWithSpaces>3189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2025-04-10T03:26:00Z</dcterms:created>
  <dc:creator>lenovo</dc:creator>
  <cp:lastModifiedBy>user</cp:lastModifiedBy>
  <cp:lastPrinted>2025-04-10T23:58:00Z</cp:lastPrinted>
  <dcterms:modified xsi:type="dcterms:W3CDTF">2025-04-18T17:20:28Z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TemplateDocerSaveRecord">
    <vt:lpwstr>eyJoZGlkIjoiYmFiYzIwOTZhYmEyNjJkN2E5OGJlYmM2ODAyYWY3NjQiLCJ1c2VySWQiOiIyNTk3MjI3MDEifQ==</vt:lpwstr>
  </property>
  <property fmtid="{D5CDD505-2E9C-101B-9397-08002B2CF9AE}" pid="4" name="ICV">
    <vt:lpwstr>713029C9FE264B868916CF8C8353A430_13</vt:lpwstr>
  </property>
</Properties>
</file>