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B0229">
      <w:pPr>
        <w:pStyle w:val="2"/>
        <w:ind w:left="0" w:leftChars="0" w:firstLine="0" w:firstLineChars="0"/>
        <w:rPr>
          <w:rFonts w:ascii="Times New Roman" w:hAnsi="Times New Roman" w:eastAsia="楷体"/>
          <w:w w:val="97"/>
          <w:sz w:val="32"/>
          <w:szCs w:val="32"/>
        </w:rPr>
      </w:pPr>
    </w:p>
    <w:p w14:paraId="20E107F9">
      <w:pPr>
        <w:spacing w:line="560" w:lineRule="exact"/>
        <w:jc w:val="center"/>
        <w:rPr>
          <w:rFonts w:ascii="Times New Roman" w:hAnsi="Times New Roman" w:eastAsia="楷体"/>
          <w:w w:val="97"/>
          <w:sz w:val="32"/>
          <w:szCs w:val="32"/>
        </w:rPr>
      </w:pPr>
      <w:r>
        <w:rPr>
          <w:rFonts w:ascii="Times New Roman" w:hAnsi="Times New Roman" w:eastAsia="楷体"/>
          <w:w w:val="97"/>
          <w:sz w:val="32"/>
          <w:szCs w:val="32"/>
        </w:rPr>
        <w:t>枣环许可字〔202</w:t>
      </w:r>
      <w:r>
        <w:rPr>
          <w:rFonts w:ascii="Times New Roman" w:hAnsi="Times New Roman" w:eastAsia="楷体"/>
          <w:w w:val="97"/>
          <w:sz w:val="32"/>
          <w:szCs w:val="32"/>
          <w:lang w:val="en"/>
        </w:rPr>
        <w:t>5</w:t>
      </w:r>
      <w:r>
        <w:rPr>
          <w:rFonts w:ascii="Times New Roman" w:hAnsi="Times New Roman" w:eastAsia="楷体"/>
          <w:w w:val="97"/>
          <w:sz w:val="32"/>
          <w:szCs w:val="32"/>
        </w:rPr>
        <w:t>〕</w:t>
      </w:r>
      <w:r>
        <w:rPr>
          <w:rFonts w:hint="eastAsia" w:ascii="Times New Roman" w:hAnsi="Times New Roman" w:eastAsia="楷体"/>
          <w:w w:val="97"/>
          <w:sz w:val="32"/>
          <w:szCs w:val="32"/>
          <w:lang w:val="en-US" w:eastAsia="zh-CN"/>
        </w:rPr>
        <w:t>46</w:t>
      </w:r>
      <w:r>
        <w:rPr>
          <w:rFonts w:ascii="Times New Roman" w:hAnsi="Times New Roman" w:eastAsia="楷体"/>
          <w:w w:val="97"/>
          <w:sz w:val="32"/>
          <w:szCs w:val="32"/>
        </w:rPr>
        <w:t>号</w:t>
      </w:r>
    </w:p>
    <w:p w14:paraId="21CAAED5">
      <w:pPr>
        <w:pStyle w:val="12"/>
        <w:spacing w:before="0" w:beforeAutospacing="0" w:after="0" w:afterAutospacing="0" w:line="580" w:lineRule="exact"/>
        <w:jc w:val="both"/>
        <w:rPr>
          <w:rFonts w:ascii="Times New Roman" w:hAnsi="Times New Roman" w:eastAsia="仿宋" w:cs="Times New Roman"/>
          <w:b/>
          <w:bCs/>
          <w:color w:val="000000"/>
          <w:sz w:val="30"/>
          <w:szCs w:val="30"/>
        </w:rPr>
      </w:pPr>
    </w:p>
    <w:p w14:paraId="0156836A">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枣庄市生态环境局</w:t>
      </w:r>
    </w:p>
    <w:p w14:paraId="32461900">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sz w:val="44"/>
          <w:szCs w:val="44"/>
        </w:rPr>
        <w:t>关于兖矿鲁南化工有限公司丁醇装置羰基反应器气液微混</w:t>
      </w:r>
      <w:bookmarkStart w:id="0" w:name="_GoBack"/>
      <w:bookmarkEnd w:id="0"/>
      <w:r>
        <w:rPr>
          <w:rFonts w:hint="eastAsia" w:ascii="方正小标宋简体" w:hAnsi="方正小标宋简体" w:eastAsia="方正小标宋简体" w:cs="方正小标宋简体"/>
          <w:sz w:val="44"/>
          <w:szCs w:val="44"/>
        </w:rPr>
        <w:t>合技术应用项目环境影响</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报告书的批复</w:t>
      </w:r>
    </w:p>
    <w:p w14:paraId="70F7BE6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Times New Roman" w:hAnsi="Times New Roman" w:eastAsia="仿宋_GB2312"/>
        </w:rPr>
      </w:pPr>
    </w:p>
    <w:p w14:paraId="7B800061">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兖矿鲁南化工有限公司</w:t>
      </w:r>
      <w:r>
        <w:rPr>
          <w:rFonts w:ascii="Times New Roman" w:hAnsi="Times New Roman" w:eastAsia="仿宋_GB2312"/>
          <w:sz w:val="32"/>
          <w:szCs w:val="32"/>
        </w:rPr>
        <w:t xml:space="preserve">： </w:t>
      </w:r>
    </w:p>
    <w:p w14:paraId="40CBE69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你公司报送的《</w:t>
      </w:r>
      <w:r>
        <w:rPr>
          <w:rFonts w:hint="eastAsia" w:ascii="Times New Roman" w:hAnsi="Times New Roman" w:eastAsia="仿宋_GB2312"/>
          <w:sz w:val="32"/>
          <w:szCs w:val="32"/>
        </w:rPr>
        <w:t>丁醇装置羰基反应器气液微混合技术应用项目</w:t>
      </w:r>
      <w:r>
        <w:rPr>
          <w:rFonts w:ascii="Times New Roman" w:hAnsi="Times New Roman" w:eastAsia="仿宋_GB2312"/>
          <w:sz w:val="32"/>
          <w:szCs w:val="32"/>
        </w:rPr>
        <w:t>环境影响报告书》收悉。经研究，批复如下：</w:t>
      </w:r>
    </w:p>
    <w:p w14:paraId="1BA50147">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sz w:val="32"/>
          <w:szCs w:val="32"/>
        </w:rPr>
        <w:t>一、项目属于</w:t>
      </w:r>
      <w:r>
        <w:rPr>
          <w:rFonts w:hint="eastAsia" w:ascii="Times New Roman" w:hAnsi="Times New Roman" w:eastAsia="仿宋_GB2312" w:cs="仿宋_GB2312"/>
          <w:sz w:val="32"/>
          <w:szCs w:val="32"/>
        </w:rPr>
        <w:t>技术改造</w:t>
      </w:r>
      <w:r>
        <w:rPr>
          <w:rFonts w:ascii="Times New Roman" w:hAnsi="Times New Roman" w:eastAsia="仿宋_GB2312"/>
          <w:sz w:val="32"/>
          <w:szCs w:val="32"/>
        </w:rPr>
        <w:t>，</w:t>
      </w:r>
      <w:r>
        <w:rPr>
          <w:rFonts w:hint="eastAsia" w:ascii="Times New Roman" w:hAnsi="Times New Roman" w:eastAsia="仿宋_GB2312" w:cs="仿宋_GB2312"/>
          <w:sz w:val="32"/>
          <w:szCs w:val="32"/>
        </w:rPr>
        <w:t>位于滕州市鲁南高科技化工园北部鲁化公司现有装置区内，不新增用地。主要建设内容为：不改变原有丁醇装置的生产工艺，采用新型气液微混合器，对1#羰基合成反应器（D5112）和2＃羰基合成反应器（D5113）内气体分布器进行升级改造，增加2#羰基合成反应器外部循环冷却系统，改造后年最大产能由15万吨/年增加至20万吨/年（柔性生产四种方案），全厂不新增合成气产能。储运、辅助、公用和环保工程均依托现有。项目总投资1631.6万元，其中环保投资100万元。</w:t>
      </w:r>
    </w:p>
    <w:p w14:paraId="7FF23D17">
      <w:pPr>
        <w:keepNext w:val="0"/>
        <w:keepLines w:val="0"/>
        <w:pageBreakBefore w:val="0"/>
        <w:kinsoku/>
        <w:wordWrap/>
        <w:overflowPunct/>
        <w:topLinePunct w:val="0"/>
        <w:autoSpaceDE/>
        <w:autoSpaceDN/>
        <w:bidi w:val="0"/>
        <w:spacing w:after="0"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在全面落实报告书提出的各项生态保护、污染防治及环境风险防范措施后，项目建设带来的不利环境影响可以得到有效的减免。从生态环境部门职责角度，我局原则同意</w:t>
      </w:r>
      <w:r>
        <w:rPr>
          <w:rFonts w:hint="eastAsia" w:ascii="Times New Roman" w:hAnsi="Times New Roman" w:eastAsia="仿宋_GB2312"/>
          <w:bCs/>
          <w:sz w:val="32"/>
          <w:szCs w:val="32"/>
        </w:rPr>
        <w:t>你公司按照</w:t>
      </w:r>
      <w:r>
        <w:rPr>
          <w:rFonts w:ascii="Times New Roman" w:hAnsi="Times New Roman" w:eastAsia="仿宋_GB2312"/>
          <w:bCs/>
          <w:sz w:val="32"/>
          <w:szCs w:val="32"/>
        </w:rPr>
        <w:t>环境影响报告书中所列建设项目的地点、工艺和拟采取的环境保护措施进行建设和运营。</w:t>
      </w:r>
    </w:p>
    <w:p w14:paraId="43AEF574">
      <w:pPr>
        <w:pStyle w:val="20"/>
        <w:keepNext w:val="0"/>
        <w:keepLines w:val="0"/>
        <w:pageBreakBefore w:val="0"/>
        <w:tabs>
          <w:tab w:val="left" w:pos="3030"/>
        </w:tabs>
        <w:kinsoku/>
        <w:wordWrap/>
        <w:overflowPunct/>
        <w:topLinePunct w:val="0"/>
        <w:autoSpaceDE/>
        <w:autoSpaceDN/>
        <w:bidi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二、项目设计、建设和运行管理中应重点做好以下工作 </w:t>
      </w:r>
    </w:p>
    <w:p w14:paraId="499B638A">
      <w:pPr>
        <w:keepNext w:val="0"/>
        <w:keepLines w:val="0"/>
        <w:pageBreakBefore w:val="0"/>
        <w:widowControl/>
        <w:kinsoku/>
        <w:wordWrap/>
        <w:overflowPunct/>
        <w:topLinePunct w:val="0"/>
        <w:autoSpaceDE/>
        <w:autoSpaceDN/>
        <w:bidi w:val="0"/>
        <w:spacing w:after="0" w:line="560" w:lineRule="exact"/>
        <w:ind w:firstLine="640" w:firstLineChars="200"/>
        <w:jc w:val="left"/>
        <w:rPr>
          <w:rFonts w:ascii="Times New Roman" w:hAnsi="Times New Roman" w:eastAsia="仿宋_GB2312"/>
          <w:strike/>
          <w:sz w:val="32"/>
          <w:szCs w:val="32"/>
        </w:rPr>
      </w:pPr>
      <w:r>
        <w:rPr>
          <w:rFonts w:ascii="Times New Roman" w:hAnsi="Times New Roman" w:eastAsia="仿宋_GB2312"/>
          <w:sz w:val="32"/>
          <w:szCs w:val="32"/>
        </w:rPr>
        <w:t>（一）加强施工环境管理。对于生产设备内更换、拆除活动须严格按照《企业拆除活动污染防治技术规定（试行）》（环保部2017年第78号公告）进行，将对周边区域环境质量影响程度降到最低。残留物料和污染物、污染设备和设施拆除活动应当严格按照有关规定实施安全处理处置，置换废气采取集中收集和火炬高空燃放的方式进行处理。做好拆除活动相关记录</w:t>
      </w:r>
      <w:r>
        <w:rPr>
          <w:rFonts w:hint="eastAsia" w:ascii="Times New Roman" w:hAnsi="Times New Roman" w:eastAsia="仿宋_GB2312"/>
          <w:sz w:val="32"/>
          <w:szCs w:val="32"/>
        </w:rPr>
        <w:t>并长期保存</w:t>
      </w:r>
      <w:r>
        <w:rPr>
          <w:rFonts w:ascii="Times New Roman" w:hAnsi="Times New Roman" w:eastAsia="仿宋_GB2312"/>
          <w:sz w:val="32"/>
          <w:szCs w:val="32"/>
        </w:rPr>
        <w:t>，防范拆除活动污染土壤和地下水。落实运输噪声、机械噪声隔声降噪，产尘物料的围挡、覆盖，及场地洒水抑尘。</w:t>
      </w:r>
      <w:r>
        <w:rPr>
          <w:rFonts w:hint="eastAsia" w:ascii="Times New Roman" w:hAnsi="Times New Roman" w:eastAsia="仿宋_GB2312"/>
          <w:sz w:val="32"/>
          <w:szCs w:val="32"/>
        </w:rPr>
        <w:t>使用</w:t>
      </w:r>
      <w:r>
        <w:rPr>
          <w:rFonts w:ascii="Times New Roman" w:hAnsi="Times New Roman" w:eastAsia="仿宋_GB2312"/>
          <w:sz w:val="32"/>
          <w:szCs w:val="32"/>
        </w:rPr>
        <w:t>脱盐水</w:t>
      </w:r>
      <w:r>
        <w:rPr>
          <w:rFonts w:hint="eastAsia" w:ascii="Times New Roman" w:hAnsi="Times New Roman" w:eastAsia="仿宋_GB2312"/>
          <w:sz w:val="32"/>
          <w:szCs w:val="32"/>
        </w:rPr>
        <w:t>，</w:t>
      </w:r>
      <w:r>
        <w:rPr>
          <w:rFonts w:ascii="Times New Roman" w:hAnsi="Times New Roman" w:eastAsia="仿宋_GB2312"/>
          <w:sz w:val="32"/>
          <w:szCs w:val="32"/>
        </w:rPr>
        <w:t>用于退料设备清洗</w:t>
      </w:r>
      <w:r>
        <w:rPr>
          <w:rFonts w:hint="eastAsia" w:ascii="Times New Roman" w:hAnsi="Times New Roman" w:eastAsia="仿宋_GB2312"/>
          <w:sz w:val="32"/>
          <w:szCs w:val="32"/>
        </w:rPr>
        <w:t>，</w:t>
      </w:r>
      <w:r>
        <w:rPr>
          <w:rFonts w:ascii="Times New Roman" w:hAnsi="Times New Roman" w:eastAsia="仿宋_GB2312"/>
          <w:sz w:val="32"/>
          <w:szCs w:val="32"/>
        </w:rPr>
        <w:t>清洗后废水收集进入鲁化净水厂处理达标排放。</w:t>
      </w:r>
    </w:p>
    <w:p w14:paraId="10A01B89">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（二）强化大气污染防治措施。</w:t>
      </w:r>
      <w:r>
        <w:rPr>
          <w:rFonts w:hint="eastAsia" w:ascii="Times New Roman" w:hAnsi="Times New Roman" w:eastAsia="仿宋_GB2312" w:cs="仿宋_GB2312"/>
          <w:sz w:val="32"/>
          <w:szCs w:val="32"/>
        </w:rPr>
        <w:t>拟建项目装置驰放气、不凝气、尾气回收装置排气、储罐呼吸废气等经焚烧处理后，通过DA024排放进入外环境。</w:t>
      </w:r>
      <w:r>
        <w:rPr>
          <w:rFonts w:ascii="Times New Roman" w:hAnsi="Times New Roman" w:eastAsia="仿宋_GB2312"/>
          <w:sz w:val="32"/>
          <w:szCs w:val="32"/>
        </w:rPr>
        <w:t>废气燃烧炉废气VOCs排放浓度及排放速率须</w:t>
      </w:r>
      <w:r>
        <w:rPr>
          <w:rFonts w:hint="eastAsia" w:ascii="Times New Roman" w:hAnsi="Times New Roman" w:eastAsia="仿宋_GB2312"/>
          <w:sz w:val="32"/>
          <w:szCs w:val="32"/>
        </w:rPr>
        <w:t>满足</w:t>
      </w:r>
      <w:r>
        <w:rPr>
          <w:rFonts w:ascii="Times New Roman" w:hAnsi="Times New Roman" w:eastAsia="仿宋_GB2312"/>
          <w:sz w:val="32"/>
          <w:szCs w:val="32"/>
        </w:rPr>
        <w:t>《挥发性有机物排放标准第 6 部分：有机化工行业》（DB37/2801.6-2018）表 1排放限值以及《石油化学工业污染物排放标准》（GB31571-2015）表 4 排放限值要求。颗粒物、SO</w:t>
      </w:r>
      <w:r>
        <w:rPr>
          <w:rFonts w:ascii="Times New Roman" w:hAnsi="Times New Roman" w:eastAsia="仿宋_GB2312"/>
          <w:sz w:val="32"/>
          <w:szCs w:val="32"/>
          <w:vertAlign w:val="subscript"/>
        </w:rPr>
        <w:t>2</w:t>
      </w:r>
      <w:r>
        <w:rPr>
          <w:rFonts w:ascii="Times New Roman" w:hAnsi="Times New Roman" w:eastAsia="仿宋_GB2312"/>
          <w:sz w:val="32"/>
          <w:szCs w:val="32"/>
        </w:rPr>
        <w:t>、NOx排放浓度须</w:t>
      </w:r>
      <w:r>
        <w:rPr>
          <w:rFonts w:hint="eastAsia" w:ascii="Times New Roman" w:hAnsi="Times New Roman" w:eastAsia="仿宋_GB2312"/>
          <w:sz w:val="32"/>
          <w:szCs w:val="32"/>
        </w:rPr>
        <w:t>满足</w:t>
      </w:r>
      <w:r>
        <w:rPr>
          <w:rFonts w:ascii="Times New Roman" w:hAnsi="Times New Roman" w:eastAsia="仿宋_GB2312"/>
          <w:sz w:val="32"/>
          <w:szCs w:val="32"/>
        </w:rPr>
        <w:t>《区域性大气污染物综合排放标准》(DB37_2376-2019) 表 1 重点控制区限值要求。</w:t>
      </w:r>
    </w:p>
    <w:p w14:paraId="6F08708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严格落实</w:t>
      </w:r>
      <w:r>
        <w:rPr>
          <w:rFonts w:ascii="Times New Roman" w:hAnsi="Times New Roman" w:eastAsia="仿宋_GB2312"/>
          <w:sz w:val="32"/>
          <w:szCs w:val="32"/>
        </w:rPr>
        <w:t>无组织</w:t>
      </w:r>
      <w:r>
        <w:rPr>
          <w:rFonts w:hint="eastAsia" w:ascii="Times New Roman" w:hAnsi="Times New Roman" w:eastAsia="仿宋_GB2312"/>
          <w:sz w:val="32"/>
          <w:szCs w:val="32"/>
        </w:rPr>
        <w:t>管控要求。须</w:t>
      </w:r>
      <w:r>
        <w:rPr>
          <w:rFonts w:ascii="Times New Roman" w:hAnsi="Times New Roman" w:eastAsia="仿宋_GB2312"/>
          <w:sz w:val="32"/>
          <w:szCs w:val="32"/>
        </w:rPr>
        <w:t>采取固定顶加氮封和内浮顶相结合的方式对有机液体储罐进行污染控制，并将储罐废气收集送0号废气燃烧炉燃烧处理。</w:t>
      </w:r>
      <w:r>
        <w:rPr>
          <w:rFonts w:hint="eastAsia" w:ascii="Times New Roman" w:hAnsi="Times New Roman" w:eastAsia="仿宋_GB2312"/>
          <w:sz w:val="32"/>
          <w:szCs w:val="32"/>
        </w:rPr>
        <w:t>须</w:t>
      </w:r>
      <w:r>
        <w:rPr>
          <w:rFonts w:ascii="Times New Roman" w:hAnsi="Times New Roman" w:eastAsia="仿宋_GB2312"/>
          <w:sz w:val="32"/>
          <w:szCs w:val="32"/>
        </w:rPr>
        <w:t>定期开展对浮顶罐浮盘上的开口、缝隙等密封设施开展检测，记录并组织维修。 VOCs厂界浓度</w:t>
      </w:r>
      <w:r>
        <w:rPr>
          <w:rFonts w:hint="eastAsia" w:ascii="Times New Roman" w:hAnsi="Times New Roman" w:eastAsia="仿宋_GB2312"/>
          <w:sz w:val="32"/>
          <w:szCs w:val="32"/>
        </w:rPr>
        <w:t>须</w:t>
      </w:r>
      <w:r>
        <w:rPr>
          <w:rFonts w:ascii="Times New Roman" w:hAnsi="Times New Roman" w:eastAsia="仿宋_GB2312"/>
          <w:sz w:val="32"/>
          <w:szCs w:val="32"/>
        </w:rPr>
        <w:t>满足《石油化学工业污染物排放标准》（GB31571-2015）表7、《合成树脂工业污染物排放标准》（GB31572-2015）表9以及《挥发性有机物排放标准第6部分：有机化工行业》（DB37/2801.6-2018）表3厂界监控点浓度限值要求；VOCs厂区内无组织排放监控点浓度满足《挥发性有机物无组织排放控制标准》（GB37822-2019）表 A.1厂区内VOCs 无组织排放限值要求。</w:t>
      </w:r>
    </w:p>
    <w:p w14:paraId="7A36C51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sz w:val="32"/>
          <w:szCs w:val="32"/>
        </w:rPr>
        <w:t>（三）</w:t>
      </w:r>
      <w:r>
        <w:rPr>
          <w:rFonts w:ascii="Times New Roman" w:hAnsi="Times New Roman" w:eastAsia="仿宋_GB2312"/>
          <w:sz w:val="32"/>
          <w:szCs w:val="32"/>
        </w:rPr>
        <w:t>严格落</w:t>
      </w:r>
      <w:r>
        <w:rPr>
          <w:rFonts w:ascii="Times New Roman" w:hAnsi="Times New Roman" w:eastAsia="仿宋_GB2312"/>
          <w:color w:val="000000" w:themeColor="text1"/>
          <w:sz w:val="32"/>
          <w:szCs w:val="32"/>
          <w14:textFill>
            <w14:solidFill>
              <w14:schemeClr w14:val="tx1"/>
            </w14:solidFill>
          </w14:textFill>
        </w:rPr>
        <w:t>实水污染防治措施。按照</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雨污分流、清污分流、污污分流</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原则完善厂区排水系统。新增废水（循环排污水）近期</w:t>
      </w:r>
      <w:r>
        <w:rPr>
          <w:rFonts w:hint="eastAsia" w:ascii="Times New Roman" w:hAnsi="Times New Roman" w:eastAsia="仿宋_GB2312"/>
          <w:color w:val="000000" w:themeColor="text1"/>
          <w:sz w:val="32"/>
          <w:szCs w:val="32"/>
          <w:lang w:val="en-US" w:eastAsia="zh-CN"/>
          <w14:textFill>
            <w14:solidFill>
              <w14:schemeClr w14:val="tx1"/>
            </w14:solidFill>
          </w14:textFill>
        </w:rPr>
        <w:t>排入</w:t>
      </w:r>
      <w:r>
        <w:rPr>
          <w:rFonts w:hint="eastAsia" w:ascii="Times New Roman" w:hAnsi="Times New Roman" w:eastAsia="仿宋_GB2312"/>
          <w:color w:val="000000" w:themeColor="text1"/>
          <w:sz w:val="32"/>
          <w:szCs w:val="32"/>
          <w:highlight w:val="none"/>
          <w14:textFill>
            <w14:solidFill>
              <w14:schemeClr w14:val="tx1"/>
            </w14:solidFill>
          </w14:textFill>
        </w:rPr>
        <w:t>园区新污水处理厂处理</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原有循环</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排污水</w:t>
      </w:r>
      <w:r>
        <w:rPr>
          <w:rFonts w:hint="eastAsia" w:ascii="Times New Roman" w:hAnsi="Times New Roman" w:eastAsia="仿宋_GB2312"/>
          <w:color w:val="000000" w:themeColor="text1"/>
          <w:sz w:val="32"/>
          <w:szCs w:val="32"/>
          <w:highlight w:val="none"/>
          <w14:textFill>
            <w14:solidFill>
              <w14:schemeClr w14:val="tx1"/>
            </w14:solidFill>
          </w14:textFill>
        </w:rPr>
        <w:t>仍通过</w:t>
      </w:r>
      <w:r>
        <w:rPr>
          <w:rFonts w:ascii="Times New Roman" w:hAnsi="Times New Roman" w:eastAsia="仿宋_GB2312"/>
          <w:color w:val="000000" w:themeColor="text1"/>
          <w:sz w:val="32"/>
          <w:szCs w:val="32"/>
          <w:highlight w:val="none"/>
          <w14:textFill>
            <w14:solidFill>
              <w14:schemeClr w14:val="tx1"/>
            </w14:solidFill>
          </w14:textFill>
        </w:rPr>
        <w:t>DW001排放口直排进入外环境中</w:t>
      </w:r>
      <w:r>
        <w:rPr>
          <w:rFonts w:ascii="Times New Roman" w:hAnsi="Times New Roman" w:eastAsia="仿宋_GB2312"/>
          <w:color w:val="000000" w:themeColor="text1"/>
          <w:sz w:val="32"/>
          <w:szCs w:val="32"/>
          <w14:textFill>
            <w14:solidFill>
              <w14:schemeClr w14:val="tx1"/>
            </w14:solidFill>
          </w14:textFill>
        </w:rPr>
        <w:t>。2026年12月</w:t>
      </w:r>
      <w:r>
        <w:rPr>
          <w:rFonts w:hint="eastAsia" w:ascii="Times New Roman" w:hAnsi="Times New Roman" w:eastAsia="仿宋_GB2312"/>
          <w:color w:val="000000" w:themeColor="text1"/>
          <w:sz w:val="32"/>
          <w:szCs w:val="32"/>
          <w14:textFill>
            <w14:solidFill>
              <w14:schemeClr w14:val="tx1"/>
            </w14:solidFill>
          </w14:textFill>
        </w:rPr>
        <w:t>前</w:t>
      </w:r>
      <w:r>
        <w:rPr>
          <w:rFonts w:ascii="Times New Roman" w:hAnsi="Times New Roman" w:eastAsia="仿宋_GB2312"/>
          <w:color w:val="000000" w:themeColor="text1"/>
          <w:sz w:val="32"/>
          <w:szCs w:val="32"/>
          <w14:textFill>
            <w14:solidFill>
              <w14:schemeClr w14:val="tx1"/>
            </w14:solidFill>
          </w14:textFill>
        </w:rPr>
        <w:t>鲁南高科技化工园区鲁化净化水厂中水系统</w:t>
      </w:r>
      <w:r>
        <w:rPr>
          <w:rFonts w:hint="eastAsia" w:ascii="Times New Roman" w:hAnsi="Times New Roman" w:eastAsia="仿宋_GB2312"/>
          <w:color w:val="000000" w:themeColor="text1"/>
          <w:sz w:val="32"/>
          <w:szCs w:val="32"/>
          <w14:textFill>
            <w14:solidFill>
              <w14:schemeClr w14:val="tx1"/>
            </w14:solidFill>
          </w14:textFill>
        </w:rPr>
        <w:t>新建一套微污染水处理及高盐治理回用装置。该部分废水经该系统处理后</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作为中水回用</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外排废水主要指标（COD、NH</w:t>
      </w:r>
      <w:r>
        <w:rPr>
          <w:rFonts w:hint="eastAsia" w:ascii="Times New Roman" w:hAnsi="Times New Roman" w:eastAsia="仿宋_GB2312" w:cs="Times New Roman"/>
          <w:color w:val="000000" w:themeColor="text1"/>
          <w:sz w:val="32"/>
          <w:szCs w:val="32"/>
          <w:vertAlign w:val="subscript"/>
          <w:lang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-N、TP、TN、氟化物、全盐量、硫酸盐）满足《流域水污染物综合排放标准第 1 部分：南四湖东平湖流域》（DB37/3416.1-2023）中表 3 一般保护区域标准，其他指标满足《流域水污染物综合排放标准第1部分：南四湖东平湖流域》（DB37/3416.1-2023）表1、表2中一般保护区域标准及《污水综合排放标准》（GB8978-1996）表4中一级标准。</w:t>
      </w:r>
    </w:p>
    <w:p w14:paraId="108394FA">
      <w:pPr>
        <w:keepNext w:val="0"/>
        <w:keepLines w:val="0"/>
        <w:pageBreakBefore w:val="0"/>
        <w:widowControl w:val="0"/>
        <w:kinsoku/>
        <w:wordWrap/>
        <w:overflowPunct/>
        <w:topLinePunct w:val="0"/>
        <w:autoSpaceDE/>
        <w:autoSpaceDN/>
        <w:bidi w:val="0"/>
        <w:spacing w:after="0"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四</w:t>
      </w:r>
      <w:r>
        <w:rPr>
          <w:rFonts w:ascii="Times New Roman" w:hAnsi="Times New Roman" w:eastAsia="仿宋_GB2312"/>
          <w:color w:val="000000" w:themeColor="text1"/>
          <w:sz w:val="32"/>
          <w:szCs w:val="32"/>
          <w14:textFill>
            <w14:solidFill>
              <w14:schemeClr w14:val="tx1"/>
            </w14:solidFill>
          </w14:textFill>
        </w:rPr>
        <w:t>）严格落实土壤和地下水污染防治措施。按照</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源头防控、分区防治、污染监控、应急响应</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原则进行地下水污染防治，</w:t>
      </w:r>
      <w:r>
        <w:rPr>
          <w:rStyle w:val="22"/>
          <w:rFonts w:ascii="Times New Roman" w:hAnsi="Times New Roman" w:eastAsia="仿宋_GB2312"/>
          <w:color w:val="000000" w:themeColor="text1"/>
          <w14:textFill>
            <w14:solidFill>
              <w14:schemeClr w14:val="tx1"/>
            </w14:solidFill>
          </w14:textFill>
        </w:rPr>
        <w:t>强化厂区防漏及事故废水应急收集处理</w:t>
      </w:r>
      <w:r>
        <w:rPr>
          <w:rFonts w:ascii="Times New Roman" w:hAnsi="Times New Roman" w:eastAsia="仿宋_GB2312"/>
          <w:color w:val="000000" w:themeColor="text1"/>
          <w:sz w:val="32"/>
          <w:szCs w:val="32"/>
          <w14:textFill>
            <w14:solidFill>
              <w14:schemeClr w14:val="tx1"/>
            </w14:solidFill>
          </w14:textFill>
        </w:rPr>
        <w:t>。建立地下水和土壤污染监控和预警体系，</w:t>
      </w:r>
      <w:r>
        <w:rPr>
          <w:rFonts w:hint="eastAsia" w:ascii="Times New Roman" w:hAnsi="Times New Roman" w:eastAsia="仿宋_GB2312"/>
          <w:color w:val="000000" w:themeColor="text1"/>
          <w:sz w:val="32"/>
          <w:szCs w:val="32"/>
          <w14:textFill>
            <w14:solidFill>
              <w14:schemeClr w14:val="tx1"/>
            </w14:solidFill>
          </w14:textFill>
        </w:rPr>
        <w:t>及时</w:t>
      </w:r>
      <w:r>
        <w:rPr>
          <w:rFonts w:ascii="Times New Roman" w:hAnsi="Times New Roman" w:eastAsia="仿宋_GB2312"/>
          <w:color w:val="000000" w:themeColor="text1"/>
          <w:sz w:val="32"/>
          <w:szCs w:val="32"/>
          <w14:textFill>
            <w14:solidFill>
              <w14:schemeClr w14:val="tx1"/>
            </w14:solidFill>
          </w14:textFill>
        </w:rPr>
        <w:t>启动应急预案和应急措施，</w:t>
      </w:r>
      <w:r>
        <w:rPr>
          <w:rFonts w:hint="eastAsia" w:ascii="Times New Roman" w:hAnsi="Times New Roman" w:eastAsia="仿宋_GB2312"/>
          <w:color w:val="000000" w:themeColor="text1"/>
          <w:sz w:val="32"/>
          <w:szCs w:val="32"/>
          <w14:textFill>
            <w14:solidFill>
              <w14:schemeClr w14:val="tx1"/>
            </w14:solidFill>
          </w14:textFill>
        </w:rPr>
        <w:t>应对</w:t>
      </w:r>
      <w:r>
        <w:rPr>
          <w:rFonts w:ascii="Times New Roman" w:hAnsi="Times New Roman" w:eastAsia="仿宋_GB2312"/>
          <w:color w:val="000000" w:themeColor="text1"/>
          <w:sz w:val="32"/>
          <w:szCs w:val="32"/>
          <w14:textFill>
            <w14:solidFill>
              <w14:schemeClr w14:val="tx1"/>
            </w14:solidFill>
          </w14:textFill>
        </w:rPr>
        <w:t>土壤或地下水污染。</w:t>
      </w:r>
    </w:p>
    <w:p w14:paraId="39C5C604">
      <w:pPr>
        <w:pStyle w:val="20"/>
        <w:keepNext w:val="0"/>
        <w:keepLines w:val="0"/>
        <w:pageBreakBefore w:val="0"/>
        <w:widowControl w:val="0"/>
        <w:tabs>
          <w:tab w:val="left" w:pos="3030"/>
        </w:tabs>
        <w:kinsoku/>
        <w:wordWrap/>
        <w:overflowPunct/>
        <w:topLinePunct w:val="0"/>
        <w:autoSpaceDE/>
        <w:autoSpaceDN/>
        <w:bidi w:val="0"/>
        <w:spacing w:after="0"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（五）严格落实噪声污染防治措施。</w:t>
      </w:r>
      <w:r>
        <w:rPr>
          <w:rFonts w:hint="eastAsia" w:ascii="Times New Roman" w:hAnsi="Times New Roman" w:eastAsia="仿宋_GB2312" w:cs="Times New Roman"/>
          <w:color w:val="000000" w:themeColor="text1"/>
          <w:sz w:val="32"/>
          <w:szCs w:val="32"/>
          <w14:textFill>
            <w14:solidFill>
              <w14:schemeClr w14:val="tx1"/>
            </w14:solidFill>
          </w14:textFill>
        </w:rPr>
        <w:t>落实压缩机、空冷器、风机、泵类等设备隔声降噪措施，西厂界（紧邻园区主道路）、厂区东南厂界执行《工业企业厂界环境噪声排放标准》（GB12348-2008）4 类标准；其余厂界噪声执行《工业企业厂界环境噪声排放标准》（GB12348-2008）3类标准；敏感目标执行《声环境质量标准》（GB3096-2008）中的2类功能区标准。</w:t>
      </w:r>
      <w:r>
        <w:rPr>
          <w:rFonts w:ascii="Times New Roman" w:hAnsi="Times New Roman" w:eastAsia="仿宋_GB2312" w:cs="Times New Roman"/>
          <w:color w:val="000000" w:themeColor="text1"/>
          <w:sz w:val="32"/>
          <w:szCs w:val="32"/>
          <w14:textFill>
            <w14:solidFill>
              <w14:schemeClr w14:val="tx1"/>
            </w14:solidFill>
          </w14:textFill>
        </w:rPr>
        <w:t xml:space="preserve"> </w:t>
      </w:r>
    </w:p>
    <w:p w14:paraId="053BAE8A">
      <w:pPr>
        <w:pStyle w:val="2"/>
        <w:keepNext w:val="0"/>
        <w:keepLines w:val="0"/>
        <w:pageBreakBefore w:val="0"/>
        <w:kinsoku/>
        <w:overflowPunct/>
        <w:topLinePunct w:val="0"/>
        <w:autoSpaceDE/>
        <w:autoSpaceDN/>
        <w:bidi w:val="0"/>
        <w:spacing w:after="0" w:line="560" w:lineRule="exact"/>
        <w:ind w:left="0" w:leftChars="0"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（六）严格落实固体废物分类处置措施。</w:t>
      </w:r>
      <w:r>
        <w:rPr>
          <w:rFonts w:hint="eastAsia" w:ascii="Times New Roman" w:hAnsi="Times New Roman" w:eastAsia="仿宋_GB2312"/>
          <w:color w:val="000000" w:themeColor="text1"/>
          <w:sz w:val="32"/>
          <w:szCs w:val="32"/>
          <w14:textFill>
            <w14:solidFill>
              <w14:schemeClr w14:val="tx1"/>
            </w14:solidFill>
          </w14:textFill>
        </w:rPr>
        <w:t>废离子交换树脂和反渗透膜，由厂家回收处置，生活垃圾由环卫部门定期清运；废机油、废机油桶、废催化剂、有机废液等危险废物，委托有资质单位处置。一般固体废物的处理措施和处置方案满足《一般工业固体废物贮存和填埋污染控制标准》（GB18599-2020）要求，危险废物贮存满足《危险废物贮存污染控制标准》（GB18597-2023）要求。</w:t>
      </w:r>
    </w:p>
    <w:p w14:paraId="24A89EE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（七）健全环境管理制度。</w:t>
      </w:r>
      <w:r>
        <w:rPr>
          <w:rFonts w:hint="eastAsia" w:ascii="Times New Roman" w:hAnsi="Times New Roman" w:eastAsia="仿宋_GB2312"/>
          <w:color w:val="000000" w:themeColor="text1"/>
          <w:sz w:val="32"/>
          <w:szCs w:val="32"/>
          <w14:textFill>
            <w14:solidFill>
              <w14:schemeClr w14:val="tx1"/>
            </w14:solidFill>
          </w14:textFill>
        </w:rPr>
        <w:t>危废暂存间、所有的输水管道、集水坑等落实</w:t>
      </w:r>
      <w:r>
        <w:rPr>
          <w:rFonts w:ascii="Times New Roman" w:hAnsi="Times New Roman" w:eastAsia="仿宋_GB2312"/>
          <w:color w:val="000000" w:themeColor="text1"/>
          <w:sz w:val="32"/>
          <w:szCs w:val="32"/>
          <w14:textFill>
            <w14:solidFill>
              <w14:schemeClr w14:val="tx1"/>
            </w14:solidFill>
          </w14:textFill>
        </w:rPr>
        <w:t>防渗</w:t>
      </w:r>
      <w:r>
        <w:rPr>
          <w:rFonts w:hint="eastAsia" w:ascii="Times New Roman" w:hAnsi="Times New Roman" w:eastAsia="仿宋_GB2312"/>
          <w:color w:val="000000" w:themeColor="text1"/>
          <w:sz w:val="32"/>
          <w:szCs w:val="32"/>
          <w14:textFill>
            <w14:solidFill>
              <w14:schemeClr w14:val="tx1"/>
            </w14:solidFill>
          </w14:textFill>
        </w:rPr>
        <w:t>措施</w:t>
      </w:r>
      <w:r>
        <w:rPr>
          <w:rFonts w:ascii="Times New Roman" w:hAnsi="Times New Roman" w:eastAsia="仿宋_GB2312"/>
          <w:color w:val="000000" w:themeColor="text1"/>
          <w:sz w:val="32"/>
          <w:szCs w:val="32"/>
          <w14:textFill>
            <w14:solidFill>
              <w14:schemeClr w14:val="tx1"/>
            </w14:solidFill>
          </w14:textFill>
        </w:rPr>
        <w:t>。落实</w:t>
      </w:r>
      <w:r>
        <w:rPr>
          <w:rFonts w:hint="eastAsia" w:ascii="Times New Roman" w:hAnsi="Times New Roman" w:eastAsia="仿宋_GB2312"/>
          <w:color w:val="000000" w:themeColor="text1"/>
          <w:sz w:val="32"/>
          <w:szCs w:val="32"/>
          <w14:textFill>
            <w14:solidFill>
              <w14:schemeClr w14:val="tx1"/>
            </w14:solidFill>
          </w14:textFill>
        </w:rPr>
        <w:t>报告书中</w:t>
      </w:r>
      <w:r>
        <w:rPr>
          <w:rFonts w:ascii="Times New Roman" w:hAnsi="Times New Roman" w:eastAsia="仿宋_GB2312"/>
          <w:color w:val="000000" w:themeColor="text1"/>
          <w:sz w:val="32"/>
          <w:szCs w:val="32"/>
          <w14:textFill>
            <w14:solidFill>
              <w14:schemeClr w14:val="tx1"/>
            </w14:solidFill>
          </w14:textFill>
        </w:rPr>
        <w:t>环境监测计划</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排气筒设置永久性采样平台和监测孔，废水总排口设置采样平台</w:t>
      </w:r>
      <w:r>
        <w:rPr>
          <w:rFonts w:hint="eastAsia" w:ascii="Times New Roman" w:hAnsi="Times New Roman" w:eastAsia="仿宋_GB2312"/>
          <w:color w:val="000000" w:themeColor="text1"/>
          <w:sz w:val="32"/>
          <w:szCs w:val="32"/>
          <w14:textFill>
            <w14:solidFill>
              <w14:schemeClr w14:val="tx1"/>
            </w14:solidFill>
          </w14:textFill>
        </w:rPr>
        <w:t>。依托</w:t>
      </w:r>
      <w:r>
        <w:rPr>
          <w:rFonts w:ascii="Times New Roman" w:hAnsi="Times New Roman" w:eastAsia="仿宋_GB2312"/>
          <w:color w:val="000000" w:themeColor="text1"/>
          <w:sz w:val="32"/>
          <w:szCs w:val="32"/>
          <w14:textFill>
            <w14:solidFill>
              <w14:schemeClr w14:val="tx1"/>
            </w14:solidFill>
          </w14:textFill>
        </w:rPr>
        <w:t>3个地下水监控井</w:t>
      </w:r>
      <w:r>
        <w:rPr>
          <w:rFonts w:hint="eastAsia" w:ascii="Times New Roman" w:hAnsi="Times New Roman" w:eastAsia="仿宋_GB2312"/>
          <w:color w:val="000000" w:themeColor="text1"/>
          <w:sz w:val="32"/>
          <w:szCs w:val="32"/>
          <w14:textFill>
            <w14:solidFill>
              <w14:schemeClr w14:val="tx1"/>
            </w14:solidFill>
          </w14:textFill>
        </w:rPr>
        <w:t>、1个土壤采样点开展监测工作</w:t>
      </w:r>
      <w:r>
        <w:rPr>
          <w:rFonts w:ascii="Times New Roman" w:hAnsi="Times New Roman" w:eastAsia="仿宋_GB2312"/>
          <w:color w:val="000000" w:themeColor="text1"/>
          <w:sz w:val="32"/>
          <w:szCs w:val="32"/>
          <w14:textFill>
            <w14:solidFill>
              <w14:schemeClr w14:val="tx1"/>
            </w14:solidFill>
          </w14:textFill>
        </w:rPr>
        <w:t>。DA024</w:t>
      </w:r>
      <w:r>
        <w:rPr>
          <w:rFonts w:hint="eastAsia" w:ascii="Times New Roman" w:hAnsi="Times New Roman" w:eastAsia="仿宋_GB2312"/>
          <w:color w:val="000000" w:themeColor="text1"/>
          <w:sz w:val="32"/>
          <w:szCs w:val="32"/>
          <w14:textFill>
            <w14:solidFill>
              <w14:schemeClr w14:val="tx1"/>
            </w14:solidFill>
          </w14:textFill>
        </w:rPr>
        <w:t>应</w:t>
      </w:r>
      <w:r>
        <w:rPr>
          <w:rFonts w:ascii="Times New Roman" w:hAnsi="Times New Roman" w:eastAsia="仿宋_GB2312"/>
          <w:color w:val="000000" w:themeColor="text1"/>
          <w:sz w:val="32"/>
          <w:szCs w:val="32"/>
          <w14:textFill>
            <w14:solidFill>
              <w14:schemeClr w14:val="tx1"/>
            </w14:solidFill>
          </w14:textFill>
        </w:rPr>
        <w:t>安装VOCs、SO</w:t>
      </w:r>
      <w:r>
        <w:rPr>
          <w:rFonts w:ascii="Times New Roman" w:hAnsi="Times New Roman" w:eastAsia="仿宋_GB2312"/>
          <w:color w:val="000000" w:themeColor="text1"/>
          <w:sz w:val="32"/>
          <w:szCs w:val="32"/>
          <w:vertAlign w:val="subscript"/>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、NOx、颗粒物在线监测设施。废水总排放口安装流量、COD、氨氮在线监测设施。环保设备安装</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分表计电</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智能控制系统，并与生态环境部门联网。</w:t>
      </w:r>
      <w:r>
        <w:rPr>
          <w:rFonts w:hint="eastAsia" w:ascii="Times New Roman" w:hAnsi="Times New Roman" w:eastAsia="仿宋_GB2312"/>
          <w:color w:val="000000" w:themeColor="text1"/>
          <w:sz w:val="32"/>
          <w:szCs w:val="32"/>
          <w14:textFill>
            <w14:solidFill>
              <w14:schemeClr w14:val="tx1"/>
            </w14:solidFill>
          </w14:textFill>
        </w:rPr>
        <w:t>落实</w:t>
      </w:r>
      <w:r>
        <w:rPr>
          <w:rFonts w:ascii="Times New Roman" w:hAnsi="Times New Roman" w:eastAsia="仿宋_GB2312"/>
          <w:color w:val="000000" w:themeColor="text1"/>
          <w:sz w:val="32"/>
          <w:szCs w:val="32"/>
          <w14:textFill>
            <w14:solidFill>
              <w14:schemeClr w14:val="tx1"/>
            </w14:solidFill>
          </w14:textFill>
        </w:rPr>
        <w:t>凤翔小镇</w:t>
      </w:r>
      <w:r>
        <w:rPr>
          <w:rFonts w:hint="eastAsia" w:ascii="Times New Roman" w:hAnsi="Times New Roman" w:eastAsia="仿宋_GB2312"/>
          <w:color w:val="000000" w:themeColor="text1"/>
          <w:sz w:val="32"/>
          <w:szCs w:val="32"/>
          <w14:textFill>
            <w14:solidFill>
              <w14:schemeClr w14:val="tx1"/>
            </w14:solidFill>
          </w14:textFill>
        </w:rPr>
        <w:t>等敏感点</w:t>
      </w:r>
      <w:r>
        <w:rPr>
          <w:rFonts w:ascii="Times New Roman" w:hAnsi="Times New Roman" w:eastAsia="仿宋_GB2312"/>
          <w:color w:val="000000" w:themeColor="text1"/>
          <w:sz w:val="32"/>
          <w:szCs w:val="32"/>
          <w14:textFill>
            <w14:solidFill>
              <w14:schemeClr w14:val="tx1"/>
            </w14:solidFill>
          </w14:textFill>
        </w:rPr>
        <w:t>年度甲醇、氨、硫化氢、NMHC、颗粒物的环境达标情况监测</w:t>
      </w:r>
      <w:r>
        <w:rPr>
          <w:rFonts w:hint="eastAsia" w:ascii="Times New Roman" w:hAnsi="Times New Roman" w:eastAsia="仿宋_GB2312"/>
          <w:color w:val="000000" w:themeColor="text1"/>
          <w:sz w:val="32"/>
          <w:szCs w:val="32"/>
          <w14:textFill>
            <w14:solidFill>
              <w14:schemeClr w14:val="tx1"/>
            </w14:solidFill>
          </w14:textFill>
        </w:rPr>
        <w:t>要求</w:t>
      </w:r>
      <w:r>
        <w:rPr>
          <w:rFonts w:ascii="Times New Roman" w:hAnsi="Times New Roman" w:eastAsia="仿宋_GB2312"/>
          <w:color w:val="000000" w:themeColor="text1"/>
          <w:sz w:val="32"/>
          <w:szCs w:val="32"/>
          <w14:textFill>
            <w14:solidFill>
              <w14:schemeClr w14:val="tx1"/>
            </w14:solidFill>
          </w14:textFill>
        </w:rPr>
        <w:t>。</w:t>
      </w:r>
    </w:p>
    <w:p w14:paraId="146E8D7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（八）强化环境风险防范和应急措施。</w:t>
      </w:r>
      <w:r>
        <w:rPr>
          <w:rFonts w:hint="eastAsia" w:ascii="Times New Roman" w:hAnsi="Times New Roman" w:eastAsia="仿宋_GB2312"/>
          <w:color w:val="000000" w:themeColor="text1"/>
          <w:sz w:val="32"/>
          <w:szCs w:val="32"/>
          <w14:textFill>
            <w14:solidFill>
              <w14:schemeClr w14:val="tx1"/>
            </w14:solidFill>
          </w14:textFill>
        </w:rPr>
        <w:t>要</w:t>
      </w:r>
      <w:r>
        <w:rPr>
          <w:rFonts w:ascii="Times New Roman" w:hAnsi="Times New Roman" w:eastAsia="仿宋_GB2312"/>
          <w:color w:val="000000" w:themeColor="text1"/>
          <w:sz w:val="32"/>
          <w:szCs w:val="32"/>
          <w14:textFill>
            <w14:solidFill>
              <w14:schemeClr w14:val="tx1"/>
            </w14:solidFill>
          </w14:textFill>
        </w:rPr>
        <w:t>建立从污染源头、过程处理和最终排放的防控体系，设置“单元--厂区--园区</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事故废水三级防控措施，确保事故废水不外流出园区。采取源头控制和分区防渗措施，防止对地下水的污染。罐区、装置区、管线等须采取密封防泄漏措施。环境风险源重点区域须安装可燃气体报警器及有毒气体报警器，自动控制，联锁装置及自动切断系统等，</w:t>
      </w:r>
      <w:r>
        <w:rPr>
          <w:rFonts w:hint="eastAsia" w:ascii="Times New Roman" w:hAnsi="Times New Roman" w:eastAsia="仿宋_GB2312"/>
          <w:color w:val="000000" w:themeColor="text1"/>
          <w:sz w:val="32"/>
          <w:szCs w:val="32"/>
          <w14:textFill>
            <w14:solidFill>
              <w14:schemeClr w14:val="tx1"/>
            </w14:solidFill>
          </w14:textFill>
        </w:rPr>
        <w:t>并</w:t>
      </w:r>
      <w:r>
        <w:rPr>
          <w:rFonts w:ascii="Times New Roman" w:hAnsi="Times New Roman" w:eastAsia="仿宋_GB2312"/>
          <w:color w:val="000000" w:themeColor="text1"/>
          <w:sz w:val="32"/>
          <w:szCs w:val="32"/>
          <w14:textFill>
            <w14:solidFill>
              <w14:schemeClr w14:val="tx1"/>
            </w14:solidFill>
          </w14:textFill>
        </w:rPr>
        <w:t>配套喷淋消防系统、事故引风喷淋系统</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泡沫覆盖、储罐区均须设置围堰。</w:t>
      </w:r>
      <w:r>
        <w:rPr>
          <w:rFonts w:hint="eastAsia" w:ascii="Times New Roman" w:hAnsi="Times New Roman" w:eastAsia="仿宋_GB2312"/>
          <w:color w:val="000000" w:themeColor="text1"/>
          <w:sz w:val="32"/>
          <w:szCs w:val="32"/>
          <w14:textFill>
            <w14:solidFill>
              <w14:schemeClr w14:val="tx1"/>
            </w14:solidFill>
          </w14:textFill>
        </w:rPr>
        <w:t>修订</w:t>
      </w:r>
      <w:r>
        <w:rPr>
          <w:rFonts w:ascii="Times New Roman" w:hAnsi="Times New Roman" w:eastAsia="仿宋_GB2312"/>
          <w:color w:val="000000" w:themeColor="text1"/>
          <w:sz w:val="32"/>
          <w:szCs w:val="32"/>
          <w14:textFill>
            <w14:solidFill>
              <w14:schemeClr w14:val="tx1"/>
            </w14:solidFill>
          </w14:textFill>
        </w:rPr>
        <w:t>突发环境事件应急预案报枣庄市生态环境局</w:t>
      </w:r>
      <w:r>
        <w:rPr>
          <w:rFonts w:hint="eastAsia" w:ascii="Times New Roman" w:hAnsi="Times New Roman" w:eastAsia="仿宋_GB2312"/>
          <w:color w:val="000000" w:themeColor="text1"/>
          <w:sz w:val="32"/>
          <w:szCs w:val="32"/>
          <w14:textFill>
            <w14:solidFill>
              <w14:schemeClr w14:val="tx1"/>
            </w14:solidFill>
          </w14:textFill>
        </w:rPr>
        <w:t>滕州</w:t>
      </w:r>
      <w:r>
        <w:rPr>
          <w:rFonts w:ascii="Times New Roman" w:hAnsi="Times New Roman" w:eastAsia="仿宋_GB2312"/>
          <w:color w:val="000000" w:themeColor="text1"/>
          <w:sz w:val="32"/>
          <w:szCs w:val="32"/>
          <w14:textFill>
            <w14:solidFill>
              <w14:schemeClr w14:val="tx1"/>
            </w14:solidFill>
          </w14:textFill>
        </w:rPr>
        <w:t>分局备案，切实加强事故应急处理及防范能力，确保环境安全。履行安全生产法定职责，对环保设施和项目开展安全风险辨识管理，健全内部管理责任制度，严格依据标准规范建设环保设施和项目，符合安全生产、事故防范的相关规定。</w:t>
      </w:r>
    </w:p>
    <w:p w14:paraId="41B4253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bCs/>
          <w:color w:val="000000" w:themeColor="text1"/>
          <w:sz w:val="32"/>
          <w:szCs w:val="32"/>
          <w14:textFill>
            <w14:solidFill>
              <w14:schemeClr w14:val="tx1"/>
            </w14:solidFill>
          </w14:textFill>
        </w:rPr>
        <w:t>九</w:t>
      </w:r>
      <w:r>
        <w:rPr>
          <w:rFonts w:hint="eastAsia" w:ascii="Times New Roman" w:hAnsi="Times New Roman" w:eastAsia="仿宋_GB2312" w:cs="仿宋_GB2312"/>
          <w:color w:val="000000" w:themeColor="text1"/>
          <w:sz w:val="32"/>
          <w:szCs w:val="32"/>
          <w14:textFill>
            <w14:solidFill>
              <w14:schemeClr w14:val="tx1"/>
            </w14:solidFill>
          </w14:textFill>
        </w:rPr>
        <w:t>）拟建项目建成运营后，丁醇界区废气通过0号废气燃烧炉处理后外排的颗粒物、氮氧化物、VOCs</w:t>
      </w:r>
      <w:r>
        <w:rPr>
          <w:rFonts w:hint="eastAsia" w:ascii="Times New Roman" w:hAnsi="Times New Roman" w:eastAsia="仿宋_GB2312" w:cs="仿宋_GB2312"/>
          <w:color w:val="000000" w:themeColor="text1"/>
          <w:sz w:val="32"/>
          <w:szCs w:val="32"/>
          <w:lang w:eastAsia="zh-CN"/>
          <w14:textFill>
            <w14:solidFill>
              <w14:schemeClr w14:val="tx1"/>
            </w14:solidFill>
          </w14:textFill>
        </w:rPr>
        <w:t>须</w:t>
      </w:r>
      <w:r>
        <w:rPr>
          <w:rFonts w:hint="eastAsia" w:ascii="Times New Roman" w:hAnsi="Times New Roman" w:eastAsia="仿宋_GB2312" w:cs="仿宋_GB2312"/>
          <w:color w:val="000000" w:themeColor="text1"/>
          <w:sz w:val="32"/>
          <w:szCs w:val="32"/>
          <w14:textFill>
            <w14:solidFill>
              <w14:schemeClr w14:val="tx1"/>
            </w14:solidFill>
          </w14:textFill>
        </w:rPr>
        <w:t>分别控制在0.009t/a、0.3706t/a、0.198t/a之内。</w:t>
      </w:r>
    </w:p>
    <w:p w14:paraId="6C03958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color w:val="000000" w:themeColor="text1"/>
          <w:lang w:val="en-US"/>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项目新增循环排污水</w:t>
      </w:r>
      <w:r>
        <w:rPr>
          <w:rFonts w:hint="eastAsia" w:ascii="Times New Roman" w:hAnsi="Times New Roman" w:eastAsia="仿宋_GB2312" w:cs="仿宋_GB2312"/>
          <w:color w:val="000000" w:themeColor="text1"/>
          <w:sz w:val="32"/>
          <w:szCs w:val="32"/>
          <w14:textFill>
            <w14:solidFill>
              <w14:schemeClr w14:val="tx1"/>
            </w14:solidFill>
          </w14:textFill>
        </w:rPr>
        <w:t>COD、氨氮</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纳管量</w:t>
      </w:r>
      <w:r>
        <w:rPr>
          <w:rFonts w:hint="eastAsia" w:ascii="Times New Roman" w:hAnsi="Times New Roman" w:eastAsia="仿宋_GB2312" w:cs="仿宋_GB2312"/>
          <w:color w:val="000000" w:themeColor="text1"/>
          <w:sz w:val="32"/>
          <w:szCs w:val="32"/>
          <w14:textFill>
            <w14:solidFill>
              <w14:schemeClr w14:val="tx1"/>
            </w14:solidFill>
          </w14:textFill>
        </w:rPr>
        <w:t>分别为</w:t>
      </w:r>
      <w:r>
        <w:rPr>
          <w:rFonts w:hint="eastAsia" w:ascii="Times New Roman" w:hAnsi="Times New Roman" w:eastAsia="仿宋_GB2312" w:cs="仿宋_GB2312"/>
          <w:color w:val="000000" w:themeColor="text1"/>
          <w:sz w:val="32"/>
          <w:szCs w:val="32"/>
          <w:highlight w:val="none"/>
          <w14:textFill>
            <w14:solidFill>
              <w14:schemeClr w14:val="tx1"/>
            </w14:solidFill>
          </w14:textFill>
        </w:rPr>
        <w:t>1.404t/a、0.03</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8</w:t>
      </w:r>
      <w:r>
        <w:rPr>
          <w:rFonts w:hint="eastAsia" w:ascii="Times New Roman" w:hAnsi="Times New Roman" w:eastAsia="仿宋_GB2312" w:cs="仿宋_GB2312"/>
          <w:color w:val="000000" w:themeColor="text1"/>
          <w:sz w:val="32"/>
          <w:szCs w:val="32"/>
          <w:highlight w:val="none"/>
          <w14:textFill>
            <w14:solidFill>
              <w14:schemeClr w14:val="tx1"/>
            </w14:solidFill>
          </w14:textFill>
        </w:rPr>
        <w:t>t/a</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该部分废水近期</w:t>
      </w:r>
      <w:r>
        <w:rPr>
          <w:rFonts w:hint="eastAsia" w:ascii="Times New Roman" w:hAnsi="Times New Roman" w:eastAsia="仿宋_GB2312"/>
          <w:color w:val="000000" w:themeColor="text1"/>
          <w:sz w:val="32"/>
          <w:szCs w:val="32"/>
          <w:lang w:val="en-US" w:eastAsia="zh-CN"/>
          <w14:textFill>
            <w14:solidFill>
              <w14:schemeClr w14:val="tx1"/>
            </w14:solidFill>
          </w14:textFill>
        </w:rPr>
        <w:t>排入</w:t>
      </w:r>
      <w:r>
        <w:rPr>
          <w:rFonts w:hint="eastAsia" w:ascii="Times New Roman" w:hAnsi="Times New Roman" w:eastAsia="仿宋_GB2312"/>
          <w:color w:val="000000" w:themeColor="text1"/>
          <w:sz w:val="32"/>
          <w:szCs w:val="32"/>
          <w:highlight w:val="none"/>
          <w14:textFill>
            <w14:solidFill>
              <w14:schemeClr w14:val="tx1"/>
            </w14:solidFill>
          </w14:textFill>
        </w:rPr>
        <w:t>园区新污水处理厂</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（山东鲁南园区投资建设有限公司）</w:t>
      </w:r>
      <w:r>
        <w:rPr>
          <w:rFonts w:hint="eastAsia" w:ascii="Times New Roman" w:hAnsi="Times New Roman" w:eastAsia="仿宋_GB2312"/>
          <w:color w:val="000000" w:themeColor="text1"/>
          <w:sz w:val="32"/>
          <w:szCs w:val="32"/>
          <w:highlight w:val="none"/>
          <w14:textFill>
            <w14:solidFill>
              <w14:schemeClr w14:val="tx1"/>
            </w14:solidFill>
          </w14:textFill>
        </w:rPr>
        <w:t>处理</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直排外环境的</w:t>
      </w:r>
      <w:r>
        <w:rPr>
          <w:rFonts w:hint="eastAsia" w:ascii="Times New Roman" w:hAnsi="Times New Roman" w:eastAsia="仿宋_GB2312" w:cs="仿宋_GB2312"/>
          <w:color w:val="000000" w:themeColor="text1"/>
          <w:sz w:val="32"/>
          <w:szCs w:val="32"/>
          <w14:textFill>
            <w14:solidFill>
              <w14:schemeClr w14:val="tx1"/>
            </w14:solidFill>
          </w14:textFill>
        </w:rPr>
        <w:t>COD、氨氮</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量</w:t>
      </w:r>
      <w:r>
        <w:rPr>
          <w:rFonts w:hint="eastAsia" w:ascii="Times New Roman" w:hAnsi="Times New Roman" w:eastAsia="仿宋_GB2312" w:cs="仿宋_GB2312"/>
          <w:color w:val="000000" w:themeColor="text1"/>
          <w:sz w:val="32"/>
          <w:szCs w:val="32"/>
          <w14:textFill>
            <w14:solidFill>
              <w14:schemeClr w14:val="tx1"/>
            </w14:solidFill>
          </w14:textFill>
        </w:rPr>
        <w:t>分别为</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1.276</w:t>
      </w:r>
      <w:r>
        <w:rPr>
          <w:rFonts w:hint="eastAsia" w:ascii="Times New Roman" w:hAnsi="Times New Roman" w:eastAsia="仿宋_GB2312" w:cs="仿宋_GB2312"/>
          <w:color w:val="000000" w:themeColor="text1"/>
          <w:sz w:val="32"/>
          <w:szCs w:val="32"/>
          <w:highlight w:val="none"/>
          <w14:textFill>
            <w14:solidFill>
              <w14:schemeClr w14:val="tx1"/>
            </w14:solidFill>
          </w14:textFill>
        </w:rPr>
        <w:t>t/a、</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0.038</w:t>
      </w:r>
      <w:r>
        <w:rPr>
          <w:rFonts w:hint="eastAsia" w:ascii="Times New Roman" w:hAnsi="Times New Roman" w:eastAsia="仿宋_GB2312" w:cs="仿宋_GB2312"/>
          <w:color w:val="000000" w:themeColor="text1"/>
          <w:sz w:val="32"/>
          <w:szCs w:val="32"/>
          <w:highlight w:val="none"/>
          <w14:textFill>
            <w14:solidFill>
              <w14:schemeClr w14:val="tx1"/>
            </w14:solidFill>
          </w14:textFill>
        </w:rPr>
        <w:t>t/a</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从</w:t>
      </w:r>
      <w:r>
        <w:rPr>
          <w:rFonts w:hint="eastAsia" w:ascii="Times New Roman" w:hAnsi="Times New Roman" w:eastAsia="仿宋_GB2312"/>
          <w:color w:val="000000" w:themeColor="text1"/>
          <w:sz w:val="32"/>
          <w:szCs w:val="32"/>
          <w:highlight w:val="none"/>
          <w14:textFill>
            <w14:solidFill>
              <w14:schemeClr w14:val="tx1"/>
            </w14:solidFill>
          </w14:textFill>
        </w:rPr>
        <w:t>园区新污水处理厂</w:t>
      </w:r>
      <w:r>
        <w:rPr>
          <w:rFonts w:hint="eastAsia" w:ascii="Times New Roman" w:hAnsi="Times New Roman" w:eastAsia="仿宋_GB2312" w:cs="仿宋_GB2312"/>
          <w:color w:val="000000" w:themeColor="text1"/>
          <w:sz w:val="32"/>
          <w:szCs w:val="32"/>
          <w14:textFill>
            <w14:solidFill>
              <w14:schemeClr w14:val="tx1"/>
            </w14:solidFill>
          </w14:textFill>
        </w:rPr>
        <w:t>总量指标中解决</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待</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鲁化净水厂提标改造</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完成</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该部分水排入</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鲁化净水厂</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处理后作为中水回用不外排。</w:t>
      </w:r>
    </w:p>
    <w:p w14:paraId="4EE7C14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bCs/>
          <w:color w:val="000000" w:themeColor="text1"/>
          <w:sz w:val="32"/>
          <w:szCs w:val="32"/>
          <w14:textFill>
            <w14:solidFill>
              <w14:schemeClr w14:val="tx1"/>
            </w14:solidFill>
          </w14:textFill>
        </w:rPr>
        <w:t>（</w:t>
      </w:r>
      <w:r>
        <w:rPr>
          <w:rFonts w:hint="eastAsia" w:ascii="Times New Roman" w:hAnsi="Times New Roman" w:eastAsia="仿宋_GB2312"/>
          <w:bCs/>
          <w:color w:val="000000" w:themeColor="text1"/>
          <w:sz w:val="32"/>
          <w:szCs w:val="32"/>
          <w14:textFill>
            <w14:solidFill>
              <w14:schemeClr w14:val="tx1"/>
            </w14:solidFill>
          </w14:textFill>
        </w:rPr>
        <w:t>十</w:t>
      </w:r>
      <w:r>
        <w:rPr>
          <w:rFonts w:ascii="Times New Roman" w:hAnsi="Times New Roman" w:eastAsia="仿宋_GB2312"/>
          <w:bCs/>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强化环境信息公开与公众参与机制。在项目运营过程中，按规定发布企业环境保护信息，自觉接受社会监督。建立畅通的公众参与渠道，加强宣传与沟通工作，及时解决公众</w:t>
      </w:r>
      <w:r>
        <w:rPr>
          <w:rFonts w:ascii="Times New Roman" w:hAnsi="Times New Roman" w:eastAsia="仿宋_GB2312"/>
          <w:sz w:val="32"/>
          <w:szCs w:val="32"/>
        </w:rPr>
        <w:t>反映的环境问题，满足公众合理的环境保护要求</w:t>
      </w:r>
      <w:r>
        <w:rPr>
          <w:rStyle w:val="22"/>
          <w:rFonts w:ascii="Times New Roman" w:hAnsi="Times New Roman" w:eastAsia="仿宋_GB2312"/>
        </w:rPr>
        <w:t>。</w:t>
      </w:r>
      <w:r>
        <w:rPr>
          <w:rFonts w:ascii="Times New Roman" w:hAnsi="Times New Roman" w:eastAsia="仿宋_GB2312"/>
          <w:sz w:val="32"/>
          <w:szCs w:val="32"/>
        </w:rPr>
        <w:t xml:space="preserve"> </w:t>
      </w:r>
    </w:p>
    <w:p w14:paraId="60328421">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eastAsia="仿宋_GB2312"/>
          <w:sz w:val="32"/>
          <w:szCs w:val="32"/>
        </w:rPr>
        <w:t>三、你公司必须严格执行配套建设的环境保护设施与主体项目同时设计、同时施工、同时投入使用的</w:t>
      </w:r>
      <w:r>
        <w:rPr>
          <w:rFonts w:hint="eastAsia" w:eastAsia="仿宋_GB2312"/>
          <w:sz w:val="32"/>
          <w:szCs w:val="32"/>
        </w:rPr>
        <w:t>“</w:t>
      </w:r>
      <w:r>
        <w:rPr>
          <w:rFonts w:eastAsia="仿宋_GB2312"/>
          <w:sz w:val="32"/>
          <w:szCs w:val="32"/>
        </w:rPr>
        <w:t>三同时</w:t>
      </w:r>
      <w:r>
        <w:rPr>
          <w:rFonts w:hint="eastAsia" w:eastAsia="仿宋_GB2312"/>
          <w:sz w:val="32"/>
          <w:szCs w:val="32"/>
        </w:rPr>
        <w:t>”</w:t>
      </w:r>
      <w:r>
        <w:rPr>
          <w:rFonts w:eastAsia="仿宋_GB2312"/>
          <w:sz w:val="32"/>
          <w:szCs w:val="32"/>
        </w:rPr>
        <w:t>制度，落实各项环境保护措施。项目建成后，须按规定程序实施竣工环境保护验收（前述环保措施未落实前，不得通过验收和投入生产）。项目建设运行中应遵循环评报告书相关要求。</w:t>
      </w:r>
    </w:p>
    <w:p w14:paraId="277FB5C0">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eastAsia="仿宋_GB2312"/>
          <w:sz w:val="32"/>
          <w:szCs w:val="32"/>
        </w:rPr>
        <w:t xml:space="preserve">四、环境影响报告书经批准后，项目的性质、规模、地点、生产工艺或者防治污染、防止生态破坏的措施发生重大变动的，应当重新报批该项目的环境影响报告书。自环境影响报告书批复文件批准之日起，如超过5年项目才开工的，应当在开工前将环境影响报告书报批重新审核。如根据法律法规等相关规定需要进行更严格要求的，实行从严管理。 </w:t>
      </w:r>
    </w:p>
    <w:p w14:paraId="5E39AFC4">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eastAsia="仿宋_GB2312"/>
          <w:sz w:val="32"/>
          <w:szCs w:val="32"/>
        </w:rPr>
        <w:t>五、由枣庄市生态环境保护综合执法支队和枣庄市生态环境局</w:t>
      </w:r>
      <w:r>
        <w:rPr>
          <w:rFonts w:hint="eastAsia" w:eastAsia="仿宋_GB2312"/>
          <w:sz w:val="32"/>
          <w:szCs w:val="32"/>
        </w:rPr>
        <w:t>滕州</w:t>
      </w:r>
      <w:r>
        <w:rPr>
          <w:rFonts w:eastAsia="仿宋_GB2312"/>
          <w:sz w:val="32"/>
          <w:szCs w:val="32"/>
        </w:rPr>
        <w:t>分局负责该项目的</w:t>
      </w:r>
      <w:r>
        <w:rPr>
          <w:rFonts w:hint="eastAsia" w:eastAsia="仿宋_GB2312"/>
          <w:sz w:val="32"/>
          <w:szCs w:val="32"/>
        </w:rPr>
        <w:t>“</w:t>
      </w:r>
      <w:r>
        <w:rPr>
          <w:rFonts w:eastAsia="仿宋_GB2312"/>
          <w:sz w:val="32"/>
          <w:szCs w:val="32"/>
        </w:rPr>
        <w:t>三同时</w:t>
      </w:r>
      <w:r>
        <w:rPr>
          <w:rFonts w:hint="eastAsia" w:eastAsia="仿宋_GB2312"/>
          <w:sz w:val="32"/>
          <w:szCs w:val="32"/>
        </w:rPr>
        <w:t>”</w:t>
      </w:r>
      <w:r>
        <w:rPr>
          <w:rFonts w:eastAsia="仿宋_GB2312"/>
          <w:sz w:val="32"/>
          <w:szCs w:val="32"/>
        </w:rPr>
        <w:t xml:space="preserve">监督检查和日常管理工作。 </w:t>
      </w:r>
    </w:p>
    <w:p w14:paraId="39CA6B37">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eastAsia="仿宋_GB2312"/>
          <w:sz w:val="32"/>
          <w:szCs w:val="32"/>
        </w:rPr>
        <w:t>六、你公司应在接到本批复后10个工作日内，将批准后的环境影响报告书送枣庄市生态环境局</w:t>
      </w:r>
      <w:r>
        <w:rPr>
          <w:rFonts w:hint="eastAsia" w:eastAsia="仿宋_GB2312"/>
          <w:sz w:val="32"/>
          <w:szCs w:val="32"/>
        </w:rPr>
        <w:t>滕州</w:t>
      </w:r>
      <w:r>
        <w:rPr>
          <w:rFonts w:eastAsia="仿宋_GB2312"/>
          <w:sz w:val="32"/>
          <w:szCs w:val="32"/>
        </w:rPr>
        <w:t xml:space="preserve">分局，并按规定接受各级生态环境部门的监督检查。 </w:t>
      </w:r>
    </w:p>
    <w:p w14:paraId="408E2560">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eastAsia="仿宋_GB2312"/>
          <w:sz w:val="32"/>
          <w:szCs w:val="32"/>
        </w:rPr>
        <w:t>七、如有符合《中华人民共和国行政许可法》第七十八条</w:t>
      </w:r>
      <w:r>
        <w:rPr>
          <w:rFonts w:hint="eastAsia" w:eastAsia="仿宋_GB2312"/>
          <w:sz w:val="32"/>
          <w:szCs w:val="32"/>
        </w:rPr>
        <w:t>“</w:t>
      </w:r>
      <w:r>
        <w:rPr>
          <w:rFonts w:eastAsia="仿宋_GB2312"/>
          <w:sz w:val="32"/>
          <w:szCs w:val="32"/>
        </w:rPr>
        <w:t>行政许可申请人隐瞒有关情况或者提供虚假材料申请行政许可，行政机关应不予受理或者不予行政许可情形</w:t>
      </w:r>
      <w:r>
        <w:rPr>
          <w:rFonts w:hint="eastAsia" w:eastAsia="仿宋_GB2312"/>
          <w:sz w:val="32"/>
          <w:szCs w:val="32"/>
        </w:rPr>
        <w:t>”</w:t>
      </w:r>
      <w:r>
        <w:rPr>
          <w:rFonts w:eastAsia="仿宋_GB2312"/>
          <w:sz w:val="32"/>
          <w:szCs w:val="32"/>
        </w:rPr>
        <w:t>或不符合相关法律法规规定要求的，本批复自始自然作废。</w:t>
      </w:r>
    </w:p>
    <w:p w14:paraId="6BBA5D0E">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p>
    <w:p w14:paraId="5FAAFCDD">
      <w:pPr>
        <w:keepNext w:val="0"/>
        <w:keepLines w:val="0"/>
        <w:pageBreakBefore w:val="0"/>
        <w:kinsoku/>
        <w:wordWrap w:val="0"/>
        <w:overflowPunct/>
        <w:topLinePunct w:val="0"/>
        <w:autoSpaceDE/>
        <w:autoSpaceDN/>
        <w:bidi w:val="0"/>
        <w:spacing w:line="560" w:lineRule="exact"/>
        <w:ind w:firstLine="640" w:firstLineChars="200"/>
        <w:jc w:val="right"/>
        <w:rPr>
          <w:rFonts w:ascii="Times New Roman" w:hAnsi="Times New Roman" w:eastAsia="仿宋_GB2312"/>
          <w:sz w:val="32"/>
          <w:szCs w:val="32"/>
        </w:rPr>
      </w:pPr>
      <w:r>
        <w:rPr>
          <w:rFonts w:ascii="Times New Roman" w:hAnsi="Times New Roman" w:eastAsia="仿宋_GB2312"/>
          <w:sz w:val="32"/>
          <w:szCs w:val="32"/>
        </w:rPr>
        <w:t>枣庄市生态环境局</w:t>
      </w:r>
      <w:r>
        <w:rPr>
          <w:rFonts w:hint="eastAsia" w:ascii="Times New Roman" w:hAnsi="Times New Roman" w:eastAsia="仿宋_GB2312"/>
          <w:sz w:val="32"/>
          <w:szCs w:val="32"/>
        </w:rPr>
        <w:t xml:space="preserve">    </w:t>
      </w:r>
    </w:p>
    <w:p w14:paraId="5228BF03">
      <w:pPr>
        <w:keepNext w:val="0"/>
        <w:keepLines w:val="0"/>
        <w:pageBreakBefore w:val="0"/>
        <w:kinsoku/>
        <w:wordWrap w:val="0"/>
        <w:overflowPunct/>
        <w:topLinePunct w:val="0"/>
        <w:autoSpaceDE/>
        <w:autoSpaceDN/>
        <w:bidi w:val="0"/>
        <w:spacing w:line="560" w:lineRule="exact"/>
        <w:ind w:firstLine="640" w:firstLineChars="200"/>
        <w:jc w:val="right"/>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5</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0</w:t>
      </w:r>
      <w:r>
        <w:rPr>
          <w:rFonts w:ascii="Times New Roman" w:hAnsi="Times New Roman" w:eastAsia="仿宋_GB2312"/>
          <w:sz w:val="32"/>
          <w:szCs w:val="32"/>
        </w:rPr>
        <w:t>月</w:t>
      </w:r>
      <w:r>
        <w:rPr>
          <w:rFonts w:hint="eastAsia" w:ascii="Times New Roman" w:hAnsi="Times New Roman" w:eastAsia="仿宋_GB2312"/>
          <w:sz w:val="32"/>
          <w:szCs w:val="32"/>
        </w:rPr>
        <w:t>3</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日</w:t>
      </w:r>
      <w:r>
        <w:rPr>
          <w:rFonts w:hint="eastAsia" w:ascii="Times New Roman" w:hAnsi="Times New Roman" w:eastAsia="仿宋_GB2312"/>
          <w:sz w:val="32"/>
          <w:szCs w:val="32"/>
        </w:rPr>
        <w:t xml:space="preserve">    </w:t>
      </w:r>
    </w:p>
    <w:p w14:paraId="3F588520">
      <w:pPr>
        <w:wordWrap w:val="0"/>
        <w:spacing w:line="560" w:lineRule="exact"/>
        <w:ind w:firstLine="640" w:firstLineChars="200"/>
        <w:jc w:val="right"/>
        <w:rPr>
          <w:rFonts w:hint="eastAsia" w:ascii="Times New Roman" w:hAnsi="Times New Roman" w:eastAsia="仿宋_GB2312"/>
          <w:sz w:val="32"/>
          <w:szCs w:val="32"/>
        </w:rPr>
      </w:pPr>
    </w:p>
    <w:p w14:paraId="51164A57">
      <w:pPr>
        <w:pStyle w:val="2"/>
        <w:wordWrap/>
        <w:rPr>
          <w:rFonts w:hint="eastAsia"/>
        </w:rPr>
      </w:pPr>
    </w:p>
    <w:p w14:paraId="059A96A7">
      <w:pPr>
        <w:rPr>
          <w:rFonts w:hint="eastAsia"/>
        </w:rPr>
      </w:pPr>
    </w:p>
    <w:p w14:paraId="4193BCFE">
      <w:pPr>
        <w:pStyle w:val="2"/>
        <w:rPr>
          <w:rFonts w:hint="eastAsia"/>
        </w:rPr>
      </w:pPr>
    </w:p>
    <w:p w14:paraId="20570F9F">
      <w:pPr>
        <w:wordWrap w:val="0"/>
        <w:spacing w:line="560" w:lineRule="exact"/>
        <w:ind w:firstLine="640" w:firstLineChars="200"/>
        <w:jc w:val="right"/>
        <w:rPr>
          <w:rFonts w:hint="eastAsia" w:ascii="Times New Roman" w:hAnsi="Times New Roman" w:eastAsia="仿宋_GB2312"/>
          <w:sz w:val="32"/>
          <w:szCs w:val="32"/>
        </w:rPr>
      </w:pPr>
    </w:p>
    <w:p w14:paraId="33E2FB7A">
      <w:pPr>
        <w:wordWrap w:val="0"/>
        <w:spacing w:line="560" w:lineRule="exact"/>
        <w:ind w:firstLine="640" w:firstLineChars="200"/>
        <w:jc w:val="right"/>
        <w:rPr>
          <w:rFonts w:hint="eastAsia" w:ascii="Times New Roman" w:hAnsi="Times New Roman" w:eastAsia="仿宋_GB2312"/>
          <w:sz w:val="32"/>
          <w:szCs w:val="32"/>
        </w:rPr>
      </w:pPr>
    </w:p>
    <w:p w14:paraId="44C24B90">
      <w:pPr>
        <w:wordWrap w:val="0"/>
        <w:spacing w:line="560" w:lineRule="exact"/>
        <w:ind w:firstLine="640" w:firstLineChars="200"/>
        <w:jc w:val="right"/>
        <w:rPr>
          <w:rFonts w:hint="eastAsia" w:ascii="Times New Roman" w:hAnsi="Times New Roman" w:eastAsia="仿宋_GB2312"/>
          <w:sz w:val="32"/>
          <w:szCs w:val="32"/>
        </w:rPr>
      </w:pPr>
    </w:p>
    <w:p w14:paraId="23737209">
      <w:pPr>
        <w:wordWrap w:val="0"/>
        <w:spacing w:line="560" w:lineRule="exact"/>
        <w:ind w:firstLine="640" w:firstLineChars="200"/>
        <w:jc w:val="right"/>
        <w:rPr>
          <w:rFonts w:hint="eastAsia" w:ascii="Times New Roman" w:hAnsi="Times New Roman" w:eastAsia="仿宋_GB2312"/>
          <w:sz w:val="32"/>
          <w:szCs w:val="32"/>
        </w:rPr>
      </w:pPr>
    </w:p>
    <w:p w14:paraId="2D84B38B">
      <w:pPr>
        <w:wordWrap w:val="0"/>
        <w:spacing w:line="560" w:lineRule="exact"/>
        <w:ind w:firstLine="640" w:firstLineChars="200"/>
        <w:jc w:val="right"/>
        <w:rPr>
          <w:rFonts w:hint="eastAsia" w:ascii="Times New Roman" w:hAnsi="Times New Roman" w:eastAsia="仿宋_GB2312"/>
          <w:sz w:val="32"/>
          <w:szCs w:val="32"/>
        </w:rPr>
      </w:pPr>
    </w:p>
    <w:p w14:paraId="4F03EEB0">
      <w:pPr>
        <w:wordWrap w:val="0"/>
        <w:spacing w:line="560" w:lineRule="exact"/>
        <w:jc w:val="both"/>
        <w:rPr>
          <w:rFonts w:ascii="Times New Roman" w:hAnsi="Times New Roman" w:eastAsia="仿宋_GB2312"/>
          <w:highlight w:val="yellow"/>
        </w:rPr>
      </w:pPr>
      <w:r>
        <w:rPr>
          <w:rFonts w:hint="eastAsia" w:ascii="Times New Roman" w:hAnsi="Times New Roman" w:eastAsia="仿宋_GB2312"/>
          <w:sz w:val="32"/>
          <w:szCs w:val="32"/>
        </w:rPr>
        <w:t xml:space="preserve">   </w:t>
      </w:r>
    </w:p>
    <w:p w14:paraId="7A2579A7">
      <w:pPr>
        <w:spacing w:line="420" w:lineRule="exact"/>
        <w:jc w:val="left"/>
        <w:rPr>
          <w:rFonts w:ascii="Times New Roman" w:hAnsi="Times New Roman" w:eastAsia="仿宋_GB2312"/>
          <w:color w:val="000000"/>
          <w:sz w:val="30"/>
          <w:szCs w:val="30"/>
        </w:rPr>
      </w:pPr>
      <w:r>
        <w:rPr>
          <w:rFonts w:ascii="Times New Roman" w:hAnsi="Times New Roman" w:eastAsia="仿宋_GB2312"/>
          <w:color w:val="000000"/>
          <w:sz w:val="30"/>
          <w:szCs w:val="30"/>
        </w:rPr>
        <w:t>主题词：环境影响评价  报告</w:t>
      </w:r>
      <w:r>
        <w:rPr>
          <w:rFonts w:hint="eastAsia" w:ascii="Times New Roman" w:hAnsi="Times New Roman" w:eastAsia="仿宋_GB2312"/>
          <w:color w:val="000000"/>
          <w:sz w:val="30"/>
          <w:szCs w:val="30"/>
        </w:rPr>
        <w:t>书</w:t>
      </w:r>
      <w:r>
        <w:rPr>
          <w:rFonts w:ascii="Times New Roman" w:hAnsi="Times New Roman" w:eastAsia="仿宋_GB2312"/>
          <w:color w:val="000000"/>
          <w:sz w:val="30"/>
          <w:szCs w:val="30"/>
        </w:rPr>
        <w:t xml:space="preserve">  批复</w:t>
      </w:r>
    </w:p>
    <w:tbl>
      <w:tblPr>
        <w:tblStyle w:val="15"/>
        <w:tblW w:w="89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14:paraId="2920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80" w:type="dxa"/>
            <w:tcBorders>
              <w:left w:val="nil"/>
              <w:right w:val="nil"/>
            </w:tcBorders>
            <w:vAlign w:val="center"/>
          </w:tcPr>
          <w:p w14:paraId="242F282B">
            <w:pPr>
              <w:spacing w:line="420" w:lineRule="exact"/>
              <w:rPr>
                <w:rFonts w:ascii="Times New Roman" w:hAnsi="Times New Roman" w:eastAsia="仿宋_GB2312"/>
                <w:color w:val="000000"/>
                <w:sz w:val="30"/>
                <w:szCs w:val="30"/>
              </w:rPr>
            </w:pPr>
            <w:r>
              <w:rPr>
                <w:rFonts w:ascii="Times New Roman" w:hAnsi="Times New Roman" w:eastAsia="仿宋_GB2312"/>
                <w:sz w:val="30"/>
                <w:szCs w:val="30"/>
              </w:rPr>
              <w:t>抄送：枣庄市应急管理局</w:t>
            </w:r>
            <w:r>
              <w:rPr>
                <w:rFonts w:hint="eastAsia" w:ascii="Times New Roman" w:hAnsi="Times New Roman" w:eastAsia="仿宋_GB2312"/>
                <w:sz w:val="30"/>
                <w:szCs w:val="30"/>
              </w:rPr>
              <w:t>、滕州分局</w:t>
            </w:r>
          </w:p>
        </w:tc>
      </w:tr>
    </w:tbl>
    <w:p w14:paraId="61FA8406">
      <w:pPr>
        <w:adjustRightInd w:val="0"/>
        <w:snapToGrid w:val="0"/>
        <w:spacing w:line="42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枣庄市生态环境局办公室             202</w:t>
      </w:r>
      <w:r>
        <w:rPr>
          <w:rFonts w:hint="eastAsia" w:ascii="Times New Roman" w:hAnsi="Times New Roman" w:eastAsia="仿宋_GB2312"/>
          <w:color w:val="000000"/>
          <w:sz w:val="30"/>
          <w:szCs w:val="30"/>
        </w:rPr>
        <w:t>5</w:t>
      </w:r>
      <w:r>
        <w:rPr>
          <w:rFonts w:ascii="Times New Roman" w:hAnsi="Times New Roman" w:eastAsia="仿宋_GB2312"/>
          <w:color w:val="000000"/>
          <w:sz w:val="30"/>
          <w:szCs w:val="30"/>
        </w:rPr>
        <w:t>年</w:t>
      </w:r>
      <w:r>
        <w:rPr>
          <w:rFonts w:hint="eastAsia" w:ascii="Times New Roman" w:hAnsi="Times New Roman" w:eastAsia="仿宋_GB2312"/>
          <w:color w:val="000000"/>
          <w:sz w:val="30"/>
          <w:szCs w:val="30"/>
        </w:rPr>
        <w:t>10</w:t>
      </w:r>
      <w:r>
        <w:rPr>
          <w:rFonts w:ascii="Times New Roman" w:hAnsi="Times New Roman" w:eastAsia="仿宋_GB2312"/>
          <w:color w:val="000000"/>
          <w:sz w:val="30"/>
          <w:szCs w:val="30"/>
        </w:rPr>
        <w:t>月</w:t>
      </w:r>
      <w:r>
        <w:rPr>
          <w:rFonts w:hint="eastAsia" w:ascii="Times New Roman" w:hAnsi="Times New Roman" w:eastAsia="仿宋_GB2312"/>
          <w:color w:val="000000"/>
          <w:sz w:val="30"/>
          <w:szCs w:val="30"/>
        </w:rPr>
        <w:t>31</w:t>
      </w:r>
      <w:r>
        <w:rPr>
          <w:rFonts w:ascii="Times New Roman" w:hAnsi="Times New Roman" w:eastAsia="仿宋_GB2312"/>
          <w:color w:val="000000"/>
          <w:sz w:val="30"/>
          <w:szCs w:val="30"/>
        </w:rPr>
        <w:t>日印</w:t>
      </w:r>
      <w:r>
        <w:rPr>
          <w:rFonts w:hint="eastAsia" w:ascii="Times New Roman" w:hAnsi="Times New Roman" w:eastAsia="仿宋_GB2312"/>
          <w:color w:val="000000"/>
          <w:sz w:val="30"/>
          <w:szCs w:val="30"/>
        </w:rPr>
        <w:t>发</w:t>
      </w:r>
    </w:p>
    <w:p w14:paraId="72A3FC85">
      <w:pPr>
        <w:adjustRightInd w:val="0"/>
        <w:snapToGrid w:val="0"/>
        <w:spacing w:line="420" w:lineRule="exact"/>
        <w:jc w:val="left"/>
        <w:rPr>
          <w:rFonts w:ascii="Times New Roman" w:hAnsi="Times New Roman" w:eastAsia="仿宋_GB2312"/>
        </w:rPr>
      </w:pPr>
      <w:r>
        <w:rPr>
          <w:rFonts w:ascii="Times New Roman" w:hAnsi="Times New Roman" w:eastAsia="仿宋_GB2312"/>
          <w:szCs w:val="21"/>
          <w:lang w:val="en"/>
        </w:rPr>
        <w:t>电子批复领取指</w:t>
      </w:r>
      <w:r>
        <w:rPr>
          <w:rFonts w:hint="eastAsia" w:ascii="Times New Roman" w:hAnsi="Times New Roman" w:eastAsia="仿宋_GB2312"/>
          <w:szCs w:val="21"/>
        </w:rPr>
        <w:t>南：</w:t>
      </w:r>
      <w:r>
        <w:rPr>
          <w:rFonts w:ascii="Times New Roman" w:hAnsi="Times New Roman" w:eastAsia="仿宋_GB2312"/>
          <w:szCs w:val="21"/>
          <w:lang w:val="en"/>
        </w:rPr>
        <w:t>http://sthjj.zaozhuang.gov.cn/sthjyw/hpsp/xmsp/202205/t20220531_1442654.html</w:t>
      </w:r>
    </w:p>
    <w:sectPr>
      <w:footerReference r:id="rId5" w:type="default"/>
      <w:pgSz w:w="11906" w:h="16838"/>
      <w:pgMar w:top="1984" w:right="1587" w:bottom="158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7AE6E28-2182-44BC-A7CE-CFCC394B2F1D}"/>
  </w:font>
  <w:font w:name="Tms Rmn">
    <w:altName w:val="Segoe Print"/>
    <w:panose1 w:val="02020603040505020304"/>
    <w:charset w:val="00"/>
    <w:family w:val="auto"/>
    <w:pitch w:val="default"/>
    <w:sig w:usb0="00000000" w:usb1="00000000" w:usb2="00000000" w:usb3="00000000" w:csb0="00000001" w:csb1="00000000"/>
  </w:font>
  <w:font w:name="Noto Serif Bengali">
    <w:altName w:val="PMingLiU-ExtB"/>
    <w:panose1 w:val="02020502040504020204"/>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embedRegular r:id="rId2" w:fontKey="{FEEAC533-85B6-453D-AE8A-69C2D4057E02}"/>
  </w:font>
  <w:font w:name="仿宋">
    <w:panose1 w:val="02010609060101010101"/>
    <w:charset w:val="86"/>
    <w:family w:val="modern"/>
    <w:pitch w:val="default"/>
    <w:sig w:usb0="800002BF" w:usb1="38CF7CFA" w:usb2="00000016" w:usb3="00000000" w:csb0="00040001" w:csb1="00000000"/>
    <w:embedRegular r:id="rId3" w:fontKey="{2414A621-0B4E-40D2-B8D3-025E288C476B}"/>
  </w:font>
  <w:font w:name="方正小标宋简体">
    <w:panose1 w:val="02000000000000000000"/>
    <w:charset w:val="86"/>
    <w:family w:val="auto"/>
    <w:pitch w:val="default"/>
    <w:sig w:usb0="00000001" w:usb1="08000000" w:usb2="00000000" w:usb3="00000000" w:csb0="00040000" w:csb1="00000000"/>
    <w:embedRegular r:id="rId4" w:fontKey="{F16FFDA4-4AB6-4FBD-A7E0-2261D6B1E508}"/>
  </w:font>
  <w:font w:name="仿宋_GB2312">
    <w:altName w:val="仿宋"/>
    <w:panose1 w:val="02010609030101010101"/>
    <w:charset w:val="86"/>
    <w:family w:val="modern"/>
    <w:pitch w:val="default"/>
    <w:sig w:usb0="00000000" w:usb1="00000000" w:usb2="00000000" w:usb3="00000000" w:csb0="00040000" w:csb1="00000000"/>
    <w:embedRegular r:id="rId5" w:fontKey="{8189A5DA-615B-4790-A3B8-405E90F57069}"/>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327D9">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F21BD">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3FF21BD">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lN2Y4MmM2MDc1NGFjYmQ5NDYzOTdlZDUxMDI3OWIifQ=="/>
    <w:docVar w:name="KSO_WPS_MARK_KEY" w:val="96e09e8e-c830-4fa7-9b99-28852e2fd7c5"/>
  </w:docVars>
  <w:rsids>
    <w:rsidRoot w:val="2831224D"/>
    <w:rsid w:val="00011264"/>
    <w:rsid w:val="00044D75"/>
    <w:rsid w:val="00051F50"/>
    <w:rsid w:val="000635AE"/>
    <w:rsid w:val="000876D8"/>
    <w:rsid w:val="000A0A7B"/>
    <w:rsid w:val="000B4869"/>
    <w:rsid w:val="000D3F6C"/>
    <w:rsid w:val="000F02CA"/>
    <w:rsid w:val="001A1110"/>
    <w:rsid w:val="001C3184"/>
    <w:rsid w:val="002142BB"/>
    <w:rsid w:val="00270120"/>
    <w:rsid w:val="00272DD6"/>
    <w:rsid w:val="00275EB6"/>
    <w:rsid w:val="00276E6B"/>
    <w:rsid w:val="00293F08"/>
    <w:rsid w:val="002D058D"/>
    <w:rsid w:val="002F190A"/>
    <w:rsid w:val="0036382C"/>
    <w:rsid w:val="00365EF5"/>
    <w:rsid w:val="00397A4C"/>
    <w:rsid w:val="003E3CC4"/>
    <w:rsid w:val="00425BCA"/>
    <w:rsid w:val="004643D6"/>
    <w:rsid w:val="00485EBB"/>
    <w:rsid w:val="0052678E"/>
    <w:rsid w:val="00554D87"/>
    <w:rsid w:val="0055677E"/>
    <w:rsid w:val="00572017"/>
    <w:rsid w:val="00572F03"/>
    <w:rsid w:val="00573E39"/>
    <w:rsid w:val="005A514E"/>
    <w:rsid w:val="005D1988"/>
    <w:rsid w:val="006002AF"/>
    <w:rsid w:val="0063507B"/>
    <w:rsid w:val="00691F2E"/>
    <w:rsid w:val="00696BC3"/>
    <w:rsid w:val="006A7D2C"/>
    <w:rsid w:val="006F258B"/>
    <w:rsid w:val="007C5C93"/>
    <w:rsid w:val="0083591E"/>
    <w:rsid w:val="008819AB"/>
    <w:rsid w:val="008A4DEB"/>
    <w:rsid w:val="00906825"/>
    <w:rsid w:val="00910D70"/>
    <w:rsid w:val="0092040F"/>
    <w:rsid w:val="00944051"/>
    <w:rsid w:val="009805EC"/>
    <w:rsid w:val="00994837"/>
    <w:rsid w:val="009A0B80"/>
    <w:rsid w:val="009F4C3A"/>
    <w:rsid w:val="00A22018"/>
    <w:rsid w:val="00AA48FF"/>
    <w:rsid w:val="00AD0B04"/>
    <w:rsid w:val="00B11F2E"/>
    <w:rsid w:val="00B13C0A"/>
    <w:rsid w:val="00B23477"/>
    <w:rsid w:val="00B27657"/>
    <w:rsid w:val="00B64B74"/>
    <w:rsid w:val="00B65C24"/>
    <w:rsid w:val="00B802BC"/>
    <w:rsid w:val="00B9056F"/>
    <w:rsid w:val="00B95AE2"/>
    <w:rsid w:val="00C54A44"/>
    <w:rsid w:val="00C730B1"/>
    <w:rsid w:val="00C8169E"/>
    <w:rsid w:val="00C943D1"/>
    <w:rsid w:val="00CB1CD1"/>
    <w:rsid w:val="00CD47A7"/>
    <w:rsid w:val="00D41817"/>
    <w:rsid w:val="00DB3CF7"/>
    <w:rsid w:val="00E05C25"/>
    <w:rsid w:val="00E22202"/>
    <w:rsid w:val="00E65C8B"/>
    <w:rsid w:val="00E845B3"/>
    <w:rsid w:val="00E858C8"/>
    <w:rsid w:val="00EA2361"/>
    <w:rsid w:val="00EB53F1"/>
    <w:rsid w:val="00EF3347"/>
    <w:rsid w:val="00F27745"/>
    <w:rsid w:val="00F508FA"/>
    <w:rsid w:val="00FB4E03"/>
    <w:rsid w:val="00FE4C34"/>
    <w:rsid w:val="01EC5634"/>
    <w:rsid w:val="0B9D61FB"/>
    <w:rsid w:val="0D556D8D"/>
    <w:rsid w:val="0EA30DAF"/>
    <w:rsid w:val="0F76123D"/>
    <w:rsid w:val="0FBD2B5F"/>
    <w:rsid w:val="121C5912"/>
    <w:rsid w:val="180B43E2"/>
    <w:rsid w:val="1A26DF27"/>
    <w:rsid w:val="23C136CD"/>
    <w:rsid w:val="260D24A3"/>
    <w:rsid w:val="26DF6DA8"/>
    <w:rsid w:val="26E7D658"/>
    <w:rsid w:val="2831224D"/>
    <w:rsid w:val="2C2C2F57"/>
    <w:rsid w:val="2E933762"/>
    <w:rsid w:val="35993F28"/>
    <w:rsid w:val="3600792F"/>
    <w:rsid w:val="3731EEA2"/>
    <w:rsid w:val="3777FC29"/>
    <w:rsid w:val="39A20CFD"/>
    <w:rsid w:val="39F2758E"/>
    <w:rsid w:val="3DF04B07"/>
    <w:rsid w:val="3F7F918E"/>
    <w:rsid w:val="3FB5659D"/>
    <w:rsid w:val="3FBB6672"/>
    <w:rsid w:val="43F5446F"/>
    <w:rsid w:val="4A804742"/>
    <w:rsid w:val="4CD94A1E"/>
    <w:rsid w:val="4F4BCF3A"/>
    <w:rsid w:val="50A62A29"/>
    <w:rsid w:val="534C3D5B"/>
    <w:rsid w:val="57B46AD3"/>
    <w:rsid w:val="584851BE"/>
    <w:rsid w:val="5A937C42"/>
    <w:rsid w:val="5B6B258A"/>
    <w:rsid w:val="5EC96260"/>
    <w:rsid w:val="6E505F87"/>
    <w:rsid w:val="6FF6B822"/>
    <w:rsid w:val="715C7297"/>
    <w:rsid w:val="72EB0A43"/>
    <w:rsid w:val="73FD5464"/>
    <w:rsid w:val="75D983C2"/>
    <w:rsid w:val="77DF56A5"/>
    <w:rsid w:val="77FC7A3B"/>
    <w:rsid w:val="79B80117"/>
    <w:rsid w:val="7B9B3FAB"/>
    <w:rsid w:val="7C051CB9"/>
    <w:rsid w:val="7CDFB945"/>
    <w:rsid w:val="7DC10D1E"/>
    <w:rsid w:val="7EAF8629"/>
    <w:rsid w:val="7EB3B603"/>
    <w:rsid w:val="7F196938"/>
    <w:rsid w:val="7F774BDE"/>
    <w:rsid w:val="7FFB76A5"/>
    <w:rsid w:val="7FFF5EAE"/>
    <w:rsid w:val="7FFF6040"/>
    <w:rsid w:val="8DFF1FA1"/>
    <w:rsid w:val="8FA70F02"/>
    <w:rsid w:val="8FEF9CCC"/>
    <w:rsid w:val="9D4B5CFF"/>
    <w:rsid w:val="B9FC2082"/>
    <w:rsid w:val="BA7B23C6"/>
    <w:rsid w:val="BD379474"/>
    <w:rsid w:val="BDFF9F61"/>
    <w:rsid w:val="BFF82BE9"/>
    <w:rsid w:val="CFDA052C"/>
    <w:rsid w:val="D9BF06B3"/>
    <w:rsid w:val="DFF79CAC"/>
    <w:rsid w:val="E377E3F8"/>
    <w:rsid w:val="E79F08F3"/>
    <w:rsid w:val="EF4F8241"/>
    <w:rsid w:val="EFD32664"/>
    <w:rsid w:val="EFDDC8AE"/>
    <w:rsid w:val="F5BFC1EE"/>
    <w:rsid w:val="FBBF83E7"/>
    <w:rsid w:val="FE734873"/>
    <w:rsid w:val="FFFEC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after="120"/>
      <w:ind w:left="420" w:leftChars="200"/>
    </w:pPr>
  </w:style>
  <w:style w:type="paragraph" w:customStyle="1" w:styleId="4">
    <w:name w:val="样式 正文文本缩进 + 行距: 1.5 倍行距"/>
    <w:basedOn w:val="5"/>
    <w:next w:val="1"/>
    <w:qFormat/>
    <w:uiPriority w:val="0"/>
    <w:pPr>
      <w:spacing w:after="120"/>
      <w:ind w:left="90" w:leftChars="32" w:firstLine="560" w:firstLineChars="200"/>
    </w:pPr>
    <w:rPr>
      <w:rFonts w:cs="宋体"/>
      <w:sz w:val="24"/>
    </w:rPr>
  </w:style>
  <w:style w:type="paragraph" w:customStyle="1" w:styleId="5">
    <w:name w:val="正文文本缩进1"/>
    <w:basedOn w:val="1"/>
    <w:next w:val="4"/>
    <w:qFormat/>
    <w:uiPriority w:val="0"/>
    <w:pPr>
      <w:spacing w:line="360" w:lineRule="auto"/>
      <w:ind w:firstLine="420"/>
    </w:pPr>
    <w:rPr>
      <w:rFonts w:ascii="Times New Roman" w:hAnsi="Times New Roman"/>
      <w:szCs w:val="20"/>
    </w:rPr>
  </w:style>
  <w:style w:type="paragraph" w:styleId="6">
    <w:name w:val="annotation text"/>
    <w:basedOn w:val="1"/>
    <w:link w:val="23"/>
    <w:semiHidden/>
    <w:qFormat/>
    <w:uiPriority w:val="0"/>
    <w:pPr>
      <w:jc w:val="left"/>
    </w:pPr>
  </w:style>
  <w:style w:type="paragraph" w:styleId="7">
    <w:name w:val="Body Text"/>
    <w:basedOn w:val="1"/>
    <w:qFormat/>
    <w:uiPriority w:val="0"/>
    <w:pPr>
      <w:spacing w:after="12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next w:val="10"/>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样式5"/>
    <w:basedOn w:val="11"/>
    <w:qFormat/>
    <w:uiPriority w:val="0"/>
    <w:pPr>
      <w:adjustRightInd/>
      <w:spacing w:line="240" w:lineRule="auto"/>
      <w:ind w:right="-140" w:rightChars="-50" w:firstLine="1653" w:firstLineChars="588"/>
    </w:pPr>
    <w:rPr>
      <w:b/>
      <w:bCs/>
    </w:rPr>
  </w:style>
  <w:style w:type="paragraph" w:customStyle="1" w:styleId="11">
    <w:name w:val="正文1"/>
    <w:basedOn w:val="1"/>
    <w:next w:val="1"/>
    <w:qFormat/>
    <w:uiPriority w:val="0"/>
    <w:pPr>
      <w:adjustRightInd w:val="0"/>
      <w:spacing w:line="480" w:lineRule="atLeast"/>
      <w:textAlignment w:val="baseline"/>
    </w:pPr>
    <w:rPr>
      <w:rFonts w:ascii="宋体" w:hAnsi="Tms Rmn"/>
      <w:kern w:val="0"/>
      <w:sz w:val="28"/>
      <w:szCs w:val="20"/>
    </w:rPr>
  </w:style>
  <w:style w:type="paragraph" w:styleId="12">
    <w:name w:val="Normal (Web)"/>
    <w:basedOn w:val="1"/>
    <w:qFormat/>
    <w:uiPriority w:val="0"/>
    <w:pPr>
      <w:widowControl/>
      <w:spacing w:before="100" w:beforeAutospacing="1" w:after="100" w:afterAutospacing="1"/>
      <w:jc w:val="left"/>
    </w:pPr>
    <w:rPr>
      <w:rFonts w:ascii="宋体" w:hAnsi="宋体" w:cs="宋体"/>
      <w:kern w:val="0"/>
      <w:szCs w:val="21"/>
    </w:rPr>
  </w:style>
  <w:style w:type="paragraph" w:styleId="13">
    <w:name w:val="annotation subject"/>
    <w:basedOn w:val="6"/>
    <w:next w:val="6"/>
    <w:link w:val="24"/>
    <w:qFormat/>
    <w:uiPriority w:val="0"/>
    <w:rPr>
      <w:b/>
      <w:bCs/>
    </w:rPr>
  </w:style>
  <w:style w:type="paragraph" w:styleId="14">
    <w:name w:val="Body Text First Indent"/>
    <w:basedOn w:val="7"/>
    <w:next w:val="1"/>
    <w:qFormat/>
    <w:uiPriority w:val="0"/>
    <w:pPr>
      <w:spacing w:line="240" w:lineRule="auto"/>
      <w:ind w:firstLine="420" w:firstLineChars="100"/>
    </w:pPr>
    <w:rPr>
      <w:rFonts w:ascii="Times New Roman" w:hAnsi="Times New Roman"/>
    </w:rPr>
  </w:style>
  <w:style w:type="character" w:styleId="17">
    <w:name w:val="page number"/>
    <w:qFormat/>
    <w:uiPriority w:val="0"/>
  </w:style>
  <w:style w:type="character" w:styleId="18">
    <w:name w:val="annotation reference"/>
    <w:basedOn w:val="16"/>
    <w:qFormat/>
    <w:uiPriority w:val="0"/>
    <w:rPr>
      <w:sz w:val="21"/>
      <w:szCs w:val="21"/>
    </w:rPr>
  </w:style>
  <w:style w:type="paragraph" w:customStyle="1" w:styleId="19">
    <w:name w:val="Body Text Indent"/>
    <w:basedOn w:val="1"/>
    <w:next w:val="4"/>
    <w:qFormat/>
    <w:uiPriority w:val="0"/>
    <w:pPr>
      <w:spacing w:line="360" w:lineRule="auto"/>
      <w:ind w:firstLine="420"/>
    </w:pPr>
    <w:rPr>
      <w:rFonts w:ascii="Times New Roman" w:hAnsi="Times New Roman" w:eastAsia="宋体" w:cs="Times New Roman"/>
      <w:szCs w:val="20"/>
    </w:rPr>
  </w:style>
  <w:style w:type="paragraph" w:customStyle="1" w:styleId="20">
    <w:name w:val="报告书正文样式1"/>
    <w:basedOn w:val="21"/>
    <w:qFormat/>
    <w:uiPriority w:val="0"/>
    <w:pPr>
      <w:spacing w:line="360" w:lineRule="auto"/>
    </w:pPr>
    <w:rPr>
      <w:rFonts w:ascii="Arial" w:hAnsi="Arial" w:cs="Arial"/>
      <w:szCs w:val="24"/>
    </w:rPr>
  </w:style>
  <w:style w:type="paragraph" w:customStyle="1" w:styleId="21">
    <w:name w:val="报告书正文"/>
    <w:basedOn w:val="1"/>
    <w:qFormat/>
    <w:uiPriority w:val="0"/>
    <w:pPr>
      <w:adjustRightInd w:val="0"/>
      <w:snapToGrid w:val="0"/>
      <w:spacing w:line="360" w:lineRule="atLeast"/>
      <w:ind w:firstLine="425"/>
      <w:textAlignment w:val="baseline"/>
    </w:pPr>
    <w:rPr>
      <w:rFonts w:ascii="Times New Roman" w:hAnsi="Times New Roman"/>
      <w:sz w:val="24"/>
      <w:szCs w:val="20"/>
    </w:rPr>
  </w:style>
  <w:style w:type="character" w:customStyle="1" w:styleId="22">
    <w:name w:val="NormalCharacter"/>
    <w:qFormat/>
    <w:uiPriority w:val="0"/>
    <w:rPr>
      <w:kern w:val="2"/>
      <w:sz w:val="32"/>
      <w:szCs w:val="32"/>
      <w:lang w:val="en-US" w:eastAsia="zh-CN" w:bidi="ar-SA"/>
    </w:rPr>
  </w:style>
  <w:style w:type="character" w:customStyle="1" w:styleId="23">
    <w:name w:val="批注文字 字符"/>
    <w:basedOn w:val="16"/>
    <w:link w:val="6"/>
    <w:semiHidden/>
    <w:qFormat/>
    <w:uiPriority w:val="0"/>
    <w:rPr>
      <w:rFonts w:ascii="Calibri" w:hAnsi="Calibri" w:eastAsia="宋体" w:cs="Times New Roman"/>
      <w:kern w:val="2"/>
      <w:sz w:val="21"/>
      <w:szCs w:val="24"/>
    </w:rPr>
  </w:style>
  <w:style w:type="character" w:customStyle="1" w:styleId="24">
    <w:name w:val="批注主题 字符"/>
    <w:basedOn w:val="23"/>
    <w:link w:val="13"/>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3293</Words>
  <Characters>3702</Characters>
  <Lines>26</Lines>
  <Paragraphs>7</Paragraphs>
  <TotalTime>23</TotalTime>
  <ScaleCrop>false</ScaleCrop>
  <LinksUpToDate>false</LinksUpToDate>
  <CharactersWithSpaces>3757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2025-11-05T08:22:00Z</dcterms:created>
  <dc:creator>1</dc:creator>
  <cp:lastModifiedBy>你是什么小&amp;%/</cp:lastModifiedBy>
  <cp:lastPrinted>2025-11-04T15:36:00Z</cp:lastPrinted>
  <dcterms:modified xsi:type="dcterms:W3CDTF">2025-11-04T08:52:34Z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57CEF4824F0741C4A15AB2D156ABC732_13</vt:lpwstr>
  </property>
  <property fmtid="{D5CDD505-2E9C-101B-9397-08002B2CF9AE}" pid="4" name="KSOTemplateDocerSaveRecord">
    <vt:lpwstr>eyJoZGlkIjoiZGRlN2Y2NTkwMGQzN2ExM2VhOWIzMmZmOGYwYjkxMGEiLCJ1c2VySWQiOiIxMDI3ODU2ODQwIn0=</vt:lpwstr>
  </property>
  <property fmtid="{D5CDD505-2E9C-101B-9397-08002B2CF9AE}" pid="5" name="5B77E7CEEC58BC6AFAE8886BEB80DBEB">
    <vt:lpwstr>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</vt:lpwstr>
  </property>
</Properties>
</file>