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068D">
      <w:pPr>
        <w:spacing w:line="800" w:lineRule="exact"/>
        <w:jc w:val="both"/>
        <w:rPr>
          <w:rFonts w:ascii="Times New Roman" w:hAnsi="Times New Roman" w:eastAsia="楷体"/>
          <w:w w:val="97"/>
          <w:sz w:val="32"/>
          <w:szCs w:val="32"/>
        </w:rPr>
      </w:pPr>
      <w:bookmarkStart w:id="14" w:name="_GoBack"/>
      <w:bookmarkEnd w:id="14"/>
    </w:p>
    <w:p w14:paraId="132705CC">
      <w:pPr>
        <w:spacing w:line="580" w:lineRule="exact"/>
        <w:ind w:firstLine="310" w:firstLineChars="100"/>
        <w:jc w:val="center"/>
        <w:rPr>
          <w:rFonts w:ascii="Times New Roman" w:hAnsi="Times New Roman" w:eastAsia="楷体"/>
          <w:w w:val="97"/>
          <w:sz w:val="32"/>
          <w:szCs w:val="32"/>
          <w:highlight w:val="none"/>
        </w:rPr>
      </w:pPr>
      <w:r>
        <w:rPr>
          <w:rFonts w:ascii="Times New Roman" w:hAnsi="Times New Roman" w:eastAsia="楷体"/>
          <w:w w:val="97"/>
          <w:sz w:val="32"/>
          <w:szCs w:val="32"/>
          <w:highlight w:val="none"/>
        </w:rPr>
        <w:t>枣环许可字〔202</w:t>
      </w:r>
      <w:r>
        <w:rPr>
          <w:rFonts w:hint="eastAsia" w:ascii="Times New Roman" w:hAnsi="Times New Roman" w:eastAsia="楷体"/>
          <w:w w:val="97"/>
          <w:sz w:val="32"/>
          <w:szCs w:val="32"/>
          <w:highlight w:val="none"/>
        </w:rPr>
        <w:t>5</w:t>
      </w:r>
      <w:r>
        <w:rPr>
          <w:rFonts w:ascii="Times New Roman" w:hAnsi="Times New Roman" w:eastAsia="楷体"/>
          <w:w w:val="97"/>
          <w:sz w:val="32"/>
          <w:szCs w:val="32"/>
          <w:highlight w:val="none"/>
        </w:rPr>
        <w:t>〕</w:t>
      </w:r>
      <w:r>
        <w:rPr>
          <w:rFonts w:hint="eastAsia" w:ascii="Times New Roman" w:hAnsi="Times New Roman" w:eastAsia="楷体"/>
          <w:w w:val="97"/>
          <w:sz w:val="32"/>
          <w:szCs w:val="32"/>
          <w:highlight w:val="none"/>
        </w:rPr>
        <w:t>47</w:t>
      </w:r>
      <w:r>
        <w:rPr>
          <w:rFonts w:ascii="Times New Roman" w:hAnsi="Times New Roman" w:eastAsia="楷体"/>
          <w:w w:val="97"/>
          <w:sz w:val="32"/>
          <w:szCs w:val="32"/>
          <w:highlight w:val="none"/>
        </w:rPr>
        <w:t>号</w:t>
      </w:r>
    </w:p>
    <w:p w14:paraId="12ABB59F">
      <w:pPr>
        <w:pStyle w:val="11"/>
        <w:spacing w:beforeAutospacing="0" w:afterAutospacing="0" w:line="580" w:lineRule="exact"/>
        <w:jc w:val="both"/>
        <w:rPr>
          <w:rFonts w:ascii="Times New Roman" w:hAnsi="Times New Roman" w:eastAsia="仿宋"/>
          <w:b/>
          <w:bCs/>
          <w:color w:val="auto"/>
          <w:sz w:val="30"/>
          <w:szCs w:val="30"/>
        </w:rPr>
      </w:pPr>
    </w:p>
    <w:p w14:paraId="081491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枣庄市生态环境局</w:t>
      </w:r>
    </w:p>
    <w:p w14:paraId="4F2CAB38">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关于滕州亿达华闻煤电化有限公司</w:t>
      </w:r>
    </w:p>
    <w:p w14:paraId="3EFC9DD1">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#4、5机组背压改造项目环境影响报告书</w:t>
      </w:r>
    </w:p>
    <w:p w14:paraId="76998936">
      <w:pPr>
        <w:spacing w:line="580" w:lineRule="exact"/>
        <w:jc w:val="center"/>
        <w:rPr>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sz w:val="44"/>
          <w:szCs w:val="44"/>
        </w:rPr>
        <w:t>的批复</w:t>
      </w:r>
    </w:p>
    <w:p w14:paraId="46A290A0">
      <w:pPr>
        <w:spacing w:line="620" w:lineRule="exact"/>
        <w:rPr>
          <w:rFonts w:ascii="Times New Roman" w:hAnsi="Times New Roman" w:eastAsia="仿宋_GB2312"/>
        </w:rPr>
      </w:pPr>
    </w:p>
    <w:p w14:paraId="070DB3CD">
      <w:pPr>
        <w:adjustRightInd w:val="0"/>
        <w:spacing w:line="560" w:lineRule="exact"/>
        <w:jc w:val="left"/>
        <w:rPr>
          <w:rFonts w:ascii="Times New Roman" w:hAnsi="Times New Roman" w:eastAsia="仿宋_GB2312"/>
          <w:sz w:val="32"/>
          <w:szCs w:val="32"/>
        </w:rPr>
      </w:pPr>
      <w:r>
        <w:rPr>
          <w:rFonts w:hint="eastAsia" w:ascii="Times New Roman" w:hAnsi="Times New Roman" w:eastAsia="仿宋_GB2312"/>
          <w:sz w:val="32"/>
          <w:szCs w:val="32"/>
        </w:rPr>
        <w:t>滕州亿达华闻煤电化有限公司</w:t>
      </w:r>
      <w:r>
        <w:rPr>
          <w:rFonts w:ascii="Times New Roman" w:hAnsi="Times New Roman" w:eastAsia="仿宋_GB2312"/>
          <w:sz w:val="32"/>
          <w:szCs w:val="32"/>
        </w:rPr>
        <w:t>：</w:t>
      </w:r>
    </w:p>
    <w:p w14:paraId="5F5E52A8">
      <w:pPr>
        <w:keepNext w:val="0"/>
        <w:keepLines w:val="0"/>
        <w:pageBreakBefore w:val="0"/>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你公司报送的《</w:t>
      </w:r>
      <w:r>
        <w:rPr>
          <w:rFonts w:hint="eastAsia" w:ascii="Times New Roman" w:hAnsi="Times New Roman" w:eastAsia="仿宋_GB2312"/>
          <w:sz w:val="32"/>
          <w:szCs w:val="32"/>
        </w:rPr>
        <w:t>滕州亿达华闻煤电化有限公司#4、5机组背压改造项目</w:t>
      </w:r>
      <w:r>
        <w:rPr>
          <w:rFonts w:ascii="Times New Roman" w:hAnsi="Times New Roman" w:eastAsia="仿宋_GB2312"/>
          <w:sz w:val="32"/>
          <w:szCs w:val="32"/>
        </w:rPr>
        <w:t>环境影响报告书》收悉。经研究，批复如下：</w:t>
      </w:r>
    </w:p>
    <w:p w14:paraId="01EC5F30">
      <w:pPr>
        <w:keepNext w:val="0"/>
        <w:keepLines w:val="0"/>
        <w:pageBreakBefore w:val="0"/>
        <w:widowControl/>
        <w:kinsoku/>
        <w:wordWrap/>
        <w:overflowPunct/>
        <w:topLinePunct w:val="0"/>
        <w:autoSpaceDE/>
        <w:autoSpaceDN/>
        <w:bidi w:val="0"/>
        <w:snapToGrid/>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一、项目属于</w:t>
      </w:r>
      <w:r>
        <w:rPr>
          <w:rFonts w:hint="eastAsia" w:ascii="Times New Roman" w:hAnsi="Times New Roman" w:eastAsia="仿宋_GB2312"/>
          <w:sz w:val="32"/>
          <w:szCs w:val="32"/>
        </w:rPr>
        <w:t>改建</w:t>
      </w:r>
      <w:r>
        <w:rPr>
          <w:rFonts w:ascii="Times New Roman" w:hAnsi="Times New Roman" w:eastAsia="仿宋_GB2312"/>
          <w:sz w:val="32"/>
          <w:szCs w:val="32"/>
        </w:rPr>
        <w:t>，</w:t>
      </w:r>
      <w:r>
        <w:rPr>
          <w:rFonts w:hint="eastAsia" w:ascii="Times New Roman" w:hAnsi="Times New Roman" w:eastAsia="仿宋_GB2312"/>
          <w:sz w:val="32"/>
          <w:szCs w:val="32"/>
        </w:rPr>
        <w:t>位于山东省枣庄市滕州市级索镇工业园区华闻路南侧、驿道大街东侧，滕州亿达华闻煤电化有限公司厂内。项目将原有2×75t/h中温中压循环流化床锅炉+2台12MW抽凝式汽轮机组更换为2×75t/h高温高压循环流化床锅炉+2台9MW背压式汽轮机组。新建锅炉房、脱硝系统、除尘系统、除灰除渣系统等辅助附属设施。依托原有汽机房、脱硫综合楼、干煤棚、输煤栈桥、化水车间等建构筑物。项目无新增建设用地，其中，2×75t/h锅炉在现有厂区空地处建设，汽轮发电机组分别在现有汽机间#4机组和#6机组原址上建设。目前，#4、#5汽轮机正常运行，#6机组未建设。根据技改项目施工进度，先拆除#4机组，技改完成投产后，将现有2台锅炉及#5汽轮发电机组拆除。项目投资</w:t>
      </w:r>
      <w:r>
        <w:rPr>
          <w:rFonts w:ascii="Times New Roman" w:hAnsi="Times New Roman" w:eastAsia="仿宋_GB2312"/>
          <w:sz w:val="32"/>
          <w:szCs w:val="32"/>
        </w:rPr>
        <w:t>8743.1万元，其中环保投资约1443万元</w:t>
      </w:r>
      <w:r>
        <w:rPr>
          <w:rFonts w:hint="eastAsia" w:ascii="Times New Roman" w:hAnsi="Times New Roman" w:eastAsia="仿宋_GB2312"/>
          <w:sz w:val="32"/>
          <w:szCs w:val="32"/>
        </w:rPr>
        <w:t>。</w:t>
      </w:r>
    </w:p>
    <w:p w14:paraId="4BD08D72">
      <w:pPr>
        <w:keepNext w:val="0"/>
        <w:keepLines w:val="0"/>
        <w:pageBreakBefore w:val="0"/>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根据报告书内容，</w:t>
      </w:r>
      <w:r>
        <w:rPr>
          <w:rFonts w:ascii="Times New Roman" w:hAnsi="Times New Roman" w:eastAsia="仿宋_GB2312"/>
          <w:bCs/>
          <w:sz w:val="32"/>
          <w:szCs w:val="32"/>
        </w:rPr>
        <w:t>在全面落实报告书提出的各项生态保护、污染防治及环境风险防范措施后，可以做到污染物的达标排放，满足总量控制要求。从生态环境部门职责角度，我局原则同意项目按照环境影响报告书中所列的地点、工艺和拟采取的环境保护措施建设和运营。</w:t>
      </w:r>
    </w:p>
    <w:p w14:paraId="2CBA417B">
      <w:pPr>
        <w:pStyle w:val="16"/>
        <w:keepNext w:val="0"/>
        <w:keepLines w:val="0"/>
        <w:pageBreakBefore w:val="0"/>
        <w:tabs>
          <w:tab w:val="left" w:pos="3030"/>
        </w:tabs>
        <w:kinsoku/>
        <w:wordWrap/>
        <w:overflowPunct/>
        <w:topLinePunct w:val="0"/>
        <w:autoSpaceDE/>
        <w:autoSpaceDN/>
        <w:bidi w:val="0"/>
        <w:snapToGrid/>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二、项目设计、建设和运行管理中应重点做好以下工作</w:t>
      </w:r>
    </w:p>
    <w:p w14:paraId="764267E7">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bCs/>
          <w:sz w:val="32"/>
          <w:szCs w:val="32"/>
        </w:rPr>
      </w:pPr>
      <w:r>
        <w:rPr>
          <w:rFonts w:ascii="Times New Roman" w:hAnsi="Times New Roman" w:eastAsia="仿宋_GB2312"/>
          <w:sz w:val="32"/>
          <w:szCs w:val="32"/>
        </w:rPr>
        <w:t>（一）加强施工环境管理</w:t>
      </w:r>
      <w:r>
        <w:rPr>
          <w:rFonts w:hint="eastAsia" w:ascii="Times New Roman" w:hAnsi="Times New Roman" w:eastAsia="仿宋_GB2312"/>
          <w:sz w:val="32"/>
          <w:szCs w:val="32"/>
        </w:rPr>
        <w:t>。严格执行《山东省扬尘污染防</w:t>
      </w:r>
      <w:r>
        <w:rPr>
          <w:rFonts w:hint="eastAsia" w:ascii="Times New Roman" w:hAnsi="Times New Roman" w:eastAsia="仿宋_GB2312"/>
          <w:bCs/>
          <w:sz w:val="32"/>
          <w:szCs w:val="32"/>
        </w:rPr>
        <w:t>治管理办法》（2018年修订本）、《关于印发山东省扬尘污染综合整治方案的通知》（鲁环发[2019]112号）、《枣庄市市直部门大气污染治理技术导则(精简版)》等相关规定，制定扬尘防治方案，落实六个“百分之百”要求。施工现场按要求安装视频监控、β射线扬尘在线监测设备。施工期废水、施工垃圾须妥善处理，不得直接外排；</w:t>
      </w:r>
      <w:bookmarkStart w:id="0" w:name="OLE_LINK3"/>
      <w:bookmarkStart w:id="1" w:name="OLE_LINK2"/>
      <w:r>
        <w:rPr>
          <w:rFonts w:hint="eastAsia" w:ascii="Times New Roman" w:hAnsi="Times New Roman" w:eastAsia="仿宋_GB2312"/>
          <w:bCs/>
          <w:sz w:val="32"/>
          <w:szCs w:val="32"/>
        </w:rPr>
        <w:t>优化施工方案，</w:t>
      </w:r>
      <w:bookmarkEnd w:id="0"/>
      <w:bookmarkEnd w:id="1"/>
      <w:r>
        <w:rPr>
          <w:rFonts w:hint="eastAsia" w:ascii="Times New Roman" w:hAnsi="Times New Roman" w:eastAsia="仿宋_GB2312"/>
          <w:bCs/>
          <w:sz w:val="32"/>
          <w:szCs w:val="32"/>
        </w:rPr>
        <w:t>合理安排施工时间，施工场地边界噪声须满足《建筑施工场界环境噪声排放标准》（GB12523-2011）相关标准。严格按照拆除施工作业要求，采取措施减少设备拆除、</w:t>
      </w:r>
      <w:bookmarkStart w:id="2" w:name="OLE_LINK4"/>
      <w:r>
        <w:rPr>
          <w:rFonts w:hint="eastAsia" w:ascii="Times New Roman" w:hAnsi="Times New Roman" w:eastAsia="仿宋_GB2312"/>
          <w:bCs/>
          <w:sz w:val="32"/>
          <w:szCs w:val="32"/>
        </w:rPr>
        <w:t>移动过程中对环境的污染问</w:t>
      </w:r>
      <w:bookmarkEnd w:id="2"/>
      <w:r>
        <w:rPr>
          <w:rFonts w:hint="eastAsia" w:ascii="Times New Roman" w:hAnsi="Times New Roman" w:eastAsia="仿宋_GB2312"/>
          <w:bCs/>
          <w:sz w:val="32"/>
          <w:szCs w:val="32"/>
        </w:rPr>
        <w:t>题。建设期间严格落实安全生产要求，严禁违规作业，严防事故发生。</w:t>
      </w:r>
    </w:p>
    <w:p w14:paraId="0C8DAA7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（二）强化大气污染防治措施。</w:t>
      </w:r>
      <w:r>
        <w:rPr>
          <w:rFonts w:hint="eastAsia" w:ascii="Times New Roman" w:hAnsi="Times New Roman" w:eastAsia="仿宋_GB2312"/>
          <w:sz w:val="32"/>
          <w:szCs w:val="32"/>
        </w:rPr>
        <w:t>采用的</w:t>
      </w:r>
      <w:bookmarkStart w:id="3" w:name="OLE_LINK5"/>
      <w:r>
        <w:rPr>
          <w:rFonts w:hint="eastAsia" w:ascii="Times New Roman" w:hAnsi="Times New Roman" w:eastAsia="仿宋_GB2312"/>
          <w:sz w:val="32"/>
          <w:szCs w:val="32"/>
        </w:rPr>
        <w:t>低氮燃烧</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SNCR-SCR联合脱硝，石灰石—石膏湿法脱硫、电袋</w:t>
      </w:r>
      <w:bookmarkEnd w:id="3"/>
      <w:r>
        <w:rPr>
          <w:rFonts w:hint="eastAsia" w:ascii="Times New Roman" w:hAnsi="Times New Roman" w:eastAsia="仿宋_GB2312"/>
          <w:sz w:val="32"/>
          <w:szCs w:val="32"/>
        </w:rPr>
        <w:t>除尘+湿式电除尘协同，锅炉烟气经处理后通过厂区内现有1座高101m、内径3.5m的烟囱排放。全厂锅炉有组织排放颗粒物、SO</w:t>
      </w:r>
      <w:r>
        <w:rPr>
          <w:rFonts w:hint="eastAsia" w:ascii="Times New Roman" w:hAnsi="Times New Roman" w:eastAsia="仿宋_GB2312"/>
          <w:sz w:val="32"/>
          <w:szCs w:val="32"/>
          <w:vertAlign w:val="subscript"/>
        </w:rPr>
        <w:t>2</w:t>
      </w:r>
      <w:r>
        <w:rPr>
          <w:rFonts w:hint="eastAsia" w:ascii="Times New Roman" w:hAnsi="Times New Roman" w:eastAsia="仿宋_GB2312"/>
          <w:sz w:val="32"/>
          <w:szCs w:val="32"/>
        </w:rPr>
        <w:t>、NOx、</w:t>
      </w:r>
      <w:bookmarkStart w:id="4" w:name="OLE_LINK6"/>
      <w:r>
        <w:rPr>
          <w:rFonts w:hint="eastAsia" w:ascii="Times New Roman" w:hAnsi="Times New Roman" w:eastAsia="仿宋_GB2312"/>
          <w:sz w:val="32"/>
          <w:szCs w:val="32"/>
        </w:rPr>
        <w:t>汞及其化合物排放</w:t>
      </w:r>
      <w:bookmarkEnd w:id="4"/>
      <w:r>
        <w:rPr>
          <w:rFonts w:hint="eastAsia" w:ascii="Times New Roman" w:hAnsi="Times New Roman" w:eastAsia="仿宋_GB2312"/>
          <w:sz w:val="32"/>
          <w:szCs w:val="32"/>
        </w:rPr>
        <w:t>浓度须满足《火电厂大气污染物排放标准》（DB37/664-2019）表2排放限值要求。氨的排放速率满足《恶臭污染物排放标准》（GB14554-93）标准要求。氨排放浓度满足《火电厂污染防治可行技术指南》（HJ2301-2017）要求。</w:t>
      </w:r>
      <w:bookmarkStart w:id="5" w:name="OLE_LINK7"/>
      <w:r>
        <w:rPr>
          <w:rFonts w:hint="eastAsia" w:ascii="Times New Roman" w:hAnsi="Times New Roman" w:eastAsia="仿宋_GB2312"/>
          <w:sz w:val="32"/>
          <w:szCs w:val="32"/>
        </w:rPr>
        <w:t>石灰石粉仓</w:t>
      </w:r>
      <w:bookmarkEnd w:id="5"/>
      <w:r>
        <w:rPr>
          <w:rFonts w:hint="eastAsia" w:ascii="Times New Roman" w:hAnsi="Times New Roman" w:eastAsia="仿宋_GB2312"/>
          <w:sz w:val="32"/>
          <w:szCs w:val="32"/>
        </w:rPr>
        <w:t>、输煤系统、煤仓间、灰仓、渣库等低矮源有组织排放源粉尘排放浓度须达到《区域性大气污染物综合排放标准》（DB37/2376-2019）表1重点控制区标准要求。</w:t>
      </w:r>
    </w:p>
    <w:p w14:paraId="37CC5C89">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sz w:val="32"/>
          <w:szCs w:val="32"/>
        </w:rPr>
        <w:t>严格落实报告书提出的无组织排放措施。本项目煤场采用全封闭钢结构形式，封闭煤场设置水冲洗和水喷洒装置，定期进行喷洒降尘。粉煤灰、石灰</w:t>
      </w:r>
      <w:r>
        <w:rPr>
          <w:rFonts w:ascii="Times New Roman" w:hAnsi="Times New Roman" w:eastAsia="仿宋_GB2312"/>
          <w:color w:val="000000" w:themeColor="text1"/>
          <w:sz w:val="32"/>
          <w:szCs w:val="32"/>
          <w14:textFill>
            <w14:solidFill>
              <w14:schemeClr w14:val="tx1"/>
            </w14:solidFill>
          </w14:textFill>
        </w:rPr>
        <w:t>石粉等物料采用封闭储存、密闭输送方式。做好尿素、柴油、酸碱储罐日常维护，确保密封效果。厂界污染物SO2、NO2、颗粒物、汞</w:t>
      </w:r>
      <w:r>
        <w:rPr>
          <w:rFonts w:hint="eastAsia" w:ascii="Times New Roman" w:hAnsi="Times New Roman" w:eastAsia="仿宋_GB2312"/>
          <w:color w:val="000000" w:themeColor="text1"/>
          <w:sz w:val="32"/>
          <w:szCs w:val="32"/>
          <w14:textFill>
            <w14:solidFill>
              <w14:schemeClr w14:val="tx1"/>
            </w14:solidFill>
          </w14:textFill>
        </w:rPr>
        <w:t>及其化合物</w:t>
      </w:r>
      <w:r>
        <w:rPr>
          <w:rFonts w:ascii="Times New Roman" w:hAnsi="Times New Roman" w:eastAsia="仿宋_GB2312"/>
          <w:color w:val="000000" w:themeColor="text1"/>
          <w:sz w:val="32"/>
          <w:szCs w:val="32"/>
          <w14:textFill>
            <w14:solidFill>
              <w14:schemeClr w14:val="tx1"/>
            </w14:solidFill>
          </w14:textFill>
        </w:rPr>
        <w:t>浓度须</w:t>
      </w:r>
      <w:r>
        <w:rPr>
          <w:rFonts w:hint="eastAsia" w:ascii="Times New Roman" w:hAnsi="Times New Roman" w:eastAsia="仿宋_GB2312"/>
          <w:color w:val="000000" w:themeColor="text1"/>
          <w:sz w:val="32"/>
          <w:szCs w:val="32"/>
          <w14:textFill>
            <w14:solidFill>
              <w14:schemeClr w14:val="tx1"/>
            </w14:solidFill>
          </w14:textFill>
        </w:rPr>
        <w:t>达到</w:t>
      </w:r>
      <w:r>
        <w:rPr>
          <w:rFonts w:ascii="Times New Roman" w:hAnsi="Times New Roman" w:eastAsia="仿宋_GB2312"/>
          <w:color w:val="000000" w:themeColor="text1"/>
          <w:sz w:val="32"/>
          <w:szCs w:val="32"/>
          <w14:textFill>
            <w14:solidFill>
              <w14:schemeClr w14:val="tx1"/>
            </w14:solidFill>
          </w14:textFill>
        </w:rPr>
        <w:t>《大气污染物综合排放标准》（GB16297-1996）表2无组织排放浓度限值要求</w:t>
      </w:r>
      <w:r>
        <w:rPr>
          <w:rFonts w:hint="eastAsia" w:ascii="Times New Roman" w:hAnsi="Times New Roman" w:eastAsia="仿宋_GB2312"/>
          <w:color w:val="000000" w:themeColor="text1"/>
          <w:sz w:val="32"/>
          <w:szCs w:val="32"/>
          <w14:textFill>
            <w14:solidFill>
              <w14:schemeClr w14:val="tx1"/>
            </w14:solidFill>
          </w14:textFill>
        </w:rPr>
        <w:t>；厂界污染物非甲烷总烃浓度须满足《</w:t>
      </w:r>
      <w:bookmarkStart w:id="6" w:name="OLE_LINK1"/>
      <w:r>
        <w:rPr>
          <w:rFonts w:hint="eastAsia" w:ascii="Times New Roman" w:hAnsi="Times New Roman" w:eastAsia="仿宋_GB2312"/>
          <w:color w:val="000000" w:themeColor="text1"/>
          <w:sz w:val="32"/>
          <w:szCs w:val="32"/>
          <w14:textFill>
            <w14:solidFill>
              <w14:schemeClr w14:val="tx1"/>
            </w14:solidFill>
          </w14:textFill>
        </w:rPr>
        <w:t>挥发性有机物排放标准</w:t>
      </w:r>
      <w:bookmarkEnd w:id="6"/>
      <w:r>
        <w:rPr>
          <w:rFonts w:hint="eastAsia" w:ascii="Times New Roman" w:hAnsi="Times New Roman" w:eastAsia="仿宋_GB2312"/>
          <w:color w:val="000000" w:themeColor="text1"/>
          <w:sz w:val="32"/>
          <w:szCs w:val="32"/>
          <w14:textFill>
            <w14:solidFill>
              <w14:schemeClr w14:val="tx1"/>
            </w14:solidFill>
          </w14:textFill>
        </w:rPr>
        <w:t>第7部分：其他行业》（DB37/2801.7—2019）表2厂界监控点浓度限值</w:t>
      </w:r>
      <w:r>
        <w:rPr>
          <w:rFonts w:ascii="Times New Roman" w:hAnsi="Times New Roman" w:eastAsia="仿宋_GB2312"/>
          <w:color w:val="000000" w:themeColor="text1"/>
          <w:sz w:val="32"/>
          <w:szCs w:val="32"/>
          <w14:textFill>
            <w14:solidFill>
              <w14:schemeClr w14:val="tx1"/>
            </w14:solidFill>
          </w14:textFill>
        </w:rPr>
        <w:t>；厂界氨、</w:t>
      </w:r>
      <w:r>
        <w:rPr>
          <w:rFonts w:hint="eastAsia" w:ascii="Times New Roman" w:hAnsi="Times New Roman" w:eastAsia="仿宋_GB2312"/>
          <w:color w:val="000000" w:themeColor="text1"/>
          <w:sz w:val="32"/>
          <w:szCs w:val="32"/>
          <w14:textFill>
            <w14:solidFill>
              <w14:schemeClr w14:val="tx1"/>
            </w14:solidFill>
          </w14:textFill>
        </w:rPr>
        <w:t>臭气浓度</w:t>
      </w:r>
      <w:r>
        <w:rPr>
          <w:rFonts w:ascii="Times New Roman" w:hAnsi="Times New Roman" w:eastAsia="仿宋_GB2312"/>
          <w:color w:val="000000" w:themeColor="text1"/>
          <w:sz w:val="32"/>
          <w:szCs w:val="32"/>
          <w14:textFill>
            <w14:solidFill>
              <w14:schemeClr w14:val="tx1"/>
            </w14:solidFill>
          </w14:textFill>
        </w:rPr>
        <w:t>浓度须达到《恶臭污染物排放标准》（GB14554-93）厂界最高容许浓度限值。</w:t>
      </w:r>
    </w:p>
    <w:p w14:paraId="3AD04F6F">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严格按照《关于印发&lt;燃煤锅炉超低排放评估监测技术指南&gt;的通知》（环办大气函〔2025〕113号要求）开展全流程超低排放改造，全面落实有组织、无组织、清洁运输要求。其中与锅炉使用相关的燃料(含掺烧燃料、协同处置固体废物)、石灰石、灰渣、脱硫副产物等物料运输清洁运输比例要达到80%以上，非道路移动机械原则上采用新能源，无对应产品的满足国四及以上排放标准。</w:t>
      </w:r>
    </w:p>
    <w:p w14:paraId="16D946EA">
      <w:pPr>
        <w:keepNext w:val="0"/>
        <w:keepLines w:val="0"/>
        <w:pageBreakBefore w:val="0"/>
        <w:widowControl/>
        <w:numPr>
          <w:ilvl w:val="0"/>
          <w:numId w:val="1"/>
        </w:numPr>
        <w:kinsoku/>
        <w:wordWrap/>
        <w:overflowPunct/>
        <w:topLinePunct w:val="0"/>
        <w:autoSpaceDE/>
        <w:autoSpaceDN/>
        <w:bidi w:val="0"/>
        <w:snapToGrid/>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严格落实水污染防治措施。按照“雨污分流、清污分流、污污分流”原则完善厂区排水系统。</w:t>
      </w:r>
      <w:r>
        <w:rPr>
          <w:rFonts w:hint="eastAsia" w:ascii="Times New Roman" w:hAnsi="Times New Roman" w:eastAsia="仿宋_GB2312"/>
          <w:color w:val="000000" w:themeColor="text1"/>
          <w:sz w:val="32"/>
          <w:szCs w:val="32"/>
          <w14:textFill>
            <w14:solidFill>
              <w14:schemeClr w14:val="tx1"/>
            </w14:solidFill>
          </w14:textFill>
        </w:rPr>
        <w:t>脱硫废水处理后水质满足《火电厂石灰石－石膏湿法脱硫废水水质控制指标》（DL/T997-2020）的要求后清水回用。输煤栈道冲洗水先进入煤水沉淀池内，经沉淀和粗分离后进入煤水处理装置进行处理后进入煤场降尘回用。锅炉排污水经化水车间处理后回用。循环冷却系统排污水经处理后部分回用于冷却循环水，部分作为锅炉补充水，剩余浓盐水回用于湿式脱硫。生活污水由厂区地埋式生化处理系统处理后排入</w:t>
      </w:r>
      <w:bookmarkStart w:id="7" w:name="OLE_LINK17"/>
      <w:bookmarkStart w:id="8" w:name="OLE_LINK8"/>
      <w:r>
        <w:rPr>
          <w:rFonts w:hint="eastAsia" w:ascii="Times New Roman" w:hAnsi="Times New Roman" w:eastAsia="仿宋_GB2312"/>
          <w:color w:val="000000" w:themeColor="text1"/>
          <w:sz w:val="32"/>
          <w:szCs w:val="32"/>
          <w14:textFill>
            <w14:solidFill>
              <w14:schemeClr w14:val="tx1"/>
            </w14:solidFill>
          </w14:textFill>
        </w:rPr>
        <w:t>市政管网</w:t>
      </w:r>
      <w:bookmarkEnd w:id="7"/>
      <w:bookmarkEnd w:id="8"/>
      <w:r>
        <w:rPr>
          <w:rFonts w:hint="eastAsia" w:ascii="Times New Roman" w:hAnsi="Times New Roman" w:eastAsia="仿宋_GB2312"/>
          <w:color w:val="000000" w:themeColor="text1"/>
          <w:sz w:val="32"/>
          <w:szCs w:val="32"/>
          <w14:textFill>
            <w14:solidFill>
              <w14:schemeClr w14:val="tx1"/>
            </w14:solidFill>
          </w14:textFill>
        </w:rPr>
        <w:t>（级索镇污水处理厂），经污水处理站处理达标后排放。</w:t>
      </w:r>
    </w:p>
    <w:p w14:paraId="2367170C">
      <w:pPr>
        <w:keepNext w:val="0"/>
        <w:keepLines w:val="0"/>
        <w:pageBreakBefore w:val="0"/>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（四）</w:t>
      </w:r>
      <w:bookmarkStart w:id="9" w:name="OLE_LINK14"/>
      <w:bookmarkStart w:id="10" w:name="OLE_LINK13"/>
      <w:r>
        <w:rPr>
          <w:rFonts w:ascii="Times New Roman" w:hAnsi="Times New Roman" w:eastAsia="仿宋_GB2312"/>
          <w:color w:val="000000" w:themeColor="text1"/>
          <w:sz w:val="32"/>
          <w:szCs w:val="32"/>
          <w14:textFill>
            <w14:solidFill>
              <w14:schemeClr w14:val="tx1"/>
            </w14:solidFill>
          </w14:textFill>
        </w:rPr>
        <w:t>严格落实土壤和地下水污染防治措施。</w:t>
      </w:r>
      <w:bookmarkEnd w:id="9"/>
      <w:bookmarkEnd w:id="10"/>
      <w:r>
        <w:rPr>
          <w:rFonts w:hint="eastAsia" w:ascii="Times New Roman" w:hAnsi="Times New Roman" w:eastAsia="仿宋_GB2312"/>
          <w:color w:val="000000" w:themeColor="text1"/>
          <w:sz w:val="32"/>
          <w:szCs w:val="32"/>
          <w14:textFill>
            <w14:solidFill>
              <w14:schemeClr w14:val="tx1"/>
            </w14:solidFill>
          </w14:textFill>
        </w:rPr>
        <w:t>按照“源头防控、分区防治、污染监控、应急响应”的原则进行地下水污染防治，强化厂区防漏及事故废水应急收集处理。及时启动应急预案和应急措施，应对土壤或地下水污染</w:t>
      </w:r>
      <w:r>
        <w:rPr>
          <w:rFonts w:ascii="Times New Roman" w:hAnsi="Times New Roman" w:eastAsia="仿宋_GB2312"/>
          <w:color w:val="000000" w:themeColor="text1"/>
          <w:sz w:val="32"/>
          <w:szCs w:val="32"/>
          <w14:textFill>
            <w14:solidFill>
              <w14:schemeClr w14:val="tx1"/>
            </w14:solidFill>
          </w14:textFill>
        </w:rPr>
        <w:t>。</w:t>
      </w:r>
    </w:p>
    <w:p w14:paraId="1A835F91">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（五）严格落实噪声污染防治措施。</w:t>
      </w:r>
      <w:r>
        <w:rPr>
          <w:rFonts w:hint="eastAsia" w:ascii="Times New Roman" w:hAnsi="Times New Roman" w:eastAsia="仿宋_GB2312"/>
          <w:color w:val="000000" w:themeColor="text1"/>
          <w:sz w:val="32"/>
          <w:szCs w:val="32"/>
          <w14:textFill>
            <w14:solidFill>
              <w14:schemeClr w14:val="tx1"/>
            </w14:solidFill>
          </w14:textFill>
        </w:rPr>
        <w:t>采取隔音、减振降噪等措施。对于高噪声设备，采取隔声、吸声、消声等措施。在管道设计中，注意防振、防冲击，减轻振动噪声。风管及流体输送减少空气动力性噪声。各类风机吸气口安装阻性消声器、隔声罩等，机泵安装减振设施。在锅炉排汽口安装高效排汽消声器，将排汽噪声控制在110dB(A)以下。减少锅炉排汽次数，尽量避免夜间排汽。厂界昼间及夜间噪声值须达到《工业企业厂界环境噪声排放标准》（GB12348-2008）表1中2类标准要求。对厂界外200m范围内小韩庄声环境敏感目标进行动态监测，确保满足《声环境质量标准》（GB3096-2008）2 类功能区标准要求，如有超标须采取隔声墙等降噪措施。</w:t>
      </w:r>
    </w:p>
    <w:p w14:paraId="0260A788">
      <w:pPr>
        <w:keepNext w:val="0"/>
        <w:keepLines w:val="0"/>
        <w:pageBreakBefore w:val="0"/>
        <w:widowControl/>
        <w:kinsoku/>
        <w:wordWrap/>
        <w:overflowPunct/>
        <w:topLinePunct w:val="0"/>
        <w:autoSpaceDE/>
        <w:autoSpaceDN/>
        <w:bidi w:val="0"/>
        <w:snapToGrid/>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（六）严格落实固体废物分类处置措施。</w:t>
      </w:r>
      <w:r>
        <w:rPr>
          <w:rFonts w:hint="eastAsia" w:ascii="Times New Roman" w:hAnsi="Times New Roman" w:eastAsia="仿宋_GB2312"/>
          <w:color w:val="000000" w:themeColor="text1"/>
          <w:sz w:val="32"/>
          <w:szCs w:val="32"/>
          <w14:textFill>
            <w14:solidFill>
              <w14:schemeClr w14:val="tx1"/>
            </w14:solidFill>
          </w14:textFill>
        </w:rPr>
        <w:t>炉渣、粉煤灰、脱硫石膏外售综合利用；废布袋、</w:t>
      </w:r>
      <w:bookmarkStart w:id="11" w:name="OLE_LINK20"/>
      <w:r>
        <w:rPr>
          <w:rFonts w:hint="eastAsia" w:ascii="Times New Roman" w:hAnsi="Times New Roman" w:eastAsia="仿宋_GB2312"/>
          <w:sz w:val="32"/>
          <w:szCs w:val="32"/>
        </w:rPr>
        <w:t>脱硫废水处理系统污泥经鉴定后根据鉴定结果处置；</w:t>
      </w:r>
      <w:bookmarkEnd w:id="11"/>
      <w:r>
        <w:rPr>
          <w:rFonts w:hint="eastAsia" w:ascii="Times New Roman" w:hAnsi="Times New Roman" w:eastAsia="仿宋_GB2312"/>
          <w:color w:val="000000" w:themeColor="text1"/>
          <w:sz w:val="32"/>
          <w:szCs w:val="32"/>
          <w14:textFill>
            <w14:solidFill>
              <w14:schemeClr w14:val="tx1"/>
            </w14:solidFill>
          </w14:textFill>
        </w:rPr>
        <w:t>中水深度处理污泥委托污水处理厂综合利用；煤泥入炉焚烧；废离子交换树脂、废催化剂、废润滑油、废油桶、废变压油（事故状态）、废铅蓄电池等收集后暂存于危险废物暂存间，委托有资质单位处置；废滤膜由厂家回收处理；生活垃圾委托环卫部门定期清运处置。一般固体废物执行《中华人民共和国固体废物污染环境防治法》、《一般工业固体废物管理台账制定指南（试行）》（生态环境部公告2021年第82号）相关要求；危险废物执行《危险废物贮存污染控制标准》（GB18597-2023）相关规定。生产中若发现报告书中未识别出的危险废物，按危险废物管理规定处理处置</w:t>
      </w:r>
      <w:r>
        <w:rPr>
          <w:rFonts w:ascii="Times New Roman" w:hAnsi="Times New Roman" w:eastAsia="仿宋_GB2312"/>
          <w:color w:val="000000" w:themeColor="text1"/>
          <w:sz w:val="32"/>
          <w:szCs w:val="32"/>
          <w14:textFill>
            <w14:solidFill>
              <w14:schemeClr w14:val="tx1"/>
            </w14:solidFill>
          </w14:textFill>
        </w:rPr>
        <w:t>。</w:t>
      </w:r>
    </w:p>
    <w:p w14:paraId="625FC79A">
      <w:pPr>
        <w:keepNext w:val="0"/>
        <w:keepLines w:val="0"/>
        <w:pageBreakBefore w:val="0"/>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000000" w:themeColor="text1"/>
          <w:sz w:val="32"/>
          <w:szCs w:val="32"/>
          <w14:textFill>
            <w14:solidFill>
              <w14:schemeClr w14:val="tx1"/>
            </w14:solidFill>
          </w14:textFill>
        </w:rPr>
        <w:t>（七）健全环境管理制度。</w:t>
      </w:r>
      <w:r>
        <w:rPr>
          <w:rFonts w:hint="eastAsia" w:ascii="Times New Roman" w:hAnsi="Times New Roman" w:eastAsia="仿宋_GB2312"/>
          <w:bCs/>
          <w:color w:val="000000" w:themeColor="text1"/>
          <w:sz w:val="32"/>
          <w:szCs w:val="32"/>
          <w14:textFill>
            <w14:solidFill>
              <w14:schemeClr w14:val="tx1"/>
            </w14:solidFill>
          </w14:textFill>
        </w:rPr>
        <w:t>生产车间、污水收集和输送系统严格落实防渗措施。落实环境监测计划，安装烟气连续在线监控仪器，配套DCS中控系统。环保设备安装“分表计电”智能控制系统，并与生态环境部门联网。排气筒设置永久性采样平台和监测孔。</w:t>
      </w:r>
      <w:bookmarkStart w:id="12" w:name="OLE_LINK16"/>
      <w:bookmarkStart w:id="13" w:name="OLE_LINK15"/>
      <w:r>
        <w:rPr>
          <w:rFonts w:hint="eastAsia" w:ascii="Times New Roman" w:hAnsi="Times New Roman" w:eastAsia="仿宋_GB2312"/>
          <w:bCs/>
          <w:color w:val="auto"/>
          <w:sz w:val="32"/>
          <w:szCs w:val="32"/>
        </w:rPr>
        <w:t>依托现有1处监控井、厂区地下水流向下游新建1个监控井开展地下水监测。</w:t>
      </w:r>
      <w:bookmarkEnd w:id="12"/>
      <w:bookmarkEnd w:id="13"/>
    </w:p>
    <w:p w14:paraId="3ACE9E7A">
      <w:pPr>
        <w:keepNext w:val="0"/>
        <w:keepLines w:val="0"/>
        <w:pageBreakBefore w:val="0"/>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（八）强化环境风险防范和应急措施。</w:t>
      </w:r>
      <w:r>
        <w:rPr>
          <w:rFonts w:hint="eastAsia" w:ascii="Times New Roman" w:hAnsi="Times New Roman" w:eastAsia="仿宋_GB2312"/>
          <w:bCs/>
          <w:color w:val="000000" w:themeColor="text1"/>
          <w:sz w:val="32"/>
          <w:szCs w:val="32"/>
          <w14:textFill>
            <w14:solidFill>
              <w14:schemeClr w14:val="tx1"/>
            </w14:solidFill>
          </w14:textFill>
        </w:rPr>
        <w:t>强化环境风险防范和应急措施。制定突发环境事件应急预案，配备必要的事故防范应急设施、设备并演练，切实加强事故应急处理及防范能力，确保环境安全。履行安全生产法定职责，对环保设施和项目开展安全风险辨识管理，健全内部管理责任制度，严格依据标准规范建设环保设施和项目，符合安全生产、事故防范的相关规定。</w:t>
      </w:r>
    </w:p>
    <w:p w14:paraId="0FB7656B">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Cs/>
          <w:color w:val="000000" w:themeColor="text1"/>
          <w:sz w:val="32"/>
          <w:szCs w:val="32"/>
          <w14:textFill>
            <w14:solidFill>
              <w14:schemeClr w14:val="tx1"/>
            </w14:solidFill>
          </w14:textFill>
        </w:rPr>
        <w:t>（九）</w:t>
      </w:r>
      <w:r>
        <w:rPr>
          <w:rFonts w:hint="eastAsia" w:ascii="Times New Roman" w:hAnsi="Times New Roman" w:eastAsia="仿宋_GB2312"/>
          <w:bCs/>
          <w:color w:val="000000" w:themeColor="text1"/>
          <w:sz w:val="32"/>
          <w:szCs w:val="32"/>
          <w14:textFill>
            <w14:solidFill>
              <w14:schemeClr w14:val="tx1"/>
            </w14:solidFill>
          </w14:textFill>
        </w:rPr>
        <w:t>该项目运营后，COD、氨氮进入环境排放量应控制在0.39t/a和0.019t/a以内。有组织废气污染物颗粒物、二氧化硫、氮氧化物排放量应控制在1.49t/a、9.74t/a、16.87t/a以内。</w:t>
      </w:r>
    </w:p>
    <w:p w14:paraId="5F9CC881">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十）强化环境信息公开与公众参与机制。在项目运营过程中，按规定发布企业环境保护信息，自觉接受社会监督。建立畅通的公众参与渠道，加强宣传与沟通工作，及时解决公众反映的环境问题，满足公众合理的环境保护要求。 </w:t>
      </w:r>
    </w:p>
    <w:p w14:paraId="59D42E17">
      <w:pPr>
        <w:pStyle w:val="13"/>
        <w:keepNext w:val="0"/>
        <w:keepLines w:val="0"/>
        <w:pageBreakBefore w:val="0"/>
        <w:kinsoku/>
        <w:wordWrap/>
        <w:overflowPunct/>
        <w:topLinePunct w:val="0"/>
        <w:autoSpaceDE/>
        <w:autoSpaceDN/>
        <w:bidi w:val="0"/>
        <w:snapToGrid/>
        <w:spacing w:after="0" w:line="560" w:lineRule="exact"/>
        <w:ind w:left="0" w:leftChars="0" w:firstLine="640" w:firstLineChars="200"/>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三、你公司必须严格执行配套建设的环境保护设施与主体项目同时设计、同时施工、同时投入使用的“三同时”制度，落实各项环境保护措施。项目建成后，须按规定程序实施竣工环境保护验收（前述环保措施未落实前，不得通过验收和投入运营）。</w:t>
      </w:r>
    </w:p>
    <w:p w14:paraId="0569A064">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四、环境影响报告书经批准后，项目的性质、规模、地点、生产工艺或者防治污染、防止生态破坏的措施发生重大变动的，应当重新报批该项目的环境影响报告书。自环境影响报告书批复文件批准之日起，如超过5年项目才开工的，应当在开工前将环境影响报告书报批重新审核。如根据法律法规等相关规定需要进行更严格要求的，实行从严管理。 </w:t>
      </w:r>
    </w:p>
    <w:p w14:paraId="37861409">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五、由枣庄市生态环境保护综合执法支队和枣庄市生态环境局滕州分局负责该项目的“三同时”监督检查和日常管理工作。 </w:t>
      </w:r>
    </w:p>
    <w:p w14:paraId="1D6D2D97">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六、你公司应在接到本批复后10个工作日内，将批准后的环境影响报告书送枣庄市生态环境局滕州分局，并按规定接受各级生态环境部门的监督检查。</w:t>
      </w:r>
    </w:p>
    <w:p w14:paraId="42B862E0">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七、如有符合《中华人民共和国行政许可法》第七十八条“行政许可申请人隐瞒有关情况或者提供虚假材料申请行政许可，行政机关应不予受理或者不予行政许可情形”或不符合相关法律法规规定要求的，本批复自始自然作废。</w:t>
      </w:r>
    </w:p>
    <w:p w14:paraId="10E42837">
      <w:pPr>
        <w:pStyle w:val="13"/>
        <w:spacing w:line="560" w:lineRule="exact"/>
        <w:ind w:left="0" w:leftChars="0" w:firstLine="640" w:firstLineChars="200"/>
        <w:jc w:val="left"/>
        <w:rPr>
          <w:rFonts w:ascii="Times New Roman" w:hAnsi="Times New Roman" w:eastAsia="仿宋_GB2312"/>
          <w:color w:val="000000" w:themeColor="text1"/>
          <w:sz w:val="32"/>
          <w:szCs w:val="32"/>
          <w14:textFill>
            <w14:solidFill>
              <w14:schemeClr w14:val="tx1"/>
            </w14:solidFill>
          </w14:textFill>
        </w:rPr>
      </w:pPr>
    </w:p>
    <w:p w14:paraId="23F8361B">
      <w:pPr>
        <w:spacing w:line="560" w:lineRule="exact"/>
        <w:ind w:firstLine="640" w:firstLineChars="200"/>
        <w:jc w:val="left"/>
        <w:rPr>
          <w:rFonts w:ascii="Times New Roman" w:hAnsi="Times New Roman" w:eastAsia="仿宋_GB2312"/>
          <w:color w:val="000000" w:themeColor="text1"/>
          <w:sz w:val="32"/>
          <w:szCs w:val="32"/>
          <w14:textFill>
            <w14:solidFill>
              <w14:schemeClr w14:val="tx1"/>
            </w14:solidFill>
          </w14:textFill>
        </w:rPr>
      </w:pPr>
    </w:p>
    <w:p w14:paraId="07F3E3A2">
      <w:pPr>
        <w:wordWrap w:val="0"/>
        <w:spacing w:line="560" w:lineRule="exact"/>
        <w:ind w:firstLine="640" w:firstLineChars="200"/>
        <w:jc w:val="righ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枣庄市生态环境局</w:t>
      </w:r>
      <w:r>
        <w:rPr>
          <w:rFonts w:hint="eastAsia" w:ascii="Times New Roman" w:hAnsi="Times New Roman" w:eastAsia="仿宋_GB2312"/>
          <w:color w:val="000000" w:themeColor="text1"/>
          <w:sz w:val="32"/>
          <w:szCs w:val="32"/>
          <w14:textFill>
            <w14:solidFill>
              <w14:schemeClr w14:val="tx1"/>
            </w14:solidFill>
          </w14:textFill>
        </w:rPr>
        <w:t xml:space="preserve">    </w:t>
      </w:r>
    </w:p>
    <w:p w14:paraId="76D967EA">
      <w:pPr>
        <w:wordWrap w:val="0"/>
        <w:spacing w:line="560" w:lineRule="exact"/>
        <w:ind w:firstLine="640" w:firstLineChars="200"/>
        <w:jc w:val="right"/>
        <w:rPr>
          <w:rFonts w:hint="eastAsia"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202</w:t>
      </w:r>
      <w:r>
        <w:rPr>
          <w:rFonts w:hint="eastAsia" w:ascii="Times New Roman" w:hAnsi="Times New Roman" w:eastAsia="仿宋_GB2312"/>
          <w:color w:val="000000" w:themeColor="text1"/>
          <w:sz w:val="32"/>
          <w:szCs w:val="32"/>
          <w:highlight w:val="none"/>
          <w14:textFill>
            <w14:solidFill>
              <w14:schemeClr w14:val="tx1"/>
            </w14:solidFill>
          </w14:textFill>
        </w:rPr>
        <w:t>5</w:t>
      </w:r>
      <w:r>
        <w:rPr>
          <w:rFonts w:ascii="Times New Roman" w:hAnsi="Times New Roman" w:eastAsia="仿宋_GB2312"/>
          <w:color w:val="000000" w:themeColor="text1"/>
          <w:sz w:val="32"/>
          <w:szCs w:val="32"/>
          <w:highlight w:val="none"/>
          <w14:textFill>
            <w14:solidFill>
              <w14:schemeClr w14:val="tx1"/>
            </w14:solidFill>
          </w14:textFill>
        </w:rPr>
        <w:t>年</w:t>
      </w:r>
      <w:r>
        <w:rPr>
          <w:rFonts w:hint="eastAsia" w:ascii="Times New Roman" w:hAnsi="Times New Roman" w:eastAsia="仿宋_GB2312"/>
          <w:color w:val="000000" w:themeColor="text1"/>
          <w:sz w:val="32"/>
          <w:szCs w:val="32"/>
          <w:highlight w:val="none"/>
          <w14:textFill>
            <w14:solidFill>
              <w14:schemeClr w14:val="tx1"/>
            </w14:solidFill>
          </w14:textFill>
        </w:rPr>
        <w:t>11</w:t>
      </w:r>
      <w:r>
        <w:rPr>
          <w:rFonts w:ascii="Times New Roman" w:hAnsi="Times New Roman" w:eastAsia="仿宋_GB2312"/>
          <w:color w:val="000000" w:themeColor="text1"/>
          <w:sz w:val="32"/>
          <w:szCs w:val="32"/>
          <w:highlight w:val="none"/>
          <w14:textFill>
            <w14:solidFill>
              <w14:schemeClr w14:val="tx1"/>
            </w14:solidFill>
          </w14:textFill>
        </w:rPr>
        <w:t>月</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w:t>
      </w:r>
      <w:r>
        <w:rPr>
          <w:rFonts w:ascii="Times New Roman" w:hAnsi="Times New Roman" w:eastAsia="仿宋_GB2312"/>
          <w:color w:val="000000" w:themeColor="text1"/>
          <w:sz w:val="32"/>
          <w:szCs w:val="32"/>
          <w:highlight w:val="none"/>
          <w14:textFill>
            <w14:solidFill>
              <w14:schemeClr w14:val="tx1"/>
            </w14:solidFill>
          </w14:textFill>
        </w:rPr>
        <w:t>日</w:t>
      </w:r>
      <w:r>
        <w:rPr>
          <w:rFonts w:hint="eastAsia" w:ascii="Times New Roman" w:hAnsi="Times New Roman" w:eastAsia="仿宋_GB2312"/>
          <w:color w:val="000000" w:themeColor="text1"/>
          <w:sz w:val="32"/>
          <w:szCs w:val="32"/>
          <w:highlight w:val="none"/>
          <w14:textFill>
            <w14:solidFill>
              <w14:schemeClr w14:val="tx1"/>
            </w14:solidFill>
          </w14:textFill>
        </w:rPr>
        <w:t xml:space="preserve">   </w:t>
      </w:r>
    </w:p>
    <w:p w14:paraId="735E21D4">
      <w:pPr>
        <w:wordWrap w:val="0"/>
        <w:spacing w:line="560" w:lineRule="exact"/>
        <w:ind w:firstLine="640" w:firstLineChars="200"/>
        <w:jc w:val="right"/>
        <w:rPr>
          <w:rFonts w:hint="eastAsia" w:ascii="Times New Roman" w:hAnsi="Times New Roman" w:eastAsia="仿宋_GB2312"/>
          <w:color w:val="000000" w:themeColor="text1"/>
          <w:sz w:val="32"/>
          <w:szCs w:val="32"/>
          <w:highlight w:val="none"/>
          <w14:textFill>
            <w14:solidFill>
              <w14:schemeClr w14:val="tx1"/>
            </w14:solidFill>
          </w14:textFill>
        </w:rPr>
      </w:pPr>
    </w:p>
    <w:p w14:paraId="2DF766E1">
      <w:pPr>
        <w:wordWrap w:val="0"/>
        <w:spacing w:line="560" w:lineRule="exact"/>
        <w:ind w:firstLine="640" w:firstLineChars="200"/>
        <w:jc w:val="right"/>
        <w:rPr>
          <w:rFonts w:hint="eastAsia" w:ascii="Times New Roman" w:hAnsi="Times New Roman" w:eastAsia="仿宋_GB2312"/>
          <w:color w:val="000000" w:themeColor="text1"/>
          <w:sz w:val="32"/>
          <w:szCs w:val="32"/>
          <w:highlight w:val="none"/>
          <w14:textFill>
            <w14:solidFill>
              <w14:schemeClr w14:val="tx1"/>
            </w14:solidFill>
          </w14:textFill>
        </w:rPr>
      </w:pPr>
    </w:p>
    <w:p w14:paraId="674D6956">
      <w:pPr>
        <w:wordWrap w:val="0"/>
        <w:spacing w:line="560" w:lineRule="exact"/>
        <w:ind w:firstLine="640" w:firstLineChars="200"/>
        <w:jc w:val="right"/>
        <w:rPr>
          <w:rFonts w:hint="eastAsia" w:ascii="Times New Roman" w:hAnsi="Times New Roman" w:eastAsia="仿宋_GB2312"/>
          <w:color w:val="000000" w:themeColor="text1"/>
          <w:sz w:val="32"/>
          <w:szCs w:val="32"/>
          <w:highlight w:val="none"/>
          <w14:textFill>
            <w14:solidFill>
              <w14:schemeClr w14:val="tx1"/>
            </w14:solidFill>
          </w14:textFill>
        </w:rPr>
      </w:pPr>
    </w:p>
    <w:p w14:paraId="1EF5781D">
      <w:pPr>
        <w:wordWrap w:val="0"/>
        <w:spacing w:line="560" w:lineRule="exact"/>
        <w:ind w:firstLine="640" w:firstLineChars="200"/>
        <w:jc w:val="right"/>
        <w:rPr>
          <w:rFonts w:hint="eastAsia" w:ascii="Times New Roman" w:hAnsi="Times New Roman" w:eastAsia="仿宋_GB2312"/>
          <w:color w:val="000000" w:themeColor="text1"/>
          <w:sz w:val="32"/>
          <w:szCs w:val="32"/>
          <w:highlight w:val="none"/>
          <w14:textFill>
            <w14:solidFill>
              <w14:schemeClr w14:val="tx1"/>
            </w14:solidFill>
          </w14:textFill>
        </w:rPr>
      </w:pPr>
    </w:p>
    <w:p w14:paraId="301DAFF9">
      <w:pPr>
        <w:wordWrap w:val="0"/>
        <w:spacing w:line="560" w:lineRule="exact"/>
        <w:ind w:firstLine="640" w:firstLineChars="200"/>
        <w:jc w:val="right"/>
        <w:rPr>
          <w:rFonts w:ascii="Times New Roman" w:hAnsi="Times New Roman" w:eastAsia="仿宋_GB2312"/>
          <w:color w:val="000000" w:themeColor="text1"/>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 xml:space="preserve"> </w:t>
      </w:r>
    </w:p>
    <w:p w14:paraId="2E2AC482">
      <w:pPr>
        <w:rPr>
          <w:color w:val="000000" w:themeColor="text1"/>
          <w:highlight w:val="none"/>
          <w14:textFill>
            <w14:solidFill>
              <w14:schemeClr w14:val="tx1"/>
            </w14:solidFill>
          </w14:textFill>
        </w:rPr>
      </w:pPr>
    </w:p>
    <w:p w14:paraId="24FE47FD">
      <w:pPr>
        <w:jc w:val="left"/>
        <w:rPr>
          <w:rFonts w:ascii="Times New Roman" w:hAnsi="Times New Roman" w:eastAsia="仿宋_GB2312"/>
          <w:color w:val="000000" w:themeColor="text1"/>
          <w:sz w:val="30"/>
          <w:szCs w:val="30"/>
          <w:highlight w:val="none"/>
          <w14:textFill>
            <w14:solidFill>
              <w14:schemeClr w14:val="tx1"/>
            </w14:solidFill>
          </w14:textFill>
        </w:rPr>
      </w:pPr>
      <w:r>
        <w:rPr>
          <w:rFonts w:ascii="Times New Roman" w:hAnsi="Times New Roman" w:eastAsia="仿宋_GB2312"/>
          <w:color w:val="000000" w:themeColor="text1"/>
          <w:sz w:val="30"/>
          <w:szCs w:val="30"/>
          <w:highlight w:val="none"/>
          <w14:textFill>
            <w14:solidFill>
              <w14:schemeClr w14:val="tx1"/>
            </w14:solidFill>
          </w14:textFill>
        </w:rPr>
        <w:t>主题词：环境影响评价  报告</w:t>
      </w:r>
      <w:r>
        <w:rPr>
          <w:rFonts w:hint="eastAsia" w:ascii="Times New Roman" w:hAnsi="Times New Roman" w:eastAsia="仿宋_GB2312"/>
          <w:color w:val="000000" w:themeColor="text1"/>
          <w:sz w:val="30"/>
          <w:szCs w:val="30"/>
          <w:highlight w:val="none"/>
          <w14:textFill>
            <w14:solidFill>
              <w14:schemeClr w14:val="tx1"/>
            </w14:solidFill>
          </w14:textFill>
        </w:rPr>
        <w:t>书</w:t>
      </w:r>
      <w:r>
        <w:rPr>
          <w:rFonts w:ascii="Times New Roman" w:hAnsi="Times New Roman" w:eastAsia="仿宋_GB2312"/>
          <w:color w:val="000000" w:themeColor="text1"/>
          <w:sz w:val="30"/>
          <w:szCs w:val="30"/>
          <w:highlight w:val="none"/>
          <w14:textFill>
            <w14:solidFill>
              <w14:schemeClr w14:val="tx1"/>
            </w14:solidFill>
          </w14:textFill>
        </w:rPr>
        <w:t xml:space="preserve">  批复</w:t>
      </w:r>
    </w:p>
    <w:tbl>
      <w:tblPr>
        <w:tblStyle w:val="14"/>
        <w:tblW w:w="89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14:paraId="7CD6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980" w:type="dxa"/>
            <w:tcBorders>
              <w:left w:val="nil"/>
              <w:right w:val="nil"/>
            </w:tcBorders>
            <w:vAlign w:val="center"/>
          </w:tcPr>
          <w:p w14:paraId="79F4BE25">
            <w:pPr>
              <w:rPr>
                <w:rFonts w:ascii="Times New Roman" w:hAnsi="Times New Roman" w:eastAsia="仿宋_GB2312"/>
                <w:color w:val="000000" w:themeColor="text1"/>
                <w:sz w:val="30"/>
                <w:szCs w:val="30"/>
                <w:highlight w:val="none"/>
                <w14:textFill>
                  <w14:solidFill>
                    <w14:schemeClr w14:val="tx1"/>
                  </w14:solidFill>
                </w14:textFill>
              </w:rPr>
            </w:pPr>
            <w:r>
              <w:rPr>
                <w:rFonts w:ascii="Times New Roman" w:hAnsi="Times New Roman" w:eastAsia="仿宋_GB2312"/>
                <w:color w:val="000000" w:themeColor="text1"/>
                <w:sz w:val="30"/>
                <w:szCs w:val="30"/>
                <w:highlight w:val="none"/>
                <w14:textFill>
                  <w14:solidFill>
                    <w14:schemeClr w14:val="tx1"/>
                  </w14:solidFill>
                </w14:textFill>
              </w:rPr>
              <w:t>抄送：枣庄市应急管理局</w:t>
            </w:r>
          </w:p>
        </w:tc>
      </w:tr>
    </w:tbl>
    <w:p w14:paraId="0E48896C">
      <w:pPr>
        <w:adjustRightInd w:val="0"/>
        <w:snapToGrid w:val="0"/>
        <w:rPr>
          <w:rFonts w:ascii="Times New Roman" w:hAnsi="Times New Roman" w:eastAsia="仿宋_GB2312"/>
          <w:color w:val="000000" w:themeColor="text1"/>
          <w:sz w:val="30"/>
          <w:szCs w:val="30"/>
          <w:highlight w:val="none"/>
          <w14:textFill>
            <w14:solidFill>
              <w14:schemeClr w14:val="tx1"/>
            </w14:solidFill>
          </w14:textFill>
        </w:rPr>
      </w:pPr>
      <w:r>
        <w:rPr>
          <w:rFonts w:ascii="Times New Roman" w:hAnsi="Times New Roman" w:eastAsia="仿宋_GB2312"/>
          <w:color w:val="000000" w:themeColor="text1"/>
          <w:sz w:val="30"/>
          <w:szCs w:val="30"/>
          <w:highlight w:val="none"/>
          <w14:textFill>
            <w14:solidFill>
              <w14:schemeClr w14:val="tx1"/>
            </w14:solidFill>
          </w14:textFill>
        </w:rPr>
        <w:t>枣庄市生态环境局办公室             202</w:t>
      </w:r>
      <w:r>
        <w:rPr>
          <w:rFonts w:hint="eastAsia" w:ascii="Times New Roman" w:hAnsi="Times New Roman" w:eastAsia="仿宋_GB2312"/>
          <w:color w:val="000000" w:themeColor="text1"/>
          <w:sz w:val="30"/>
          <w:szCs w:val="30"/>
          <w:highlight w:val="none"/>
          <w14:textFill>
            <w14:solidFill>
              <w14:schemeClr w14:val="tx1"/>
            </w14:solidFill>
          </w14:textFill>
        </w:rPr>
        <w:t>5</w:t>
      </w:r>
      <w:r>
        <w:rPr>
          <w:rFonts w:ascii="Times New Roman" w:hAnsi="Times New Roman" w:eastAsia="仿宋_GB2312"/>
          <w:color w:val="000000" w:themeColor="text1"/>
          <w:sz w:val="30"/>
          <w:szCs w:val="30"/>
          <w:highlight w:val="none"/>
          <w14:textFill>
            <w14:solidFill>
              <w14:schemeClr w14:val="tx1"/>
            </w14:solidFill>
          </w14:textFill>
        </w:rPr>
        <w:t>年</w:t>
      </w:r>
      <w:r>
        <w:rPr>
          <w:rFonts w:hint="eastAsia" w:ascii="Times New Roman" w:hAnsi="Times New Roman" w:eastAsia="仿宋_GB2312"/>
          <w:color w:val="000000" w:themeColor="text1"/>
          <w:sz w:val="30"/>
          <w:szCs w:val="30"/>
          <w:highlight w:val="none"/>
          <w14:textFill>
            <w14:solidFill>
              <w14:schemeClr w14:val="tx1"/>
            </w14:solidFill>
          </w14:textFill>
        </w:rPr>
        <w:t>11</w:t>
      </w:r>
      <w:r>
        <w:rPr>
          <w:rFonts w:ascii="Times New Roman" w:hAnsi="Times New Roman" w:eastAsia="仿宋_GB2312"/>
          <w:color w:val="000000" w:themeColor="text1"/>
          <w:sz w:val="30"/>
          <w:szCs w:val="30"/>
          <w:highlight w:val="none"/>
          <w14:textFill>
            <w14:solidFill>
              <w14:schemeClr w14:val="tx1"/>
            </w14:solidFill>
          </w14:textFill>
        </w:rPr>
        <w:t>月</w:t>
      </w:r>
      <w:r>
        <w:rPr>
          <w:rFonts w:hint="eastAsia" w:ascii="Times New Roman" w:hAnsi="Times New Roman" w:eastAsia="仿宋_GB2312"/>
          <w:color w:val="000000" w:themeColor="text1"/>
          <w:sz w:val="30"/>
          <w:szCs w:val="30"/>
          <w:highlight w:val="none"/>
          <w:lang w:val="en-US" w:eastAsia="zh-CN"/>
          <w14:textFill>
            <w14:solidFill>
              <w14:schemeClr w14:val="tx1"/>
            </w14:solidFill>
          </w14:textFill>
        </w:rPr>
        <w:t>7</w:t>
      </w:r>
      <w:r>
        <w:rPr>
          <w:rFonts w:ascii="Times New Roman" w:hAnsi="Times New Roman" w:eastAsia="仿宋_GB2312"/>
          <w:color w:val="000000" w:themeColor="text1"/>
          <w:sz w:val="30"/>
          <w:szCs w:val="30"/>
          <w:highlight w:val="none"/>
          <w14:textFill>
            <w14:solidFill>
              <w14:schemeClr w14:val="tx1"/>
            </w14:solidFill>
          </w14:textFill>
        </w:rPr>
        <w:t>日印</w:t>
      </w:r>
      <w:r>
        <w:rPr>
          <w:rFonts w:hint="eastAsia" w:ascii="Times New Roman" w:hAnsi="Times New Roman" w:eastAsia="仿宋_GB2312"/>
          <w:color w:val="000000" w:themeColor="text1"/>
          <w:sz w:val="30"/>
          <w:szCs w:val="30"/>
          <w:highlight w:val="none"/>
          <w14:textFill>
            <w14:solidFill>
              <w14:schemeClr w14:val="tx1"/>
            </w14:solidFill>
          </w14:textFill>
        </w:rPr>
        <w:t>发</w:t>
      </w:r>
    </w:p>
    <w:p w14:paraId="06F44009">
      <w:pPr>
        <w:rPr>
          <w:color w:val="000000" w:themeColor="text1"/>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电子批复领取指</w:t>
      </w:r>
      <w:r>
        <w:rPr>
          <w:rFonts w:hint="eastAsia" w:ascii="Times New Roman" w:hAnsi="Times New Roman" w:eastAsia="仿宋_GB2312"/>
          <w:color w:val="000000" w:themeColor="text1"/>
          <w:szCs w:val="21"/>
          <w:highlight w:val="none"/>
          <w14:textFill>
            <w14:solidFill>
              <w14:schemeClr w14:val="tx1"/>
            </w14:solidFill>
          </w14:textFill>
        </w:rPr>
        <w:t>南：</w:t>
      </w:r>
      <w:r>
        <w:rPr>
          <w:rFonts w:ascii="Times New Roman" w:hAnsi="Times New Roman" w:eastAsia="仿宋_GB2312"/>
          <w:color w:val="000000" w:themeColor="text1"/>
          <w:szCs w:val="21"/>
          <w14:textFill>
            <w14:solidFill>
              <w14:schemeClr w14:val="tx1"/>
            </w14:solidFill>
          </w14:textFill>
        </w:rPr>
        <w:t>http://sthjj.zaozhuang.gov.cn/sthjyw/hpsp/xmsp/202205/t20220531_1442654.html</w:t>
      </w:r>
      <w:r>
        <w:rPr>
          <w:rFonts w:hint="eastAsia" w:ascii="Times New Roman" w:hAnsi="Times New Roman" w:eastAsia="仿宋_GB2312"/>
          <w:color w:val="000000" w:themeColor="text1"/>
          <w:sz w:val="32"/>
          <w:szCs w:val="32"/>
          <w14:textFill>
            <w14:solidFill>
              <w14:schemeClr w14:val="tx1"/>
            </w14:solidFill>
          </w14:textFill>
        </w:rPr>
        <w:t xml:space="preserve">  </w:t>
      </w:r>
    </w:p>
    <w:sectPr>
      <w:pgSz w:w="11906" w:h="16838"/>
      <w:pgMar w:top="2154"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Noto Serif Bengal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1" w:fontKey="{DE042AB8-AC5F-4BB1-9EAE-BB8E2902696E}"/>
  </w:font>
  <w:font w:name="仿宋">
    <w:panose1 w:val="02010609060101010101"/>
    <w:charset w:val="86"/>
    <w:family w:val="modern"/>
    <w:pitch w:val="default"/>
    <w:sig w:usb0="800002BF" w:usb1="38CF7CFA" w:usb2="00000016" w:usb3="00000000" w:csb0="00040001" w:csb1="00000000"/>
    <w:embedRegular r:id="rId2" w:fontKey="{62FA233A-8521-433E-A79E-FAD173943B53}"/>
  </w:font>
  <w:font w:name="方正小标宋简体">
    <w:panose1 w:val="02000000000000000000"/>
    <w:charset w:val="86"/>
    <w:family w:val="auto"/>
    <w:pitch w:val="default"/>
    <w:sig w:usb0="00000001" w:usb1="08000000" w:usb2="00000000" w:usb3="00000000" w:csb0="00040000" w:csb1="00000000"/>
    <w:embedRegular r:id="rId3" w:fontKey="{32E5C822-EA0B-4C7E-994E-3D49C4E0A1F2}"/>
  </w:font>
  <w:font w:name="仿宋_GB2312">
    <w:altName w:val="仿宋"/>
    <w:panose1 w:val="02010609030101010101"/>
    <w:charset w:val="86"/>
    <w:family w:val="auto"/>
    <w:pitch w:val="default"/>
    <w:sig w:usb0="00000000" w:usb1="00000000" w:usb2="00000000" w:usb3="00000000" w:csb0="00040000" w:csb1="00000000"/>
    <w:embedRegular r:id="rId4" w:fontKey="{23C69A0C-7D42-4C46-9050-36C9A060C915}"/>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4BB5"/>
    <w:multiLevelType w:val="singleLevel"/>
    <w:tmpl w:val="AAEE4BB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MmM3YWZhMDk0NGI1MWQzMzkxMWM4NjMzYzU2MTEifQ=="/>
  </w:docVars>
  <w:rsids>
    <w:rsidRoot w:val="00B9590F"/>
    <w:rsid w:val="004C7CA3"/>
    <w:rsid w:val="005E56DF"/>
    <w:rsid w:val="00820AAF"/>
    <w:rsid w:val="00B9590F"/>
    <w:rsid w:val="00D656B1"/>
    <w:rsid w:val="02F7667D"/>
    <w:rsid w:val="02FE3E85"/>
    <w:rsid w:val="04D16069"/>
    <w:rsid w:val="04D8694E"/>
    <w:rsid w:val="0AAA2F8D"/>
    <w:rsid w:val="0C2030B4"/>
    <w:rsid w:val="102F3197"/>
    <w:rsid w:val="12B4789D"/>
    <w:rsid w:val="13CC6D21"/>
    <w:rsid w:val="14386A62"/>
    <w:rsid w:val="15CC605B"/>
    <w:rsid w:val="180513B0"/>
    <w:rsid w:val="1A0F29BA"/>
    <w:rsid w:val="226F5814"/>
    <w:rsid w:val="2897762F"/>
    <w:rsid w:val="2CB43679"/>
    <w:rsid w:val="2CB847EB"/>
    <w:rsid w:val="2F4607D4"/>
    <w:rsid w:val="2FFE306F"/>
    <w:rsid w:val="38C2711D"/>
    <w:rsid w:val="3B4C2CCE"/>
    <w:rsid w:val="3BB23479"/>
    <w:rsid w:val="3C0417FB"/>
    <w:rsid w:val="3D5B233F"/>
    <w:rsid w:val="3E583006"/>
    <w:rsid w:val="415B1EBD"/>
    <w:rsid w:val="41B11ADD"/>
    <w:rsid w:val="45F60406"/>
    <w:rsid w:val="48591D84"/>
    <w:rsid w:val="48FF3A76"/>
    <w:rsid w:val="4A8F21C4"/>
    <w:rsid w:val="4C163313"/>
    <w:rsid w:val="4C5C45F5"/>
    <w:rsid w:val="4DDFEBCD"/>
    <w:rsid w:val="4E5678FD"/>
    <w:rsid w:val="4E6A1991"/>
    <w:rsid w:val="4F3F4153"/>
    <w:rsid w:val="50606E3A"/>
    <w:rsid w:val="516033A8"/>
    <w:rsid w:val="56096CE7"/>
    <w:rsid w:val="59DE3233"/>
    <w:rsid w:val="5A687C01"/>
    <w:rsid w:val="5E316028"/>
    <w:rsid w:val="6639016F"/>
    <w:rsid w:val="672B59B3"/>
    <w:rsid w:val="677E7CD6"/>
    <w:rsid w:val="67EB3C59"/>
    <w:rsid w:val="6F3F25AC"/>
    <w:rsid w:val="75BE6DCB"/>
    <w:rsid w:val="75FF7E06"/>
    <w:rsid w:val="763F373A"/>
    <w:rsid w:val="7C94690A"/>
    <w:rsid w:val="7D3F7ADF"/>
    <w:rsid w:val="7E1116B7"/>
    <w:rsid w:val="7F2F7F0A"/>
    <w:rsid w:val="7FD7CF69"/>
    <w:rsid w:val="7FE7E71C"/>
    <w:rsid w:val="9F95BC50"/>
    <w:rsid w:val="B5EB40C1"/>
    <w:rsid w:val="CB5DF9F1"/>
    <w:rsid w:val="DFBB5BD4"/>
    <w:rsid w:val="F3FD9F24"/>
    <w:rsid w:val="FD7F9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style>
  <w:style w:type="paragraph" w:styleId="4">
    <w:name w:val="Body Text Indent"/>
    <w:basedOn w:val="1"/>
    <w:next w:val="5"/>
    <w:qFormat/>
    <w:uiPriority w:val="0"/>
    <w:pPr>
      <w:spacing w:after="120"/>
      <w:ind w:left="420" w:leftChars="200"/>
    </w:pPr>
  </w:style>
  <w:style w:type="paragraph" w:customStyle="1" w:styleId="5">
    <w:name w:val="样式 正文文本缩进 + 行距: 1.5 倍行距"/>
    <w:basedOn w:val="6"/>
    <w:next w:val="1"/>
    <w:qFormat/>
    <w:uiPriority w:val="0"/>
    <w:pPr>
      <w:spacing w:line="360" w:lineRule="auto"/>
      <w:ind w:left="90" w:leftChars="32" w:firstLine="560"/>
    </w:pPr>
    <w:rPr>
      <w:rFonts w:cs="宋体"/>
    </w:rPr>
  </w:style>
  <w:style w:type="paragraph" w:customStyle="1" w:styleId="6">
    <w:name w:val="正文文本缩进1"/>
    <w:basedOn w:val="7"/>
    <w:next w:val="5"/>
    <w:qFormat/>
    <w:uiPriority w:val="0"/>
    <w:pPr>
      <w:spacing w:after="120"/>
      <w:ind w:left="420" w:leftChars="200"/>
    </w:pPr>
    <w:rPr>
      <w:rFonts w:hint="eastAsia"/>
    </w:rPr>
  </w:style>
  <w:style w:type="paragraph" w:customStyle="1" w:styleId="7">
    <w:name w:val="正文1"/>
    <w:basedOn w:val="3"/>
    <w:next w:val="1"/>
    <w:qFormat/>
    <w:uiPriority w:val="0"/>
    <w:pPr>
      <w:spacing w:line="500" w:lineRule="exact"/>
      <w:ind w:firstLine="480" w:firstLineChars="200"/>
    </w:pPr>
    <w:rPr>
      <w:rFonts w:ascii="宋体" w:hAnsi="宋体"/>
      <w:sz w:val="24"/>
      <w:szCs w:val="20"/>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UserStyle_8"/>
    <w:basedOn w:val="10"/>
    <w:qFormat/>
    <w:uiPriority w:val="0"/>
    <w:pPr>
      <w:spacing w:line="240" w:lineRule="auto"/>
      <w:ind w:right="-140" w:rightChars="-50" w:firstLine="1653" w:firstLineChars="588"/>
    </w:pPr>
    <w:rPr>
      <w:rFonts w:cs="Times New Roman"/>
      <w:b/>
      <w:bCs/>
    </w:rPr>
  </w:style>
  <w:style w:type="paragraph" w:customStyle="1" w:styleId="10">
    <w:name w:val="UserStyle_9"/>
    <w:next w:val="1"/>
    <w:qFormat/>
    <w:uiPriority w:val="0"/>
    <w:pPr>
      <w:widowControl w:val="0"/>
      <w:spacing w:line="480" w:lineRule="atLeast"/>
      <w:jc w:val="both"/>
      <w:textAlignment w:val="baseline"/>
    </w:pPr>
    <w:rPr>
      <w:rFonts w:ascii="宋体" w:hAnsi="Tms Rmn" w:eastAsia="宋体" w:cs="黑体"/>
      <w:sz w:val="28"/>
      <w:lang w:val="en-US" w:eastAsia="zh-CN" w:bidi="ar-SA"/>
    </w:rPr>
  </w:style>
  <w:style w:type="paragraph" w:styleId="11">
    <w:name w:val="Normal (Web)"/>
    <w:basedOn w:val="1"/>
    <w:qFormat/>
    <w:uiPriority w:val="0"/>
    <w:pPr>
      <w:widowControl/>
      <w:spacing w:beforeAutospacing="1" w:afterAutospacing="1"/>
      <w:jc w:val="left"/>
    </w:pPr>
    <w:rPr>
      <w:rFonts w:ascii="宋体" w:hAnsi="宋体"/>
      <w:color w:val="000000"/>
      <w:kern w:val="0"/>
      <w:sz w:val="24"/>
      <w:szCs w:val="20"/>
    </w:rPr>
  </w:style>
  <w:style w:type="paragraph" w:styleId="12">
    <w:name w:val="Body Text First Indent"/>
    <w:basedOn w:val="3"/>
    <w:qFormat/>
    <w:uiPriority w:val="0"/>
    <w:pPr>
      <w:spacing w:after="120"/>
      <w:ind w:firstLine="420" w:firstLineChars="100"/>
    </w:pPr>
    <w:rPr>
      <w:rFonts w:ascii="Times New Roman" w:hAnsi="Times New Roman"/>
    </w:rPr>
  </w:style>
  <w:style w:type="paragraph" w:styleId="13">
    <w:name w:val="Body Text First Indent 2"/>
    <w:basedOn w:val="4"/>
    <w:next w:val="1"/>
    <w:qFormat/>
    <w:uiPriority w:val="0"/>
    <w:pPr>
      <w:ind w:firstLine="420"/>
    </w:pPr>
  </w:style>
  <w:style w:type="paragraph" w:customStyle="1" w:styleId="16">
    <w:name w:val="报告书正文样式1"/>
    <w:basedOn w:val="17"/>
    <w:qFormat/>
    <w:uiPriority w:val="0"/>
    <w:pPr>
      <w:spacing w:line="360" w:lineRule="auto"/>
    </w:pPr>
    <w:rPr>
      <w:rFonts w:ascii="Arial" w:hAnsi="Arial" w:cs="Arial"/>
      <w:szCs w:val="24"/>
    </w:rPr>
  </w:style>
  <w:style w:type="paragraph" w:customStyle="1" w:styleId="17">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18">
    <w:name w:val="NormalCharacter"/>
    <w:qFormat/>
    <w:uiPriority w:val="0"/>
    <w:rPr>
      <w:kern w:val="2"/>
      <w:sz w:val="32"/>
      <w:szCs w:val="32"/>
      <w:lang w:val="en-US" w:eastAsia="zh-CN" w:bidi="ar-SA"/>
    </w:rPr>
  </w:style>
  <w:style w:type="paragraph" w:customStyle="1" w:styleId="19">
    <w:name w:val="正文x"/>
    <w:basedOn w:val="1"/>
    <w:qFormat/>
    <w:uiPriority w:val="99"/>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3456</Words>
  <Characters>3722</Characters>
  <Lines>27</Lines>
  <Paragraphs>7</Paragraphs>
  <TotalTime>79</TotalTime>
  <ScaleCrop>false</ScaleCrop>
  <LinksUpToDate>false</LinksUpToDate>
  <CharactersWithSpaces>3734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2025-11-06T00:40:00Z</dcterms:created>
  <dc:creator>lenovo</dc:creator>
  <cp:lastModifiedBy>你是什么小&amp;%/</cp:lastModifiedBy>
  <cp:lastPrinted>2025-11-06T16:29:00Z</cp:lastPrinted>
  <dcterms:modified xsi:type="dcterms:W3CDTF">2025-11-10T02:19:00Z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eyJoZGlkIjoiZGRlN2Y2NTkwMGQzN2ExM2VhOWIzMmZmOGYwYjkxMGEiLCJ1c2VySWQiOiIxMDI3ODU2ODQwIn0=</vt:lpwstr>
  </property>
  <property fmtid="{D5CDD505-2E9C-101B-9397-08002B2CF9AE}" pid="4" name="ICV">
    <vt:lpwstr>2931873DB0DD454F8ED977112DA751BE_13</vt:lpwstr>
  </property>
</Properties>
</file>