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枣庄市生态环境质量服务中心</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2022年度服务高质量发展绩效考核工作任务要点</w:t>
      </w:r>
    </w:p>
    <w:p>
      <w:pPr>
        <w:pStyle w:val="2"/>
        <w:rPr>
          <w:rFonts w:hint="eastAsia"/>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47"/>
        <w:gridCol w:w="3120"/>
        <w:gridCol w:w="2910"/>
        <w:gridCol w:w="3840"/>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一级指标</w:t>
            </w:r>
          </w:p>
        </w:tc>
        <w:tc>
          <w:tcPr>
            <w:tcW w:w="312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二级指标</w:t>
            </w:r>
          </w:p>
        </w:tc>
        <w:tc>
          <w:tcPr>
            <w:tcW w:w="291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任务要点名称</w:t>
            </w:r>
          </w:p>
        </w:tc>
        <w:tc>
          <w:tcPr>
            <w:tcW w:w="384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年度目标</w:t>
            </w:r>
          </w:p>
        </w:tc>
        <w:tc>
          <w:tcPr>
            <w:tcW w:w="19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234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围绕中心履职尽责（400分）</w:t>
            </w:r>
          </w:p>
        </w:tc>
        <w:tc>
          <w:tcPr>
            <w:tcW w:w="3120" w:type="dxa"/>
            <w:vMerge w:val="restart"/>
            <w:tcBorders>
              <w:top w:val="single" w:color="auto" w:sz="4" w:space="0"/>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重点（</w:t>
            </w:r>
            <w:r>
              <w:rPr>
                <w:rFonts w:hint="eastAsia" w:ascii="仿宋_GB2312" w:hAnsi="仿宋_GB2312" w:eastAsia="仿宋_GB2312" w:cs="仿宋_GB2312"/>
                <w:sz w:val="32"/>
                <w:szCs w:val="32"/>
              </w:rPr>
              <w:t>职能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工作</w:t>
            </w:r>
          </w:p>
        </w:tc>
        <w:tc>
          <w:tcPr>
            <w:tcW w:w="2910" w:type="dxa"/>
            <w:tcBorders>
              <w:top w:val="single" w:color="auto"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负责机动车环保检验机构的技术检查</w:t>
            </w:r>
          </w:p>
        </w:tc>
        <w:tc>
          <w:tcPr>
            <w:tcW w:w="3840" w:type="dxa"/>
            <w:tcBorders>
              <w:top w:val="single" w:color="auto"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1.对全市新扩建机动车环保检验机构联网检验申请进行技术审核；</w:t>
            </w:r>
          </w:p>
          <w:p>
            <w:pPr>
              <w:keepNext w:val="0"/>
              <w:keepLines w:val="0"/>
              <w:pageBreakBefore w:val="0"/>
              <w:widowControl w:val="0"/>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2.对全市机动车环保检验机构做到全年检查全覆盖。</w:t>
            </w:r>
          </w:p>
        </w:tc>
        <w:tc>
          <w:tcPr>
            <w:tcW w:w="1957" w:type="dxa"/>
            <w:tcBorders>
              <w:top w:val="single" w:color="auto" w:sz="4" w:space="0"/>
              <w:left w:val="single" w:color="auto" w:sz="4" w:space="0"/>
              <w:bottom w:val="single" w:color="000000" w:sz="4" w:space="0"/>
              <w:right w:val="single" w:color="auto" w:sz="4" w:space="0"/>
              <w:tl2br w:val="nil"/>
              <w:tr2bl w:val="nil"/>
            </w:tcBorders>
            <w:noWrap w:val="0"/>
            <w:vAlign w:val="center"/>
          </w:tcPr>
          <w:p>
            <w:pPr>
              <w:spacing w:beforeLines="0" w:afterLines="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2347"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3120" w:type="dxa"/>
            <w:vMerge w:val="continue"/>
            <w:tcBorders>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2910"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负责加油站、储油库油气治理日常监督检查</w:t>
            </w:r>
          </w:p>
        </w:tc>
        <w:tc>
          <w:tcPr>
            <w:tcW w:w="3840"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1.督促加油站认真执行夏秋季错峰卸油政策</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2.开展加油站油气回收装置专项检查和抽测。</w:t>
            </w:r>
          </w:p>
        </w:tc>
        <w:tc>
          <w:tcPr>
            <w:tcW w:w="1957"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spacing w:beforeLines="0" w:afterLines="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7" w:hRule="atLeast"/>
        </w:trPr>
        <w:tc>
          <w:tcPr>
            <w:tcW w:w="2347"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3120" w:type="dxa"/>
            <w:vMerge w:val="continue"/>
            <w:tcBorders>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2910" w:type="dxa"/>
            <w:tcBorders>
              <w:top w:val="single" w:color="000000"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承担全市重点污染源和市级及以下环境空气质量等自动监测设施的日常监控以及在线数据的预警预报统计分析等工作</w:t>
            </w:r>
          </w:p>
        </w:tc>
        <w:tc>
          <w:tcPr>
            <w:tcW w:w="3840" w:type="dxa"/>
            <w:tcBorders>
              <w:top w:val="single" w:color="000000"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1.制作城市空气质量预报和乡镇空气站月报</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2.统计污染源企业自动监测数据小时超标报表、日超标报表，以及全市自动监测月报</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3.审核全市污染源企业提交的联网申请，收录已联网企业备案。</w:t>
            </w:r>
          </w:p>
        </w:tc>
        <w:tc>
          <w:tcPr>
            <w:tcW w:w="1957"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trPr>
        <w:tc>
          <w:tcPr>
            <w:tcW w:w="2347" w:type="dxa"/>
            <w:vMerge w:val="continue"/>
            <w:tcBorders>
              <w:left w:val="single" w:color="auto" w:sz="4" w:space="0"/>
              <w:right w:val="single" w:color="auto" w:sz="4" w:space="0"/>
              <w:tl2br w:val="nil"/>
              <w:tr2bl w:val="nil"/>
            </w:tcBorders>
            <w:noWrap w:val="0"/>
            <w:vAlign w:val="center"/>
          </w:tcPr>
          <w:p>
            <w:pPr>
              <w:spacing w:beforeLines="0" w:afterLines="0"/>
              <w:jc w:val="center"/>
            </w:pPr>
          </w:p>
        </w:tc>
        <w:tc>
          <w:tcPr>
            <w:tcW w:w="3120" w:type="dxa"/>
            <w:vMerge w:val="continue"/>
            <w:tcBorders>
              <w:left w:val="single" w:color="auto" w:sz="4" w:space="0"/>
              <w:bottom w:val="single" w:color="auto" w:sz="4" w:space="0"/>
              <w:right w:val="single" w:color="auto" w:sz="4" w:space="0"/>
              <w:tl2br w:val="nil"/>
              <w:tr2bl w:val="nil"/>
            </w:tcBorders>
            <w:noWrap w:val="0"/>
            <w:vAlign w:val="center"/>
          </w:tcPr>
          <w:p>
            <w:pPr>
              <w:spacing w:beforeLines="0" w:afterLines="0"/>
              <w:jc w:val="center"/>
            </w:pPr>
          </w:p>
        </w:tc>
        <w:tc>
          <w:tcPr>
            <w:tcW w:w="2910" w:type="dxa"/>
            <w:tcBorders>
              <w:top w:val="single" w:color="000000"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承担全市</w:t>
            </w:r>
            <w:r>
              <w:rPr>
                <w:rFonts w:hint="eastAsia" w:ascii="仿宋_GB2312" w:hAnsi="仿宋_GB2312" w:eastAsia="仿宋_GB2312" w:cs="仿宋_GB2312"/>
                <w:sz w:val="24"/>
                <w:szCs w:val="24"/>
                <w:lang w:val="en-US" w:eastAsia="zh-CN"/>
              </w:rPr>
              <w:t>大气</w:t>
            </w:r>
            <w:r>
              <w:rPr>
                <w:rFonts w:hint="default" w:ascii="仿宋_GB2312" w:hAnsi="仿宋_GB2312" w:eastAsia="仿宋_GB2312" w:cs="仿宋_GB2312"/>
                <w:sz w:val="24"/>
                <w:szCs w:val="24"/>
                <w:lang w:val="en-US" w:eastAsia="zh-CN"/>
              </w:rPr>
              <w:t>污染防治的技术支撑工作</w:t>
            </w:r>
          </w:p>
        </w:tc>
        <w:tc>
          <w:tcPr>
            <w:tcW w:w="3840" w:type="dxa"/>
            <w:tcBorders>
              <w:top w:val="single" w:color="000000"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80" w:lineRule="exact"/>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r>
              <w:rPr>
                <w:rFonts w:hint="default" w:ascii="仿宋_GB2312" w:hAnsi="仿宋_GB2312" w:eastAsia="仿宋_GB2312" w:cs="仿宋_GB2312"/>
                <w:sz w:val="24"/>
                <w:szCs w:val="24"/>
                <w:lang w:val="en-US" w:eastAsia="zh-CN"/>
              </w:rPr>
              <w:t>对全市中央和省级大气污染防治资金申请项目进行初步材料审查</w:t>
            </w:r>
            <w:r>
              <w:rPr>
                <w:rFonts w:hint="eastAsia" w:ascii="仿宋_GB2312" w:hAnsi="仿宋_GB2312" w:eastAsia="仿宋_GB2312" w:cs="仿宋_GB2312"/>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80" w:lineRule="exact"/>
              <w:jc w:val="both"/>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r>
              <w:rPr>
                <w:rFonts w:hint="default" w:ascii="仿宋_GB2312" w:hAnsi="仿宋_GB2312" w:eastAsia="仿宋_GB2312" w:cs="仿宋_GB2312"/>
                <w:sz w:val="24"/>
                <w:szCs w:val="24"/>
                <w:lang w:val="en-US" w:eastAsia="zh-CN"/>
              </w:rPr>
              <w:t>提醒和指导各分局及时组织开展项目申报工作；</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80" w:lineRule="exact"/>
              <w:ind w:leftChars="0"/>
              <w:jc w:val="both"/>
              <w:textAlignment w:val="auto"/>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3.配合省厅做好项目信息调度工作。</w:t>
            </w:r>
          </w:p>
        </w:tc>
        <w:tc>
          <w:tcPr>
            <w:tcW w:w="1957"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2347"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default" w:ascii="仿宋_GB2312" w:hAnsi="仿宋_GB2312" w:eastAsia="仿宋_GB2312" w:cs="仿宋_GB2312"/>
                <w:sz w:val="18"/>
                <w:szCs w:val="18"/>
                <w:lang w:val="en-US" w:eastAsia="zh-CN"/>
              </w:rPr>
            </w:pPr>
          </w:p>
        </w:tc>
        <w:tc>
          <w:tcPr>
            <w:tcW w:w="3120" w:type="dxa"/>
            <w:vMerge w:val="continue"/>
            <w:tcBorders>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仿宋_GB2312" w:hAnsi="仿宋_GB2312" w:eastAsia="仿宋_GB2312" w:cs="仿宋_GB2312"/>
                <w:sz w:val="18"/>
                <w:szCs w:val="18"/>
                <w:lang w:val="en-US" w:eastAsia="zh-CN"/>
              </w:rPr>
            </w:pPr>
          </w:p>
        </w:tc>
        <w:tc>
          <w:tcPr>
            <w:tcW w:w="2910" w:type="dxa"/>
            <w:tcBorders>
              <w:top w:val="single" w:color="000000"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承担全市土壤、农村等污染防治的技术支撑工作</w:t>
            </w:r>
          </w:p>
        </w:tc>
        <w:tc>
          <w:tcPr>
            <w:tcW w:w="3840" w:type="dxa"/>
            <w:tcBorders>
              <w:top w:val="single" w:color="000000"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left"/>
              <w:textAlignment w:val="auto"/>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1.开展土壤污染状况调查报告技术审查工作；</w:t>
            </w:r>
          </w:p>
          <w:p>
            <w:pPr>
              <w:keepNext w:val="0"/>
              <w:keepLines w:val="0"/>
              <w:pageBreakBefore w:val="0"/>
              <w:widowControl w:val="0"/>
              <w:kinsoku/>
              <w:wordWrap/>
              <w:overflowPunct/>
              <w:topLinePunct w:val="0"/>
              <w:autoSpaceDE/>
              <w:autoSpaceDN/>
              <w:bidi w:val="0"/>
              <w:adjustRightInd/>
              <w:snapToGrid/>
              <w:spacing w:beforeLines="0" w:afterLines="0" w:line="280" w:lineRule="exact"/>
              <w:jc w:val="left"/>
              <w:textAlignment w:val="auto"/>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2.对全市农村生活污水治理建设和验收工作进行技术指导。</w:t>
            </w:r>
          </w:p>
        </w:tc>
        <w:tc>
          <w:tcPr>
            <w:tcW w:w="1957"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9" w:hRule="atLeast"/>
        </w:trPr>
        <w:tc>
          <w:tcPr>
            <w:tcW w:w="2347"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default" w:ascii="仿宋_GB2312" w:hAnsi="仿宋_GB2312" w:eastAsia="仿宋_GB2312" w:cs="仿宋_GB2312"/>
                <w:sz w:val="18"/>
                <w:szCs w:val="18"/>
                <w:lang w:val="en-US" w:eastAsia="zh-CN"/>
              </w:rPr>
            </w:pPr>
          </w:p>
        </w:tc>
        <w:tc>
          <w:tcPr>
            <w:tcW w:w="3120" w:type="dxa"/>
            <w:vMerge w:val="continue"/>
            <w:tcBorders>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仿宋_GB2312" w:hAnsi="仿宋_GB2312" w:eastAsia="仿宋_GB2312" w:cs="仿宋_GB2312"/>
                <w:sz w:val="18"/>
                <w:szCs w:val="18"/>
                <w:lang w:val="en-US" w:eastAsia="zh-CN"/>
              </w:rPr>
            </w:pPr>
          </w:p>
        </w:tc>
        <w:tc>
          <w:tcPr>
            <w:tcW w:w="2910" w:type="dxa"/>
            <w:tcBorders>
              <w:top w:val="single" w:color="000000"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00" w:lineRule="exact"/>
              <w:jc w:val="center"/>
              <w:textAlignment w:val="auto"/>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深入移动源精细化管控</w:t>
            </w:r>
          </w:p>
        </w:tc>
        <w:tc>
          <w:tcPr>
            <w:tcW w:w="3840" w:type="dxa"/>
            <w:tcBorders>
              <w:top w:val="single" w:color="000000"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r>
              <w:rPr>
                <w:rFonts w:hint="default" w:ascii="仿宋_GB2312" w:hAnsi="仿宋_GB2312" w:eastAsia="仿宋_GB2312" w:cs="仿宋_GB2312"/>
                <w:sz w:val="24"/>
                <w:szCs w:val="24"/>
                <w:lang w:val="en-US" w:eastAsia="zh-CN"/>
              </w:rPr>
              <w:t>组织各分局会同有关部门开展对国省道通行的柴油车</w:t>
            </w:r>
            <w:r>
              <w:rPr>
                <w:rFonts w:hint="eastAsia" w:ascii="仿宋_GB2312" w:hAnsi="仿宋_GB2312" w:eastAsia="仿宋_GB2312" w:cs="仿宋_GB2312"/>
                <w:sz w:val="24"/>
                <w:szCs w:val="24"/>
                <w:lang w:val="en-US" w:eastAsia="zh-CN"/>
              </w:rPr>
              <w:t>抽检</w:t>
            </w:r>
            <w:r>
              <w:rPr>
                <w:rFonts w:hint="default" w:ascii="仿宋_GB2312" w:hAnsi="仿宋_GB2312" w:eastAsia="仿宋_GB2312" w:cs="仿宋_GB2312"/>
                <w:sz w:val="24"/>
                <w:szCs w:val="24"/>
                <w:lang w:val="en-US" w:eastAsia="zh-CN"/>
              </w:rPr>
              <w:t>工作。20</w:t>
            </w:r>
            <w:r>
              <w:rPr>
                <w:rFonts w:hint="eastAsia" w:ascii="仿宋_GB2312" w:hAnsi="仿宋_GB2312" w:eastAsia="仿宋_GB2312" w:cs="仿宋_GB2312"/>
                <w:sz w:val="24"/>
                <w:szCs w:val="24"/>
                <w:lang w:val="en-US" w:eastAsia="zh-CN"/>
              </w:rPr>
              <w:t>22年度</w:t>
            </w:r>
            <w:r>
              <w:rPr>
                <w:rFonts w:hint="default" w:ascii="仿宋_GB2312" w:hAnsi="仿宋_GB2312" w:eastAsia="仿宋_GB2312" w:cs="仿宋_GB2312"/>
                <w:sz w:val="24"/>
                <w:szCs w:val="24"/>
                <w:lang w:val="en-US" w:eastAsia="zh-CN"/>
              </w:rPr>
              <w:t>，全市</w:t>
            </w:r>
            <w:r>
              <w:rPr>
                <w:rFonts w:hint="eastAsia" w:ascii="仿宋_GB2312" w:hAnsi="仿宋_GB2312" w:eastAsia="仿宋_GB2312" w:cs="仿宋_GB2312"/>
                <w:sz w:val="24"/>
                <w:szCs w:val="24"/>
                <w:lang w:val="en-US" w:eastAsia="zh-CN"/>
              </w:rPr>
              <w:t>检查和抽测</w:t>
            </w:r>
            <w:r>
              <w:rPr>
                <w:rFonts w:hint="default" w:ascii="仿宋_GB2312" w:hAnsi="仿宋_GB2312" w:eastAsia="仿宋_GB2312" w:cs="仿宋_GB2312"/>
                <w:sz w:val="24"/>
                <w:szCs w:val="24"/>
                <w:lang w:val="en-US" w:eastAsia="zh-CN"/>
              </w:rPr>
              <w:t>车辆不少于</w:t>
            </w:r>
            <w:r>
              <w:rPr>
                <w:rFonts w:hint="eastAsia" w:ascii="仿宋_GB2312" w:hAnsi="仿宋_GB2312" w:eastAsia="仿宋_GB2312" w:cs="仿宋_GB2312"/>
                <w:sz w:val="24"/>
                <w:szCs w:val="24"/>
                <w:lang w:val="en-US" w:eastAsia="zh-CN"/>
              </w:rPr>
              <w:t>5</w:t>
            </w:r>
            <w:r>
              <w:rPr>
                <w:rFonts w:hint="default" w:ascii="仿宋_GB2312" w:hAnsi="仿宋_GB2312" w:eastAsia="仿宋_GB2312" w:cs="仿宋_GB2312"/>
                <w:sz w:val="24"/>
                <w:szCs w:val="24"/>
                <w:lang w:val="en-US" w:eastAsia="zh-CN"/>
              </w:rPr>
              <w:t>000辆次</w:t>
            </w:r>
            <w:r>
              <w:rPr>
                <w:rFonts w:hint="eastAsia" w:ascii="仿宋_GB2312" w:hAnsi="仿宋_GB2312" w:eastAsia="仿宋_GB2312" w:cs="仿宋_GB2312"/>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280" w:lineRule="exact"/>
              <w:jc w:val="left"/>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2.持续</w:t>
            </w:r>
            <w:r>
              <w:rPr>
                <w:rFonts w:hint="default" w:ascii="仿宋_GB2312" w:hAnsi="仿宋_GB2312" w:eastAsia="仿宋_GB2312" w:cs="仿宋_GB2312"/>
                <w:sz w:val="24"/>
                <w:szCs w:val="24"/>
                <w:lang w:val="en-US" w:eastAsia="zh-CN"/>
              </w:rPr>
              <w:t>推进非道路移动机械登记编码工作。202</w:t>
            </w:r>
            <w:r>
              <w:rPr>
                <w:rFonts w:hint="eastAsia" w:ascii="仿宋_GB2312" w:hAnsi="仿宋_GB2312" w:eastAsia="仿宋_GB2312" w:cs="仿宋_GB2312"/>
                <w:sz w:val="24"/>
                <w:szCs w:val="24"/>
                <w:lang w:val="en-US" w:eastAsia="zh-CN"/>
              </w:rPr>
              <w:t>2</w:t>
            </w:r>
            <w:r>
              <w:rPr>
                <w:rFonts w:hint="default" w:ascii="仿宋_GB2312" w:hAnsi="仿宋_GB2312" w:eastAsia="仿宋_GB2312" w:cs="仿宋_GB2312"/>
                <w:sz w:val="24"/>
                <w:szCs w:val="24"/>
                <w:lang w:val="en-US" w:eastAsia="zh-CN"/>
              </w:rPr>
              <w:t>年底</w:t>
            </w:r>
            <w:r>
              <w:rPr>
                <w:rFonts w:hint="eastAsia" w:ascii="仿宋_GB2312" w:hAnsi="仿宋_GB2312" w:eastAsia="仿宋_GB2312" w:cs="仿宋_GB2312"/>
                <w:sz w:val="24"/>
                <w:szCs w:val="24"/>
                <w:lang w:val="en-US" w:eastAsia="zh-CN"/>
              </w:rPr>
              <w:t>前</w:t>
            </w:r>
            <w:r>
              <w:rPr>
                <w:rFonts w:hint="default"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lang w:val="en-US" w:eastAsia="zh-CN"/>
              </w:rPr>
              <w:t>全市共</w:t>
            </w:r>
            <w:r>
              <w:rPr>
                <w:rFonts w:hint="default" w:ascii="仿宋_GB2312" w:hAnsi="仿宋_GB2312" w:eastAsia="仿宋_GB2312" w:cs="仿宋_GB2312"/>
                <w:sz w:val="24"/>
                <w:szCs w:val="24"/>
                <w:lang w:val="en-US" w:eastAsia="zh-CN"/>
              </w:rPr>
              <w:t>登记编码机械不少于</w:t>
            </w:r>
            <w:r>
              <w:rPr>
                <w:rFonts w:hint="eastAsia" w:ascii="仿宋_GB2312" w:hAnsi="仿宋_GB2312" w:eastAsia="仿宋_GB2312" w:cs="仿宋_GB2312"/>
                <w:sz w:val="24"/>
                <w:szCs w:val="24"/>
                <w:lang w:val="en-US" w:eastAsia="zh-CN"/>
              </w:rPr>
              <w:t>15000</w:t>
            </w:r>
            <w:r>
              <w:rPr>
                <w:rFonts w:hint="default" w:ascii="仿宋_GB2312" w:hAnsi="仿宋_GB2312" w:eastAsia="仿宋_GB2312" w:cs="仿宋_GB2312"/>
                <w:sz w:val="24"/>
                <w:szCs w:val="24"/>
                <w:lang w:val="en-US" w:eastAsia="zh-CN"/>
              </w:rPr>
              <w:t>台</w:t>
            </w:r>
            <w:r>
              <w:rPr>
                <w:rFonts w:hint="eastAsia" w:ascii="仿宋_GB2312" w:hAnsi="仿宋_GB2312" w:eastAsia="仿宋_GB2312" w:cs="仿宋_GB2312"/>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280" w:lineRule="exact"/>
              <w:jc w:val="left"/>
              <w:textAlignment w:val="auto"/>
              <w:rPr>
                <w:rFonts w:hint="default"/>
                <w:sz w:val="24"/>
                <w:szCs w:val="24"/>
                <w:lang w:val="en-US" w:eastAsia="zh-CN"/>
              </w:rPr>
            </w:pPr>
            <w:r>
              <w:rPr>
                <w:rFonts w:hint="eastAsia" w:ascii="仿宋_GB2312" w:hAnsi="仿宋_GB2312" w:eastAsia="仿宋_GB2312" w:cs="仿宋_GB2312"/>
                <w:sz w:val="24"/>
                <w:szCs w:val="24"/>
                <w:lang w:val="en-US" w:eastAsia="zh-CN"/>
              </w:rPr>
              <w:t>3.组织开展非道路移动机械抽检工作。2022年度，检查和抽测机械不少于3000台次。</w:t>
            </w:r>
          </w:p>
        </w:tc>
        <w:tc>
          <w:tcPr>
            <w:tcW w:w="1957" w:type="dxa"/>
            <w:tcBorders>
              <w:top w:val="single" w:color="000000"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234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3120" w:type="dxa"/>
            <w:vMerge w:val="restart"/>
            <w:tcBorders>
              <w:top w:val="single" w:color="auto" w:sz="4" w:space="0"/>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专项考核</w:t>
            </w:r>
          </w:p>
        </w:tc>
        <w:tc>
          <w:tcPr>
            <w:tcW w:w="2910" w:type="dxa"/>
            <w:tcBorders>
              <w:top w:val="single" w:color="auto"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指导企业办理排污许可证</w:t>
            </w:r>
          </w:p>
        </w:tc>
        <w:tc>
          <w:tcPr>
            <w:tcW w:w="3840" w:type="dxa"/>
            <w:tcBorders>
              <w:top w:val="single" w:color="auto"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按照行业技术规范对申报企业进行技术指导,帮助企业取得排污许可证。</w:t>
            </w:r>
          </w:p>
        </w:tc>
        <w:tc>
          <w:tcPr>
            <w:tcW w:w="1957" w:type="dxa"/>
            <w:tcBorders>
              <w:top w:val="single" w:color="auto" w:sz="4" w:space="0"/>
              <w:left w:val="single" w:color="auto" w:sz="4" w:space="0"/>
              <w:bottom w:val="single" w:color="000000" w:sz="4" w:space="0"/>
              <w:right w:val="single" w:color="auto" w:sz="4" w:space="0"/>
              <w:tl2br w:val="nil"/>
              <w:tr2bl w:val="nil"/>
            </w:tcBorders>
            <w:noWrap w:val="0"/>
            <w:vAlign w:val="center"/>
          </w:tcPr>
          <w:p>
            <w:pPr>
              <w:spacing w:beforeLines="0" w:afterLines="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234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3120" w:type="dxa"/>
            <w:vMerge w:val="continue"/>
            <w:tcBorders>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2910" w:type="dxa"/>
            <w:tcBorders>
              <w:top w:val="single" w:color="000000"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指导企业规范运行自动监测设备</w:t>
            </w:r>
          </w:p>
        </w:tc>
        <w:tc>
          <w:tcPr>
            <w:tcW w:w="3840" w:type="dxa"/>
            <w:tcBorders>
              <w:top w:val="single" w:color="000000" w:sz="4" w:space="0"/>
              <w:left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按照相关在线监测系统运行维护技术规范等要求，为污染源企业新建在线监测系统的运行维护提供技术指导。</w:t>
            </w:r>
          </w:p>
        </w:tc>
        <w:tc>
          <w:tcPr>
            <w:tcW w:w="1957" w:type="dxa"/>
            <w:tcBorders>
              <w:top w:val="single" w:color="000000" w:sz="4" w:space="0"/>
              <w:left w:val="single" w:color="auto" w:sz="4" w:space="0"/>
              <w:right w:val="single" w:color="auto" w:sz="4" w:space="0"/>
              <w:tl2br w:val="nil"/>
              <w:tr2bl w:val="nil"/>
            </w:tcBorders>
            <w:noWrap w:val="0"/>
            <w:vAlign w:val="center"/>
          </w:tcPr>
          <w:p>
            <w:pPr>
              <w:spacing w:beforeLines="0" w:afterLines="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8" w:hRule="atLeast"/>
        </w:trPr>
        <w:tc>
          <w:tcPr>
            <w:tcW w:w="2347" w:type="dxa"/>
            <w:vMerge w:val="continue"/>
            <w:tcBorders>
              <w:left w:val="single" w:color="auto" w:sz="4" w:space="0"/>
              <w:bottom w:val="single" w:color="auto" w:sz="4" w:space="0"/>
              <w:right w:val="single" w:color="auto" w:sz="4" w:space="0"/>
              <w:tl2br w:val="nil"/>
              <w:tr2bl w:val="nil"/>
            </w:tcBorders>
            <w:noWrap w:val="0"/>
            <w:vAlign w:val="center"/>
          </w:tcPr>
          <w:p>
            <w:pPr>
              <w:spacing w:beforeLines="0" w:afterLines="0"/>
              <w:jc w:val="center"/>
            </w:pPr>
          </w:p>
        </w:tc>
        <w:tc>
          <w:tcPr>
            <w:tcW w:w="3120" w:type="dxa"/>
            <w:vMerge w:val="continue"/>
            <w:tcBorders>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2910" w:type="dxa"/>
            <w:tcBorders>
              <w:top w:val="single" w:color="000000"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为符合“工业强市、产业兴市”等政策的相关建设项目环境影响评价提供服务</w:t>
            </w:r>
          </w:p>
        </w:tc>
        <w:tc>
          <w:tcPr>
            <w:tcW w:w="3840" w:type="dxa"/>
            <w:tcBorders>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加快对符合条件的建设项目环境影响评价初步审查。</w:t>
            </w:r>
          </w:p>
        </w:tc>
        <w:tc>
          <w:tcPr>
            <w:tcW w:w="1957" w:type="dxa"/>
            <w:tcBorders>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234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3120" w:type="dxa"/>
            <w:vMerge w:val="restart"/>
            <w:tcBorders>
              <w:top w:val="single" w:color="auto" w:sz="4" w:space="0"/>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省考核指标</w:t>
            </w:r>
          </w:p>
          <w:p>
            <w:pPr>
              <w:spacing w:beforeLines="0" w:afterLines="0"/>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（分解主管部门）</w:t>
            </w:r>
          </w:p>
        </w:tc>
        <w:tc>
          <w:tcPr>
            <w:tcW w:w="2910" w:type="dxa"/>
            <w:tcBorders>
              <w:top w:val="single" w:color="auto"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重点建设用地安全利用</w:t>
            </w:r>
          </w:p>
        </w:tc>
        <w:tc>
          <w:tcPr>
            <w:tcW w:w="3840" w:type="dxa"/>
            <w:tcBorders>
              <w:top w:val="single" w:color="auto"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重点建设用地安全利用率达到100%</w:t>
            </w:r>
            <w:r>
              <w:rPr>
                <w:rFonts w:hint="eastAsia" w:ascii="仿宋_GB2312" w:hAnsi="仿宋_GB2312" w:eastAsia="仿宋_GB2312" w:cs="仿宋_GB2312"/>
                <w:sz w:val="24"/>
                <w:szCs w:val="24"/>
                <w:lang w:eastAsia="zh-CN"/>
              </w:rPr>
              <w:t>。</w:t>
            </w:r>
          </w:p>
        </w:tc>
        <w:tc>
          <w:tcPr>
            <w:tcW w:w="1957" w:type="dxa"/>
            <w:tcBorders>
              <w:top w:val="single" w:color="auto" w:sz="4" w:space="0"/>
              <w:left w:val="single" w:color="auto" w:sz="4" w:space="0"/>
              <w:bottom w:val="single" w:color="000000" w:sz="4" w:space="0"/>
              <w:right w:val="single" w:color="auto" w:sz="4" w:space="0"/>
              <w:tl2br w:val="nil"/>
              <w:tr2bl w:val="nil"/>
            </w:tcBorders>
            <w:noWrap w:val="0"/>
            <w:vAlign w:val="center"/>
          </w:tcPr>
          <w:p>
            <w:pPr>
              <w:spacing w:beforeLines="0" w:afterLines="0"/>
              <w:jc w:val="center"/>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trPr>
        <w:tc>
          <w:tcPr>
            <w:tcW w:w="2347"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3120" w:type="dxa"/>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sz w:val="32"/>
                <w:szCs w:val="32"/>
              </w:rPr>
            </w:pPr>
          </w:p>
        </w:tc>
        <w:tc>
          <w:tcPr>
            <w:tcW w:w="2910"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水环境质量改善</w:t>
            </w:r>
          </w:p>
        </w:tc>
        <w:tc>
          <w:tcPr>
            <w:tcW w:w="3840"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jc w:val="lef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国控地表水断面优良水体比例达到100%；国控地表水断面V类及以下水体比例为0。</w:t>
            </w:r>
            <w:bookmarkStart w:id="0" w:name="_GoBack"/>
            <w:bookmarkEnd w:id="0"/>
          </w:p>
        </w:tc>
        <w:tc>
          <w:tcPr>
            <w:tcW w:w="1957" w:type="dxa"/>
            <w:tcBorders>
              <w:top w:val="single" w:color="000000" w:sz="4" w:space="0"/>
              <w:left w:val="single" w:color="auto" w:sz="4" w:space="0"/>
              <w:bottom w:val="single" w:color="000000" w:sz="4" w:space="0"/>
              <w:right w:val="single" w:color="auto" w:sz="4" w:space="0"/>
              <w:tl2br w:val="nil"/>
              <w:tr2bl w:val="nil"/>
            </w:tcBorders>
            <w:noWrap w:val="0"/>
            <w:vAlign w:val="center"/>
          </w:tcPr>
          <w:p>
            <w:pPr>
              <w:spacing w:beforeLines="0" w:afterLines="0"/>
              <w:jc w:val="center"/>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20</w:t>
            </w:r>
          </w:p>
        </w:tc>
      </w:tr>
    </w:tbl>
    <w:p>
      <w:pPr>
        <w:rPr>
          <w:rFonts w:hint="default" w:eastAsia="仿宋_GB2312"/>
          <w:lang w:val="en-US" w:eastAsia="zh-CN"/>
        </w:rPr>
      </w:pPr>
    </w:p>
    <w:sectPr>
      <w:headerReference r:id="rId3" w:type="default"/>
      <w:footerReference r:id="rId4" w:type="default"/>
      <w:pgSz w:w="16840" w:h="11907" w:orient="landscape"/>
      <w:pgMar w:top="1587" w:right="1134" w:bottom="1587" w:left="1134" w:header="851" w:footer="1871" w:gutter="0"/>
      <w:cols w:space="720" w:num="1"/>
      <w:docGrid w:type="linesAndChars" w:linePitch="286" w:charSpace="-24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EFF" w:usb1="40007843" w:usb2="00000001" w:usb3="00000000" w:csb0="400001BF" w:csb1="DFF70000"/>
  </w:font>
  <w:font w:name="Symbol">
    <w:panose1 w:val="02000609000000000000"/>
    <w:charset w:val="02"/>
    <w:family w:val="roman"/>
    <w:pitch w:val="default"/>
    <w:sig w:usb0="800000AF" w:usb1="4000204A" w:usb2="00000000" w:usb3="00000000" w:csb0="20000000" w:csb1="00000000"/>
  </w:font>
  <w:font w:name="Calibri">
    <w:altName w:val="Century Gothic"/>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Century Gothic">
    <w:panose1 w:val="020B05020202020202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7"/>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jMDU1NTllMDg2NTU2M2MzMzg3MmU2YjMwM2NhMTcifQ=="/>
  </w:docVars>
  <w:rsids>
    <w:rsidRoot w:val="6EAE066C"/>
    <w:rsid w:val="11627C72"/>
    <w:rsid w:val="1DFD4154"/>
    <w:rsid w:val="1F236228"/>
    <w:rsid w:val="22E06C9B"/>
    <w:rsid w:val="307E4A31"/>
    <w:rsid w:val="31751F07"/>
    <w:rsid w:val="3DF7550A"/>
    <w:rsid w:val="42BB1050"/>
    <w:rsid w:val="43BB4DC5"/>
    <w:rsid w:val="48B9635D"/>
    <w:rsid w:val="4E77565F"/>
    <w:rsid w:val="56852DEC"/>
    <w:rsid w:val="5AFE1AC9"/>
    <w:rsid w:val="5BBE3A87"/>
    <w:rsid w:val="5EEF7054"/>
    <w:rsid w:val="689F7E55"/>
    <w:rsid w:val="695F0BBD"/>
    <w:rsid w:val="6DFF2EC1"/>
    <w:rsid w:val="6EAE066C"/>
    <w:rsid w:val="6FDCAC6E"/>
    <w:rsid w:val="7BABBF40"/>
    <w:rsid w:val="7BFFBE9C"/>
    <w:rsid w:val="7FCE28D6"/>
    <w:rsid w:val="7FFE0E45"/>
    <w:rsid w:val="A9EA46B1"/>
    <w:rsid w:val="BBCFA6D9"/>
    <w:rsid w:val="BFFD474E"/>
    <w:rsid w:val="CFFE3DC0"/>
    <w:rsid w:val="D2BF7ABB"/>
    <w:rsid w:val="DEAE6B2B"/>
    <w:rsid w:val="E3B7CF5A"/>
    <w:rsid w:val="EDCEC4C4"/>
    <w:rsid w:val="EDFF63C0"/>
    <w:rsid w:val="F57B59E6"/>
    <w:rsid w:val="F7BF75AA"/>
    <w:rsid w:val="FBD20814"/>
    <w:rsid w:val="FF6F1EDD"/>
    <w:rsid w:val="FFBBAFD0"/>
    <w:rsid w:val="FFFD5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588</Words>
  <Characters>676</Characters>
  <Lines>0</Lines>
  <Paragraphs>0</Paragraphs>
  <TotalTime>3</TotalTime>
  <ScaleCrop>false</ScaleCrop>
  <LinksUpToDate>false</LinksUpToDate>
  <CharactersWithSpaces>838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2022-07-07T19:51:00Z</dcterms:created>
  <dc:creator>℡倁昜垳難〆~*</dc:creator>
  <cp:lastModifiedBy>凌浅</cp:lastModifiedBy>
  <cp:lastPrinted>2022-07-21T11:47:00Z</cp:lastPrinted>
  <dcterms:modified xsi:type="dcterms:W3CDTF">2022-12-07T15:25:33Z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0998E1F03D924B25BD38769926B7FA3B</vt:lpwstr>
  </property>
</Properties>
</file>